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F8481">
      <w:pPr>
        <w:pStyle w:val="99"/>
        <w:ind w:firstLine="480"/>
        <w:rPr>
          <w:rFonts w:hint="eastAsia" w:eastAsia="宋体"/>
          <w:lang w:val="en-US" w:eastAsia="zh-CN"/>
        </w:rPr>
      </w:pPr>
      <w:r>
        <w:rPr>
          <w:rFonts w:hint="eastAsia"/>
          <w:lang w:val="en-US" w:eastAsia="zh-CN"/>
        </w:rPr>
        <w:t xml:space="preserve"> </w:t>
      </w:r>
    </w:p>
    <w:p w14:paraId="3672DD99">
      <w:pPr>
        <w:spacing w:line="480" w:lineRule="auto"/>
        <w:ind w:firstLine="0" w:firstLineChars="0"/>
        <w:jc w:val="center"/>
        <w:rPr>
          <w:b/>
          <w:bCs/>
          <w:sz w:val="72"/>
          <w:szCs w:val="72"/>
        </w:rPr>
      </w:pPr>
    </w:p>
    <w:p w14:paraId="2F4B3587">
      <w:pPr>
        <w:spacing w:line="480" w:lineRule="auto"/>
        <w:ind w:firstLine="0" w:firstLineChars="0"/>
        <w:jc w:val="center"/>
        <w:rPr>
          <w:b/>
          <w:bCs/>
          <w:sz w:val="72"/>
          <w:szCs w:val="72"/>
        </w:rPr>
      </w:pPr>
      <w:r>
        <w:rPr>
          <w:rFonts w:hint="eastAsia"/>
          <w:b/>
          <w:bCs/>
          <w:sz w:val="72"/>
          <w:szCs w:val="72"/>
        </w:rPr>
        <w:t>建设项目环境影响报告表</w:t>
      </w:r>
    </w:p>
    <w:p w14:paraId="49CD585A">
      <w:pPr>
        <w:spacing w:line="480" w:lineRule="auto"/>
        <w:ind w:firstLine="0" w:firstLineChars="0"/>
        <w:jc w:val="center"/>
        <w:rPr>
          <w:b/>
          <w:bCs/>
          <w:sz w:val="72"/>
          <w:szCs w:val="72"/>
        </w:rPr>
      </w:pPr>
      <w:r>
        <w:rPr>
          <w:rFonts w:hint="eastAsia"/>
          <w:b/>
          <w:bCs/>
          <w:sz w:val="72"/>
          <w:szCs w:val="72"/>
        </w:rPr>
        <w:t>（污染影响类）</w:t>
      </w:r>
    </w:p>
    <w:p w14:paraId="76A1875A">
      <w:pPr>
        <w:ind w:firstLine="480"/>
      </w:pPr>
    </w:p>
    <w:p w14:paraId="0687E72A">
      <w:pPr>
        <w:spacing w:before="156" w:beforeLines="50" w:line="480" w:lineRule="auto"/>
        <w:ind w:firstLine="0" w:firstLineChars="0"/>
        <w:jc w:val="center"/>
        <w:rPr>
          <w:b/>
          <w:bCs/>
          <w:sz w:val="72"/>
          <w:szCs w:val="72"/>
        </w:rPr>
      </w:pPr>
    </w:p>
    <w:p w14:paraId="624EE61A">
      <w:pPr>
        <w:pStyle w:val="49"/>
        <w:rPr>
          <w:b/>
          <w:bCs/>
          <w:sz w:val="72"/>
          <w:szCs w:val="72"/>
        </w:rPr>
      </w:pPr>
    </w:p>
    <w:p w14:paraId="210DF3D5">
      <w:pPr>
        <w:spacing w:before="156" w:beforeLines="50" w:line="480" w:lineRule="auto"/>
        <w:ind w:left="0" w:leftChars="0" w:firstLine="0" w:firstLineChars="0"/>
        <w:rPr>
          <w:b/>
          <w:bCs/>
          <w:sz w:val="72"/>
          <w:szCs w:val="72"/>
        </w:rPr>
      </w:pPr>
    </w:p>
    <w:p w14:paraId="6AF6A868">
      <w:pPr>
        <w:pStyle w:val="49"/>
      </w:pPr>
    </w:p>
    <w:p w14:paraId="564B1CBA">
      <w:pPr>
        <w:pStyle w:val="49"/>
        <w:rPr>
          <w:b/>
          <w:bCs/>
          <w:sz w:val="72"/>
          <w:szCs w:val="72"/>
        </w:rPr>
      </w:pPr>
    </w:p>
    <w:p w14:paraId="25E46760"/>
    <w:p w14:paraId="341202DB">
      <w:pPr>
        <w:spacing w:line="480" w:lineRule="auto"/>
        <w:ind w:left="2888" w:leftChars="400" w:hanging="1928" w:hangingChars="600"/>
        <w:rPr>
          <w:rFonts w:hint="default"/>
          <w:b/>
          <w:bCs/>
          <w:sz w:val="32"/>
          <w:szCs w:val="32"/>
          <w:u w:val="single"/>
          <w:lang w:val="en-US" w:eastAsia="zh-CN"/>
        </w:rPr>
      </w:pPr>
      <w:r>
        <w:rPr>
          <w:rFonts w:hint="eastAsia"/>
          <w:b/>
          <w:bCs/>
          <w:sz w:val="32"/>
          <w:szCs w:val="32"/>
        </w:rPr>
        <w:t>项目名称：</w:t>
      </w:r>
      <w:r>
        <w:rPr>
          <w:rFonts w:hint="eastAsia"/>
          <w:b/>
          <w:bCs/>
          <w:sz w:val="32"/>
          <w:szCs w:val="32"/>
          <w:u w:val="single"/>
          <w:lang w:val="en-US" w:eastAsia="zh-CN"/>
        </w:rPr>
        <w:t xml:space="preserve">   洪江市建筑垃圾安江堆填场建设项目（一期）                    </w:t>
      </w:r>
    </w:p>
    <w:p w14:paraId="4BEE2E7D">
      <w:pPr>
        <w:spacing w:line="480" w:lineRule="auto"/>
        <w:ind w:firstLine="964" w:firstLineChars="300"/>
        <w:rPr>
          <w:b/>
          <w:bCs/>
          <w:sz w:val="32"/>
          <w:szCs w:val="32"/>
          <w:u w:val="single"/>
        </w:rPr>
      </w:pPr>
      <w:r>
        <w:rPr>
          <w:rFonts w:hint="eastAsia"/>
          <w:b/>
          <w:bCs/>
          <w:sz w:val="32"/>
          <w:szCs w:val="32"/>
        </w:rPr>
        <w:t>建设单位（盖章）：</w:t>
      </w:r>
      <w:r>
        <w:rPr>
          <w:rFonts w:hint="eastAsia"/>
          <w:b/>
          <w:bCs/>
          <w:sz w:val="32"/>
          <w:szCs w:val="32"/>
          <w:u w:val="single"/>
          <w:lang w:val="en-US" w:eastAsia="zh-CN"/>
        </w:rPr>
        <w:t xml:space="preserve">     </w:t>
      </w:r>
      <w:r>
        <w:rPr>
          <w:rFonts w:hint="eastAsia"/>
          <w:b/>
          <w:bCs/>
          <w:sz w:val="32"/>
          <w:szCs w:val="32"/>
          <w:u w:val="single"/>
          <w:lang w:eastAsia="zh-CN"/>
        </w:rPr>
        <w:t>洪江市城市管理和综合执法局</w:t>
      </w:r>
      <w:r>
        <w:rPr>
          <w:rFonts w:hint="eastAsia"/>
          <w:b/>
          <w:bCs/>
          <w:sz w:val="32"/>
          <w:szCs w:val="32"/>
          <w:u w:val="single"/>
          <w:lang w:val="en-US" w:eastAsia="zh-CN"/>
        </w:rPr>
        <w:t xml:space="preserve">      </w:t>
      </w:r>
      <w:r>
        <w:rPr>
          <w:rFonts w:hint="eastAsia"/>
          <w:b/>
          <w:bCs/>
          <w:sz w:val="32"/>
          <w:szCs w:val="32"/>
          <w:u w:val="none"/>
          <w:lang w:val="en-US" w:eastAsia="zh-CN"/>
        </w:rPr>
        <w:t xml:space="preserve"> </w:t>
      </w:r>
      <w:r>
        <w:rPr>
          <w:rFonts w:hint="eastAsia"/>
          <w:b/>
          <w:bCs/>
          <w:sz w:val="32"/>
          <w:szCs w:val="32"/>
          <w:u w:val="none"/>
        </w:rPr>
        <w:t xml:space="preserve">   </w:t>
      </w:r>
      <w:r>
        <w:rPr>
          <w:rFonts w:hint="eastAsia"/>
          <w:b/>
          <w:bCs/>
          <w:sz w:val="32"/>
          <w:szCs w:val="32"/>
          <w:u w:val="single"/>
        </w:rPr>
        <w:t xml:space="preserve">  </w:t>
      </w:r>
    </w:p>
    <w:p w14:paraId="7A2B8792">
      <w:pPr>
        <w:spacing w:line="480" w:lineRule="auto"/>
        <w:ind w:firstLine="964" w:firstLineChars="300"/>
        <w:rPr>
          <w:b/>
          <w:bCs/>
          <w:sz w:val="32"/>
          <w:szCs w:val="32"/>
          <w:u w:val="single"/>
        </w:rPr>
      </w:pPr>
      <w:r>
        <w:rPr>
          <w:rFonts w:hint="eastAsia"/>
          <w:b/>
          <w:bCs/>
          <w:sz w:val="32"/>
          <w:szCs w:val="32"/>
        </w:rPr>
        <w:t>编制日期：</w:t>
      </w:r>
      <w:r>
        <w:rPr>
          <w:rFonts w:hint="eastAsia"/>
          <w:b/>
          <w:bCs/>
          <w:sz w:val="32"/>
          <w:szCs w:val="32"/>
          <w:u w:val="single"/>
        </w:rPr>
        <w:t xml:space="preserve">               </w:t>
      </w:r>
      <w:r>
        <w:rPr>
          <w:rFonts w:hint="eastAsia"/>
          <w:b/>
          <w:bCs/>
          <w:sz w:val="32"/>
          <w:szCs w:val="32"/>
          <w:u w:val="single"/>
          <w:lang w:val="en-US" w:eastAsia="zh-CN"/>
        </w:rPr>
        <w:t xml:space="preserve">   2026</w:t>
      </w:r>
      <w:r>
        <w:rPr>
          <w:rFonts w:hint="eastAsia"/>
          <w:b/>
          <w:bCs/>
          <w:sz w:val="32"/>
          <w:szCs w:val="32"/>
          <w:u w:val="single"/>
        </w:rPr>
        <w:t>年</w:t>
      </w:r>
      <w:r>
        <w:rPr>
          <w:rFonts w:hint="eastAsia"/>
          <w:b/>
          <w:bCs/>
          <w:sz w:val="32"/>
          <w:szCs w:val="32"/>
          <w:u w:val="single"/>
          <w:lang w:val="en-US" w:eastAsia="zh-CN"/>
        </w:rPr>
        <w:t>5</w:t>
      </w:r>
      <w:r>
        <w:rPr>
          <w:rFonts w:hint="eastAsia"/>
          <w:b/>
          <w:bCs/>
          <w:sz w:val="32"/>
          <w:szCs w:val="32"/>
          <w:u w:val="single"/>
        </w:rPr>
        <w:t xml:space="preserve">月         </w:t>
      </w:r>
      <w:r>
        <w:rPr>
          <w:b/>
          <w:bCs/>
          <w:sz w:val="32"/>
          <w:szCs w:val="32"/>
          <w:u w:val="single"/>
        </w:rPr>
        <w:t xml:space="preserve"> </w:t>
      </w:r>
      <w:r>
        <w:rPr>
          <w:rFonts w:hint="eastAsia"/>
          <w:b/>
          <w:bCs/>
          <w:sz w:val="32"/>
          <w:szCs w:val="32"/>
          <w:u w:val="single"/>
        </w:rPr>
        <w:t xml:space="preserve">    </w:t>
      </w:r>
      <w:r>
        <w:rPr>
          <w:b/>
          <w:bCs/>
          <w:sz w:val="32"/>
          <w:szCs w:val="32"/>
          <w:u w:val="single"/>
        </w:rPr>
        <w:t xml:space="preserve"> </w:t>
      </w:r>
      <w:r>
        <w:rPr>
          <w:rFonts w:hint="eastAsia"/>
          <w:b/>
          <w:bCs/>
          <w:sz w:val="32"/>
          <w:szCs w:val="32"/>
          <w:u w:val="single"/>
        </w:rPr>
        <w:t xml:space="preserve"> </w:t>
      </w:r>
      <w:r>
        <w:rPr>
          <w:b/>
          <w:bCs/>
          <w:sz w:val="32"/>
          <w:szCs w:val="32"/>
        </w:rPr>
        <w:t xml:space="preserve"> </w:t>
      </w:r>
    </w:p>
    <w:p w14:paraId="01679F29">
      <w:pPr>
        <w:spacing w:line="480" w:lineRule="auto"/>
        <w:ind w:firstLine="643"/>
        <w:rPr>
          <w:b/>
          <w:bCs/>
          <w:sz w:val="32"/>
          <w:szCs w:val="32"/>
          <w:u w:val="single"/>
        </w:rPr>
      </w:pPr>
    </w:p>
    <w:p w14:paraId="4E3D5172">
      <w:pPr>
        <w:spacing w:line="480" w:lineRule="auto"/>
        <w:ind w:firstLine="643"/>
        <w:rPr>
          <w:b/>
          <w:bCs/>
          <w:sz w:val="32"/>
          <w:szCs w:val="32"/>
          <w:u w:val="single"/>
        </w:rPr>
      </w:pPr>
    </w:p>
    <w:p w14:paraId="673A55D9">
      <w:pPr>
        <w:spacing w:line="480" w:lineRule="auto"/>
        <w:ind w:firstLine="643"/>
        <w:rPr>
          <w:b/>
          <w:bCs/>
          <w:sz w:val="32"/>
          <w:szCs w:val="32"/>
          <w:u w:val="single"/>
        </w:rPr>
      </w:pPr>
    </w:p>
    <w:p w14:paraId="145475B2">
      <w:pPr>
        <w:spacing w:line="480" w:lineRule="auto"/>
        <w:ind w:firstLine="0" w:firstLineChars="0"/>
        <w:jc w:val="center"/>
        <w:rPr>
          <w:rFonts w:hint="eastAsia"/>
          <w:b/>
          <w:bCs/>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851" w:footer="992" w:gutter="0"/>
          <w:cols w:space="720" w:num="1"/>
          <w:docGrid w:type="lines" w:linePitch="312" w:charSpace="0"/>
        </w:sectPr>
      </w:pPr>
      <w:r>
        <w:rPr>
          <w:rFonts w:hint="eastAsia"/>
          <w:b/>
          <w:bCs/>
          <w:sz w:val="32"/>
          <w:szCs w:val="32"/>
        </w:rPr>
        <w:t>中华人民共和国生态环境部制</w:t>
      </w:r>
    </w:p>
    <w:p w14:paraId="5E9BA3E8">
      <w:pPr>
        <w:spacing w:line="480" w:lineRule="auto"/>
        <w:ind w:firstLine="0" w:firstLineChars="0"/>
        <w:jc w:val="center"/>
        <w:rPr>
          <w:rFonts w:hint="eastAsia" w:eastAsia="宋体"/>
          <w:b/>
          <w:bCs/>
          <w:sz w:val="32"/>
          <w:szCs w:val="32"/>
          <w:lang w:eastAsia="zh-CN"/>
        </w:rPr>
        <w:sectPr>
          <w:pgSz w:w="11906" w:h="16838"/>
          <w:pgMar w:top="1440" w:right="1080" w:bottom="1440" w:left="1080" w:header="851" w:footer="992" w:gutter="0"/>
          <w:cols w:space="720" w:num="1"/>
          <w:docGrid w:type="lines" w:linePitch="312" w:charSpace="0"/>
        </w:sectPr>
      </w:pPr>
      <w:bookmarkStart w:id="134" w:name="_GoBack"/>
      <w:bookmarkEnd w:id="134"/>
      <w:r>
        <w:rPr>
          <w:rFonts w:hint="eastAsia" w:eastAsia="宋体"/>
          <w:b/>
          <w:bCs/>
          <w:sz w:val="32"/>
          <w:szCs w:val="32"/>
          <w:lang w:eastAsia="zh-CN"/>
        </w:rPr>
        <w:drawing>
          <wp:inline distT="0" distB="0" distL="114300" distR="114300">
            <wp:extent cx="6181090" cy="8745855"/>
            <wp:effectExtent l="0" t="0" r="10160" b="17145"/>
            <wp:docPr id="2" name="图片 2" descr="8ae0aa7c4c1a6ce6a1afe5a7504f33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ae0aa7c4c1a6ce6a1afe5a7504f33c5"/>
                    <pic:cNvPicPr>
                      <a:picLocks noChangeAspect="1"/>
                    </pic:cNvPicPr>
                  </pic:nvPicPr>
                  <pic:blipFill>
                    <a:blip r:embed="rId16"/>
                    <a:stretch>
                      <a:fillRect/>
                    </a:stretch>
                  </pic:blipFill>
                  <pic:spPr>
                    <a:xfrm>
                      <a:off x="0" y="0"/>
                      <a:ext cx="6181090" cy="8745855"/>
                    </a:xfrm>
                    <a:prstGeom prst="rect">
                      <a:avLst/>
                    </a:prstGeom>
                  </pic:spPr>
                </pic:pic>
              </a:graphicData>
            </a:graphic>
          </wp:inline>
        </w:drawing>
      </w:r>
    </w:p>
    <w:p w14:paraId="4FBA95E1">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sectPr>
          <w:pgSz w:w="11906" w:h="16838"/>
          <w:pgMar w:top="1440" w:right="1080" w:bottom="1440" w:left="1080" w:header="851" w:footer="992" w:gutter="0"/>
          <w:cols w:space="720" w:num="1"/>
          <w:docGrid w:type="lines" w:linePitch="312" w:charSpace="0"/>
        </w:sectPr>
      </w:pPr>
      <w:r>
        <w:rPr>
          <w:rFonts w:hint="eastAsia" w:eastAsia="宋体"/>
          <w:b/>
          <w:bCs/>
          <w:sz w:val="32"/>
          <w:szCs w:val="32"/>
          <w:lang w:eastAsia="zh-CN"/>
        </w:rPr>
        <w:drawing>
          <wp:inline distT="0" distB="0" distL="114300" distR="114300">
            <wp:extent cx="6181090" cy="8714740"/>
            <wp:effectExtent l="0" t="0" r="10160" b="10160"/>
            <wp:docPr id="1" name="图片 1" descr="5250a47c7192dc5e7b87a22dfb162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250a47c7192dc5e7b87a22dfb16240b"/>
                    <pic:cNvPicPr>
                      <a:picLocks noChangeAspect="1"/>
                    </pic:cNvPicPr>
                  </pic:nvPicPr>
                  <pic:blipFill>
                    <a:blip r:embed="rId17"/>
                    <a:stretch>
                      <a:fillRect/>
                    </a:stretch>
                  </pic:blipFill>
                  <pic:spPr>
                    <a:xfrm>
                      <a:off x="0" y="0"/>
                      <a:ext cx="6181090" cy="8714740"/>
                    </a:xfrm>
                    <a:prstGeom prst="rect">
                      <a:avLst/>
                    </a:prstGeom>
                  </pic:spPr>
                </pic:pic>
              </a:graphicData>
            </a:graphic>
          </wp:inline>
        </w:drawing>
      </w:r>
    </w:p>
    <w:p w14:paraId="33AD8603">
      <w:pPr>
        <w:pStyle w:val="2"/>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Theme="minorEastAsia"/>
          <w:lang w:val="en-US" w:eastAsia="zh-CN"/>
        </w:rPr>
        <w:sectPr>
          <w:pgSz w:w="11906" w:h="16838"/>
          <w:pgMar w:top="1440" w:right="1080" w:bottom="1440" w:left="1080" w:header="851" w:footer="992" w:gutter="0"/>
          <w:cols w:space="720" w:num="1"/>
          <w:docGrid w:type="lines" w:linePitch="312" w:charSpace="0"/>
        </w:sectPr>
      </w:pPr>
      <w:r>
        <w:rPr>
          <w:rFonts w:hint="default" w:eastAsiaTheme="minorEastAsia"/>
          <w:lang w:val="en-US" w:eastAsia="zh-CN"/>
        </w:rPr>
        <w:drawing>
          <wp:inline distT="0" distB="0" distL="114300" distR="114300">
            <wp:extent cx="6186170" cy="7762875"/>
            <wp:effectExtent l="0" t="0" r="0" b="0"/>
            <wp:docPr id="3" name="图片 3" descr="preview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review_00"/>
                    <pic:cNvPicPr>
                      <a:picLocks noChangeAspect="1"/>
                    </pic:cNvPicPr>
                  </pic:nvPicPr>
                  <pic:blipFill>
                    <a:blip r:embed="rId18"/>
                    <a:srcRect b="11259"/>
                    <a:stretch>
                      <a:fillRect/>
                    </a:stretch>
                  </pic:blipFill>
                  <pic:spPr>
                    <a:xfrm>
                      <a:off x="0" y="0"/>
                      <a:ext cx="6186170" cy="7762875"/>
                    </a:xfrm>
                    <a:prstGeom prst="rect">
                      <a:avLst/>
                    </a:prstGeom>
                  </pic:spPr>
                </pic:pic>
              </a:graphicData>
            </a:graphic>
          </wp:inline>
        </w:drawing>
      </w:r>
    </w:p>
    <w:p w14:paraId="47B5BD2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lang w:eastAsia="zh-CN"/>
        </w:rPr>
        <w:sectPr>
          <w:pgSz w:w="11906" w:h="16838"/>
          <w:pgMar w:top="1440" w:right="1080" w:bottom="1440" w:left="1080" w:header="851" w:footer="992" w:gutter="0"/>
          <w:cols w:space="720" w:num="1"/>
          <w:docGrid w:type="lines" w:linePitch="312" w:charSpace="0"/>
        </w:sectPr>
      </w:pPr>
      <w:r>
        <w:rPr>
          <w:rFonts w:hint="eastAsia"/>
          <w:lang w:eastAsia="zh-CN"/>
        </w:rPr>
        <w:drawing>
          <wp:inline distT="0" distB="0" distL="114300" distR="114300">
            <wp:extent cx="6052820" cy="8563610"/>
            <wp:effectExtent l="0" t="0" r="5080" b="8890"/>
            <wp:docPr id="13" name="图片 13" descr="bc9313c84b33b93d69354252febc6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c9313c84b33b93d69354252febc6e78"/>
                    <pic:cNvPicPr>
                      <a:picLocks noChangeAspect="1"/>
                    </pic:cNvPicPr>
                  </pic:nvPicPr>
                  <pic:blipFill>
                    <a:blip r:embed="rId19"/>
                    <a:stretch>
                      <a:fillRect/>
                    </a:stretch>
                  </pic:blipFill>
                  <pic:spPr>
                    <a:xfrm>
                      <a:off x="0" y="0"/>
                      <a:ext cx="6052820" cy="8563610"/>
                    </a:xfrm>
                    <a:prstGeom prst="rect">
                      <a:avLst/>
                    </a:prstGeom>
                  </pic:spPr>
                </pic:pic>
              </a:graphicData>
            </a:graphic>
          </wp:inline>
        </w:drawing>
      </w:r>
    </w:p>
    <w:p w14:paraId="23BEC36C">
      <w:pPr>
        <w:ind w:firstLine="0" w:firstLineChars="0"/>
        <w:jc w:val="center"/>
      </w:pPr>
      <w:bookmarkStart w:id="0" w:name="_Toc69978186"/>
      <w:bookmarkStart w:id="1" w:name="_Toc69978263"/>
      <w:bookmarkStart w:id="2" w:name="_Toc69978395"/>
      <w:r>
        <w:rPr>
          <w:b/>
          <w:sz w:val="32"/>
        </w:rPr>
        <w:t>目录</w:t>
      </w:r>
    </w:p>
    <w:p w14:paraId="487C0C2B">
      <w:pPr>
        <w:pStyle w:val="29"/>
        <w:tabs>
          <w:tab w:val="right" w:leader="dot" w:pos="9746"/>
        </w:tabs>
      </w:pPr>
      <w:r>
        <w:fldChar w:fldCharType="begin"/>
      </w:r>
      <w:r>
        <w:instrText xml:space="preserve"> </w:instrText>
      </w:r>
      <w:r>
        <w:rPr>
          <w:rFonts w:hint="eastAsia"/>
        </w:rPr>
        <w:instrText xml:space="preserve">TOC \o "1-1" \h \z \u</w:instrText>
      </w:r>
      <w:r>
        <w:instrText xml:space="preserve"> </w:instrText>
      </w:r>
      <w:r>
        <w:fldChar w:fldCharType="separate"/>
      </w:r>
      <w:r>
        <w:fldChar w:fldCharType="begin"/>
      </w:r>
      <w:r>
        <w:instrText xml:space="preserve"> HYPERLINK \l _Toc27111 </w:instrText>
      </w:r>
      <w:r>
        <w:fldChar w:fldCharType="separate"/>
      </w:r>
      <w:r>
        <w:rPr>
          <w:rFonts w:hint="eastAsia"/>
        </w:rPr>
        <w:t>一</w:t>
      </w:r>
      <w:r>
        <w:t>、</w:t>
      </w:r>
      <w:r>
        <w:rPr>
          <w:rFonts w:hint="eastAsia"/>
        </w:rPr>
        <w:t>建设项目基本情况</w:t>
      </w:r>
      <w:r>
        <w:tab/>
      </w:r>
      <w:r>
        <w:fldChar w:fldCharType="begin"/>
      </w:r>
      <w:r>
        <w:instrText xml:space="preserve"> PAGEREF _Toc27111 \h </w:instrText>
      </w:r>
      <w:r>
        <w:fldChar w:fldCharType="separate"/>
      </w:r>
      <w:r>
        <w:t>1</w:t>
      </w:r>
      <w:r>
        <w:fldChar w:fldCharType="end"/>
      </w:r>
      <w:r>
        <w:fldChar w:fldCharType="end"/>
      </w:r>
    </w:p>
    <w:p w14:paraId="575C2B3F">
      <w:pPr>
        <w:pStyle w:val="29"/>
        <w:tabs>
          <w:tab w:val="right" w:leader="dot" w:pos="9746"/>
        </w:tabs>
      </w:pPr>
      <w:r>
        <w:fldChar w:fldCharType="begin"/>
      </w:r>
      <w:r>
        <w:instrText xml:space="preserve"> HYPERLINK \l _Toc4552 </w:instrText>
      </w:r>
      <w:r>
        <w:fldChar w:fldCharType="separate"/>
      </w:r>
      <w:r>
        <w:rPr>
          <w:rFonts w:hint="eastAsia"/>
        </w:rPr>
        <w:t>二</w:t>
      </w:r>
      <w:r>
        <w:t>、</w:t>
      </w:r>
      <w:r>
        <w:rPr>
          <w:rFonts w:hint="eastAsia"/>
        </w:rPr>
        <w:t>建设项目工程分析</w:t>
      </w:r>
      <w:r>
        <w:tab/>
      </w:r>
      <w:r>
        <w:fldChar w:fldCharType="begin"/>
      </w:r>
      <w:r>
        <w:instrText xml:space="preserve"> PAGEREF _Toc4552 \h </w:instrText>
      </w:r>
      <w:r>
        <w:fldChar w:fldCharType="separate"/>
      </w:r>
      <w:r>
        <w:t>26</w:t>
      </w:r>
      <w:r>
        <w:fldChar w:fldCharType="end"/>
      </w:r>
      <w:r>
        <w:fldChar w:fldCharType="end"/>
      </w:r>
    </w:p>
    <w:p w14:paraId="57AB18C5">
      <w:pPr>
        <w:pStyle w:val="29"/>
        <w:tabs>
          <w:tab w:val="right" w:leader="dot" w:pos="9746"/>
        </w:tabs>
      </w:pPr>
      <w:r>
        <w:fldChar w:fldCharType="begin"/>
      </w:r>
      <w:r>
        <w:instrText xml:space="preserve"> HYPERLINK \l _Toc9305 </w:instrText>
      </w:r>
      <w:r>
        <w:fldChar w:fldCharType="separate"/>
      </w:r>
      <w:r>
        <w:rPr>
          <w:rFonts w:hint="eastAsia"/>
        </w:rPr>
        <w:t>三</w:t>
      </w:r>
      <w:r>
        <w:t>、</w:t>
      </w:r>
      <w:r>
        <w:rPr>
          <w:rFonts w:hint="eastAsia"/>
        </w:rPr>
        <w:t>区域环境质量现状、环境保护目标及评价标准</w:t>
      </w:r>
      <w:r>
        <w:tab/>
      </w:r>
      <w:r>
        <w:fldChar w:fldCharType="begin"/>
      </w:r>
      <w:r>
        <w:instrText xml:space="preserve"> PAGEREF _Toc9305 \h </w:instrText>
      </w:r>
      <w:r>
        <w:fldChar w:fldCharType="separate"/>
      </w:r>
      <w:r>
        <w:t>50</w:t>
      </w:r>
      <w:r>
        <w:fldChar w:fldCharType="end"/>
      </w:r>
      <w:r>
        <w:fldChar w:fldCharType="end"/>
      </w:r>
    </w:p>
    <w:p w14:paraId="191BC918">
      <w:pPr>
        <w:pStyle w:val="29"/>
        <w:tabs>
          <w:tab w:val="right" w:leader="dot" w:pos="9746"/>
        </w:tabs>
      </w:pPr>
      <w:r>
        <w:fldChar w:fldCharType="begin"/>
      </w:r>
      <w:r>
        <w:instrText xml:space="preserve"> HYPERLINK \l _Toc5047 </w:instrText>
      </w:r>
      <w:r>
        <w:fldChar w:fldCharType="separate"/>
      </w:r>
      <w:r>
        <w:rPr>
          <w:rFonts w:hint="eastAsia"/>
        </w:rPr>
        <w:t>四</w:t>
      </w:r>
      <w:r>
        <w:t>、</w:t>
      </w:r>
      <w:r>
        <w:rPr>
          <w:rFonts w:hint="eastAsia"/>
        </w:rPr>
        <w:t>主要环境影响和保护措施</w:t>
      </w:r>
      <w:r>
        <w:tab/>
      </w:r>
      <w:r>
        <w:fldChar w:fldCharType="begin"/>
      </w:r>
      <w:r>
        <w:instrText xml:space="preserve"> PAGEREF _Toc5047 \h </w:instrText>
      </w:r>
      <w:r>
        <w:fldChar w:fldCharType="separate"/>
      </w:r>
      <w:r>
        <w:t>65</w:t>
      </w:r>
      <w:r>
        <w:fldChar w:fldCharType="end"/>
      </w:r>
      <w:r>
        <w:fldChar w:fldCharType="end"/>
      </w:r>
    </w:p>
    <w:p w14:paraId="42644226">
      <w:pPr>
        <w:pStyle w:val="29"/>
        <w:tabs>
          <w:tab w:val="right" w:leader="dot" w:pos="9746"/>
        </w:tabs>
      </w:pPr>
      <w:r>
        <w:fldChar w:fldCharType="begin"/>
      </w:r>
      <w:r>
        <w:instrText xml:space="preserve"> HYPERLINK \l _Toc16222 </w:instrText>
      </w:r>
      <w:r>
        <w:fldChar w:fldCharType="separate"/>
      </w:r>
      <w:r>
        <w:rPr>
          <w:rFonts w:hint="eastAsia" w:ascii="Times New Roman" w:hAnsi="Times New Roman" w:eastAsia="宋体" w:cs="Times New Roman"/>
          <w:kern w:val="44"/>
          <w:szCs w:val="24"/>
          <w:lang w:val="en-US" w:eastAsia="zh-CN" w:bidi="ar-SA"/>
        </w:rPr>
        <w:t>五、</w:t>
      </w:r>
      <w:r>
        <w:rPr>
          <w:rFonts w:hint="eastAsia"/>
        </w:rPr>
        <w:t>环境保护措施监督检查清单</w:t>
      </w:r>
      <w:r>
        <w:tab/>
      </w:r>
      <w:r>
        <w:fldChar w:fldCharType="begin"/>
      </w:r>
      <w:r>
        <w:instrText xml:space="preserve"> PAGEREF _Toc16222 \h </w:instrText>
      </w:r>
      <w:r>
        <w:fldChar w:fldCharType="separate"/>
      </w:r>
      <w:r>
        <w:t>109</w:t>
      </w:r>
      <w:r>
        <w:fldChar w:fldCharType="end"/>
      </w:r>
      <w:r>
        <w:fldChar w:fldCharType="end"/>
      </w:r>
    </w:p>
    <w:p w14:paraId="56C4380F">
      <w:pPr>
        <w:pStyle w:val="29"/>
        <w:tabs>
          <w:tab w:val="right" w:leader="dot" w:pos="9746"/>
        </w:tabs>
      </w:pPr>
      <w:r>
        <w:fldChar w:fldCharType="begin"/>
      </w:r>
      <w:r>
        <w:instrText xml:space="preserve"> HYPERLINK \l _Toc16976 </w:instrText>
      </w:r>
      <w:r>
        <w:fldChar w:fldCharType="separate"/>
      </w:r>
      <w:r>
        <w:rPr>
          <w:rFonts w:hint="eastAsia"/>
        </w:rPr>
        <w:t>六</w:t>
      </w:r>
      <w:r>
        <w:t>、</w:t>
      </w:r>
      <w:r>
        <w:rPr>
          <w:rFonts w:hint="eastAsia"/>
        </w:rPr>
        <w:t>结论</w:t>
      </w:r>
      <w:r>
        <w:tab/>
      </w:r>
      <w:r>
        <w:fldChar w:fldCharType="begin"/>
      </w:r>
      <w:r>
        <w:instrText xml:space="preserve"> PAGEREF _Toc16976 \h </w:instrText>
      </w:r>
      <w:r>
        <w:fldChar w:fldCharType="separate"/>
      </w:r>
      <w:r>
        <w:t>114</w:t>
      </w:r>
      <w:r>
        <w:fldChar w:fldCharType="end"/>
      </w:r>
      <w:r>
        <w:fldChar w:fldCharType="end"/>
      </w:r>
    </w:p>
    <w:p w14:paraId="6D137A67">
      <w:pPr>
        <w:ind w:firstLine="480"/>
        <w:sectPr>
          <w:footerReference r:id="rId11" w:type="default"/>
          <w:pgSz w:w="11906" w:h="16838"/>
          <w:pgMar w:top="1440" w:right="1080" w:bottom="1440" w:left="1080" w:header="851" w:footer="992" w:gutter="0"/>
          <w:pgNumType w:start="1"/>
          <w:cols w:space="720" w:num="1"/>
          <w:docGrid w:type="lines" w:linePitch="312" w:charSpace="0"/>
        </w:sectPr>
      </w:pPr>
      <w:r>
        <w:fldChar w:fldCharType="end"/>
      </w:r>
      <w:bookmarkStart w:id="3" w:name="_Toc69979309"/>
      <w:bookmarkStart w:id="4" w:name="_Toc69979332"/>
    </w:p>
    <w:p w14:paraId="31C90FD1">
      <w:pPr>
        <w:ind w:firstLine="480"/>
        <w:rPr>
          <w:b/>
          <w:snapToGrid w:val="0"/>
        </w:rPr>
      </w:pPr>
      <w:r>
        <w:rPr>
          <w:b/>
          <w:snapToGrid w:val="0"/>
        </w:rPr>
        <w:t>附图：</w:t>
      </w:r>
    </w:p>
    <w:p w14:paraId="7E2DFCC2">
      <w:pPr>
        <w:ind w:firstLine="480"/>
        <w:rPr>
          <w:rFonts w:hint="eastAsia"/>
          <w:u w:val="none"/>
        </w:rPr>
      </w:pPr>
      <w:r>
        <w:rPr>
          <w:rFonts w:hint="eastAsia"/>
          <w:u w:val="none"/>
        </w:rPr>
        <w:t>附图1</w:t>
      </w:r>
      <w:r>
        <w:rPr>
          <w:rFonts w:hint="eastAsia"/>
          <w:u w:val="none"/>
          <w:lang w:eastAsia="zh-CN"/>
        </w:rPr>
        <w:t>：</w:t>
      </w:r>
      <w:r>
        <w:rPr>
          <w:rFonts w:hint="eastAsia"/>
          <w:u w:val="none"/>
        </w:rPr>
        <w:t>项目地理位置图</w:t>
      </w:r>
    </w:p>
    <w:p w14:paraId="772A4505">
      <w:pPr>
        <w:ind w:firstLine="480"/>
        <w:rPr>
          <w:rFonts w:hint="eastAsia"/>
          <w:u w:val="single"/>
        </w:rPr>
      </w:pPr>
      <w:r>
        <w:rPr>
          <w:rFonts w:hint="eastAsia"/>
          <w:u w:val="single"/>
        </w:rPr>
        <w:t>附图2</w:t>
      </w:r>
      <w:r>
        <w:rPr>
          <w:rFonts w:hint="eastAsia"/>
          <w:u w:val="single"/>
          <w:lang w:val="en-US" w:eastAsia="zh-CN"/>
        </w:rPr>
        <w:t>-1</w:t>
      </w:r>
      <w:r>
        <w:rPr>
          <w:rFonts w:hint="eastAsia"/>
          <w:u w:val="single"/>
          <w:lang w:eastAsia="zh-CN"/>
        </w:rPr>
        <w:t>：</w:t>
      </w:r>
      <w:r>
        <w:rPr>
          <w:rFonts w:hint="eastAsia"/>
          <w:u w:val="single"/>
        </w:rPr>
        <w:t>项目总平面布置图</w:t>
      </w:r>
    </w:p>
    <w:p w14:paraId="4C024AD4">
      <w:pPr>
        <w:pStyle w:val="2"/>
        <w:rPr>
          <w:rFonts w:hint="eastAsia"/>
          <w:u w:val="single"/>
          <w:lang w:eastAsia="zh-CN"/>
        </w:rPr>
      </w:pPr>
      <w:r>
        <w:rPr>
          <w:rFonts w:hint="eastAsia"/>
          <w:u w:val="single"/>
          <w:lang w:eastAsia="zh-CN"/>
        </w:rPr>
        <w:t>附图2-2：环保设施示意图</w:t>
      </w:r>
    </w:p>
    <w:p w14:paraId="0223BE84">
      <w:pPr>
        <w:rPr>
          <w:rFonts w:hint="eastAsia"/>
          <w:u w:val="single"/>
          <w:lang w:val="en-US" w:eastAsia="zh-CN"/>
        </w:rPr>
      </w:pPr>
      <w:r>
        <w:rPr>
          <w:rFonts w:hint="eastAsia"/>
          <w:u w:val="single"/>
          <w:lang w:val="en-US" w:eastAsia="zh-CN"/>
        </w:rPr>
        <w:t>附图2-3：堆填示意图</w:t>
      </w:r>
    </w:p>
    <w:p w14:paraId="0839CCA9">
      <w:pPr>
        <w:pStyle w:val="2"/>
        <w:rPr>
          <w:rFonts w:hint="default"/>
          <w:u w:val="single"/>
          <w:lang w:val="en-US" w:eastAsia="zh-CN"/>
        </w:rPr>
      </w:pPr>
      <w:r>
        <w:rPr>
          <w:rFonts w:hint="default"/>
          <w:u w:val="single"/>
          <w:lang w:val="en-US" w:eastAsia="zh-CN"/>
        </w:rPr>
        <w:t>附图2-</w:t>
      </w:r>
      <w:r>
        <w:rPr>
          <w:rFonts w:hint="eastAsia"/>
          <w:u w:val="single"/>
          <w:lang w:val="en-US" w:eastAsia="zh-CN"/>
        </w:rPr>
        <w:t>4</w:t>
      </w:r>
      <w:r>
        <w:rPr>
          <w:rFonts w:hint="default"/>
          <w:u w:val="single"/>
          <w:lang w:val="en-US" w:eastAsia="zh-CN"/>
        </w:rPr>
        <w:t>：截洪沟、</w:t>
      </w:r>
      <w:r>
        <w:rPr>
          <w:rFonts w:hint="eastAsia"/>
          <w:u w:val="single"/>
          <w:lang w:val="en-US" w:eastAsia="zh-CN"/>
        </w:rPr>
        <w:t>道路</w:t>
      </w:r>
      <w:r>
        <w:rPr>
          <w:rFonts w:hint="default"/>
          <w:u w:val="single"/>
          <w:lang w:val="en-US" w:eastAsia="zh-CN"/>
        </w:rPr>
        <w:t>示意图</w:t>
      </w:r>
    </w:p>
    <w:p w14:paraId="65FAD1C7">
      <w:pPr>
        <w:ind w:firstLine="480"/>
        <w:rPr>
          <w:rFonts w:hint="eastAsia" w:ascii="Times New Roman" w:hAnsi="Times New Roman" w:eastAsia="宋体" w:cs="Times New Roman"/>
          <w:u w:val="none"/>
        </w:rPr>
      </w:pPr>
      <w:r>
        <w:rPr>
          <w:rFonts w:hint="eastAsia" w:ascii="Times New Roman" w:hAnsi="Times New Roman" w:eastAsia="宋体" w:cs="Times New Roman"/>
          <w:u w:val="none"/>
        </w:rPr>
        <w:t>附图3</w:t>
      </w:r>
      <w:r>
        <w:rPr>
          <w:rFonts w:hint="eastAsia" w:ascii="Times New Roman" w:hAnsi="Times New Roman" w:eastAsia="宋体" w:cs="Times New Roman"/>
          <w:u w:val="none"/>
          <w:lang w:eastAsia="zh-CN"/>
        </w:rPr>
        <w:t>：</w:t>
      </w:r>
      <w:r>
        <w:rPr>
          <w:rFonts w:hint="eastAsia" w:ascii="Times New Roman" w:hAnsi="Times New Roman" w:eastAsia="宋体" w:cs="Times New Roman"/>
          <w:u w:val="none"/>
        </w:rPr>
        <w:t>项目区域水系图</w:t>
      </w:r>
    </w:p>
    <w:p w14:paraId="5238D06B">
      <w:pPr>
        <w:ind w:firstLine="480"/>
        <w:rPr>
          <w:rFonts w:hint="eastAsia" w:ascii="Times New Roman" w:hAnsi="Times New Roman" w:eastAsia="宋体" w:cs="Times New Roman"/>
          <w:u w:val="none"/>
        </w:rPr>
      </w:pPr>
      <w:r>
        <w:rPr>
          <w:rFonts w:hint="eastAsia" w:ascii="Times New Roman" w:hAnsi="Times New Roman" w:eastAsia="宋体" w:cs="Times New Roman"/>
          <w:u w:val="none"/>
        </w:rPr>
        <w:t>附图4：环境保护目标示意图</w:t>
      </w:r>
    </w:p>
    <w:p w14:paraId="350F3DEA">
      <w:pPr>
        <w:ind w:firstLine="480"/>
        <w:rPr>
          <w:rFonts w:hint="eastAsia" w:ascii="Times New Roman" w:hAnsi="Times New Roman" w:eastAsia="宋体" w:cs="Times New Roman"/>
          <w:u w:val="single"/>
          <w:lang w:val="en-US" w:eastAsia="zh-CN"/>
        </w:rPr>
      </w:pPr>
      <w:r>
        <w:rPr>
          <w:rFonts w:hint="eastAsia" w:ascii="Times New Roman" w:hAnsi="Times New Roman" w:eastAsia="宋体" w:cs="Times New Roman"/>
          <w:u w:val="single"/>
          <w:lang w:val="en-US" w:eastAsia="zh-CN"/>
        </w:rPr>
        <w:t>附图5</w:t>
      </w:r>
      <w:r>
        <w:rPr>
          <w:rFonts w:hint="eastAsia" w:cs="Times New Roman"/>
          <w:u w:val="single"/>
          <w:lang w:val="en-US" w:eastAsia="zh-CN"/>
        </w:rPr>
        <w:t>-1</w:t>
      </w:r>
      <w:r>
        <w:rPr>
          <w:rFonts w:hint="eastAsia" w:ascii="Times New Roman" w:hAnsi="Times New Roman" w:eastAsia="宋体" w:cs="Times New Roman"/>
          <w:u w:val="single"/>
          <w:lang w:val="en-US" w:eastAsia="zh-CN"/>
        </w:rPr>
        <w:t>：监测布点图</w:t>
      </w:r>
    </w:p>
    <w:p w14:paraId="2D68BCA1">
      <w:pPr>
        <w:pStyle w:val="2"/>
        <w:rPr>
          <w:rFonts w:hint="default"/>
          <w:u w:val="single"/>
          <w:lang w:val="en-US" w:eastAsia="zh-CN"/>
        </w:rPr>
      </w:pPr>
      <w:r>
        <w:rPr>
          <w:rFonts w:hint="eastAsia"/>
          <w:u w:val="single"/>
          <w:lang w:val="en-US" w:eastAsia="zh-CN"/>
        </w:rPr>
        <w:t>附图5-2：引用监测布点图</w:t>
      </w:r>
    </w:p>
    <w:p w14:paraId="2097E6B5">
      <w:pPr>
        <w:ind w:firstLine="480"/>
        <w:rPr>
          <w:rFonts w:hint="eastAsia" w:ascii="Times New Roman" w:hAnsi="Times New Roman" w:eastAsia="宋体" w:cs="Times New Roman"/>
          <w:u w:val="none"/>
        </w:rPr>
      </w:pPr>
      <w:r>
        <w:rPr>
          <w:rFonts w:hint="eastAsia" w:ascii="Times New Roman" w:hAnsi="Times New Roman" w:eastAsia="宋体" w:cs="Times New Roman"/>
          <w:u w:val="none"/>
          <w:lang w:val="en-US" w:eastAsia="zh-CN"/>
        </w:rPr>
        <w:t>附图6：项目与</w:t>
      </w:r>
      <w:r>
        <w:rPr>
          <w:rFonts w:hint="eastAsia" w:cs="Times New Roman"/>
          <w:u w:val="none"/>
          <w:lang w:val="en-US" w:eastAsia="zh-CN"/>
        </w:rPr>
        <w:t>怀化</w:t>
      </w:r>
      <w:r>
        <w:rPr>
          <w:rFonts w:hint="eastAsia" w:ascii="Times New Roman" w:hAnsi="Times New Roman" w:eastAsia="宋体" w:cs="Times New Roman"/>
          <w:u w:val="none"/>
          <w:lang w:val="en-US" w:eastAsia="zh-CN"/>
        </w:rPr>
        <w:t>分区管控位置关系图</w:t>
      </w:r>
    </w:p>
    <w:p w14:paraId="1B3BFA4E">
      <w:pPr>
        <w:ind w:firstLine="480"/>
        <w:rPr>
          <w:rFonts w:hint="eastAsia" w:ascii="Times New Roman" w:hAnsi="Times New Roman" w:eastAsia="宋体" w:cs="Times New Roman"/>
          <w:u w:val="none"/>
        </w:rPr>
      </w:pPr>
      <w:r>
        <w:rPr>
          <w:rFonts w:hint="eastAsia" w:ascii="Times New Roman" w:hAnsi="Times New Roman" w:eastAsia="宋体" w:cs="Times New Roman"/>
          <w:u w:val="none"/>
        </w:rPr>
        <w:t>附图</w:t>
      </w:r>
      <w:r>
        <w:rPr>
          <w:rFonts w:hint="eastAsia" w:ascii="Times New Roman" w:hAnsi="Times New Roman" w:eastAsia="宋体" w:cs="Times New Roman"/>
          <w:u w:val="none"/>
          <w:lang w:val="en-US" w:eastAsia="zh-CN"/>
        </w:rPr>
        <w:t>7</w:t>
      </w:r>
      <w:r>
        <w:rPr>
          <w:rFonts w:hint="eastAsia" w:ascii="Times New Roman" w:hAnsi="Times New Roman" w:eastAsia="宋体" w:cs="Times New Roman"/>
          <w:u w:val="none"/>
          <w:lang w:eastAsia="zh-CN"/>
        </w:rPr>
        <w:t>：</w:t>
      </w:r>
      <w:r>
        <w:rPr>
          <w:rFonts w:hint="eastAsia" w:ascii="Times New Roman" w:hAnsi="Times New Roman" w:eastAsia="宋体" w:cs="Times New Roman"/>
          <w:u w:val="none"/>
        </w:rPr>
        <w:t>现场照片图</w:t>
      </w:r>
    </w:p>
    <w:p w14:paraId="71B489F5">
      <w:pPr>
        <w:ind w:firstLine="480"/>
        <w:rPr>
          <w:rFonts w:hint="eastAsia" w:ascii="Times New Roman" w:hAnsi="Times New Roman" w:eastAsia="宋体" w:cs="Times New Roman"/>
          <w:b/>
          <w:snapToGrid w:val="0"/>
          <w:lang w:eastAsia="zh-CN"/>
        </w:rPr>
      </w:pPr>
      <w:r>
        <w:rPr>
          <w:rFonts w:hint="eastAsia" w:ascii="Times New Roman" w:hAnsi="Times New Roman" w:eastAsia="宋体" w:cs="Times New Roman"/>
          <w:b/>
          <w:snapToGrid w:val="0"/>
        </w:rPr>
        <w:t>附件</w:t>
      </w:r>
      <w:r>
        <w:rPr>
          <w:rFonts w:hint="eastAsia" w:ascii="Times New Roman" w:hAnsi="Times New Roman" w:eastAsia="宋体" w:cs="Times New Roman"/>
          <w:b/>
          <w:snapToGrid w:val="0"/>
          <w:lang w:eastAsia="zh-CN"/>
        </w:rPr>
        <w:t>：</w:t>
      </w:r>
    </w:p>
    <w:p w14:paraId="6184E5E6">
      <w:pPr>
        <w:ind w:firstLine="48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附件1：委托书</w:t>
      </w:r>
    </w:p>
    <w:p w14:paraId="6598D1EE">
      <w:pPr>
        <w:ind w:firstLine="48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附件2：统一社会信用代码证书</w:t>
      </w:r>
    </w:p>
    <w:p w14:paraId="2EB66507">
      <w:pPr>
        <w:ind w:firstLine="480"/>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附件3：关于洪江市建筑垃圾安江堆填场建设项目可行性研究报告的批复</w:t>
      </w:r>
    </w:p>
    <w:p w14:paraId="1D0B36CF">
      <w:pPr>
        <w:ind w:firstLine="480"/>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附件4：监测报告</w:t>
      </w:r>
    </w:p>
    <w:p w14:paraId="73690BCE">
      <w:pPr>
        <w:ind w:firstLine="48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附件5：建设用地预审与选址意见书</w:t>
      </w:r>
    </w:p>
    <w:p w14:paraId="2DDAF257">
      <w:pPr>
        <w:ind w:firstLine="480"/>
        <w:rPr>
          <w:rFonts w:hint="eastAsia"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附件</w:t>
      </w:r>
      <w:r>
        <w:rPr>
          <w:rFonts w:hint="eastAsia" w:ascii="Times New Roman" w:hAnsi="Times New Roman" w:eastAsia="宋体" w:cs="Times New Roman"/>
          <w:u w:val="none"/>
          <w:lang w:val="en-US" w:eastAsia="zh-CN"/>
        </w:rPr>
        <w:t>6</w:t>
      </w:r>
      <w:r>
        <w:rPr>
          <w:rFonts w:hint="default" w:ascii="Times New Roman" w:hAnsi="Times New Roman" w:eastAsia="宋体" w:cs="Times New Roman"/>
          <w:u w:val="none"/>
          <w:lang w:val="en-US" w:eastAsia="zh-CN"/>
        </w:rPr>
        <w:t>：</w:t>
      </w:r>
      <w:r>
        <w:rPr>
          <w:rFonts w:hint="eastAsia" w:ascii="Times New Roman" w:hAnsi="Times New Roman" w:eastAsia="宋体" w:cs="Times New Roman"/>
          <w:u w:val="none"/>
          <w:lang w:val="en-US" w:eastAsia="zh-CN"/>
        </w:rPr>
        <w:t>项目套合“三区三线”说明</w:t>
      </w:r>
    </w:p>
    <w:p w14:paraId="4DC5EF9F">
      <w:pPr>
        <w:ind w:firstLine="48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附件7：使用林地同意书</w:t>
      </w:r>
    </w:p>
    <w:p w14:paraId="38AD4A43">
      <w:pPr>
        <w:ind w:firstLine="480"/>
        <w:rPr>
          <w:rFonts w:hint="default" w:ascii="Times New Roman" w:hAnsi="Times New Roman" w:eastAsia="宋体" w:cs="Times New Roman"/>
          <w:u w:val="none"/>
          <w:lang w:val="en-US" w:eastAsia="zh-CN"/>
        </w:rPr>
      </w:pPr>
      <w:r>
        <w:rPr>
          <w:rFonts w:hint="default" w:ascii="Times New Roman" w:hAnsi="Times New Roman" w:eastAsia="宋体" w:cs="Times New Roman"/>
          <w:u w:val="none"/>
          <w:lang w:val="en-US" w:eastAsia="zh-CN"/>
        </w:rPr>
        <w:t>附件</w:t>
      </w:r>
      <w:r>
        <w:rPr>
          <w:rFonts w:hint="eastAsia" w:ascii="Times New Roman" w:hAnsi="Times New Roman" w:eastAsia="宋体" w:cs="Times New Roman"/>
          <w:u w:val="none"/>
          <w:lang w:val="en-US" w:eastAsia="zh-CN"/>
        </w:rPr>
        <w:t>8</w:t>
      </w:r>
      <w:r>
        <w:rPr>
          <w:rFonts w:hint="default" w:ascii="Times New Roman" w:hAnsi="Times New Roman" w:eastAsia="宋体" w:cs="Times New Roman"/>
          <w:u w:val="none"/>
          <w:lang w:val="en-US" w:eastAsia="zh-CN"/>
        </w:rPr>
        <w:t>：建设项目压覆矿产资源查询情况的说明</w:t>
      </w:r>
    </w:p>
    <w:p w14:paraId="17483D33">
      <w:pPr>
        <w:ind w:firstLine="480"/>
        <w:rPr>
          <w:rFonts w:hint="eastAsia"/>
          <w:lang w:val="en-US" w:eastAsia="zh-CN"/>
        </w:rPr>
      </w:pPr>
      <w:r>
        <w:rPr>
          <w:rFonts w:hint="eastAsia"/>
          <w:lang w:val="en-US" w:eastAsia="zh-CN"/>
        </w:rPr>
        <w:t>附件9：洪江市建筑垃圾安江堆填场项目建设场地地质灾害危险性评估报告</w:t>
      </w:r>
    </w:p>
    <w:p w14:paraId="29C48AB6">
      <w:pPr>
        <w:pStyle w:val="2"/>
        <w:rPr>
          <w:rFonts w:hint="eastAsia"/>
          <w:u w:val="single"/>
          <w:lang w:val="en-US" w:eastAsia="zh-CN"/>
        </w:rPr>
      </w:pPr>
      <w:r>
        <w:rPr>
          <w:rFonts w:hint="eastAsia"/>
          <w:u w:val="single"/>
          <w:lang w:val="en-US" w:eastAsia="zh-CN"/>
        </w:rPr>
        <w:t>附件10：专家签到表</w:t>
      </w:r>
    </w:p>
    <w:p w14:paraId="3EDF8534">
      <w:pPr>
        <w:rPr>
          <w:rFonts w:hint="default"/>
          <w:u w:val="single"/>
          <w:lang w:val="en-US" w:eastAsia="zh-CN"/>
        </w:rPr>
      </w:pPr>
      <w:r>
        <w:rPr>
          <w:rFonts w:hint="eastAsia"/>
          <w:u w:val="single"/>
          <w:lang w:val="en-US" w:eastAsia="zh-CN"/>
        </w:rPr>
        <w:t>附件11：综合意见</w:t>
      </w:r>
    </w:p>
    <w:p w14:paraId="2D3ACAEC">
      <w:pPr>
        <w:ind w:firstLine="482"/>
        <w:rPr>
          <w:b/>
          <w:snapToGrid w:val="0"/>
        </w:rPr>
      </w:pPr>
      <w:r>
        <w:rPr>
          <w:rFonts w:hint="eastAsia"/>
          <w:b/>
          <w:snapToGrid w:val="0"/>
        </w:rPr>
        <w:t>附表：</w:t>
      </w:r>
    </w:p>
    <w:p w14:paraId="26F3ABD1">
      <w:pPr>
        <w:ind w:firstLine="480"/>
      </w:pPr>
      <w:r>
        <w:rPr>
          <w:rFonts w:hint="eastAsia"/>
        </w:rPr>
        <w:t>建设项目污染物排放量汇总表</w:t>
      </w:r>
    </w:p>
    <w:p w14:paraId="3CB98E81">
      <w:pPr>
        <w:pStyle w:val="3"/>
        <w:sectPr>
          <w:footerReference r:id="rId12" w:type="default"/>
          <w:pgSz w:w="11906" w:h="16838"/>
          <w:pgMar w:top="1440" w:right="1080" w:bottom="1440" w:left="1080" w:header="851" w:footer="992" w:gutter="0"/>
          <w:pgNumType w:start="1"/>
          <w:cols w:space="720" w:num="1"/>
          <w:docGrid w:type="lines" w:linePitch="312" w:charSpace="0"/>
        </w:sectPr>
      </w:pPr>
    </w:p>
    <w:p w14:paraId="276063B4">
      <w:pPr>
        <w:pStyle w:val="3"/>
        <w:ind w:firstLine="420" w:firstLineChars="0"/>
      </w:pPr>
      <w:bookmarkStart w:id="5" w:name="_Toc27111"/>
      <w:bookmarkStart w:id="6" w:name="_Toc833"/>
      <w:bookmarkStart w:id="7" w:name="_Toc21634"/>
      <w:bookmarkStart w:id="8" w:name="_Toc2291"/>
      <w:r>
        <w:rPr>
          <w:rFonts w:hint="eastAsia"/>
        </w:rPr>
        <w:t>一</w:t>
      </w:r>
      <w:r>
        <w:t>、</w:t>
      </w:r>
      <w:r>
        <w:rPr>
          <w:rFonts w:hint="eastAsia"/>
        </w:rPr>
        <w:t>建设项目基本情况</w:t>
      </w:r>
      <w:bookmarkEnd w:id="0"/>
      <w:bookmarkEnd w:id="1"/>
      <w:bookmarkEnd w:id="2"/>
      <w:bookmarkEnd w:id="3"/>
      <w:bookmarkEnd w:id="4"/>
      <w:bookmarkEnd w:id="5"/>
      <w:bookmarkEnd w:id="6"/>
      <w:bookmarkEnd w:id="7"/>
      <w:bookmarkEnd w:id="8"/>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2619"/>
        <w:gridCol w:w="2241"/>
        <w:gridCol w:w="3416"/>
      </w:tblGrid>
      <w:tr w14:paraId="2742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7DD9446C">
            <w:pPr>
              <w:pStyle w:val="81"/>
              <w:rPr>
                <w:b/>
              </w:rPr>
            </w:pPr>
            <w:r>
              <w:rPr>
                <w:b/>
              </w:rPr>
              <w:t>建设项目名称</w:t>
            </w:r>
          </w:p>
        </w:tc>
        <w:tc>
          <w:tcPr>
            <w:tcW w:w="4155" w:type="pct"/>
            <w:gridSpan w:val="3"/>
          </w:tcPr>
          <w:p w14:paraId="6BA59D5E">
            <w:pPr>
              <w:pStyle w:val="81"/>
              <w:rPr>
                <w:rFonts w:hint="eastAsia" w:eastAsia="宋体"/>
                <w:lang w:eastAsia="zh-CN"/>
              </w:rPr>
            </w:pPr>
            <w:r>
              <w:rPr>
                <w:rFonts w:hint="eastAsia" w:eastAsia="宋体"/>
                <w:lang w:eastAsia="zh-CN"/>
              </w:rPr>
              <w:t>洪江市建筑垃圾安江堆填场建设项目</w:t>
            </w:r>
            <w:r>
              <w:rPr>
                <w:rFonts w:hint="eastAsia"/>
                <w:lang w:eastAsia="zh-CN"/>
              </w:rPr>
              <w:t>（</w:t>
            </w:r>
            <w:r>
              <w:rPr>
                <w:rFonts w:hint="eastAsia"/>
                <w:lang w:val="en-US" w:eastAsia="zh-CN"/>
              </w:rPr>
              <w:t>一期</w:t>
            </w:r>
            <w:r>
              <w:rPr>
                <w:rFonts w:hint="eastAsia"/>
                <w:lang w:eastAsia="zh-CN"/>
              </w:rPr>
              <w:t>）</w:t>
            </w:r>
          </w:p>
        </w:tc>
      </w:tr>
      <w:tr w14:paraId="6782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5D850072">
            <w:pPr>
              <w:pStyle w:val="81"/>
              <w:rPr>
                <w:b/>
              </w:rPr>
            </w:pPr>
            <w:r>
              <w:rPr>
                <w:b/>
              </w:rPr>
              <w:t>项目代码</w:t>
            </w:r>
          </w:p>
        </w:tc>
        <w:tc>
          <w:tcPr>
            <w:tcW w:w="4155" w:type="pct"/>
            <w:gridSpan w:val="3"/>
          </w:tcPr>
          <w:p w14:paraId="23BC7DFC">
            <w:pPr>
              <w:pStyle w:val="81"/>
              <w:rPr>
                <w:rFonts w:hint="default" w:eastAsia="宋体"/>
                <w:lang w:val="en-US" w:eastAsia="zh-CN"/>
              </w:rPr>
            </w:pPr>
            <w:r>
              <w:rPr>
                <w:rFonts w:hint="default" w:eastAsia="宋体"/>
                <w:lang w:val="en-US" w:eastAsia="zh-CN"/>
              </w:rPr>
              <w:t>2603-431281-04-01-729480</w:t>
            </w:r>
          </w:p>
        </w:tc>
      </w:tr>
      <w:tr w14:paraId="0FD8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3F9FED51">
            <w:pPr>
              <w:pStyle w:val="81"/>
              <w:rPr>
                <w:b/>
              </w:rPr>
            </w:pPr>
            <w:r>
              <w:rPr>
                <w:b/>
              </w:rPr>
              <w:t>建设单位联系人</w:t>
            </w:r>
          </w:p>
        </w:tc>
        <w:tc>
          <w:tcPr>
            <w:tcW w:w="1315" w:type="pct"/>
            <w:vAlign w:val="center"/>
          </w:tcPr>
          <w:p w14:paraId="2FEA19CD">
            <w:pPr>
              <w:pStyle w:val="81"/>
              <w:jc w:val="center"/>
              <w:rPr>
                <w:rFonts w:hint="default" w:eastAsia="宋体"/>
                <w:lang w:val="en-US" w:eastAsia="zh-CN"/>
              </w:rPr>
            </w:pPr>
            <w:r>
              <w:rPr>
                <w:rFonts w:hint="eastAsia"/>
                <w:lang w:val="en-US" w:eastAsia="zh-CN"/>
              </w:rPr>
              <w:t>易东林</w:t>
            </w:r>
          </w:p>
        </w:tc>
        <w:tc>
          <w:tcPr>
            <w:tcW w:w="1125" w:type="pct"/>
            <w:vAlign w:val="center"/>
          </w:tcPr>
          <w:p w14:paraId="25D10E1C">
            <w:pPr>
              <w:pStyle w:val="81"/>
              <w:jc w:val="center"/>
              <w:rPr>
                <w:b/>
              </w:rPr>
            </w:pPr>
            <w:r>
              <w:rPr>
                <w:b/>
              </w:rPr>
              <w:t>联系方式</w:t>
            </w:r>
          </w:p>
        </w:tc>
        <w:tc>
          <w:tcPr>
            <w:tcW w:w="1714" w:type="pct"/>
            <w:vAlign w:val="center"/>
          </w:tcPr>
          <w:p w14:paraId="2E8C96EF">
            <w:pPr>
              <w:pStyle w:val="81"/>
              <w:jc w:val="center"/>
              <w:rPr>
                <w:rFonts w:hint="default" w:eastAsia="宋体"/>
                <w:lang w:val="en-US" w:eastAsia="zh-CN"/>
              </w:rPr>
            </w:pPr>
            <w:r>
              <w:rPr>
                <w:rFonts w:hint="eastAsia"/>
                <w:lang w:val="en-US" w:eastAsia="zh-CN"/>
              </w:rPr>
              <w:t>139****1066</w:t>
            </w:r>
          </w:p>
        </w:tc>
      </w:tr>
      <w:tr w14:paraId="188F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4" w:type="pct"/>
            <w:vAlign w:val="center"/>
          </w:tcPr>
          <w:p w14:paraId="7671D99C">
            <w:pPr>
              <w:pStyle w:val="81"/>
              <w:rPr>
                <w:b/>
              </w:rPr>
            </w:pPr>
            <w:r>
              <w:rPr>
                <w:b/>
              </w:rPr>
              <w:t>建设地点</w:t>
            </w:r>
          </w:p>
        </w:tc>
        <w:tc>
          <w:tcPr>
            <w:tcW w:w="4155" w:type="pct"/>
            <w:gridSpan w:val="3"/>
          </w:tcPr>
          <w:p w14:paraId="3771F5DA">
            <w:pPr>
              <w:pStyle w:val="81"/>
              <w:jc w:val="center"/>
              <w:rPr>
                <w:rFonts w:hint="eastAsia" w:eastAsia="宋体"/>
                <w:lang w:eastAsia="zh-CN"/>
              </w:rPr>
            </w:pPr>
            <w:r>
              <w:rPr>
                <w:rFonts w:hint="eastAsia"/>
                <w:lang w:val="en-US" w:eastAsia="zh-CN"/>
              </w:rPr>
              <w:t>湖南省怀化市</w:t>
            </w:r>
            <w:r>
              <w:rPr>
                <w:rFonts w:hint="eastAsia" w:eastAsia="宋体"/>
                <w:lang w:eastAsia="zh-CN"/>
              </w:rPr>
              <w:t>洪江市</w:t>
            </w:r>
            <w:r>
              <w:rPr>
                <w:rFonts w:hint="eastAsia"/>
                <w:lang w:eastAsia="zh-CN"/>
              </w:rPr>
              <w:t>安江镇</w:t>
            </w:r>
            <w:r>
              <w:rPr>
                <w:rFonts w:hint="eastAsia" w:eastAsia="宋体"/>
                <w:lang w:eastAsia="zh-CN"/>
              </w:rPr>
              <w:t>龙田村</w:t>
            </w:r>
          </w:p>
        </w:tc>
      </w:tr>
      <w:tr w14:paraId="46B5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799B39CE">
            <w:pPr>
              <w:pStyle w:val="81"/>
              <w:rPr>
                <w:b/>
              </w:rPr>
            </w:pPr>
            <w:r>
              <w:rPr>
                <w:b/>
              </w:rPr>
              <w:t>地理位置</w:t>
            </w:r>
          </w:p>
        </w:tc>
        <w:tc>
          <w:tcPr>
            <w:tcW w:w="4155" w:type="pct"/>
            <w:gridSpan w:val="3"/>
          </w:tcPr>
          <w:p w14:paraId="4229A43A">
            <w:pPr>
              <w:pStyle w:val="81"/>
            </w:pPr>
            <w:r>
              <w:t>（东经</w:t>
            </w:r>
            <w:r>
              <w:rPr>
                <w:rFonts w:hint="eastAsia"/>
                <w:u w:val="single"/>
              </w:rPr>
              <w:t xml:space="preserve"> </w:t>
            </w:r>
            <w:r>
              <w:rPr>
                <w:rFonts w:hint="eastAsia"/>
                <w:u w:val="single"/>
                <w:lang w:val="en-US" w:eastAsia="zh-CN"/>
              </w:rPr>
              <w:t>110</w:t>
            </w:r>
            <w:r>
              <w:rPr>
                <w:rFonts w:hint="eastAsia"/>
                <w:u w:val="single"/>
              </w:rPr>
              <w:t xml:space="preserve"> </w:t>
            </w:r>
            <w:r>
              <w:t>度</w:t>
            </w:r>
            <w:r>
              <w:rPr>
                <w:rFonts w:hint="eastAsia"/>
                <w:u w:val="single"/>
              </w:rPr>
              <w:t xml:space="preserve"> </w:t>
            </w:r>
            <w:r>
              <w:rPr>
                <w:rFonts w:hint="eastAsia"/>
                <w:u w:val="single"/>
                <w:lang w:val="en-US" w:eastAsia="zh-CN"/>
              </w:rPr>
              <w:t>4</w:t>
            </w:r>
            <w:r>
              <w:rPr>
                <w:rFonts w:hint="eastAsia"/>
                <w:u w:val="single"/>
              </w:rPr>
              <w:t xml:space="preserve"> </w:t>
            </w:r>
            <w:r>
              <w:t>分</w:t>
            </w:r>
            <w:r>
              <w:rPr>
                <w:rFonts w:hint="eastAsia"/>
                <w:u w:val="single"/>
              </w:rPr>
              <w:t xml:space="preserve"> </w:t>
            </w:r>
            <w:r>
              <w:rPr>
                <w:rFonts w:hint="eastAsia"/>
                <w:u w:val="single"/>
                <w:lang w:val="en-US" w:eastAsia="zh-CN"/>
              </w:rPr>
              <w:t>40.995</w:t>
            </w:r>
            <w:r>
              <w:rPr>
                <w:rFonts w:hint="eastAsia"/>
                <w:u w:val="single"/>
              </w:rPr>
              <w:t xml:space="preserve"> </w:t>
            </w:r>
            <w:r>
              <w:t>秒，北纬</w:t>
            </w:r>
            <w:r>
              <w:rPr>
                <w:rFonts w:hint="eastAsia"/>
                <w:u w:val="single"/>
              </w:rPr>
              <w:t xml:space="preserve"> </w:t>
            </w:r>
            <w:r>
              <w:rPr>
                <w:rFonts w:hint="eastAsia"/>
                <w:u w:val="single"/>
                <w:lang w:val="en-US" w:eastAsia="zh-CN"/>
              </w:rPr>
              <w:t>27</w:t>
            </w:r>
            <w:r>
              <w:rPr>
                <w:rFonts w:hint="eastAsia"/>
                <w:u w:val="single"/>
              </w:rPr>
              <w:t xml:space="preserve"> </w:t>
            </w:r>
            <w:r>
              <w:t>度</w:t>
            </w:r>
            <w:r>
              <w:rPr>
                <w:rFonts w:hint="eastAsia"/>
                <w:u w:val="single"/>
              </w:rPr>
              <w:t xml:space="preserve"> </w:t>
            </w:r>
            <w:r>
              <w:rPr>
                <w:rFonts w:hint="eastAsia"/>
                <w:u w:val="single"/>
                <w:lang w:val="en-US" w:eastAsia="zh-CN"/>
              </w:rPr>
              <w:t>19</w:t>
            </w:r>
            <w:r>
              <w:rPr>
                <w:rFonts w:hint="eastAsia"/>
                <w:u w:val="single"/>
              </w:rPr>
              <w:t xml:space="preserve"> </w:t>
            </w:r>
            <w:r>
              <w:t>分</w:t>
            </w:r>
            <w:r>
              <w:rPr>
                <w:rFonts w:hint="eastAsia"/>
                <w:u w:val="single"/>
              </w:rPr>
              <w:t xml:space="preserve"> </w:t>
            </w:r>
            <w:r>
              <w:rPr>
                <w:rFonts w:hint="eastAsia"/>
                <w:u w:val="single"/>
                <w:lang w:val="en-US" w:eastAsia="zh-CN"/>
              </w:rPr>
              <w:t>14.674</w:t>
            </w:r>
            <w:r>
              <w:rPr>
                <w:rFonts w:hint="eastAsia"/>
                <w:u w:val="single"/>
              </w:rPr>
              <w:t xml:space="preserve"> </w:t>
            </w:r>
            <w:r>
              <w:t>秒）</w:t>
            </w:r>
          </w:p>
        </w:tc>
      </w:tr>
      <w:tr w14:paraId="0C05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4" w:type="pct"/>
            <w:vAlign w:val="center"/>
          </w:tcPr>
          <w:p w14:paraId="312B3907">
            <w:pPr>
              <w:pStyle w:val="81"/>
              <w:rPr>
                <w:b/>
              </w:rPr>
            </w:pPr>
            <w:r>
              <w:rPr>
                <w:b/>
              </w:rPr>
              <w:t>国民经济</w:t>
            </w:r>
          </w:p>
          <w:p w14:paraId="67BCA6D4">
            <w:pPr>
              <w:pStyle w:val="81"/>
              <w:rPr>
                <w:b/>
              </w:rPr>
            </w:pPr>
            <w:r>
              <w:rPr>
                <w:b/>
              </w:rPr>
              <w:t>行业类别</w:t>
            </w:r>
          </w:p>
        </w:tc>
        <w:tc>
          <w:tcPr>
            <w:tcW w:w="1315" w:type="pct"/>
            <w:vAlign w:val="center"/>
          </w:tcPr>
          <w:p w14:paraId="1F89789A">
            <w:pPr>
              <w:pStyle w:val="81"/>
              <w:rPr>
                <w:rFonts w:hint="default" w:eastAsia="宋体"/>
                <w:kern w:val="0"/>
                <w:lang w:val="en-US" w:eastAsia="zh-CN"/>
              </w:rPr>
            </w:pPr>
            <w:r>
              <w:rPr>
                <w:rFonts w:hint="default" w:eastAsia="宋体"/>
                <w:kern w:val="0"/>
                <w:lang w:val="en-US" w:eastAsia="zh-CN"/>
              </w:rPr>
              <w:t>N7723 固体废物治理</w:t>
            </w:r>
          </w:p>
        </w:tc>
        <w:tc>
          <w:tcPr>
            <w:tcW w:w="1125" w:type="pct"/>
            <w:vAlign w:val="center"/>
          </w:tcPr>
          <w:p w14:paraId="362891B4">
            <w:pPr>
              <w:pStyle w:val="81"/>
              <w:rPr>
                <w:b/>
              </w:rPr>
            </w:pPr>
            <w:r>
              <w:rPr>
                <w:b/>
              </w:rPr>
              <w:t>建设项目</w:t>
            </w:r>
          </w:p>
          <w:p w14:paraId="384ED604">
            <w:pPr>
              <w:pStyle w:val="81"/>
              <w:rPr>
                <w:b/>
              </w:rPr>
            </w:pPr>
            <w:r>
              <w:rPr>
                <w:b/>
              </w:rPr>
              <w:t>行业类别</w:t>
            </w:r>
          </w:p>
        </w:tc>
        <w:tc>
          <w:tcPr>
            <w:tcW w:w="1714" w:type="pct"/>
            <w:vAlign w:val="center"/>
          </w:tcPr>
          <w:p w14:paraId="572D2FB7">
            <w:pPr>
              <w:pStyle w:val="81"/>
              <w:spacing w:line="240" w:lineRule="auto"/>
              <w:rPr>
                <w:u w:val="single"/>
              </w:rPr>
            </w:pPr>
            <w:r>
              <w:rPr>
                <w:rFonts w:hint="eastAsia"/>
                <w:u w:val="none"/>
              </w:rPr>
              <w:t>四十七、生态环境和环境治理业—103、一般工业固体废物（含污水处理污泥）、建筑施工废弃物处置及综合利用—其他</w:t>
            </w:r>
          </w:p>
        </w:tc>
      </w:tr>
      <w:tr w14:paraId="6F7F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35CC58C2">
            <w:pPr>
              <w:pStyle w:val="81"/>
              <w:rPr>
                <w:b/>
              </w:rPr>
            </w:pPr>
            <w:r>
              <w:rPr>
                <w:b/>
              </w:rPr>
              <w:t>建设性质</w:t>
            </w:r>
          </w:p>
        </w:tc>
        <w:tc>
          <w:tcPr>
            <w:tcW w:w="1315" w:type="pct"/>
          </w:tcPr>
          <w:p w14:paraId="29951C8E">
            <w:pPr>
              <w:pStyle w:val="81"/>
              <w:jc w:val="left"/>
              <w:rPr>
                <w:rFonts w:ascii="宋体" w:hAnsi="宋体" w:cs="宋体"/>
              </w:rPr>
            </w:pPr>
            <w:r>
              <w:rPr>
                <w:rFonts w:hint="eastAsia" w:ascii="Segoe UI Symbol" w:hAnsi="Segoe UI Symbol" w:cs="Segoe UI Symbol"/>
              </w:rPr>
              <w:sym w:font="Wingdings 2" w:char="0052"/>
            </w:r>
            <w:r>
              <w:rPr>
                <w:rFonts w:hint="eastAsia" w:ascii="宋体" w:hAnsi="宋体" w:cs="宋体"/>
              </w:rPr>
              <w:t>新建（迁建）</w:t>
            </w:r>
          </w:p>
          <w:p w14:paraId="4A6977D2">
            <w:pPr>
              <w:pStyle w:val="81"/>
              <w:jc w:val="left"/>
              <w:rPr>
                <w:rFonts w:ascii="宋体" w:hAnsi="宋体" w:cs="宋体"/>
              </w:rPr>
            </w:pPr>
            <w:r>
              <w:rPr>
                <w:rFonts w:hint="eastAsia" w:ascii="宋体" w:hAnsi="宋体" w:cs="宋体"/>
              </w:rPr>
              <w:sym w:font="Wingdings 2" w:char="00A3"/>
            </w:r>
            <w:r>
              <w:rPr>
                <w:rFonts w:hint="eastAsia" w:ascii="宋体" w:hAnsi="宋体" w:cs="宋体"/>
              </w:rPr>
              <w:t>改建</w:t>
            </w:r>
          </w:p>
          <w:p w14:paraId="47D369F1">
            <w:pPr>
              <w:pStyle w:val="81"/>
              <w:jc w:val="left"/>
              <w:rPr>
                <w:rFonts w:ascii="宋体" w:hAnsi="宋体" w:cs="宋体"/>
              </w:rPr>
            </w:pPr>
            <w:r>
              <w:rPr>
                <w:rFonts w:hint="eastAsia" w:ascii="宋体" w:hAnsi="宋体" w:cs="宋体"/>
              </w:rPr>
              <w:sym w:font="Wingdings 2" w:char="00A3"/>
            </w:r>
            <w:r>
              <w:rPr>
                <w:rFonts w:hint="eastAsia" w:ascii="宋体" w:hAnsi="宋体" w:cs="宋体"/>
              </w:rPr>
              <w:t>扩建</w:t>
            </w:r>
          </w:p>
          <w:p w14:paraId="49DE3492">
            <w:pPr>
              <w:pStyle w:val="81"/>
              <w:jc w:val="left"/>
            </w:pPr>
            <w:r>
              <w:rPr>
                <w:rFonts w:hint="eastAsia" w:ascii="宋体" w:hAnsi="宋体" w:cs="宋体"/>
              </w:rPr>
              <w:t>□技术改造</w:t>
            </w:r>
          </w:p>
        </w:tc>
        <w:tc>
          <w:tcPr>
            <w:tcW w:w="1125" w:type="pct"/>
            <w:vAlign w:val="center"/>
          </w:tcPr>
          <w:p w14:paraId="6D839A1F">
            <w:pPr>
              <w:pStyle w:val="81"/>
              <w:rPr>
                <w:b/>
              </w:rPr>
            </w:pPr>
            <w:r>
              <w:rPr>
                <w:b/>
              </w:rPr>
              <w:t>建设项目</w:t>
            </w:r>
          </w:p>
          <w:p w14:paraId="0722E0AC">
            <w:pPr>
              <w:pStyle w:val="81"/>
              <w:rPr>
                <w:b/>
              </w:rPr>
            </w:pPr>
            <w:r>
              <w:rPr>
                <w:b/>
              </w:rPr>
              <w:t>申报情形</w:t>
            </w:r>
          </w:p>
        </w:tc>
        <w:tc>
          <w:tcPr>
            <w:tcW w:w="1714" w:type="pct"/>
          </w:tcPr>
          <w:p w14:paraId="66407819">
            <w:pPr>
              <w:pStyle w:val="81"/>
              <w:jc w:val="left"/>
              <w:rPr>
                <w:rFonts w:ascii="宋体" w:hAnsi="宋体" w:cs="宋体"/>
              </w:rPr>
            </w:pPr>
            <w:r>
              <w:rPr>
                <w:rFonts w:hint="eastAsia" w:ascii="Segoe UI Symbol" w:hAnsi="Segoe UI Symbol" w:cs="Segoe UI Symbol"/>
              </w:rPr>
              <w:sym w:font="Wingdings 2" w:char="0052"/>
            </w:r>
            <w:r>
              <w:rPr>
                <w:rFonts w:hint="eastAsia" w:ascii="宋体" w:hAnsi="宋体" w:cs="宋体"/>
              </w:rPr>
              <w:t>首次申报项目</w:t>
            </w:r>
          </w:p>
          <w:p w14:paraId="0AD1BC78">
            <w:pPr>
              <w:pStyle w:val="81"/>
              <w:jc w:val="left"/>
              <w:rPr>
                <w:rFonts w:ascii="宋体" w:hAnsi="宋体" w:cs="宋体"/>
              </w:rPr>
            </w:pPr>
            <w:r>
              <w:rPr>
                <w:rFonts w:hint="eastAsia" w:ascii="宋体" w:hAnsi="宋体" w:cs="宋体"/>
              </w:rPr>
              <w:t>□不予批准后再次申报项目</w:t>
            </w:r>
          </w:p>
          <w:p w14:paraId="2BF1AF68">
            <w:pPr>
              <w:pStyle w:val="81"/>
              <w:jc w:val="left"/>
              <w:rPr>
                <w:rFonts w:ascii="宋体" w:hAnsi="宋体" w:cs="宋体"/>
              </w:rPr>
            </w:pPr>
            <w:r>
              <w:rPr>
                <w:rFonts w:hint="eastAsia" w:ascii="宋体" w:hAnsi="宋体" w:cs="宋体"/>
              </w:rPr>
              <w:sym w:font="Wingdings 2" w:char="00A3"/>
            </w:r>
            <w:r>
              <w:rPr>
                <w:rFonts w:hint="eastAsia" w:ascii="宋体" w:hAnsi="宋体" w:cs="宋体"/>
              </w:rPr>
              <w:t>超五年重新审核项目</w:t>
            </w:r>
          </w:p>
          <w:p w14:paraId="0D2E9557">
            <w:pPr>
              <w:pStyle w:val="81"/>
              <w:jc w:val="left"/>
            </w:pPr>
            <w:r>
              <w:rPr>
                <w:rFonts w:hint="eastAsia" w:ascii="宋体" w:hAnsi="宋体" w:cs="宋体"/>
                <w:lang w:eastAsia="zh-CN"/>
              </w:rPr>
              <w:t>□</w:t>
            </w:r>
            <w:r>
              <w:rPr>
                <w:rFonts w:hint="eastAsia" w:ascii="宋体" w:hAnsi="宋体" w:cs="宋体"/>
              </w:rPr>
              <w:t>重大变动重新报批</w:t>
            </w:r>
          </w:p>
        </w:tc>
      </w:tr>
      <w:tr w14:paraId="54B0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4" w:type="pct"/>
            <w:vAlign w:val="center"/>
          </w:tcPr>
          <w:p w14:paraId="78F51913">
            <w:pPr>
              <w:pStyle w:val="81"/>
              <w:rPr>
                <w:b/>
              </w:rPr>
            </w:pPr>
            <w:r>
              <w:rPr>
                <w:b/>
              </w:rPr>
              <w:t>项目审批（核准/备案）部门（选填）</w:t>
            </w:r>
          </w:p>
        </w:tc>
        <w:tc>
          <w:tcPr>
            <w:tcW w:w="1315" w:type="pct"/>
            <w:vAlign w:val="center"/>
          </w:tcPr>
          <w:p w14:paraId="240FDE9D">
            <w:pPr>
              <w:pStyle w:val="81"/>
              <w:rPr>
                <w:rFonts w:hint="default" w:eastAsia="宋体"/>
                <w:lang w:val="en-US" w:eastAsia="zh-CN"/>
              </w:rPr>
            </w:pPr>
            <w:r>
              <w:rPr>
                <w:rFonts w:hint="eastAsia"/>
                <w:lang w:val="en-US" w:eastAsia="zh-CN"/>
              </w:rPr>
              <w:t>洪江市发展和改革局</w:t>
            </w:r>
          </w:p>
        </w:tc>
        <w:tc>
          <w:tcPr>
            <w:tcW w:w="1125" w:type="pct"/>
            <w:vAlign w:val="center"/>
          </w:tcPr>
          <w:p w14:paraId="19ECF7E8">
            <w:pPr>
              <w:pStyle w:val="81"/>
              <w:rPr>
                <w:b/>
              </w:rPr>
            </w:pPr>
            <w:r>
              <w:rPr>
                <w:b/>
              </w:rPr>
              <w:t>项目审批（核准/备案）文号</w:t>
            </w:r>
            <w:r>
              <w:rPr>
                <w:rFonts w:hint="eastAsia"/>
                <w:b/>
              </w:rPr>
              <w:t>（</w:t>
            </w:r>
            <w:r>
              <w:rPr>
                <w:b/>
              </w:rPr>
              <w:t>选填</w:t>
            </w:r>
            <w:r>
              <w:rPr>
                <w:rFonts w:hint="eastAsia"/>
                <w:b/>
              </w:rPr>
              <w:t>）</w:t>
            </w:r>
          </w:p>
        </w:tc>
        <w:tc>
          <w:tcPr>
            <w:tcW w:w="1714" w:type="pct"/>
            <w:vAlign w:val="center"/>
          </w:tcPr>
          <w:p w14:paraId="2F6BFC19">
            <w:pPr>
              <w:pStyle w:val="81"/>
              <w:rPr>
                <w:rFonts w:hint="default" w:eastAsia="宋体"/>
                <w:lang w:val="en-US" w:eastAsia="zh-CN"/>
              </w:rPr>
            </w:pPr>
            <w:r>
              <w:rPr>
                <w:rFonts w:hint="eastAsia"/>
                <w:lang w:val="en-US" w:eastAsia="zh-CN"/>
              </w:rPr>
              <w:t>洪发改〔2026〕68号</w:t>
            </w:r>
          </w:p>
        </w:tc>
      </w:tr>
      <w:tr w14:paraId="4738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44" w:type="pct"/>
            <w:vAlign w:val="center"/>
          </w:tcPr>
          <w:p w14:paraId="6B59A67D">
            <w:pPr>
              <w:pStyle w:val="81"/>
              <w:rPr>
                <w:b/>
                <w:u w:val="none"/>
              </w:rPr>
            </w:pPr>
            <w:r>
              <w:rPr>
                <w:b/>
                <w:u w:val="none"/>
              </w:rPr>
              <w:t>总投资（万元）</w:t>
            </w:r>
          </w:p>
        </w:tc>
        <w:tc>
          <w:tcPr>
            <w:tcW w:w="1315" w:type="pct"/>
            <w:vAlign w:val="center"/>
          </w:tcPr>
          <w:p w14:paraId="1AA397C4">
            <w:pPr>
              <w:pStyle w:val="81"/>
              <w:jc w:val="center"/>
              <w:rPr>
                <w:rFonts w:hint="default" w:eastAsia="宋体"/>
                <w:color w:val="auto"/>
                <w:u w:val="none"/>
                <w:lang w:val="en-US" w:eastAsia="zh-CN"/>
              </w:rPr>
            </w:pPr>
            <w:r>
              <w:rPr>
                <w:rFonts w:hint="eastAsia"/>
                <w:color w:val="auto"/>
                <w:u w:val="none"/>
                <w:lang w:val="en-US" w:eastAsia="zh-CN"/>
              </w:rPr>
              <w:t>236</w:t>
            </w:r>
          </w:p>
        </w:tc>
        <w:tc>
          <w:tcPr>
            <w:tcW w:w="1125" w:type="pct"/>
            <w:vAlign w:val="center"/>
          </w:tcPr>
          <w:p w14:paraId="2B063A3C">
            <w:pPr>
              <w:pStyle w:val="81"/>
              <w:jc w:val="center"/>
              <w:rPr>
                <w:b/>
                <w:color w:val="auto"/>
                <w:u w:val="none"/>
              </w:rPr>
            </w:pPr>
            <w:r>
              <w:rPr>
                <w:b/>
                <w:color w:val="auto"/>
                <w:u w:val="none"/>
              </w:rPr>
              <w:t>环保投资（万元）</w:t>
            </w:r>
          </w:p>
        </w:tc>
        <w:tc>
          <w:tcPr>
            <w:tcW w:w="1714" w:type="pct"/>
            <w:vAlign w:val="center"/>
          </w:tcPr>
          <w:p w14:paraId="5E983B44">
            <w:pPr>
              <w:pStyle w:val="81"/>
              <w:jc w:val="center"/>
              <w:rPr>
                <w:rFonts w:hint="default" w:eastAsia="宋体"/>
                <w:color w:val="auto"/>
                <w:u w:val="none"/>
                <w:lang w:val="en-US" w:eastAsia="zh-CN"/>
              </w:rPr>
            </w:pPr>
            <w:r>
              <w:rPr>
                <w:rFonts w:hint="eastAsia"/>
                <w:color w:val="auto"/>
                <w:u w:val="none"/>
                <w:lang w:val="en-US" w:eastAsia="zh-CN"/>
              </w:rPr>
              <w:t>89.1</w:t>
            </w:r>
          </w:p>
        </w:tc>
      </w:tr>
      <w:tr w14:paraId="0B13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4" w:type="pct"/>
            <w:vAlign w:val="center"/>
          </w:tcPr>
          <w:p w14:paraId="02333E23">
            <w:pPr>
              <w:pStyle w:val="81"/>
              <w:rPr>
                <w:b/>
                <w:u w:val="none"/>
              </w:rPr>
            </w:pPr>
            <w:r>
              <w:rPr>
                <w:b/>
                <w:u w:val="none"/>
              </w:rPr>
              <w:t>环保投资占比（%）</w:t>
            </w:r>
          </w:p>
        </w:tc>
        <w:tc>
          <w:tcPr>
            <w:tcW w:w="1315" w:type="pct"/>
            <w:vAlign w:val="center"/>
          </w:tcPr>
          <w:p w14:paraId="5EDF989E">
            <w:pPr>
              <w:pStyle w:val="81"/>
              <w:jc w:val="center"/>
              <w:rPr>
                <w:rFonts w:hint="default" w:eastAsia="宋体"/>
                <w:color w:val="auto"/>
                <w:u w:val="none"/>
                <w:lang w:val="en-US" w:eastAsia="zh-CN"/>
              </w:rPr>
            </w:pPr>
            <w:r>
              <w:rPr>
                <w:rFonts w:hint="eastAsia"/>
                <w:color w:val="auto"/>
                <w:u w:val="none"/>
                <w:lang w:val="en-US" w:eastAsia="zh-CN"/>
              </w:rPr>
              <w:t>37.75</w:t>
            </w:r>
          </w:p>
        </w:tc>
        <w:tc>
          <w:tcPr>
            <w:tcW w:w="1125" w:type="pct"/>
            <w:vAlign w:val="center"/>
          </w:tcPr>
          <w:p w14:paraId="660984E0">
            <w:pPr>
              <w:pStyle w:val="81"/>
              <w:jc w:val="center"/>
              <w:rPr>
                <w:b/>
                <w:color w:val="auto"/>
                <w:u w:val="none"/>
              </w:rPr>
            </w:pPr>
            <w:r>
              <w:rPr>
                <w:b/>
                <w:color w:val="auto"/>
                <w:u w:val="none"/>
              </w:rPr>
              <w:t>施工工期</w:t>
            </w:r>
          </w:p>
        </w:tc>
        <w:tc>
          <w:tcPr>
            <w:tcW w:w="1714" w:type="pct"/>
            <w:vAlign w:val="center"/>
          </w:tcPr>
          <w:p w14:paraId="0BE4CF20">
            <w:pPr>
              <w:pStyle w:val="81"/>
              <w:jc w:val="center"/>
              <w:rPr>
                <w:rFonts w:hint="default" w:eastAsia="宋体"/>
                <w:color w:val="auto"/>
                <w:u w:val="none"/>
                <w:lang w:val="en-US" w:eastAsia="zh-CN"/>
              </w:rPr>
            </w:pPr>
            <w:r>
              <w:rPr>
                <w:rFonts w:hint="eastAsia"/>
                <w:color w:val="auto"/>
                <w:u w:val="none"/>
                <w:lang w:val="en-US" w:eastAsia="zh-CN"/>
              </w:rPr>
              <w:t>4个月</w:t>
            </w:r>
          </w:p>
        </w:tc>
      </w:tr>
      <w:tr w14:paraId="6EBF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44D60BED">
            <w:pPr>
              <w:pStyle w:val="81"/>
              <w:rPr>
                <w:b/>
                <w:u w:val="none"/>
              </w:rPr>
            </w:pPr>
            <w:r>
              <w:rPr>
                <w:b/>
                <w:u w:val="none"/>
              </w:rPr>
              <w:t>是否开工建设</w:t>
            </w:r>
          </w:p>
        </w:tc>
        <w:tc>
          <w:tcPr>
            <w:tcW w:w="1315" w:type="pct"/>
          </w:tcPr>
          <w:p w14:paraId="2E107A88">
            <w:pPr>
              <w:pStyle w:val="81"/>
              <w:jc w:val="left"/>
              <w:rPr>
                <w:color w:val="auto"/>
                <w:u w:val="none"/>
              </w:rPr>
            </w:pPr>
            <w:r>
              <w:rPr>
                <w:rFonts w:hint="eastAsia" w:ascii="Segoe UI Symbol" w:hAnsi="Segoe UI Symbol" w:cs="Segoe UI Symbol"/>
                <w:color w:val="auto"/>
                <w:u w:val="none"/>
                <w:lang w:eastAsia="zh-CN"/>
              </w:rPr>
              <w:t>☑</w:t>
            </w:r>
            <w:r>
              <w:rPr>
                <w:color w:val="auto"/>
                <w:u w:val="none"/>
              </w:rPr>
              <w:t>否：</w:t>
            </w:r>
          </w:p>
          <w:p w14:paraId="2B47EEF7">
            <w:pPr>
              <w:pStyle w:val="81"/>
              <w:jc w:val="left"/>
              <w:rPr>
                <w:rFonts w:hint="default"/>
                <w:color w:val="auto"/>
                <w:u w:val="none"/>
                <w:lang w:val="en-US"/>
              </w:rPr>
            </w:pPr>
            <w:r>
              <w:rPr>
                <w:rFonts w:hint="eastAsia" w:ascii="宋体" w:hAnsi="宋体" w:cs="宋体"/>
                <w:color w:val="auto"/>
                <w:u w:val="none"/>
                <w:lang w:eastAsia="zh-CN"/>
              </w:rPr>
              <w:t>□</w:t>
            </w:r>
            <w:r>
              <w:rPr>
                <w:color w:val="auto"/>
                <w:u w:val="none"/>
              </w:rPr>
              <w:t>是：</w:t>
            </w:r>
          </w:p>
        </w:tc>
        <w:tc>
          <w:tcPr>
            <w:tcW w:w="1125" w:type="pct"/>
            <w:vAlign w:val="center"/>
          </w:tcPr>
          <w:p w14:paraId="3558824C">
            <w:pPr>
              <w:pStyle w:val="81"/>
              <w:rPr>
                <w:b/>
                <w:color w:val="auto"/>
                <w:u w:val="none"/>
              </w:rPr>
            </w:pPr>
            <w:r>
              <w:rPr>
                <w:b/>
                <w:color w:val="auto"/>
                <w:u w:val="none"/>
              </w:rPr>
              <w:t>用地（用海）面积（m</w:t>
            </w:r>
            <w:r>
              <w:rPr>
                <w:b/>
                <w:color w:val="auto"/>
                <w:u w:val="none"/>
                <w:vertAlign w:val="superscript"/>
              </w:rPr>
              <w:t>2</w:t>
            </w:r>
            <w:r>
              <w:rPr>
                <w:b/>
                <w:color w:val="auto"/>
                <w:u w:val="none"/>
              </w:rPr>
              <w:t>）</w:t>
            </w:r>
          </w:p>
        </w:tc>
        <w:tc>
          <w:tcPr>
            <w:tcW w:w="1714" w:type="pct"/>
            <w:vAlign w:val="center"/>
          </w:tcPr>
          <w:p w14:paraId="36A34832">
            <w:pPr>
              <w:pStyle w:val="81"/>
              <w:rPr>
                <w:rFonts w:hint="default" w:eastAsia="宋体"/>
                <w:color w:val="auto"/>
                <w:u w:val="none"/>
                <w:lang w:val="en-US" w:eastAsia="zh-CN"/>
              </w:rPr>
            </w:pPr>
            <w:r>
              <w:rPr>
                <w:rFonts w:hint="eastAsia"/>
                <w:sz w:val="24"/>
                <w:lang w:val="en-US" w:eastAsia="zh-CN"/>
              </w:rPr>
              <w:t>7452.06（11.2亩）</w:t>
            </w:r>
          </w:p>
        </w:tc>
      </w:tr>
      <w:tr w14:paraId="76EB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4C159C1B">
            <w:pPr>
              <w:pStyle w:val="81"/>
              <w:rPr>
                <w:b/>
              </w:rPr>
            </w:pPr>
            <w:r>
              <w:rPr>
                <w:b/>
              </w:rPr>
              <w:t>专项评价设置情况</w:t>
            </w:r>
          </w:p>
        </w:tc>
        <w:tc>
          <w:tcPr>
            <w:tcW w:w="4155" w:type="pct"/>
            <w:gridSpan w:val="3"/>
            <w:vAlign w:val="center"/>
          </w:tcPr>
          <w:p w14:paraId="3309185E">
            <w:pPr>
              <w:bidi w:val="0"/>
              <w:rPr>
                <w:u w:val="none"/>
              </w:rPr>
            </w:pPr>
            <w:r>
              <w:rPr>
                <w:rFonts w:hint="eastAsia"/>
                <w:lang w:val="en-US" w:eastAsia="zh-CN"/>
              </w:rPr>
              <w:t>根据《建设项目环境影响报告表编制技术指南（污染影响类）（试行）》（以下简称“指南”）规定，本项目专项评价类别设置判定如下：</w:t>
            </w:r>
          </w:p>
          <w:p w14:paraId="43F4AB8C">
            <w:pPr>
              <w:pStyle w:val="44"/>
              <w:bidi w:val="0"/>
            </w:pPr>
            <w:r>
              <w:t>表1-1</w:t>
            </w:r>
            <w:r>
              <w:rPr>
                <w:rFonts w:hint="eastAsia"/>
                <w:lang w:eastAsia="zh-CN"/>
              </w:rPr>
              <w:t>：</w:t>
            </w:r>
            <w:r>
              <w:t>专项评价设置原则表</w:t>
            </w:r>
          </w:p>
          <w:tbl>
            <w:tblPr>
              <w:tblStyle w:val="38"/>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06"/>
              <w:gridCol w:w="3198"/>
              <w:gridCol w:w="2568"/>
              <w:gridCol w:w="1188"/>
            </w:tblGrid>
            <w:tr w14:paraId="4056FE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6DEA1BEB">
                  <w:pPr>
                    <w:pStyle w:val="115"/>
                    <w:bidi w:val="0"/>
                    <w:rPr>
                      <w:rFonts w:ascii="Times New Roman" w:hAnsi="Times New Roman" w:cs="Times New Roman"/>
                      <w:b/>
                      <w:bCs/>
                    </w:rPr>
                  </w:pPr>
                  <w:r>
                    <w:rPr>
                      <w:rFonts w:ascii="Times New Roman" w:hAnsi="Times New Roman" w:cs="Times New Roman"/>
                      <w:b/>
                      <w:bCs/>
                    </w:rPr>
                    <w:t>专项评价的类别</w:t>
                  </w:r>
                </w:p>
              </w:tc>
              <w:tc>
                <w:tcPr>
                  <w:tcW w:w="1984" w:type="pct"/>
                  <w:vAlign w:val="center"/>
                </w:tcPr>
                <w:p w14:paraId="24E3EE08">
                  <w:pPr>
                    <w:pStyle w:val="115"/>
                    <w:bidi w:val="0"/>
                    <w:rPr>
                      <w:rFonts w:ascii="Times New Roman" w:hAnsi="Times New Roman" w:cs="Times New Roman"/>
                      <w:b/>
                      <w:bCs/>
                    </w:rPr>
                  </w:pPr>
                  <w:r>
                    <w:rPr>
                      <w:rFonts w:ascii="Times New Roman" w:hAnsi="Times New Roman" w:cs="Times New Roman"/>
                      <w:b/>
                      <w:bCs/>
                    </w:rPr>
                    <w:t>设置原则</w:t>
                  </w:r>
                </w:p>
              </w:tc>
              <w:tc>
                <w:tcPr>
                  <w:tcW w:w="1593" w:type="pct"/>
                  <w:vAlign w:val="center"/>
                </w:tcPr>
                <w:p w14:paraId="43AA13D6">
                  <w:pPr>
                    <w:pStyle w:val="115"/>
                    <w:bidi w:val="0"/>
                    <w:rPr>
                      <w:rFonts w:ascii="Times New Roman" w:hAnsi="Times New Roman" w:cs="Times New Roman"/>
                      <w:b/>
                      <w:bCs/>
                    </w:rPr>
                  </w:pPr>
                  <w:r>
                    <w:rPr>
                      <w:rFonts w:ascii="Times New Roman" w:hAnsi="Times New Roman" w:cs="Times New Roman"/>
                      <w:b/>
                      <w:bCs/>
                    </w:rPr>
                    <w:t>本项目情况</w:t>
                  </w:r>
                </w:p>
              </w:tc>
              <w:tc>
                <w:tcPr>
                  <w:tcW w:w="735" w:type="pct"/>
                  <w:vAlign w:val="center"/>
                </w:tcPr>
                <w:p w14:paraId="20168193">
                  <w:pPr>
                    <w:pStyle w:val="115"/>
                    <w:bidi w:val="0"/>
                    <w:rPr>
                      <w:rFonts w:ascii="Times New Roman" w:hAnsi="Times New Roman" w:cs="Times New Roman"/>
                      <w:b/>
                      <w:bCs/>
                    </w:rPr>
                  </w:pPr>
                  <w:r>
                    <w:rPr>
                      <w:rFonts w:ascii="Times New Roman" w:hAnsi="Times New Roman" w:cs="Times New Roman"/>
                      <w:b/>
                      <w:bCs/>
                    </w:rPr>
                    <w:t>设置情况</w:t>
                  </w:r>
                </w:p>
              </w:tc>
            </w:tr>
            <w:tr w14:paraId="170F07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4E9EB76E">
                  <w:pPr>
                    <w:pStyle w:val="115"/>
                    <w:bidi w:val="0"/>
                    <w:rPr>
                      <w:rFonts w:ascii="Times New Roman" w:hAnsi="Times New Roman" w:cs="Times New Roman"/>
                    </w:rPr>
                  </w:pPr>
                  <w:r>
                    <w:rPr>
                      <w:rFonts w:ascii="Times New Roman" w:hAnsi="Times New Roman" w:cs="Times New Roman"/>
                    </w:rPr>
                    <w:t>大气</w:t>
                  </w:r>
                </w:p>
              </w:tc>
              <w:tc>
                <w:tcPr>
                  <w:tcW w:w="1984" w:type="pct"/>
                  <w:vAlign w:val="center"/>
                </w:tcPr>
                <w:p w14:paraId="11915E63">
                  <w:pPr>
                    <w:pStyle w:val="115"/>
                    <w:bidi w:val="0"/>
                    <w:rPr>
                      <w:rFonts w:ascii="Times New Roman" w:hAnsi="Times New Roman" w:cs="Times New Roman"/>
                    </w:rPr>
                  </w:pPr>
                  <w:r>
                    <w:rPr>
                      <w:rFonts w:ascii="Times New Roman" w:hAnsi="Times New Roman" w:cs="Times New Roman"/>
                    </w:rPr>
                    <w:t>排放废气含有毒有害污染物1、二噁英、苯并[a]芘、氰化物、氯气且厂界外500米范围内有环境空气保护目标</w:t>
                  </w:r>
                  <w:r>
                    <w:rPr>
                      <w:rFonts w:ascii="Times New Roman" w:hAnsi="Times New Roman" w:cs="Times New Roman"/>
                      <w:vertAlign w:val="superscript"/>
                    </w:rPr>
                    <w:t>2</w:t>
                  </w:r>
                  <w:r>
                    <w:rPr>
                      <w:rFonts w:ascii="Times New Roman" w:hAnsi="Times New Roman" w:cs="Times New Roman"/>
                    </w:rPr>
                    <w:t>的建设项目</w:t>
                  </w:r>
                </w:p>
              </w:tc>
              <w:tc>
                <w:tcPr>
                  <w:tcW w:w="1593" w:type="pct"/>
                  <w:vAlign w:val="center"/>
                </w:tcPr>
                <w:p w14:paraId="2FFE32B5">
                  <w:pPr>
                    <w:pStyle w:val="115"/>
                    <w:bidi w:val="0"/>
                    <w:rPr>
                      <w:rFonts w:hint="eastAsia" w:ascii="Times New Roman" w:hAnsi="Times New Roman" w:cs="Times New Roman"/>
                    </w:rPr>
                  </w:pPr>
                  <w:r>
                    <w:rPr>
                      <w:rFonts w:hint="eastAsia" w:ascii="Times New Roman" w:hAnsi="Times New Roman" w:cs="Times New Roman"/>
                    </w:rPr>
                    <w:t>1. 废气污染物识别： 本项目入场建筑垃圾主要为工程渣土、工程垃圾、拆除垃圾、装修垃圾。环评已明确不接受盾构土、受污染土方、生活垃圾、危废等。主要废气污染物为颗粒物（TSP）。</w:t>
                  </w:r>
                </w:p>
                <w:p w14:paraId="04E250EE">
                  <w:pPr>
                    <w:pStyle w:val="115"/>
                    <w:bidi w:val="0"/>
                    <w:rPr>
                      <w:rFonts w:ascii="Times New Roman" w:hAnsi="Times New Roman" w:cs="Times New Roman"/>
                    </w:rPr>
                  </w:pPr>
                  <w:r>
                    <w:rPr>
                      <w:rFonts w:hint="eastAsia" w:ascii="Times New Roman" w:hAnsi="Times New Roman" w:cs="Times New Roman"/>
                    </w:rPr>
                    <w:t>2. 有毒有害物质核查： 对照《有毒有害大气污染物名录》，本项目不涉及名录中的污染物（如二噁英、苯并[a]芘、氰化物、氯气等）。</w:t>
                  </w:r>
                </w:p>
              </w:tc>
              <w:tc>
                <w:tcPr>
                  <w:tcW w:w="735" w:type="pct"/>
                  <w:vAlign w:val="center"/>
                </w:tcPr>
                <w:p w14:paraId="0CE3AA9F">
                  <w:pPr>
                    <w:pStyle w:val="115"/>
                    <w:bidi w:val="0"/>
                    <w:rPr>
                      <w:rFonts w:ascii="Times New Roman" w:hAnsi="Times New Roman" w:cs="Times New Roman"/>
                    </w:rPr>
                  </w:pPr>
                  <w:r>
                    <w:rPr>
                      <w:rFonts w:ascii="Times New Roman" w:hAnsi="Times New Roman" w:cs="Times New Roman"/>
                    </w:rPr>
                    <w:t>不展开</w:t>
                  </w:r>
                </w:p>
              </w:tc>
            </w:tr>
            <w:tr w14:paraId="2FF87F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4E007C4F">
                  <w:pPr>
                    <w:pStyle w:val="115"/>
                    <w:bidi w:val="0"/>
                    <w:rPr>
                      <w:rFonts w:ascii="Times New Roman" w:hAnsi="Times New Roman" w:cs="Times New Roman"/>
                      <w:u w:val="single"/>
                    </w:rPr>
                  </w:pPr>
                  <w:r>
                    <w:rPr>
                      <w:rFonts w:ascii="Times New Roman" w:hAnsi="Times New Roman" w:cs="Times New Roman"/>
                      <w:u w:val="single"/>
                    </w:rPr>
                    <w:t>地表水</w:t>
                  </w:r>
                </w:p>
              </w:tc>
              <w:tc>
                <w:tcPr>
                  <w:tcW w:w="1984" w:type="pct"/>
                  <w:vAlign w:val="center"/>
                </w:tcPr>
                <w:p w14:paraId="47FB8738">
                  <w:pPr>
                    <w:pStyle w:val="115"/>
                    <w:bidi w:val="0"/>
                    <w:rPr>
                      <w:rFonts w:ascii="Times New Roman" w:hAnsi="Times New Roman" w:cs="Times New Roman"/>
                      <w:u w:val="single"/>
                    </w:rPr>
                  </w:pPr>
                  <w:r>
                    <w:rPr>
                      <w:rFonts w:ascii="Times New Roman" w:hAnsi="Times New Roman" w:cs="Times New Roman"/>
                      <w:u w:val="single"/>
                    </w:rPr>
                    <w:t>新增工业废水直排建设项目（槽罐车外送污水处理厂的除外）；新增废水直排的污水集中处理厂</w:t>
                  </w:r>
                </w:p>
              </w:tc>
              <w:tc>
                <w:tcPr>
                  <w:tcW w:w="1593" w:type="pct"/>
                  <w:vAlign w:val="center"/>
                </w:tcPr>
                <w:p w14:paraId="5C20D6D4">
                  <w:pPr>
                    <w:pStyle w:val="115"/>
                    <w:bidi w:val="0"/>
                    <w:rPr>
                      <w:rFonts w:hint="eastAsia" w:ascii="Times New Roman" w:hAnsi="Times New Roman" w:eastAsia="宋体" w:cs="Times New Roman"/>
                      <w:u w:val="single"/>
                      <w:lang w:eastAsia="zh-CN"/>
                    </w:rPr>
                  </w:pPr>
                  <w:r>
                    <w:rPr>
                      <w:rFonts w:hint="eastAsia" w:ascii="Times New Roman" w:hAnsi="Times New Roman" w:cs="Times New Roman"/>
                      <w:u w:val="single"/>
                    </w:rPr>
                    <w:t>本项目建筑垃圾</w:t>
                  </w:r>
                  <w:r>
                    <w:rPr>
                      <w:rFonts w:hint="eastAsia" w:cs="Times New Roman"/>
                      <w:u w:val="single"/>
                      <w:lang w:val="en-US" w:eastAsia="zh-CN"/>
                    </w:rPr>
                    <w:t>堆填场</w:t>
                  </w:r>
                  <w:r>
                    <w:rPr>
                      <w:rFonts w:hint="eastAsia" w:ascii="Times New Roman" w:hAnsi="Times New Roman" w:cs="Times New Roman"/>
                      <w:u w:val="single"/>
                    </w:rPr>
                    <w:t>生活污水经化粪池收集后定期清掏作农肥；洗车废水沉淀后循环使用不外排；堆填区</w:t>
                  </w:r>
                  <w:r>
                    <w:rPr>
                      <w:rFonts w:hint="eastAsia" w:cs="Times New Roman"/>
                      <w:u w:val="single"/>
                      <w:lang w:eastAsia="zh-CN"/>
                    </w:rPr>
                    <w:t>矿坑积水（淋滤水）</w:t>
                  </w:r>
                  <w:r>
                    <w:rPr>
                      <w:rFonts w:hint="eastAsia" w:ascii="Times New Roman" w:hAnsi="Times New Roman" w:cs="Times New Roman"/>
                      <w:u w:val="single"/>
                    </w:rPr>
                    <w:t>沉淀后外排至</w:t>
                  </w:r>
                  <w:r>
                    <w:rPr>
                      <w:rFonts w:hint="eastAsia" w:cs="Times New Roman"/>
                      <w:u w:val="single"/>
                      <w:lang w:val="en-US" w:eastAsia="zh-CN"/>
                    </w:rPr>
                    <w:t>沟渠汇入洪溪</w:t>
                  </w:r>
                  <w:r>
                    <w:rPr>
                      <w:rFonts w:hint="eastAsia" w:ascii="Times New Roman" w:hAnsi="Times New Roman" w:cs="Times New Roman"/>
                      <w:u w:val="single"/>
                    </w:rPr>
                    <w:t>，为单纯雨水排放口，无需办理入河排污口设置审批手续，仅登记即可</w:t>
                  </w:r>
                  <w:r>
                    <w:rPr>
                      <w:rFonts w:hint="eastAsia" w:cs="Times New Roman"/>
                      <w:u w:val="single"/>
                      <w:lang w:eastAsia="zh-CN"/>
                    </w:rPr>
                    <w:t>。</w:t>
                  </w:r>
                </w:p>
              </w:tc>
              <w:tc>
                <w:tcPr>
                  <w:tcW w:w="735" w:type="pct"/>
                  <w:vAlign w:val="center"/>
                </w:tcPr>
                <w:p w14:paraId="7BCFC906">
                  <w:pPr>
                    <w:pStyle w:val="115"/>
                    <w:bidi w:val="0"/>
                    <w:rPr>
                      <w:rFonts w:ascii="Times New Roman" w:hAnsi="Times New Roman" w:cs="Times New Roman"/>
                      <w:u w:val="single"/>
                    </w:rPr>
                  </w:pPr>
                  <w:r>
                    <w:rPr>
                      <w:rFonts w:ascii="Times New Roman" w:hAnsi="Times New Roman" w:cs="Times New Roman"/>
                      <w:u w:val="single"/>
                    </w:rPr>
                    <w:t>不展开</w:t>
                  </w:r>
                </w:p>
              </w:tc>
            </w:tr>
            <w:tr w14:paraId="287F1F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09F0DD95">
                  <w:pPr>
                    <w:pStyle w:val="115"/>
                    <w:bidi w:val="0"/>
                    <w:rPr>
                      <w:rFonts w:ascii="Times New Roman" w:hAnsi="Times New Roman" w:cs="Times New Roman"/>
                    </w:rPr>
                  </w:pPr>
                  <w:r>
                    <w:rPr>
                      <w:rFonts w:ascii="Times New Roman" w:hAnsi="Times New Roman" w:cs="Times New Roman"/>
                    </w:rPr>
                    <w:t>环境风险</w:t>
                  </w:r>
                </w:p>
              </w:tc>
              <w:tc>
                <w:tcPr>
                  <w:tcW w:w="1984" w:type="pct"/>
                  <w:vAlign w:val="center"/>
                </w:tcPr>
                <w:p w14:paraId="09514274">
                  <w:pPr>
                    <w:pStyle w:val="115"/>
                    <w:bidi w:val="0"/>
                    <w:rPr>
                      <w:rFonts w:ascii="Times New Roman" w:hAnsi="Times New Roman" w:cs="Times New Roman"/>
                    </w:rPr>
                  </w:pPr>
                  <w:r>
                    <w:rPr>
                      <w:rFonts w:ascii="Times New Roman" w:hAnsi="Times New Roman" w:cs="Times New Roman"/>
                    </w:rPr>
                    <w:t>有毒有害和易燃易爆危险物质存储量超过临界量</w:t>
                  </w:r>
                  <w:r>
                    <w:rPr>
                      <w:rFonts w:ascii="Times New Roman" w:hAnsi="Times New Roman" w:cs="Times New Roman"/>
                      <w:vertAlign w:val="superscript"/>
                    </w:rPr>
                    <w:t>3</w:t>
                  </w:r>
                  <w:r>
                    <w:rPr>
                      <w:rFonts w:ascii="Times New Roman" w:hAnsi="Times New Roman" w:cs="Times New Roman"/>
                    </w:rPr>
                    <w:t>的建设项目</w:t>
                  </w:r>
                </w:p>
              </w:tc>
              <w:tc>
                <w:tcPr>
                  <w:tcW w:w="1593" w:type="pct"/>
                  <w:vAlign w:val="center"/>
                </w:tcPr>
                <w:p w14:paraId="667634C8">
                  <w:pPr>
                    <w:pStyle w:val="115"/>
                    <w:bidi w:val="0"/>
                    <w:rPr>
                      <w:rFonts w:hint="eastAsia" w:ascii="Times New Roman" w:hAnsi="Times New Roman" w:eastAsia="宋体" w:cs="Times New Roman"/>
                      <w:lang w:val="en-US" w:eastAsia="zh-CN"/>
                    </w:rPr>
                  </w:pPr>
                  <w:r>
                    <w:rPr>
                      <w:rFonts w:hint="eastAsia" w:ascii="Times New Roman" w:hAnsi="Times New Roman" w:cs="Times New Roman"/>
                      <w:lang w:val="en-US"/>
                    </w:rPr>
                    <w:t>项目危险物质存储量未超过</w:t>
                  </w:r>
                  <w:r>
                    <w:rPr>
                      <w:rFonts w:ascii="Times New Roman" w:hAnsi="Times New Roman" w:cs="Times New Roman"/>
                    </w:rPr>
                    <w:t>《建设项目环境风险评价技术导则》（HJ169）附录B、附录C</w:t>
                  </w:r>
                  <w:r>
                    <w:rPr>
                      <w:rFonts w:hint="eastAsia" w:ascii="Times New Roman" w:hAnsi="Times New Roman" w:cs="Times New Roman"/>
                      <w:lang w:val="en-US"/>
                    </w:rPr>
                    <w:t>中相关物质临界量</w:t>
                  </w:r>
                  <w:r>
                    <w:rPr>
                      <w:rFonts w:hint="eastAsia" w:cs="Times New Roman"/>
                      <w:lang w:val="en-US" w:eastAsia="zh-CN"/>
                    </w:rPr>
                    <w:t>。</w:t>
                  </w:r>
                </w:p>
              </w:tc>
              <w:tc>
                <w:tcPr>
                  <w:tcW w:w="735" w:type="pct"/>
                  <w:vAlign w:val="center"/>
                </w:tcPr>
                <w:p w14:paraId="726FF7B4">
                  <w:pPr>
                    <w:pStyle w:val="115"/>
                    <w:bidi w:val="0"/>
                    <w:rPr>
                      <w:rFonts w:ascii="Times New Roman" w:hAnsi="Times New Roman" w:cs="Times New Roman"/>
                    </w:rPr>
                  </w:pPr>
                  <w:r>
                    <w:rPr>
                      <w:rFonts w:ascii="Times New Roman" w:hAnsi="Times New Roman" w:cs="Times New Roman"/>
                    </w:rPr>
                    <w:t>不展开</w:t>
                  </w:r>
                </w:p>
              </w:tc>
            </w:tr>
            <w:tr w14:paraId="48A388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048DE414">
                  <w:pPr>
                    <w:pStyle w:val="115"/>
                    <w:bidi w:val="0"/>
                    <w:rPr>
                      <w:rFonts w:ascii="Times New Roman" w:hAnsi="Times New Roman" w:cs="Times New Roman"/>
                    </w:rPr>
                  </w:pPr>
                  <w:r>
                    <w:rPr>
                      <w:rFonts w:ascii="Times New Roman" w:hAnsi="Times New Roman" w:cs="Times New Roman"/>
                    </w:rPr>
                    <w:t>生态</w:t>
                  </w:r>
                </w:p>
              </w:tc>
              <w:tc>
                <w:tcPr>
                  <w:tcW w:w="1984" w:type="pct"/>
                  <w:vAlign w:val="center"/>
                </w:tcPr>
                <w:p w14:paraId="48D92368">
                  <w:pPr>
                    <w:pStyle w:val="115"/>
                    <w:bidi w:val="0"/>
                    <w:rPr>
                      <w:rFonts w:ascii="Times New Roman" w:hAnsi="Times New Roman" w:cs="Times New Roman"/>
                    </w:rPr>
                  </w:pPr>
                  <w:r>
                    <w:rPr>
                      <w:rFonts w:ascii="Times New Roman" w:hAnsi="Times New Roman" w:cs="Times New Roman"/>
                    </w:rPr>
                    <w:t>取水口下游500米范围内有重要水生生物的自然产卵场、索饵场、越冬场和洄游通道的新增河道取水的污染类建设项目</w:t>
                  </w:r>
                </w:p>
              </w:tc>
              <w:tc>
                <w:tcPr>
                  <w:tcW w:w="1593" w:type="pct"/>
                  <w:vAlign w:val="center"/>
                </w:tcPr>
                <w:p w14:paraId="3AF2AD2B">
                  <w:pPr>
                    <w:pStyle w:val="115"/>
                    <w:bidi w:val="0"/>
                    <w:rPr>
                      <w:rFonts w:ascii="Times New Roman" w:hAnsi="Times New Roman" w:cs="Times New Roman"/>
                    </w:rPr>
                  </w:pPr>
                  <w:r>
                    <w:rPr>
                      <w:rFonts w:ascii="Times New Roman" w:hAnsi="Times New Roman" w:cs="Times New Roman"/>
                    </w:rPr>
                    <w:t>不涉及</w:t>
                  </w:r>
                </w:p>
              </w:tc>
              <w:tc>
                <w:tcPr>
                  <w:tcW w:w="735" w:type="pct"/>
                  <w:vAlign w:val="center"/>
                </w:tcPr>
                <w:p w14:paraId="5DD6A3E8">
                  <w:pPr>
                    <w:pStyle w:val="115"/>
                    <w:bidi w:val="0"/>
                    <w:rPr>
                      <w:rFonts w:ascii="Times New Roman" w:hAnsi="Times New Roman" w:cs="Times New Roman"/>
                    </w:rPr>
                  </w:pPr>
                  <w:r>
                    <w:rPr>
                      <w:rFonts w:ascii="Times New Roman" w:hAnsi="Times New Roman" w:cs="Times New Roman"/>
                    </w:rPr>
                    <w:t>不展开</w:t>
                  </w:r>
                </w:p>
              </w:tc>
            </w:tr>
            <w:tr w14:paraId="23896D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86" w:type="pct"/>
                  <w:vAlign w:val="center"/>
                </w:tcPr>
                <w:p w14:paraId="14B6107E">
                  <w:pPr>
                    <w:pStyle w:val="115"/>
                    <w:bidi w:val="0"/>
                    <w:rPr>
                      <w:rFonts w:ascii="Times New Roman" w:hAnsi="Times New Roman" w:cs="Times New Roman"/>
                    </w:rPr>
                  </w:pPr>
                  <w:r>
                    <w:rPr>
                      <w:rFonts w:ascii="Times New Roman" w:hAnsi="Times New Roman" w:cs="Times New Roman"/>
                    </w:rPr>
                    <w:t>海洋</w:t>
                  </w:r>
                </w:p>
              </w:tc>
              <w:tc>
                <w:tcPr>
                  <w:tcW w:w="1984" w:type="pct"/>
                  <w:vAlign w:val="center"/>
                </w:tcPr>
                <w:p w14:paraId="4D9E1FEF">
                  <w:pPr>
                    <w:pStyle w:val="115"/>
                    <w:bidi w:val="0"/>
                    <w:rPr>
                      <w:rFonts w:ascii="Times New Roman" w:hAnsi="Times New Roman" w:cs="Times New Roman"/>
                    </w:rPr>
                  </w:pPr>
                  <w:r>
                    <w:rPr>
                      <w:rFonts w:ascii="Times New Roman" w:hAnsi="Times New Roman" w:cs="Times New Roman"/>
                    </w:rPr>
                    <w:t>直接向海排放污染物的海洋工程建设项目</w:t>
                  </w:r>
                </w:p>
              </w:tc>
              <w:tc>
                <w:tcPr>
                  <w:tcW w:w="1593" w:type="pct"/>
                  <w:vAlign w:val="center"/>
                </w:tcPr>
                <w:p w14:paraId="343429DA">
                  <w:pPr>
                    <w:pStyle w:val="115"/>
                    <w:bidi w:val="0"/>
                    <w:rPr>
                      <w:rFonts w:ascii="Times New Roman" w:hAnsi="Times New Roman" w:cs="Times New Roman"/>
                    </w:rPr>
                  </w:pPr>
                  <w:r>
                    <w:rPr>
                      <w:rFonts w:ascii="Times New Roman" w:hAnsi="Times New Roman" w:cs="Times New Roman"/>
                    </w:rPr>
                    <w:t>不涉及</w:t>
                  </w:r>
                </w:p>
              </w:tc>
              <w:tc>
                <w:tcPr>
                  <w:tcW w:w="735" w:type="pct"/>
                  <w:vAlign w:val="center"/>
                </w:tcPr>
                <w:p w14:paraId="347808AB">
                  <w:pPr>
                    <w:pStyle w:val="115"/>
                    <w:bidi w:val="0"/>
                    <w:rPr>
                      <w:rFonts w:ascii="Times New Roman" w:hAnsi="Times New Roman" w:cs="Times New Roman"/>
                    </w:rPr>
                  </w:pPr>
                  <w:r>
                    <w:rPr>
                      <w:rFonts w:ascii="Times New Roman" w:hAnsi="Times New Roman" w:cs="Times New Roman"/>
                    </w:rPr>
                    <w:t>不展开</w:t>
                  </w:r>
                </w:p>
              </w:tc>
            </w:tr>
            <w:tr w14:paraId="03E44A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4"/>
                  <w:vAlign w:val="center"/>
                </w:tcPr>
                <w:p w14:paraId="53944B12">
                  <w:pPr>
                    <w:pStyle w:val="115"/>
                    <w:bidi w:val="0"/>
                    <w:jc w:val="left"/>
                    <w:rPr>
                      <w:rFonts w:ascii="Times New Roman" w:hAnsi="Times New Roman" w:cs="Times New Roman"/>
                    </w:rPr>
                  </w:pPr>
                  <w:r>
                    <w:rPr>
                      <w:rFonts w:ascii="Times New Roman" w:hAnsi="Times New Roman" w:cs="Times New Roman"/>
                    </w:rPr>
                    <w:t>注：1.废气中有毒有害污染物指纳入《有毒有害大气污染物名录》的污染物（不包括无排放标准的污染物）。</w:t>
                  </w:r>
                </w:p>
                <w:p w14:paraId="37EBDCC2">
                  <w:pPr>
                    <w:pStyle w:val="115"/>
                    <w:numPr>
                      <w:ilvl w:val="0"/>
                      <w:numId w:val="0"/>
                    </w:numPr>
                    <w:bidi w:val="0"/>
                    <w:ind w:firstLine="0" w:firstLineChars="0"/>
                    <w:jc w:val="left"/>
                    <w:rPr>
                      <w:rFonts w:ascii="Times New Roman" w:hAnsi="Times New Roman" w:cs="Times New Roman"/>
                    </w:rPr>
                  </w:pPr>
                  <w:r>
                    <w:rPr>
                      <w:rFonts w:ascii="Times New Roman" w:hAnsi="Times New Roman" w:eastAsia="宋体" w:cs="Times New Roman"/>
                      <w:kern w:val="0"/>
                      <w:sz w:val="21"/>
                      <w:szCs w:val="24"/>
                      <w:lang w:val="en-US" w:eastAsia="zh-CN" w:bidi="ar-SA"/>
                    </w:rPr>
                    <w:t>2.</w:t>
                  </w:r>
                  <w:r>
                    <w:rPr>
                      <w:rFonts w:ascii="Times New Roman" w:hAnsi="Times New Roman" w:cs="Times New Roman"/>
                    </w:rPr>
                    <w:t>环境空气保护目标指自然保护区、风景名胜区、居住区、文化区和农村地区中人群较集中的区域。</w:t>
                  </w:r>
                </w:p>
                <w:p w14:paraId="56FEB522">
                  <w:pPr>
                    <w:pStyle w:val="115"/>
                    <w:numPr>
                      <w:ilvl w:val="0"/>
                      <w:numId w:val="0"/>
                    </w:numPr>
                    <w:bidi w:val="0"/>
                    <w:ind w:firstLine="0" w:firstLineChars="0"/>
                    <w:jc w:val="left"/>
                    <w:rPr>
                      <w:rFonts w:ascii="Times New Roman" w:hAnsi="Times New Roman" w:cs="Times New Roman"/>
                    </w:rPr>
                  </w:pPr>
                  <w:r>
                    <w:rPr>
                      <w:rFonts w:ascii="Times New Roman" w:hAnsi="Times New Roman" w:eastAsia="宋体" w:cs="Times New Roman"/>
                      <w:kern w:val="0"/>
                      <w:sz w:val="21"/>
                      <w:szCs w:val="24"/>
                      <w:lang w:val="en-US" w:eastAsia="zh-CN" w:bidi="ar-SA"/>
                    </w:rPr>
                    <w:t>3.</w:t>
                  </w:r>
                  <w:r>
                    <w:rPr>
                      <w:rFonts w:ascii="Times New Roman" w:hAnsi="Times New Roman" w:cs="Times New Roman"/>
                    </w:rPr>
                    <w:t>临界量及其计算方法可参考《建设项目环境风险评价技术导则》（HJ169）附录B、附录C。</w:t>
                  </w:r>
                </w:p>
              </w:tc>
            </w:tr>
          </w:tbl>
          <w:p w14:paraId="33764024">
            <w:pPr>
              <w:pStyle w:val="81"/>
              <w:rPr>
                <w:rFonts w:hint="default" w:eastAsia="宋体"/>
                <w:lang w:val="en-US" w:eastAsia="zh-CN"/>
              </w:rPr>
            </w:pPr>
          </w:p>
        </w:tc>
      </w:tr>
      <w:tr w14:paraId="7C12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48CEB8F5">
            <w:pPr>
              <w:pStyle w:val="81"/>
              <w:rPr>
                <w:b/>
              </w:rPr>
            </w:pPr>
            <w:r>
              <w:rPr>
                <w:b/>
              </w:rPr>
              <w:t>规划情况</w:t>
            </w:r>
          </w:p>
        </w:tc>
        <w:tc>
          <w:tcPr>
            <w:tcW w:w="4155" w:type="pct"/>
            <w:gridSpan w:val="3"/>
            <w:vAlign w:val="center"/>
          </w:tcPr>
          <w:p w14:paraId="1A7F58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u w:val="none"/>
                <w:lang w:val="en-US" w:eastAsia="zh-CN"/>
              </w:rPr>
            </w:pPr>
            <w:r>
              <w:rPr>
                <w:rFonts w:hint="eastAsia" w:eastAsia="宋体"/>
                <w:color w:val="auto"/>
                <w:u w:val="none"/>
                <w:lang w:val="en-US" w:eastAsia="zh-CN"/>
              </w:rPr>
              <w:t>无</w:t>
            </w:r>
          </w:p>
        </w:tc>
      </w:tr>
      <w:tr w14:paraId="2308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6FC3436E">
            <w:pPr>
              <w:pStyle w:val="81"/>
              <w:rPr>
                <w:b/>
              </w:rPr>
            </w:pPr>
            <w:r>
              <w:rPr>
                <w:b/>
              </w:rPr>
              <w:t>规划环境影响评价情况</w:t>
            </w:r>
          </w:p>
        </w:tc>
        <w:tc>
          <w:tcPr>
            <w:tcW w:w="4155" w:type="pct"/>
            <w:gridSpan w:val="3"/>
            <w:vAlign w:val="center"/>
          </w:tcPr>
          <w:p w14:paraId="088E25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color w:val="auto"/>
                <w:u w:val="none"/>
                <w:lang w:val="en-US" w:eastAsia="zh-CN"/>
              </w:rPr>
            </w:pPr>
            <w:r>
              <w:rPr>
                <w:rFonts w:hint="eastAsia" w:eastAsia="宋体"/>
                <w:color w:val="auto"/>
                <w:u w:val="none"/>
                <w:lang w:val="en-US" w:eastAsia="zh-CN"/>
              </w:rPr>
              <w:t>无</w:t>
            </w:r>
          </w:p>
        </w:tc>
      </w:tr>
      <w:tr w14:paraId="1495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3821C98A">
            <w:pPr>
              <w:pStyle w:val="81"/>
              <w:rPr>
                <w:b/>
              </w:rPr>
            </w:pPr>
            <w:r>
              <w:rPr>
                <w:b/>
              </w:rPr>
              <w:t>规划及规划环境影响评价符合性分析</w:t>
            </w:r>
          </w:p>
        </w:tc>
        <w:tc>
          <w:tcPr>
            <w:tcW w:w="4155" w:type="pct"/>
            <w:gridSpan w:val="3"/>
            <w:vAlign w:val="center"/>
          </w:tcPr>
          <w:p w14:paraId="126CF0B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auto"/>
                <w:u w:val="none"/>
                <w:lang w:val="en-US" w:eastAsia="zh-CN"/>
              </w:rPr>
            </w:pPr>
            <w:r>
              <w:rPr>
                <w:rFonts w:hint="eastAsia" w:eastAsia="宋体"/>
                <w:color w:val="auto"/>
                <w:u w:val="none"/>
                <w:lang w:val="en-US" w:eastAsia="zh-CN"/>
              </w:rPr>
              <w:t>无</w:t>
            </w:r>
          </w:p>
        </w:tc>
      </w:tr>
      <w:tr w14:paraId="61F9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vAlign w:val="center"/>
          </w:tcPr>
          <w:p w14:paraId="734DB685">
            <w:pPr>
              <w:pStyle w:val="81"/>
              <w:rPr>
                <w:b/>
              </w:rPr>
            </w:pPr>
            <w:r>
              <w:rPr>
                <w:b/>
              </w:rPr>
              <w:t>其他符合性分析</w:t>
            </w:r>
          </w:p>
        </w:tc>
        <w:tc>
          <w:tcPr>
            <w:tcW w:w="4155" w:type="pct"/>
            <w:gridSpan w:val="3"/>
          </w:tcPr>
          <w:p w14:paraId="15B42C5F">
            <w:pPr>
              <w:pStyle w:val="4"/>
              <w:bidi w:val="0"/>
              <w:rPr>
                <w:rFonts w:hint="default"/>
                <w:lang w:val="en-US" w:eastAsia="zh-CN"/>
              </w:rPr>
            </w:pPr>
            <w:bookmarkStart w:id="9" w:name="_Toc8829"/>
            <w:bookmarkStart w:id="10" w:name="_Toc2605"/>
            <w:bookmarkStart w:id="11" w:name="_Toc2026"/>
            <w:r>
              <w:rPr>
                <w:rFonts w:hint="eastAsia"/>
                <w:lang w:val="en-US" w:eastAsia="zh-CN"/>
              </w:rPr>
              <w:t>1.1其他符合性分析</w:t>
            </w:r>
          </w:p>
          <w:p w14:paraId="25463332">
            <w:pPr>
              <w:pStyle w:val="5"/>
              <w:bidi w:val="0"/>
            </w:pPr>
            <w:r>
              <w:rPr>
                <w:rFonts w:hint="eastAsia"/>
                <w:lang w:val="en-US" w:eastAsia="zh-CN"/>
              </w:rPr>
              <w:t>1.1.1与《产业结构调整指导目录（2024年本）》</w:t>
            </w:r>
            <w:r>
              <w:rPr>
                <w:rFonts w:hint="eastAsia"/>
              </w:rPr>
              <w:t>符合性分析</w:t>
            </w:r>
            <w:bookmarkEnd w:id="9"/>
            <w:bookmarkEnd w:id="10"/>
            <w:bookmarkEnd w:id="11"/>
          </w:p>
          <w:p w14:paraId="624507D4">
            <w:pPr>
              <w:bidi w:val="0"/>
              <w:rPr>
                <w:rFonts w:hint="eastAsia" w:eastAsia="宋体"/>
                <w:lang w:eastAsia="zh-CN"/>
              </w:rPr>
            </w:pPr>
            <w:r>
              <w:rPr>
                <w:rFonts w:hint="eastAsia"/>
              </w:rPr>
              <w:t>本项目对</w:t>
            </w:r>
            <w:r>
              <w:rPr>
                <w:rFonts w:hint="eastAsia"/>
                <w:lang w:val="en-US" w:eastAsia="zh-CN"/>
              </w:rPr>
              <w:t>洪江市</w:t>
            </w:r>
            <w:r>
              <w:rPr>
                <w:rFonts w:hint="eastAsia"/>
              </w:rPr>
              <w:t>内建筑垃圾实施集中收集与处置</w:t>
            </w:r>
            <w:r>
              <w:rPr>
                <w:rFonts w:hint="eastAsia"/>
                <w:lang w:eastAsia="zh-CN"/>
              </w:rPr>
              <w:t>，</w:t>
            </w:r>
            <w:r>
              <w:rPr>
                <w:rFonts w:hint="eastAsia"/>
              </w:rPr>
              <w:t>根据处置方案，</w:t>
            </w:r>
            <w:r>
              <w:rPr>
                <w:rFonts w:hint="eastAsia"/>
                <w:lang w:val="en-US" w:eastAsia="zh-CN"/>
              </w:rPr>
              <w:t>建筑垃圾入场后进行人工分拣，</w:t>
            </w:r>
            <w:r>
              <w:rPr>
                <w:rFonts w:hint="eastAsia"/>
              </w:rPr>
              <w:t>具备堆填条件的物料直接入场堆填</w:t>
            </w:r>
            <w:r>
              <w:rPr>
                <w:rFonts w:hint="eastAsia"/>
                <w:lang w:eastAsia="zh-CN"/>
              </w:rPr>
              <w:t>，</w:t>
            </w:r>
            <w:r>
              <w:rPr>
                <w:rFonts w:hint="eastAsia"/>
                <w:lang w:val="en-US" w:eastAsia="zh-CN"/>
              </w:rPr>
              <w:t>分拣出的废金属、废塑料、废木头在一般固废暂存间暂存后外售回收处置；分拣出的危险废物在危废暂存间暂存后交有资质单位处置</w:t>
            </w:r>
            <w:r>
              <w:rPr>
                <w:rFonts w:hint="eastAsia"/>
                <w:lang w:eastAsia="zh-CN"/>
              </w:rPr>
              <w:t>，严禁混入堆填区处置。</w:t>
            </w:r>
          </w:p>
          <w:p w14:paraId="6061A641">
            <w:pPr>
              <w:bidi w:val="0"/>
              <w:rPr>
                <w:rFonts w:hint="eastAsia"/>
              </w:rPr>
            </w:pPr>
            <w:r>
              <w:rPr>
                <w:rFonts w:hint="eastAsia"/>
              </w:rPr>
              <w:t>经对照《产业结构调整指导目录（2024年本）》，本项目中的渣土</w:t>
            </w:r>
            <w:r>
              <w:rPr>
                <w:rFonts w:hint="eastAsia"/>
                <w:lang w:eastAsia="zh-CN"/>
              </w:rPr>
              <w:t>建筑垃圾堆填场</w:t>
            </w:r>
            <w:r>
              <w:rPr>
                <w:rFonts w:hint="eastAsia"/>
              </w:rPr>
              <w:t>属于“四十二、环境保护与资源节约综合利用”中“3、城镇污水垃圾处理一城镇垃圾、农村生活垃圾、城镇生活污水、农村生活污水、污泥及其他固体废弃物减量化、资源化、无害化处理和综合利用工程”，属于鼓励类项目。</w:t>
            </w:r>
          </w:p>
          <w:p w14:paraId="5A279258">
            <w:pPr>
              <w:bidi w:val="0"/>
              <w:rPr>
                <w:rFonts w:hint="eastAsia"/>
              </w:rPr>
            </w:pPr>
            <w:r>
              <w:rPr>
                <w:rFonts w:hint="eastAsia"/>
              </w:rPr>
              <w:t>同时项目已根据《企业投资项目核准和备案管理条例》相关规定在湖南省投资项目在线审批监管平台完成备案，备案号：2603-431281-04-01-729480备案机关为</w:t>
            </w:r>
            <w:r>
              <w:rPr>
                <w:rFonts w:hint="eastAsia"/>
                <w:lang w:val="en-US" w:eastAsia="zh-CN"/>
              </w:rPr>
              <w:t>洪江市发展和改革局</w:t>
            </w:r>
            <w:r>
              <w:rPr>
                <w:rFonts w:hint="eastAsia"/>
              </w:rPr>
              <w:t>。</w:t>
            </w:r>
          </w:p>
          <w:p w14:paraId="06743928">
            <w:pPr>
              <w:bidi w:val="0"/>
              <w:rPr>
                <w:rFonts w:hint="eastAsia"/>
              </w:rPr>
            </w:pPr>
            <w:r>
              <w:rPr>
                <w:rFonts w:hint="eastAsia"/>
              </w:rPr>
              <w:t>根据以上分析，本项目产业政策属鼓励类，符合国家和地方现行产业政策。</w:t>
            </w:r>
          </w:p>
          <w:p w14:paraId="6151963A">
            <w:pPr>
              <w:pStyle w:val="5"/>
              <w:bidi w:val="0"/>
              <w:rPr>
                <w:rFonts w:hint="default"/>
                <w:u w:val="single"/>
                <w:lang w:val="en-US" w:eastAsia="zh-CN"/>
              </w:rPr>
            </w:pPr>
            <w:r>
              <w:rPr>
                <w:rFonts w:hint="eastAsia"/>
                <w:u w:val="single"/>
                <w:lang w:val="en-US" w:eastAsia="zh-CN"/>
              </w:rPr>
              <w:t>1.1.2与《市场准入负面清单（2025年版）》符合性分析</w:t>
            </w:r>
          </w:p>
          <w:p w14:paraId="78FE67F1">
            <w:pPr>
              <w:rPr>
                <w:rFonts w:hint="eastAsia"/>
                <w:color w:val="auto"/>
                <w:u w:val="single"/>
                <w:lang w:eastAsia="zh-CN"/>
              </w:rPr>
            </w:pPr>
            <w:r>
              <w:rPr>
                <w:rFonts w:hint="eastAsia"/>
                <w:color w:val="auto"/>
                <w:u w:val="single"/>
              </w:rPr>
              <w:t>根据国家发改委、商务部发布的《市场准入负面清单（2025年版）》，根据处置方案，建筑垃圾入场后进行人工分拣，具备堆填条件的物料直接入场堆填，分拣出的废金属、</w:t>
            </w:r>
            <w:r>
              <w:rPr>
                <w:rFonts w:hint="eastAsia"/>
                <w:color w:val="auto"/>
                <w:u w:val="single"/>
                <w:lang w:val="en-US" w:eastAsia="zh-CN"/>
              </w:rPr>
              <w:t>废塑料、废木头等一般固体废物</w:t>
            </w:r>
            <w:r>
              <w:rPr>
                <w:rFonts w:hint="eastAsia"/>
                <w:color w:val="auto"/>
                <w:u w:val="single"/>
              </w:rPr>
              <w:t>在一般固废暂存间暂存后外售回收处置；分拣出的危险废物在危废暂存间暂存后交有资质单位处置，严禁混入堆填区处置，本项目不属于《市场准入负面清单（2025年版）》中的禁止准入事项</w:t>
            </w:r>
            <w:r>
              <w:rPr>
                <w:rFonts w:hint="eastAsia"/>
                <w:color w:val="auto"/>
                <w:u w:val="single"/>
                <w:lang w:eastAsia="zh-CN"/>
              </w:rPr>
              <w:t>。</w:t>
            </w:r>
          </w:p>
          <w:p w14:paraId="7DA8794F">
            <w:pPr>
              <w:rPr>
                <w:rFonts w:hint="eastAsia"/>
                <w:color w:val="auto"/>
                <w:u w:val="single"/>
              </w:rPr>
            </w:pPr>
            <w:r>
              <w:rPr>
                <w:rFonts w:hint="eastAsia"/>
                <w:color w:val="auto"/>
                <w:u w:val="single"/>
              </w:rPr>
              <w:t>因此，本项目符合国家现行市场准入管理要求。</w:t>
            </w:r>
          </w:p>
          <w:p w14:paraId="561D5A47">
            <w:pPr>
              <w:pStyle w:val="4"/>
              <w:bidi w:val="0"/>
              <w:rPr>
                <w:rFonts w:hint="default"/>
                <w:lang w:val="en-US" w:eastAsia="zh-CN"/>
              </w:rPr>
            </w:pPr>
            <w:r>
              <w:rPr>
                <w:rFonts w:hint="eastAsia"/>
                <w:lang w:val="en-US" w:eastAsia="zh-CN"/>
              </w:rPr>
              <w:t>1.2重点区域发展负面清单符合性分析</w:t>
            </w:r>
          </w:p>
          <w:p w14:paraId="3CEA632D">
            <w:pPr>
              <w:pStyle w:val="5"/>
              <w:bidi w:val="0"/>
              <w:rPr>
                <w:rFonts w:hint="default"/>
                <w:lang w:val="en-US" w:eastAsia="zh-CN"/>
              </w:rPr>
            </w:pPr>
            <w:r>
              <w:rPr>
                <w:rFonts w:hint="eastAsia"/>
                <w:lang w:val="en-US" w:eastAsia="zh-CN"/>
              </w:rPr>
              <w:t>1.2.1与《长江经济带发展负面清单指南（试行，2022年版）》符合性分析</w:t>
            </w:r>
          </w:p>
          <w:p w14:paraId="78A58842">
            <w:pPr>
              <w:bidi w:val="0"/>
              <w:rPr>
                <w:rFonts w:hint="eastAsia"/>
              </w:rPr>
            </w:pPr>
            <w:r>
              <w:rPr>
                <w:rFonts w:hint="eastAsia"/>
              </w:rPr>
              <w:t>经逐条对照《长江经济带发展负面清单指南（试行，2022年版）》，本项目分析如下表所示。结果表明，项目建设符合指南中的各项管控要求。</w:t>
            </w:r>
          </w:p>
          <w:p w14:paraId="03CE1471">
            <w:pPr>
              <w:pStyle w:val="44"/>
              <w:bidi w:val="0"/>
              <w:rPr>
                <w:rFonts w:hint="default"/>
                <w:lang w:val="en-US" w:eastAsia="zh-CN"/>
              </w:rPr>
            </w:pPr>
            <w:r>
              <w:rPr>
                <w:rFonts w:hint="eastAsia"/>
                <w:lang w:val="en-US" w:eastAsia="zh-CN"/>
              </w:rPr>
              <w:t>表1.2-1：本项目与《长江经济带发展负面清单指南（试行，2022年版）》符合性分析</w:t>
            </w:r>
          </w:p>
          <w:tbl>
            <w:tblPr>
              <w:tblStyle w:val="38"/>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4288"/>
              <w:gridCol w:w="2065"/>
              <w:gridCol w:w="908"/>
            </w:tblGrid>
            <w:tr w14:paraId="0FD5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2CD2B09A">
                  <w:pPr>
                    <w:pStyle w:val="115"/>
                    <w:bidi w:val="0"/>
                    <w:rPr>
                      <w:rFonts w:hint="eastAsia"/>
                      <w:b/>
                      <w:bCs/>
                      <w:lang w:val="en-US" w:eastAsia="zh-CN"/>
                    </w:rPr>
                  </w:pPr>
                  <w:r>
                    <w:rPr>
                      <w:rFonts w:hint="eastAsia"/>
                      <w:b/>
                      <w:bCs/>
                      <w:lang w:val="en-US" w:eastAsia="zh-CN"/>
                    </w:rPr>
                    <w:t>序号</w:t>
                  </w:r>
                </w:p>
              </w:tc>
              <w:tc>
                <w:tcPr>
                  <w:tcW w:w="2663" w:type="pct"/>
                  <w:noWrap w:val="0"/>
                  <w:vAlign w:val="center"/>
                </w:tcPr>
                <w:p w14:paraId="4BAB890C">
                  <w:pPr>
                    <w:pStyle w:val="115"/>
                    <w:bidi w:val="0"/>
                    <w:rPr>
                      <w:rFonts w:hint="eastAsia"/>
                      <w:b/>
                      <w:bCs/>
                      <w:lang w:val="en-US" w:eastAsia="zh-CN"/>
                    </w:rPr>
                  </w:pPr>
                  <w:r>
                    <w:rPr>
                      <w:rFonts w:hint="eastAsia"/>
                      <w:b/>
                      <w:bCs/>
                      <w:lang w:val="en-US" w:eastAsia="zh-CN"/>
                    </w:rPr>
                    <w:t>要求</w:t>
                  </w:r>
                </w:p>
              </w:tc>
              <w:tc>
                <w:tcPr>
                  <w:tcW w:w="1282" w:type="pct"/>
                  <w:noWrap w:val="0"/>
                  <w:vAlign w:val="center"/>
                </w:tcPr>
                <w:p w14:paraId="146178A1">
                  <w:pPr>
                    <w:pStyle w:val="115"/>
                    <w:bidi w:val="0"/>
                    <w:rPr>
                      <w:rFonts w:hint="eastAsia"/>
                      <w:b/>
                      <w:bCs/>
                      <w:lang w:val="en-US" w:eastAsia="zh-CN"/>
                    </w:rPr>
                  </w:pPr>
                  <w:r>
                    <w:rPr>
                      <w:rFonts w:hint="eastAsia"/>
                      <w:b/>
                      <w:bCs/>
                      <w:lang w:val="en-US" w:eastAsia="zh-CN"/>
                    </w:rPr>
                    <w:t>本项目</w:t>
                  </w:r>
                </w:p>
              </w:tc>
              <w:tc>
                <w:tcPr>
                  <w:tcW w:w="564" w:type="pct"/>
                  <w:noWrap w:val="0"/>
                  <w:vAlign w:val="center"/>
                </w:tcPr>
                <w:p w14:paraId="497FC31A">
                  <w:pPr>
                    <w:pStyle w:val="115"/>
                    <w:bidi w:val="0"/>
                    <w:rPr>
                      <w:rFonts w:hint="eastAsia"/>
                      <w:b/>
                      <w:bCs/>
                      <w:lang w:val="en-US" w:eastAsia="zh-CN"/>
                    </w:rPr>
                  </w:pPr>
                  <w:r>
                    <w:rPr>
                      <w:rFonts w:hint="eastAsia"/>
                      <w:b/>
                      <w:bCs/>
                      <w:lang w:val="en-US" w:eastAsia="zh-CN"/>
                    </w:rPr>
                    <w:t>符合性</w:t>
                  </w:r>
                </w:p>
              </w:tc>
            </w:tr>
            <w:tr w14:paraId="5E7E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75561629">
                  <w:pPr>
                    <w:pStyle w:val="115"/>
                    <w:bidi w:val="0"/>
                    <w:rPr>
                      <w:rFonts w:hint="eastAsia"/>
                      <w:lang w:val="en-US" w:eastAsia="zh-CN"/>
                    </w:rPr>
                  </w:pPr>
                  <w:r>
                    <w:rPr>
                      <w:rFonts w:hint="eastAsia"/>
                      <w:lang w:val="en-US" w:eastAsia="zh-CN"/>
                    </w:rPr>
                    <w:t>1</w:t>
                  </w:r>
                </w:p>
              </w:tc>
              <w:tc>
                <w:tcPr>
                  <w:tcW w:w="2663" w:type="pct"/>
                  <w:noWrap w:val="0"/>
                  <w:vAlign w:val="center"/>
                </w:tcPr>
                <w:p w14:paraId="60AF39DA">
                  <w:pPr>
                    <w:pStyle w:val="115"/>
                    <w:bidi w:val="0"/>
                    <w:rPr>
                      <w:rFonts w:hint="eastAsia"/>
                      <w:lang w:val="en-US" w:eastAsia="zh-CN"/>
                    </w:rPr>
                  </w:pPr>
                  <w:r>
                    <w:rPr>
                      <w:rFonts w:hint="eastAsia"/>
                      <w:lang w:val="en-US" w:eastAsia="zh-CN"/>
                    </w:rPr>
                    <w:t>禁止建设不符合全国和省级港口布局规划以及港口总体规划的码头项目，禁止建设不符合《长江干线过江通道布局规划》的过长江通道项目。</w:t>
                  </w:r>
                </w:p>
              </w:tc>
              <w:tc>
                <w:tcPr>
                  <w:tcW w:w="1282" w:type="pct"/>
                  <w:noWrap w:val="0"/>
                  <w:vAlign w:val="center"/>
                </w:tcPr>
                <w:p w14:paraId="543B702B">
                  <w:pPr>
                    <w:pStyle w:val="115"/>
                    <w:bidi w:val="0"/>
                    <w:rPr>
                      <w:rFonts w:hint="default"/>
                      <w:lang w:val="en-US" w:eastAsia="zh-CN"/>
                    </w:rPr>
                  </w:pPr>
                  <w:r>
                    <w:rPr>
                      <w:rFonts w:hint="default"/>
                      <w:lang w:val="en-US" w:eastAsia="zh-CN"/>
                    </w:rPr>
                    <w:t>本项目为固体废物治理项目，不属于码头或过江通道项目。</w:t>
                  </w:r>
                </w:p>
              </w:tc>
              <w:tc>
                <w:tcPr>
                  <w:tcW w:w="564" w:type="pct"/>
                  <w:noWrap w:val="0"/>
                  <w:vAlign w:val="center"/>
                </w:tcPr>
                <w:p w14:paraId="1568D451">
                  <w:pPr>
                    <w:pStyle w:val="115"/>
                    <w:bidi w:val="0"/>
                    <w:rPr>
                      <w:rFonts w:hint="default"/>
                      <w:lang w:val="en-US" w:eastAsia="zh-CN"/>
                    </w:rPr>
                  </w:pPr>
                  <w:r>
                    <w:rPr>
                      <w:rFonts w:hint="eastAsia"/>
                      <w:lang w:val="en-US" w:eastAsia="zh-CN"/>
                    </w:rPr>
                    <w:t>符合</w:t>
                  </w:r>
                </w:p>
              </w:tc>
            </w:tr>
            <w:tr w14:paraId="0C32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798EA4E7">
                  <w:pPr>
                    <w:pStyle w:val="115"/>
                    <w:bidi w:val="0"/>
                    <w:rPr>
                      <w:rFonts w:hint="eastAsia"/>
                      <w:lang w:val="en-US" w:eastAsia="zh-CN"/>
                    </w:rPr>
                  </w:pPr>
                  <w:r>
                    <w:rPr>
                      <w:rFonts w:hint="eastAsia"/>
                      <w:lang w:val="en-US" w:eastAsia="zh-CN"/>
                    </w:rPr>
                    <w:t>2</w:t>
                  </w:r>
                </w:p>
              </w:tc>
              <w:tc>
                <w:tcPr>
                  <w:tcW w:w="2663" w:type="pct"/>
                  <w:noWrap w:val="0"/>
                  <w:vAlign w:val="center"/>
                </w:tcPr>
                <w:p w14:paraId="7F5DDF5E">
                  <w:pPr>
                    <w:pStyle w:val="115"/>
                    <w:bidi w:val="0"/>
                    <w:rPr>
                      <w:rFonts w:hint="eastAsia"/>
                      <w:lang w:val="en-US" w:eastAsia="zh-CN"/>
                    </w:rPr>
                  </w:pPr>
                  <w:r>
                    <w:rPr>
                      <w:rFonts w:hint="eastAsia"/>
                      <w:lang w:val="en-US" w:eastAsia="zh-CN"/>
                    </w:rPr>
                    <w:t>禁止在自然保护区核心区、缓冲区的岸线和河段范围内投资建设旅游和生产经营项目。禁止在风景名胜区核心景区的岸线和河段范围内投资建设与风景名胜资源保护无关的项目。</w:t>
                  </w:r>
                </w:p>
              </w:tc>
              <w:tc>
                <w:tcPr>
                  <w:tcW w:w="1282" w:type="pct"/>
                  <w:noWrap w:val="0"/>
                  <w:vAlign w:val="center"/>
                </w:tcPr>
                <w:p w14:paraId="260AC648">
                  <w:pPr>
                    <w:pStyle w:val="115"/>
                    <w:bidi w:val="0"/>
                    <w:rPr>
                      <w:rFonts w:hint="default"/>
                      <w:lang w:val="en-US" w:eastAsia="zh-CN"/>
                    </w:rPr>
                  </w:pPr>
                  <w:r>
                    <w:rPr>
                      <w:rFonts w:hint="default"/>
                      <w:lang w:val="en-US" w:eastAsia="zh-CN"/>
                    </w:rPr>
                    <w:t>本项目</w:t>
                  </w:r>
                  <w:r>
                    <w:rPr>
                      <w:rFonts w:hint="eastAsia"/>
                      <w:lang w:val="en-US" w:eastAsia="zh-CN"/>
                    </w:rPr>
                    <w:t>建筑垃圾堆填场</w:t>
                  </w:r>
                  <w:r>
                    <w:rPr>
                      <w:rFonts w:hint="default"/>
                      <w:lang w:val="en-US" w:eastAsia="zh-CN"/>
                    </w:rPr>
                    <w:t>选址于洪江市</w:t>
                  </w:r>
                  <w:r>
                    <w:rPr>
                      <w:rFonts w:hint="eastAsia"/>
                      <w:lang w:val="en-US" w:eastAsia="zh-CN"/>
                    </w:rPr>
                    <w:t>安江镇</w:t>
                  </w:r>
                  <w:r>
                    <w:rPr>
                      <w:rFonts w:hint="default"/>
                      <w:lang w:val="en-US" w:eastAsia="zh-CN"/>
                    </w:rPr>
                    <w:t>，不涉及自然保护区、风景名胜区等敏感区。</w:t>
                  </w:r>
                </w:p>
              </w:tc>
              <w:tc>
                <w:tcPr>
                  <w:tcW w:w="564" w:type="pct"/>
                  <w:noWrap w:val="0"/>
                  <w:vAlign w:val="center"/>
                </w:tcPr>
                <w:p w14:paraId="04CA7B2C">
                  <w:pPr>
                    <w:pStyle w:val="115"/>
                    <w:bidi w:val="0"/>
                    <w:rPr>
                      <w:rFonts w:hint="eastAsia"/>
                      <w:lang w:val="en-US" w:eastAsia="zh-CN"/>
                    </w:rPr>
                  </w:pPr>
                  <w:r>
                    <w:rPr>
                      <w:rFonts w:hint="eastAsia"/>
                      <w:lang w:val="en-US" w:eastAsia="zh-CN"/>
                    </w:rPr>
                    <w:t>符合</w:t>
                  </w:r>
                </w:p>
              </w:tc>
            </w:tr>
            <w:tr w14:paraId="19BA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64A85E63">
                  <w:pPr>
                    <w:pStyle w:val="115"/>
                    <w:bidi w:val="0"/>
                    <w:rPr>
                      <w:rFonts w:hint="eastAsia"/>
                      <w:lang w:val="en-US" w:eastAsia="zh-CN"/>
                    </w:rPr>
                  </w:pPr>
                  <w:r>
                    <w:rPr>
                      <w:rFonts w:hint="eastAsia"/>
                      <w:lang w:val="en-US" w:eastAsia="zh-CN"/>
                    </w:rPr>
                    <w:t>3</w:t>
                  </w:r>
                </w:p>
              </w:tc>
              <w:tc>
                <w:tcPr>
                  <w:tcW w:w="2663" w:type="pct"/>
                  <w:noWrap w:val="0"/>
                  <w:vAlign w:val="center"/>
                </w:tcPr>
                <w:p w14:paraId="029ED2C2">
                  <w:pPr>
                    <w:pStyle w:val="115"/>
                    <w:bidi w:val="0"/>
                    <w:rPr>
                      <w:rFonts w:hint="eastAsia"/>
                      <w:lang w:val="en-US" w:eastAsia="zh-CN"/>
                    </w:rPr>
                  </w:pPr>
                  <w:r>
                    <w:rPr>
                      <w:rFonts w:hint="eastAsia"/>
                      <w:lang w:val="en-US" w:eastAsia="zh-CN"/>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282" w:type="pct"/>
                  <w:noWrap w:val="0"/>
                  <w:vAlign w:val="center"/>
                </w:tcPr>
                <w:p w14:paraId="7CE85217">
                  <w:pPr>
                    <w:pStyle w:val="115"/>
                    <w:bidi w:val="0"/>
                    <w:rPr>
                      <w:rFonts w:hint="eastAsia"/>
                      <w:lang w:val="en-US" w:eastAsia="zh-CN"/>
                    </w:rPr>
                  </w:pPr>
                  <w:r>
                    <w:rPr>
                      <w:rFonts w:hint="eastAsia"/>
                      <w:lang w:val="en-US" w:eastAsia="zh-CN"/>
                    </w:rPr>
                    <w:t>本项目建筑垃圾堆填场的选址不涉及饮用水水源保护区。</w:t>
                  </w:r>
                </w:p>
              </w:tc>
              <w:tc>
                <w:tcPr>
                  <w:tcW w:w="564" w:type="pct"/>
                  <w:noWrap w:val="0"/>
                  <w:vAlign w:val="center"/>
                </w:tcPr>
                <w:p w14:paraId="1CC33CA1">
                  <w:pPr>
                    <w:pStyle w:val="115"/>
                    <w:bidi w:val="0"/>
                    <w:rPr>
                      <w:rFonts w:hint="eastAsia"/>
                      <w:lang w:val="en-US" w:eastAsia="zh-CN"/>
                    </w:rPr>
                  </w:pPr>
                  <w:r>
                    <w:rPr>
                      <w:rFonts w:hint="eastAsia"/>
                      <w:lang w:val="en-US" w:eastAsia="zh-CN"/>
                    </w:rPr>
                    <w:t>符合</w:t>
                  </w:r>
                </w:p>
              </w:tc>
            </w:tr>
            <w:tr w14:paraId="6F91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1DB43477">
                  <w:pPr>
                    <w:pStyle w:val="115"/>
                    <w:bidi w:val="0"/>
                    <w:rPr>
                      <w:rFonts w:hint="eastAsia"/>
                      <w:lang w:val="en-US" w:eastAsia="zh-CN"/>
                    </w:rPr>
                  </w:pPr>
                  <w:r>
                    <w:rPr>
                      <w:rFonts w:hint="eastAsia"/>
                      <w:lang w:val="en-US" w:eastAsia="zh-CN"/>
                    </w:rPr>
                    <w:t>4</w:t>
                  </w:r>
                </w:p>
              </w:tc>
              <w:tc>
                <w:tcPr>
                  <w:tcW w:w="2663" w:type="pct"/>
                  <w:noWrap w:val="0"/>
                  <w:vAlign w:val="center"/>
                </w:tcPr>
                <w:p w14:paraId="51EDE7CF">
                  <w:pPr>
                    <w:pStyle w:val="115"/>
                    <w:bidi w:val="0"/>
                    <w:rPr>
                      <w:rFonts w:hint="eastAsia"/>
                      <w:lang w:val="en-US" w:eastAsia="zh-CN"/>
                    </w:rPr>
                  </w:pPr>
                  <w:r>
                    <w:rPr>
                      <w:rFonts w:hint="eastAsia"/>
                      <w:lang w:val="en-US" w:eastAsia="zh-CN"/>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282" w:type="pct"/>
                  <w:noWrap w:val="0"/>
                  <w:vAlign w:val="center"/>
                </w:tcPr>
                <w:p w14:paraId="20E095C0">
                  <w:pPr>
                    <w:pStyle w:val="115"/>
                    <w:bidi w:val="0"/>
                    <w:rPr>
                      <w:rFonts w:hint="default"/>
                      <w:lang w:val="en-US" w:eastAsia="zh-CN"/>
                    </w:rPr>
                  </w:pPr>
                  <w:r>
                    <w:rPr>
                      <w:rFonts w:hint="default"/>
                      <w:lang w:val="en-US" w:eastAsia="zh-CN"/>
                    </w:rPr>
                    <w:t>本项目</w:t>
                  </w:r>
                  <w:r>
                    <w:rPr>
                      <w:rFonts w:hint="eastAsia"/>
                      <w:lang w:val="en-US" w:eastAsia="zh-CN"/>
                    </w:rPr>
                    <w:t>建筑垃圾堆填场的选址均</w:t>
                  </w:r>
                  <w:r>
                    <w:rPr>
                      <w:rFonts w:hint="default"/>
                      <w:lang w:val="en-US" w:eastAsia="zh-CN"/>
                    </w:rPr>
                    <w:t>不涉及水产种质资源保护区、国家湿地公园等敏感区。</w:t>
                  </w:r>
                </w:p>
              </w:tc>
              <w:tc>
                <w:tcPr>
                  <w:tcW w:w="564" w:type="pct"/>
                  <w:noWrap w:val="0"/>
                  <w:vAlign w:val="center"/>
                </w:tcPr>
                <w:p w14:paraId="368869FD">
                  <w:pPr>
                    <w:pStyle w:val="115"/>
                    <w:bidi w:val="0"/>
                    <w:rPr>
                      <w:rFonts w:hint="eastAsia"/>
                      <w:lang w:val="en-US" w:eastAsia="zh-CN"/>
                    </w:rPr>
                  </w:pPr>
                  <w:r>
                    <w:rPr>
                      <w:rFonts w:hint="eastAsia"/>
                      <w:lang w:val="en-US" w:eastAsia="zh-CN"/>
                    </w:rPr>
                    <w:t>符合</w:t>
                  </w:r>
                </w:p>
              </w:tc>
            </w:tr>
            <w:tr w14:paraId="05F3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43F9C60A">
                  <w:pPr>
                    <w:pStyle w:val="115"/>
                    <w:bidi w:val="0"/>
                    <w:rPr>
                      <w:rFonts w:hint="eastAsia"/>
                      <w:lang w:val="en-US" w:eastAsia="zh-CN"/>
                    </w:rPr>
                  </w:pPr>
                  <w:r>
                    <w:rPr>
                      <w:rFonts w:hint="eastAsia"/>
                      <w:lang w:val="en-US" w:eastAsia="zh-CN"/>
                    </w:rPr>
                    <w:t>5</w:t>
                  </w:r>
                </w:p>
              </w:tc>
              <w:tc>
                <w:tcPr>
                  <w:tcW w:w="2663" w:type="pct"/>
                  <w:noWrap w:val="0"/>
                  <w:vAlign w:val="center"/>
                </w:tcPr>
                <w:p w14:paraId="6EC84850">
                  <w:pPr>
                    <w:pStyle w:val="115"/>
                    <w:bidi w:val="0"/>
                    <w:rPr>
                      <w:rFonts w:hint="eastAsia"/>
                      <w:lang w:val="en-US" w:eastAsia="zh-CN"/>
                    </w:rPr>
                  </w:pPr>
                  <w:r>
                    <w:rPr>
                      <w:rFonts w:hint="eastAsia"/>
                      <w:lang w:val="en-US" w:eastAsia="zh-CN"/>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282" w:type="pct"/>
                  <w:noWrap w:val="0"/>
                  <w:vAlign w:val="center"/>
                </w:tcPr>
                <w:p w14:paraId="5A68DCA7">
                  <w:pPr>
                    <w:pStyle w:val="115"/>
                    <w:bidi w:val="0"/>
                    <w:rPr>
                      <w:rFonts w:hint="default"/>
                      <w:lang w:val="en-US" w:eastAsia="zh-CN"/>
                    </w:rPr>
                  </w:pPr>
                  <w:r>
                    <w:rPr>
                      <w:rFonts w:hint="default"/>
                      <w:lang w:val="en-US" w:eastAsia="zh-CN"/>
                    </w:rPr>
                    <w:t>本项目位于洪江市</w:t>
                  </w:r>
                  <w:r>
                    <w:rPr>
                      <w:rFonts w:hint="eastAsia"/>
                      <w:lang w:val="en-US" w:eastAsia="zh-CN"/>
                    </w:rPr>
                    <w:t>安江镇</w:t>
                  </w:r>
                  <w:r>
                    <w:rPr>
                      <w:rFonts w:hint="default"/>
                      <w:lang w:val="en-US" w:eastAsia="zh-CN"/>
                    </w:rPr>
                    <w:t>，不占用长江流域河湖岸线。</w:t>
                  </w:r>
                </w:p>
              </w:tc>
              <w:tc>
                <w:tcPr>
                  <w:tcW w:w="564" w:type="pct"/>
                  <w:noWrap w:val="0"/>
                  <w:vAlign w:val="center"/>
                </w:tcPr>
                <w:p w14:paraId="2C1936ED">
                  <w:pPr>
                    <w:pStyle w:val="115"/>
                    <w:bidi w:val="0"/>
                    <w:rPr>
                      <w:rFonts w:hint="eastAsia"/>
                      <w:lang w:val="en-US" w:eastAsia="zh-CN"/>
                    </w:rPr>
                  </w:pPr>
                  <w:r>
                    <w:rPr>
                      <w:rFonts w:hint="eastAsia"/>
                      <w:lang w:val="en-US" w:eastAsia="zh-CN"/>
                    </w:rPr>
                    <w:t>符合</w:t>
                  </w:r>
                </w:p>
              </w:tc>
            </w:tr>
            <w:tr w14:paraId="1DF0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5ED90D81">
                  <w:pPr>
                    <w:pStyle w:val="115"/>
                    <w:bidi w:val="0"/>
                    <w:rPr>
                      <w:rFonts w:hint="eastAsia"/>
                      <w:lang w:val="en-US" w:eastAsia="zh-CN"/>
                    </w:rPr>
                  </w:pPr>
                  <w:r>
                    <w:rPr>
                      <w:rFonts w:hint="eastAsia"/>
                      <w:lang w:val="en-US" w:eastAsia="zh-CN"/>
                    </w:rPr>
                    <w:t>6</w:t>
                  </w:r>
                </w:p>
              </w:tc>
              <w:tc>
                <w:tcPr>
                  <w:tcW w:w="2663" w:type="pct"/>
                  <w:noWrap w:val="0"/>
                  <w:vAlign w:val="center"/>
                </w:tcPr>
                <w:p w14:paraId="5F3455F9">
                  <w:pPr>
                    <w:pStyle w:val="115"/>
                    <w:bidi w:val="0"/>
                    <w:rPr>
                      <w:rFonts w:hint="eastAsia"/>
                      <w:lang w:val="en-US" w:eastAsia="zh-CN"/>
                    </w:rPr>
                  </w:pPr>
                  <w:r>
                    <w:rPr>
                      <w:rFonts w:hint="eastAsia"/>
                      <w:lang w:val="en-US" w:eastAsia="zh-CN"/>
                    </w:rPr>
                    <w:t>禁止未经许可在长江干支流及湖泊新设、改设或扩大排污口</w:t>
                  </w:r>
                </w:p>
              </w:tc>
              <w:tc>
                <w:tcPr>
                  <w:tcW w:w="1282" w:type="pct"/>
                  <w:noWrap w:val="0"/>
                  <w:vAlign w:val="center"/>
                </w:tcPr>
                <w:p w14:paraId="53715374">
                  <w:pPr>
                    <w:pStyle w:val="115"/>
                    <w:bidi w:val="0"/>
                    <w:rPr>
                      <w:rFonts w:hint="default"/>
                      <w:lang w:val="en-US" w:eastAsia="zh-CN"/>
                    </w:rPr>
                  </w:pPr>
                  <w:r>
                    <w:rPr>
                      <w:rFonts w:hint="default"/>
                      <w:lang w:val="en-US" w:eastAsia="zh-CN"/>
                    </w:rPr>
                    <w:t>本项目</w:t>
                  </w:r>
                  <w:r>
                    <w:rPr>
                      <w:rFonts w:hint="eastAsia"/>
                      <w:lang w:val="en-US" w:eastAsia="zh-CN"/>
                    </w:rPr>
                    <w:t>建筑垃圾堆填场的选址均</w:t>
                  </w:r>
                  <w:r>
                    <w:rPr>
                      <w:rFonts w:hint="default"/>
                      <w:lang w:val="en-US" w:eastAsia="zh-CN"/>
                    </w:rPr>
                    <w:t>不涉及长江干支流及湖泊，</w:t>
                  </w:r>
                  <w:r>
                    <w:rPr>
                      <w:rFonts w:hint="eastAsia"/>
                      <w:lang w:val="en-US" w:eastAsia="zh-CN"/>
                    </w:rPr>
                    <w:t>仅设置单纯雨水排放口，无工业废水、生活污水混排。</w:t>
                  </w:r>
                </w:p>
              </w:tc>
              <w:tc>
                <w:tcPr>
                  <w:tcW w:w="564" w:type="pct"/>
                  <w:noWrap w:val="0"/>
                  <w:vAlign w:val="center"/>
                </w:tcPr>
                <w:p w14:paraId="08FD4192">
                  <w:pPr>
                    <w:pStyle w:val="115"/>
                    <w:bidi w:val="0"/>
                    <w:rPr>
                      <w:rFonts w:hint="eastAsia"/>
                      <w:lang w:val="en-US" w:eastAsia="zh-CN"/>
                    </w:rPr>
                  </w:pPr>
                  <w:r>
                    <w:rPr>
                      <w:rFonts w:hint="eastAsia"/>
                      <w:lang w:val="en-US" w:eastAsia="zh-CN"/>
                    </w:rPr>
                    <w:t>符合</w:t>
                  </w:r>
                </w:p>
              </w:tc>
            </w:tr>
            <w:tr w14:paraId="05ED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28034ED9">
                  <w:pPr>
                    <w:pStyle w:val="115"/>
                    <w:bidi w:val="0"/>
                    <w:rPr>
                      <w:rFonts w:hint="eastAsia"/>
                      <w:lang w:val="en-US" w:eastAsia="zh-CN"/>
                    </w:rPr>
                  </w:pPr>
                  <w:r>
                    <w:rPr>
                      <w:rFonts w:hint="eastAsia"/>
                      <w:lang w:val="en-US" w:eastAsia="zh-CN"/>
                    </w:rPr>
                    <w:t>7</w:t>
                  </w:r>
                </w:p>
              </w:tc>
              <w:tc>
                <w:tcPr>
                  <w:tcW w:w="2663" w:type="pct"/>
                  <w:noWrap w:val="0"/>
                  <w:vAlign w:val="center"/>
                </w:tcPr>
                <w:p w14:paraId="4E5FF0AC">
                  <w:pPr>
                    <w:pStyle w:val="115"/>
                    <w:bidi w:val="0"/>
                    <w:rPr>
                      <w:rFonts w:hint="eastAsia"/>
                      <w:lang w:val="en-US" w:eastAsia="zh-CN"/>
                    </w:rPr>
                  </w:pPr>
                  <w:r>
                    <w:rPr>
                      <w:rFonts w:hint="eastAsia"/>
                      <w:lang w:val="en-US" w:eastAsia="zh-CN"/>
                    </w:rPr>
                    <w:t>禁止在“一江一口两湖七河”和332个水生生物保护区开展生产性捕捞。</w:t>
                  </w:r>
                </w:p>
              </w:tc>
              <w:tc>
                <w:tcPr>
                  <w:tcW w:w="1282" w:type="pct"/>
                  <w:noWrap w:val="0"/>
                  <w:vAlign w:val="center"/>
                </w:tcPr>
                <w:p w14:paraId="60A09171">
                  <w:pPr>
                    <w:pStyle w:val="115"/>
                    <w:bidi w:val="0"/>
                    <w:rPr>
                      <w:rFonts w:hint="eastAsia"/>
                      <w:lang w:val="en-US" w:eastAsia="zh-CN"/>
                    </w:rPr>
                  </w:pPr>
                  <w:r>
                    <w:rPr>
                      <w:rFonts w:hint="eastAsia"/>
                      <w:lang w:val="en-US" w:eastAsia="zh-CN"/>
                    </w:rPr>
                    <w:t>本项目不涉及上述水域及保护区。</w:t>
                  </w:r>
                </w:p>
              </w:tc>
              <w:tc>
                <w:tcPr>
                  <w:tcW w:w="564" w:type="pct"/>
                  <w:noWrap w:val="0"/>
                  <w:vAlign w:val="center"/>
                </w:tcPr>
                <w:p w14:paraId="7797F455">
                  <w:pPr>
                    <w:pStyle w:val="115"/>
                    <w:bidi w:val="0"/>
                    <w:rPr>
                      <w:rFonts w:hint="eastAsia"/>
                      <w:lang w:val="en-US" w:eastAsia="zh-CN"/>
                    </w:rPr>
                  </w:pPr>
                  <w:r>
                    <w:rPr>
                      <w:rFonts w:hint="eastAsia"/>
                      <w:lang w:val="en-US" w:eastAsia="zh-CN"/>
                    </w:rPr>
                    <w:t>符合</w:t>
                  </w:r>
                </w:p>
              </w:tc>
            </w:tr>
            <w:tr w14:paraId="4CE4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7386F8FF">
                  <w:pPr>
                    <w:pStyle w:val="115"/>
                    <w:bidi w:val="0"/>
                    <w:rPr>
                      <w:rFonts w:hint="eastAsia"/>
                      <w:lang w:val="en-US" w:eastAsia="zh-CN"/>
                    </w:rPr>
                  </w:pPr>
                  <w:r>
                    <w:rPr>
                      <w:rFonts w:hint="eastAsia"/>
                      <w:lang w:val="en-US" w:eastAsia="zh-CN"/>
                    </w:rPr>
                    <w:t>8</w:t>
                  </w:r>
                </w:p>
              </w:tc>
              <w:tc>
                <w:tcPr>
                  <w:tcW w:w="2663" w:type="pct"/>
                  <w:noWrap w:val="0"/>
                  <w:vAlign w:val="center"/>
                </w:tcPr>
                <w:p w14:paraId="7563BA07">
                  <w:pPr>
                    <w:pStyle w:val="115"/>
                    <w:bidi w:val="0"/>
                    <w:rPr>
                      <w:rFonts w:hint="eastAsia"/>
                      <w:lang w:val="en-US" w:eastAsia="zh-CN"/>
                    </w:rPr>
                  </w:pPr>
                  <w:r>
                    <w:rPr>
                      <w:rFonts w:hint="eastAsia"/>
                      <w:lang w:val="en-US" w:eastAsia="zh-CN"/>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282" w:type="pct"/>
                  <w:noWrap w:val="0"/>
                  <w:vAlign w:val="center"/>
                </w:tcPr>
                <w:p w14:paraId="21E91B1E">
                  <w:pPr>
                    <w:pStyle w:val="115"/>
                    <w:bidi w:val="0"/>
                    <w:rPr>
                      <w:rFonts w:hint="default"/>
                      <w:lang w:val="en-US" w:eastAsia="zh-CN"/>
                    </w:rPr>
                  </w:pPr>
                  <w:r>
                    <w:rPr>
                      <w:rFonts w:hint="default"/>
                      <w:lang w:val="en-US" w:eastAsia="zh-CN"/>
                    </w:rPr>
                    <w:t>本项目为固体废物治理项目，不涉及化工及尾矿库建设。</w:t>
                  </w:r>
                </w:p>
              </w:tc>
              <w:tc>
                <w:tcPr>
                  <w:tcW w:w="564" w:type="pct"/>
                  <w:noWrap w:val="0"/>
                  <w:vAlign w:val="center"/>
                </w:tcPr>
                <w:p w14:paraId="3C110AA8">
                  <w:pPr>
                    <w:pStyle w:val="115"/>
                    <w:bidi w:val="0"/>
                    <w:rPr>
                      <w:rFonts w:hint="eastAsia"/>
                      <w:lang w:val="en-US" w:eastAsia="zh-CN"/>
                    </w:rPr>
                  </w:pPr>
                  <w:r>
                    <w:rPr>
                      <w:rFonts w:hint="eastAsia"/>
                      <w:lang w:val="en-US" w:eastAsia="zh-CN"/>
                    </w:rPr>
                    <w:t>符合</w:t>
                  </w:r>
                </w:p>
              </w:tc>
            </w:tr>
            <w:tr w14:paraId="4665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71B72D49">
                  <w:pPr>
                    <w:pStyle w:val="115"/>
                    <w:bidi w:val="0"/>
                    <w:rPr>
                      <w:rFonts w:hint="eastAsia"/>
                      <w:lang w:val="en-US" w:eastAsia="zh-CN"/>
                    </w:rPr>
                  </w:pPr>
                  <w:r>
                    <w:rPr>
                      <w:rFonts w:hint="eastAsia"/>
                      <w:lang w:val="en-US" w:eastAsia="zh-CN"/>
                    </w:rPr>
                    <w:t>9</w:t>
                  </w:r>
                </w:p>
              </w:tc>
              <w:tc>
                <w:tcPr>
                  <w:tcW w:w="2663" w:type="pct"/>
                  <w:noWrap w:val="0"/>
                  <w:vAlign w:val="center"/>
                </w:tcPr>
                <w:p w14:paraId="5745D404">
                  <w:pPr>
                    <w:pStyle w:val="115"/>
                    <w:bidi w:val="0"/>
                    <w:rPr>
                      <w:rFonts w:hint="eastAsia"/>
                      <w:lang w:val="en-US" w:eastAsia="zh-CN"/>
                    </w:rPr>
                  </w:pPr>
                  <w:r>
                    <w:rPr>
                      <w:rFonts w:hint="eastAsia"/>
                      <w:lang w:val="en-US" w:eastAsia="zh-CN"/>
                    </w:rPr>
                    <w:t>禁止在合规园区外新建、扩建钢铁、石化、化工、焦化、建材、有色、制浆造纸等高污染项目。</w:t>
                  </w:r>
                </w:p>
              </w:tc>
              <w:tc>
                <w:tcPr>
                  <w:tcW w:w="1282" w:type="pct"/>
                  <w:noWrap w:val="0"/>
                  <w:vAlign w:val="center"/>
                </w:tcPr>
                <w:p w14:paraId="4BC86608">
                  <w:pPr>
                    <w:pStyle w:val="115"/>
                    <w:bidi w:val="0"/>
                    <w:rPr>
                      <w:rFonts w:hint="eastAsia"/>
                      <w:lang w:val="en-US" w:eastAsia="zh-CN"/>
                    </w:rPr>
                  </w:pPr>
                  <w:r>
                    <w:rPr>
                      <w:rFonts w:hint="eastAsia"/>
                      <w:lang w:val="en-US" w:eastAsia="zh-CN"/>
                    </w:rPr>
                    <w:t>项目为</w:t>
                  </w:r>
                  <w:r>
                    <w:rPr>
                      <w:rFonts w:hint="default"/>
                      <w:lang w:val="en-US" w:eastAsia="zh-CN"/>
                    </w:rPr>
                    <w:t>固体废物治理</w:t>
                  </w:r>
                  <w:r>
                    <w:rPr>
                      <w:rFonts w:hint="eastAsia"/>
                      <w:lang w:val="en-US" w:eastAsia="zh-CN"/>
                    </w:rPr>
                    <w:t>项目，不属于高污染项目，选址不在合规园区内，但符合其行业选址要求。</w:t>
                  </w:r>
                </w:p>
              </w:tc>
              <w:tc>
                <w:tcPr>
                  <w:tcW w:w="564" w:type="pct"/>
                  <w:noWrap w:val="0"/>
                  <w:vAlign w:val="center"/>
                </w:tcPr>
                <w:p w14:paraId="68BF16F4">
                  <w:pPr>
                    <w:pStyle w:val="115"/>
                    <w:bidi w:val="0"/>
                    <w:rPr>
                      <w:rFonts w:hint="eastAsia"/>
                      <w:lang w:val="en-US" w:eastAsia="zh-CN"/>
                    </w:rPr>
                  </w:pPr>
                  <w:r>
                    <w:rPr>
                      <w:rFonts w:hint="eastAsia"/>
                      <w:lang w:val="en-US" w:eastAsia="zh-CN"/>
                    </w:rPr>
                    <w:t>符合</w:t>
                  </w:r>
                </w:p>
              </w:tc>
            </w:tr>
            <w:tr w14:paraId="53A6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20259C0C">
                  <w:pPr>
                    <w:pStyle w:val="115"/>
                    <w:bidi w:val="0"/>
                    <w:rPr>
                      <w:rFonts w:hint="default"/>
                      <w:lang w:val="en-US" w:eastAsia="zh-CN"/>
                    </w:rPr>
                  </w:pPr>
                  <w:r>
                    <w:rPr>
                      <w:rFonts w:hint="eastAsia"/>
                      <w:lang w:val="en-US" w:eastAsia="zh-CN"/>
                    </w:rPr>
                    <w:t>10</w:t>
                  </w:r>
                </w:p>
              </w:tc>
              <w:tc>
                <w:tcPr>
                  <w:tcW w:w="2663" w:type="pct"/>
                  <w:noWrap w:val="0"/>
                  <w:vAlign w:val="center"/>
                </w:tcPr>
                <w:p w14:paraId="6D367444">
                  <w:pPr>
                    <w:pStyle w:val="115"/>
                    <w:bidi w:val="0"/>
                    <w:rPr>
                      <w:rFonts w:hint="eastAsia"/>
                      <w:lang w:val="en-US" w:eastAsia="zh-CN"/>
                    </w:rPr>
                  </w:pPr>
                  <w:r>
                    <w:rPr>
                      <w:rFonts w:hint="eastAsia"/>
                      <w:lang w:val="en-US" w:eastAsia="zh-CN"/>
                    </w:rPr>
                    <w:t>禁止新建、扩建不符合国家石化、现代煤化工等产业布局规划的项目。</w:t>
                  </w:r>
                </w:p>
              </w:tc>
              <w:tc>
                <w:tcPr>
                  <w:tcW w:w="1282" w:type="pct"/>
                  <w:noWrap w:val="0"/>
                  <w:vAlign w:val="center"/>
                </w:tcPr>
                <w:p w14:paraId="4024C1EC">
                  <w:pPr>
                    <w:pStyle w:val="115"/>
                    <w:bidi w:val="0"/>
                    <w:rPr>
                      <w:rFonts w:hint="eastAsia"/>
                      <w:lang w:val="en-US" w:eastAsia="zh-CN"/>
                    </w:rPr>
                  </w:pPr>
                  <w:r>
                    <w:rPr>
                      <w:rFonts w:hint="eastAsia"/>
                      <w:lang w:val="en-US" w:eastAsia="zh-CN"/>
                    </w:rPr>
                    <w:t>项目为</w:t>
                  </w:r>
                  <w:r>
                    <w:rPr>
                      <w:rFonts w:hint="default"/>
                      <w:lang w:val="en-US" w:eastAsia="zh-CN"/>
                    </w:rPr>
                    <w:t>固体废物治理</w:t>
                  </w:r>
                  <w:r>
                    <w:rPr>
                      <w:rFonts w:hint="eastAsia"/>
                      <w:lang w:val="en-US" w:eastAsia="zh-CN"/>
                    </w:rPr>
                    <w:t>项目，选址符合地方规划。</w:t>
                  </w:r>
                </w:p>
              </w:tc>
              <w:tc>
                <w:tcPr>
                  <w:tcW w:w="564" w:type="pct"/>
                  <w:noWrap w:val="0"/>
                  <w:vAlign w:val="center"/>
                </w:tcPr>
                <w:p w14:paraId="0B6CA718">
                  <w:pPr>
                    <w:pStyle w:val="115"/>
                    <w:bidi w:val="0"/>
                    <w:rPr>
                      <w:rFonts w:hint="eastAsia"/>
                      <w:lang w:val="en-US" w:eastAsia="zh-CN"/>
                    </w:rPr>
                  </w:pPr>
                  <w:r>
                    <w:rPr>
                      <w:rFonts w:hint="eastAsia"/>
                      <w:lang w:val="en-US" w:eastAsia="zh-CN"/>
                    </w:rPr>
                    <w:t>符合</w:t>
                  </w:r>
                </w:p>
              </w:tc>
            </w:tr>
            <w:tr w14:paraId="7DB5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8" w:type="pct"/>
                  <w:noWrap w:val="0"/>
                  <w:vAlign w:val="center"/>
                </w:tcPr>
                <w:p w14:paraId="3A2DAA25">
                  <w:pPr>
                    <w:pStyle w:val="115"/>
                    <w:bidi w:val="0"/>
                    <w:rPr>
                      <w:rFonts w:hint="default"/>
                      <w:lang w:val="en-US" w:eastAsia="zh-CN"/>
                    </w:rPr>
                  </w:pPr>
                  <w:r>
                    <w:rPr>
                      <w:rFonts w:hint="eastAsia"/>
                      <w:lang w:val="en-US" w:eastAsia="zh-CN"/>
                    </w:rPr>
                    <w:t>11</w:t>
                  </w:r>
                </w:p>
              </w:tc>
              <w:tc>
                <w:tcPr>
                  <w:tcW w:w="2663" w:type="pct"/>
                  <w:noWrap w:val="0"/>
                  <w:vAlign w:val="center"/>
                </w:tcPr>
                <w:p w14:paraId="743A6D2E">
                  <w:pPr>
                    <w:pStyle w:val="115"/>
                    <w:bidi w:val="0"/>
                    <w:rPr>
                      <w:rFonts w:hint="eastAsia"/>
                      <w:lang w:val="en-US" w:eastAsia="zh-CN"/>
                    </w:rPr>
                  </w:pPr>
                  <w:r>
                    <w:rPr>
                      <w:rFonts w:hint="eastAsia"/>
                      <w:lang w:val="en-US" w:eastAsia="zh-CN"/>
                    </w:rPr>
                    <w:t>禁止新建、扩建法律法规和相关政策明令禁止的落后产能项目。禁止新建、扩建不符合国家产能置换要求的严重过剩产能行业的项目。禁止新建、扩建不符合要求的高耗能高排放项目。</w:t>
                  </w:r>
                </w:p>
              </w:tc>
              <w:tc>
                <w:tcPr>
                  <w:tcW w:w="1282" w:type="pct"/>
                  <w:noWrap w:val="0"/>
                  <w:vAlign w:val="center"/>
                </w:tcPr>
                <w:p w14:paraId="7F935A62">
                  <w:pPr>
                    <w:pStyle w:val="115"/>
                    <w:bidi w:val="0"/>
                    <w:rPr>
                      <w:rFonts w:hint="eastAsia"/>
                      <w:lang w:val="en-US" w:eastAsia="zh-CN"/>
                    </w:rPr>
                  </w:pPr>
                  <w:r>
                    <w:rPr>
                      <w:rFonts w:hint="eastAsia"/>
                      <w:lang w:val="en-US" w:eastAsia="zh-CN"/>
                    </w:rPr>
                    <w:t>本项目属于《产业结构调整指导目录》中的鼓励类项目，不属于落后、过剩产能或高耗能项目。</w:t>
                  </w:r>
                </w:p>
              </w:tc>
              <w:tc>
                <w:tcPr>
                  <w:tcW w:w="564" w:type="pct"/>
                  <w:noWrap w:val="0"/>
                  <w:vAlign w:val="center"/>
                </w:tcPr>
                <w:p w14:paraId="63C2A3E5">
                  <w:pPr>
                    <w:pStyle w:val="115"/>
                    <w:bidi w:val="0"/>
                    <w:rPr>
                      <w:rFonts w:hint="eastAsia"/>
                      <w:lang w:val="en-US" w:eastAsia="zh-CN"/>
                    </w:rPr>
                  </w:pPr>
                  <w:r>
                    <w:rPr>
                      <w:rFonts w:hint="eastAsia"/>
                      <w:lang w:val="en-US" w:eastAsia="zh-CN"/>
                    </w:rPr>
                    <w:t>符合</w:t>
                  </w:r>
                </w:p>
              </w:tc>
            </w:tr>
          </w:tbl>
          <w:p w14:paraId="492BEF8B">
            <w:pPr>
              <w:pStyle w:val="5"/>
              <w:bidi w:val="0"/>
              <w:rPr>
                <w:rFonts w:hint="eastAsia"/>
                <w:lang w:val="en-US" w:eastAsia="zh-CN"/>
              </w:rPr>
            </w:pPr>
            <w:r>
              <w:rPr>
                <w:rFonts w:hint="eastAsia"/>
                <w:lang w:val="en-US" w:eastAsia="zh-CN"/>
              </w:rPr>
              <w:t>1.2.2与《湖南省长江经济带发展负面清单实施细则（试行，2022年版）》的符合性分析</w:t>
            </w:r>
          </w:p>
          <w:p w14:paraId="028D3E79">
            <w:pPr>
              <w:bidi w:val="0"/>
              <w:rPr>
                <w:rFonts w:hint="eastAsia"/>
                <w:u w:val="none"/>
                <w:lang w:val="en-US" w:eastAsia="zh-CN"/>
              </w:rPr>
            </w:pPr>
            <w:r>
              <w:rPr>
                <w:rFonts w:hint="eastAsia"/>
                <w:u w:val="none"/>
                <w:lang w:val="en-US" w:eastAsia="zh-CN"/>
              </w:rPr>
              <w:t>根据《湖南省长江经济带发展负面清单实施细则（试行，2022年版）》，为确保湖南省涉及长江的一切经济活动不破坏生态环境，制定该细则，其细则内容及符合性分析详见下表。</w:t>
            </w:r>
          </w:p>
          <w:p w14:paraId="7101E92A">
            <w:pPr>
              <w:pStyle w:val="44"/>
              <w:bidi w:val="0"/>
              <w:rPr>
                <w:rFonts w:hint="eastAsia"/>
                <w:lang w:val="en-US" w:eastAsia="zh-CN"/>
              </w:rPr>
            </w:pPr>
            <w:r>
              <w:rPr>
                <w:rFonts w:hint="eastAsia"/>
                <w:lang w:val="en-US" w:eastAsia="zh-CN"/>
              </w:rPr>
              <w:t>表1.2-2：与《湖南省长江经济带发展负面清单实施细则（试行，2022年版）》符合性分析</w:t>
            </w:r>
          </w:p>
          <w:tbl>
            <w:tblPr>
              <w:tblStyle w:val="38"/>
              <w:tblW w:w="4912" w:type="pct"/>
              <w:jc w:val="center"/>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4861"/>
              <w:gridCol w:w="1587"/>
              <w:gridCol w:w="1443"/>
            </w:tblGrid>
            <w:tr w14:paraId="6812F228">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tcBorders>
                    <w:top w:val="single" w:color="auto" w:sz="4" w:space="0"/>
                  </w:tcBorders>
                  <w:noWrap w:val="0"/>
                  <w:vAlign w:val="center"/>
                </w:tcPr>
                <w:p w14:paraId="37E110B3">
                  <w:pPr>
                    <w:pStyle w:val="115"/>
                    <w:bidi w:val="0"/>
                    <w:jc w:val="center"/>
                    <w:rPr>
                      <w:rFonts w:hint="eastAsia"/>
                      <w:b/>
                      <w:bCs/>
                      <w:u w:val="none"/>
                      <w:lang w:val="en-US" w:eastAsia="zh-CN"/>
                    </w:rPr>
                  </w:pPr>
                  <w:r>
                    <w:rPr>
                      <w:rFonts w:hint="eastAsia"/>
                      <w:b/>
                      <w:bCs/>
                      <w:u w:val="none"/>
                      <w:lang w:val="en-US" w:eastAsia="zh-CN"/>
                    </w:rPr>
                    <w:t>内容</w:t>
                  </w:r>
                </w:p>
              </w:tc>
              <w:tc>
                <w:tcPr>
                  <w:tcW w:w="1005" w:type="pct"/>
                  <w:tcBorders>
                    <w:top w:val="single" w:color="auto" w:sz="4" w:space="0"/>
                  </w:tcBorders>
                  <w:noWrap w:val="0"/>
                  <w:vAlign w:val="center"/>
                </w:tcPr>
                <w:p w14:paraId="31A72770">
                  <w:pPr>
                    <w:pStyle w:val="115"/>
                    <w:bidi w:val="0"/>
                    <w:jc w:val="center"/>
                    <w:rPr>
                      <w:rFonts w:hint="eastAsia"/>
                      <w:b/>
                      <w:bCs/>
                      <w:u w:val="none"/>
                      <w:lang w:val="en-US" w:eastAsia="zh-CN"/>
                    </w:rPr>
                  </w:pPr>
                  <w:r>
                    <w:rPr>
                      <w:rFonts w:hint="eastAsia"/>
                      <w:b/>
                      <w:bCs/>
                      <w:u w:val="none"/>
                      <w:lang w:val="en-US" w:eastAsia="zh-CN"/>
                    </w:rPr>
                    <w:t>本项目情况</w:t>
                  </w:r>
                </w:p>
              </w:tc>
              <w:tc>
                <w:tcPr>
                  <w:tcW w:w="914" w:type="pct"/>
                  <w:tcBorders>
                    <w:top w:val="single" w:color="auto" w:sz="4" w:space="0"/>
                    <w:right w:val="single" w:color="auto" w:sz="4" w:space="0"/>
                  </w:tcBorders>
                  <w:noWrap w:val="0"/>
                  <w:vAlign w:val="center"/>
                </w:tcPr>
                <w:p w14:paraId="3C1778C9">
                  <w:pPr>
                    <w:pStyle w:val="115"/>
                    <w:bidi w:val="0"/>
                    <w:jc w:val="center"/>
                    <w:rPr>
                      <w:rFonts w:hint="eastAsia"/>
                      <w:b/>
                      <w:bCs/>
                      <w:u w:val="none"/>
                      <w:lang w:val="en-US" w:eastAsia="zh-CN"/>
                    </w:rPr>
                  </w:pPr>
                  <w:r>
                    <w:rPr>
                      <w:rFonts w:hint="eastAsia"/>
                      <w:b/>
                      <w:bCs/>
                      <w:u w:val="none"/>
                      <w:lang w:val="en-US" w:eastAsia="zh-CN"/>
                    </w:rPr>
                    <w:t>符合性分析</w:t>
                  </w:r>
                </w:p>
              </w:tc>
            </w:tr>
            <w:tr w14:paraId="5377ED36">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79320439">
                  <w:pPr>
                    <w:pStyle w:val="115"/>
                    <w:bidi w:val="0"/>
                    <w:jc w:val="center"/>
                    <w:rPr>
                      <w:rFonts w:hint="eastAsia"/>
                      <w:u w:val="none"/>
                      <w:lang w:val="en-US" w:eastAsia="zh-CN"/>
                    </w:rPr>
                  </w:pPr>
                  <w:r>
                    <w:rPr>
                      <w:rFonts w:hint="eastAsia"/>
                      <w:u w:val="none"/>
                      <w:lang w:val="en-US" w:eastAsia="zh-CN"/>
                    </w:rPr>
                    <w:t>1、禁止建设不符合全国和省级港口布局规划以及港口总体规划的码头项目，禁止建设不符合《长江干线过江通道布局规划》的过长江通道项目。</w:t>
                  </w:r>
                </w:p>
              </w:tc>
              <w:tc>
                <w:tcPr>
                  <w:tcW w:w="1005" w:type="pct"/>
                  <w:noWrap w:val="0"/>
                  <w:vAlign w:val="center"/>
                </w:tcPr>
                <w:p w14:paraId="09EC5961">
                  <w:pPr>
                    <w:pStyle w:val="115"/>
                    <w:bidi w:val="0"/>
                    <w:jc w:val="center"/>
                    <w:rPr>
                      <w:rFonts w:hint="eastAsia"/>
                      <w:u w:val="none"/>
                      <w:lang w:val="en-US" w:eastAsia="zh-CN"/>
                    </w:rPr>
                  </w:pPr>
                  <w:r>
                    <w:rPr>
                      <w:rFonts w:hint="eastAsia"/>
                      <w:u w:val="none"/>
                      <w:lang w:val="en-US" w:eastAsia="zh-CN"/>
                    </w:rPr>
                    <w:t>本项目不属于码头项目</w:t>
                  </w:r>
                </w:p>
              </w:tc>
              <w:tc>
                <w:tcPr>
                  <w:tcW w:w="914" w:type="pct"/>
                  <w:tcBorders>
                    <w:right w:val="single" w:color="auto" w:sz="4" w:space="0"/>
                  </w:tcBorders>
                  <w:noWrap w:val="0"/>
                  <w:vAlign w:val="center"/>
                </w:tcPr>
                <w:p w14:paraId="357EF99A">
                  <w:pPr>
                    <w:pStyle w:val="115"/>
                    <w:bidi w:val="0"/>
                    <w:jc w:val="center"/>
                    <w:rPr>
                      <w:rFonts w:hint="eastAsia"/>
                      <w:u w:val="none"/>
                      <w:lang w:val="en-US" w:eastAsia="zh-CN"/>
                    </w:rPr>
                  </w:pPr>
                  <w:r>
                    <w:rPr>
                      <w:rFonts w:hint="eastAsia"/>
                      <w:u w:val="none"/>
                      <w:lang w:val="en-US" w:eastAsia="zh-CN"/>
                    </w:rPr>
                    <w:t>符合</w:t>
                  </w:r>
                </w:p>
              </w:tc>
            </w:tr>
            <w:tr w14:paraId="629A33DF">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16A9BCCB">
                  <w:pPr>
                    <w:pStyle w:val="115"/>
                    <w:bidi w:val="0"/>
                    <w:jc w:val="center"/>
                    <w:rPr>
                      <w:rFonts w:hint="eastAsia"/>
                      <w:u w:val="none"/>
                      <w:lang w:val="en-US" w:eastAsia="zh-CN"/>
                    </w:rPr>
                  </w:pPr>
                  <w:r>
                    <w:rPr>
                      <w:rFonts w:hint="eastAsia"/>
                      <w:u w:val="none"/>
                      <w:lang w:val="en-US" w:eastAsia="zh-CN"/>
                    </w:rPr>
                    <w:t>2、禁止在自然保护区核心区、缓冲区的岸线和河段范围内投资建设旅游和生产经营项目。禁止在风景名胜区核心景区的岸线和河段范围内投资建设与风景名胜资源保护无关的项目。</w:t>
                  </w:r>
                </w:p>
              </w:tc>
              <w:tc>
                <w:tcPr>
                  <w:tcW w:w="1005" w:type="pct"/>
                  <w:noWrap w:val="0"/>
                  <w:vAlign w:val="center"/>
                </w:tcPr>
                <w:p w14:paraId="043D00C5">
                  <w:pPr>
                    <w:pStyle w:val="115"/>
                    <w:bidi w:val="0"/>
                    <w:jc w:val="center"/>
                    <w:rPr>
                      <w:rFonts w:hint="default"/>
                      <w:u w:val="none"/>
                      <w:lang w:val="en-US" w:eastAsia="zh-CN"/>
                    </w:rPr>
                  </w:pPr>
                  <w:r>
                    <w:rPr>
                      <w:rFonts w:hint="eastAsia"/>
                      <w:u w:val="none"/>
                      <w:lang w:val="en-US" w:eastAsia="zh-CN"/>
                    </w:rPr>
                    <w:t>不涉及自然保护区、风景名胜区</w:t>
                  </w:r>
                </w:p>
              </w:tc>
              <w:tc>
                <w:tcPr>
                  <w:tcW w:w="914" w:type="pct"/>
                  <w:tcBorders>
                    <w:right w:val="single" w:color="auto" w:sz="4" w:space="0"/>
                  </w:tcBorders>
                  <w:noWrap w:val="0"/>
                  <w:vAlign w:val="center"/>
                </w:tcPr>
                <w:p w14:paraId="7FC184CA">
                  <w:pPr>
                    <w:pStyle w:val="115"/>
                    <w:bidi w:val="0"/>
                    <w:jc w:val="center"/>
                    <w:rPr>
                      <w:rFonts w:hint="eastAsia"/>
                      <w:u w:val="none"/>
                      <w:lang w:val="en-US" w:eastAsia="zh-CN"/>
                    </w:rPr>
                  </w:pPr>
                  <w:r>
                    <w:rPr>
                      <w:rFonts w:hint="eastAsia"/>
                      <w:u w:val="none"/>
                      <w:lang w:val="en-US" w:eastAsia="zh-CN"/>
                    </w:rPr>
                    <w:t>符合</w:t>
                  </w:r>
                </w:p>
              </w:tc>
            </w:tr>
            <w:tr w14:paraId="2F05CC5F">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079" w:type="pct"/>
                  <w:noWrap w:val="0"/>
                  <w:vAlign w:val="center"/>
                </w:tcPr>
                <w:p w14:paraId="667E3D03">
                  <w:pPr>
                    <w:pStyle w:val="115"/>
                    <w:bidi w:val="0"/>
                    <w:jc w:val="center"/>
                    <w:rPr>
                      <w:rFonts w:hint="eastAsia"/>
                      <w:u w:val="none"/>
                      <w:lang w:val="en-US" w:eastAsia="zh-CN"/>
                    </w:rPr>
                  </w:pPr>
                  <w:r>
                    <w:rPr>
                      <w:rFonts w:hint="eastAsia"/>
                      <w:u w:val="none"/>
                      <w:lang w:val="en-US" w:eastAsia="zh-CN"/>
                    </w:rPr>
                    <w:t>3、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005" w:type="pct"/>
                  <w:noWrap w:val="0"/>
                  <w:vAlign w:val="center"/>
                </w:tcPr>
                <w:p w14:paraId="3FEB736C">
                  <w:pPr>
                    <w:pStyle w:val="115"/>
                    <w:bidi w:val="0"/>
                    <w:jc w:val="center"/>
                    <w:rPr>
                      <w:rFonts w:hint="default"/>
                      <w:u w:val="none"/>
                      <w:lang w:val="en-US" w:eastAsia="zh-CN"/>
                    </w:rPr>
                  </w:pPr>
                  <w:r>
                    <w:rPr>
                      <w:rFonts w:hint="eastAsia"/>
                      <w:u w:val="none"/>
                      <w:lang w:val="en-US" w:eastAsia="zh-CN"/>
                    </w:rPr>
                    <w:t>不涉及饮用水源</w:t>
                  </w:r>
                </w:p>
              </w:tc>
              <w:tc>
                <w:tcPr>
                  <w:tcW w:w="914" w:type="pct"/>
                  <w:tcBorders>
                    <w:right w:val="single" w:color="auto" w:sz="4" w:space="0"/>
                  </w:tcBorders>
                  <w:noWrap w:val="0"/>
                  <w:vAlign w:val="center"/>
                </w:tcPr>
                <w:p w14:paraId="171E5993">
                  <w:pPr>
                    <w:pStyle w:val="115"/>
                    <w:bidi w:val="0"/>
                    <w:jc w:val="center"/>
                    <w:rPr>
                      <w:rFonts w:hint="eastAsia"/>
                      <w:u w:val="none"/>
                      <w:lang w:val="en-US" w:eastAsia="zh-CN"/>
                    </w:rPr>
                  </w:pPr>
                  <w:r>
                    <w:rPr>
                      <w:rFonts w:hint="eastAsia"/>
                      <w:u w:val="none"/>
                      <w:lang w:val="en-US" w:eastAsia="zh-CN"/>
                    </w:rPr>
                    <w:t>符合</w:t>
                  </w:r>
                </w:p>
              </w:tc>
            </w:tr>
            <w:tr w14:paraId="30DA73E6">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5BD151BA">
                  <w:pPr>
                    <w:pStyle w:val="115"/>
                    <w:bidi w:val="0"/>
                    <w:jc w:val="center"/>
                    <w:rPr>
                      <w:rFonts w:hint="eastAsia"/>
                      <w:u w:val="none"/>
                      <w:lang w:val="en-US" w:eastAsia="zh-CN"/>
                    </w:rPr>
                  </w:pPr>
                  <w:r>
                    <w:rPr>
                      <w:rFonts w:hint="eastAsia"/>
                      <w:u w:val="none"/>
                      <w:lang w:val="en-US" w:eastAsia="zh-CN"/>
                    </w:rPr>
                    <w:t>4、禁止在水产种质资源保护区的岸线和河段范围内新建围湖造田、围海造地或围填海等投资建设项目。禁止在国家湿地公园的岸线和河段范围内挖沙、采矿，以及任何不符合主体功能定位的投资建设项目。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005" w:type="pct"/>
                  <w:noWrap w:val="0"/>
                  <w:vAlign w:val="center"/>
                </w:tcPr>
                <w:p w14:paraId="23D07CB3">
                  <w:pPr>
                    <w:pStyle w:val="115"/>
                    <w:bidi w:val="0"/>
                    <w:jc w:val="center"/>
                    <w:rPr>
                      <w:rFonts w:hint="default"/>
                      <w:u w:val="none"/>
                      <w:lang w:val="en-US" w:eastAsia="zh-CN"/>
                    </w:rPr>
                  </w:pPr>
                  <w:r>
                    <w:rPr>
                      <w:rFonts w:hint="eastAsia"/>
                      <w:u w:val="none"/>
                      <w:lang w:val="en-US" w:eastAsia="zh-CN"/>
                    </w:rPr>
                    <w:t>不涉及水产种质资源保护区</w:t>
                  </w:r>
                </w:p>
              </w:tc>
              <w:tc>
                <w:tcPr>
                  <w:tcW w:w="914" w:type="pct"/>
                  <w:tcBorders>
                    <w:right w:val="single" w:color="auto" w:sz="4" w:space="0"/>
                  </w:tcBorders>
                  <w:noWrap w:val="0"/>
                  <w:vAlign w:val="center"/>
                </w:tcPr>
                <w:p w14:paraId="5E355C62">
                  <w:pPr>
                    <w:pStyle w:val="115"/>
                    <w:bidi w:val="0"/>
                    <w:jc w:val="center"/>
                    <w:rPr>
                      <w:rFonts w:hint="eastAsia"/>
                      <w:u w:val="none"/>
                      <w:lang w:val="en-US" w:eastAsia="zh-CN"/>
                    </w:rPr>
                  </w:pPr>
                  <w:r>
                    <w:rPr>
                      <w:rFonts w:hint="eastAsia"/>
                      <w:u w:val="none"/>
                      <w:lang w:val="en-US" w:eastAsia="zh-CN"/>
                    </w:rPr>
                    <w:t>符合</w:t>
                  </w:r>
                </w:p>
              </w:tc>
            </w:tr>
            <w:tr w14:paraId="017F77B3">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5D4C9710">
                  <w:pPr>
                    <w:pStyle w:val="115"/>
                    <w:bidi w:val="0"/>
                    <w:jc w:val="center"/>
                    <w:rPr>
                      <w:rFonts w:hint="eastAsia"/>
                      <w:u w:val="none"/>
                      <w:lang w:val="en-US" w:eastAsia="zh-CN"/>
                    </w:rPr>
                  </w:pPr>
                  <w:r>
                    <w:rPr>
                      <w:rFonts w:hint="eastAsia"/>
                      <w:u w:val="none"/>
                      <w:lang w:val="en-US" w:eastAsia="zh-CN"/>
                    </w:rPr>
                    <w:t>5、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005" w:type="pct"/>
                  <w:noWrap w:val="0"/>
                  <w:vAlign w:val="center"/>
                </w:tcPr>
                <w:p w14:paraId="351DF33C">
                  <w:pPr>
                    <w:pStyle w:val="115"/>
                    <w:bidi w:val="0"/>
                    <w:jc w:val="center"/>
                    <w:rPr>
                      <w:rFonts w:hint="default"/>
                      <w:u w:val="none"/>
                      <w:lang w:val="en-US" w:eastAsia="zh-CN"/>
                    </w:rPr>
                  </w:pPr>
                  <w:r>
                    <w:rPr>
                      <w:rFonts w:hint="eastAsia"/>
                      <w:u w:val="none"/>
                      <w:lang w:val="en-US" w:eastAsia="zh-CN"/>
                    </w:rPr>
                    <w:t>不涉及长江流域河湖岸线</w:t>
                  </w:r>
                </w:p>
              </w:tc>
              <w:tc>
                <w:tcPr>
                  <w:tcW w:w="914" w:type="pct"/>
                  <w:tcBorders>
                    <w:right w:val="single" w:color="auto" w:sz="4" w:space="0"/>
                  </w:tcBorders>
                  <w:noWrap w:val="0"/>
                  <w:vAlign w:val="center"/>
                </w:tcPr>
                <w:p w14:paraId="211FF8A7">
                  <w:pPr>
                    <w:pStyle w:val="115"/>
                    <w:bidi w:val="0"/>
                    <w:jc w:val="center"/>
                    <w:rPr>
                      <w:rFonts w:hint="eastAsia"/>
                      <w:u w:val="none"/>
                      <w:lang w:val="en-US" w:eastAsia="zh-CN"/>
                    </w:rPr>
                  </w:pPr>
                  <w:r>
                    <w:rPr>
                      <w:rFonts w:hint="eastAsia"/>
                      <w:u w:val="none"/>
                      <w:lang w:val="en-US" w:eastAsia="zh-CN"/>
                    </w:rPr>
                    <w:t>符合</w:t>
                  </w:r>
                </w:p>
              </w:tc>
            </w:tr>
            <w:tr w14:paraId="2646000D">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38624D7B">
                  <w:pPr>
                    <w:pStyle w:val="115"/>
                    <w:bidi w:val="0"/>
                    <w:jc w:val="center"/>
                    <w:rPr>
                      <w:rFonts w:hint="eastAsia"/>
                      <w:u w:val="none"/>
                      <w:lang w:val="en-US" w:eastAsia="zh-CN"/>
                    </w:rPr>
                  </w:pPr>
                  <w:r>
                    <w:rPr>
                      <w:rFonts w:hint="eastAsia"/>
                      <w:u w:val="none"/>
                      <w:lang w:val="en-US" w:eastAsia="zh-CN"/>
                    </w:rPr>
                    <w:t>6、禁止未经许可在长江干支流及湖泊新设、改设或扩大排污口。</w:t>
                  </w:r>
                </w:p>
              </w:tc>
              <w:tc>
                <w:tcPr>
                  <w:tcW w:w="1005" w:type="pct"/>
                  <w:noWrap w:val="0"/>
                  <w:vAlign w:val="center"/>
                </w:tcPr>
                <w:p w14:paraId="5D1A48A3">
                  <w:pPr>
                    <w:pStyle w:val="115"/>
                    <w:bidi w:val="0"/>
                    <w:jc w:val="center"/>
                    <w:rPr>
                      <w:rFonts w:hint="eastAsia"/>
                      <w:u w:val="none"/>
                      <w:lang w:val="en-US" w:eastAsia="zh-CN"/>
                    </w:rPr>
                  </w:pPr>
                  <w:r>
                    <w:rPr>
                      <w:rFonts w:hint="eastAsia"/>
                      <w:u w:val="none"/>
                      <w:lang w:val="en-US" w:eastAsia="zh-CN"/>
                    </w:rPr>
                    <w:t>不涉及长江干支流及湖泊</w:t>
                  </w:r>
                </w:p>
              </w:tc>
              <w:tc>
                <w:tcPr>
                  <w:tcW w:w="914" w:type="pct"/>
                  <w:tcBorders>
                    <w:right w:val="single" w:color="auto" w:sz="4" w:space="0"/>
                  </w:tcBorders>
                  <w:noWrap w:val="0"/>
                  <w:vAlign w:val="center"/>
                </w:tcPr>
                <w:p w14:paraId="251220DF">
                  <w:pPr>
                    <w:pStyle w:val="115"/>
                    <w:bidi w:val="0"/>
                    <w:jc w:val="center"/>
                    <w:rPr>
                      <w:rFonts w:hint="eastAsia"/>
                      <w:u w:val="none"/>
                      <w:lang w:val="en-US" w:eastAsia="zh-CN"/>
                    </w:rPr>
                  </w:pPr>
                  <w:r>
                    <w:rPr>
                      <w:rFonts w:hint="eastAsia"/>
                      <w:u w:val="none"/>
                      <w:lang w:val="en-US" w:eastAsia="zh-CN"/>
                    </w:rPr>
                    <w:t>符合</w:t>
                  </w:r>
                </w:p>
              </w:tc>
            </w:tr>
            <w:tr w14:paraId="541C1B61">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27D18D67">
                  <w:pPr>
                    <w:pStyle w:val="115"/>
                    <w:bidi w:val="0"/>
                    <w:jc w:val="center"/>
                    <w:rPr>
                      <w:rFonts w:hint="eastAsia"/>
                      <w:u w:val="none"/>
                      <w:lang w:val="en-US" w:eastAsia="zh-CN"/>
                    </w:rPr>
                  </w:pPr>
                  <w:r>
                    <w:rPr>
                      <w:rFonts w:hint="eastAsia"/>
                      <w:u w:val="none"/>
                      <w:lang w:val="en-US" w:eastAsia="zh-CN"/>
                    </w:rPr>
                    <w:t>7、禁止在“一江一口两湖七河”和332个水生生物保护区开展生产性捕捞。</w:t>
                  </w:r>
                </w:p>
              </w:tc>
              <w:tc>
                <w:tcPr>
                  <w:tcW w:w="1005" w:type="pct"/>
                  <w:noWrap w:val="0"/>
                  <w:vAlign w:val="center"/>
                </w:tcPr>
                <w:p w14:paraId="6209D53F">
                  <w:pPr>
                    <w:pStyle w:val="115"/>
                    <w:bidi w:val="0"/>
                    <w:jc w:val="center"/>
                    <w:rPr>
                      <w:rFonts w:hint="eastAsia"/>
                      <w:u w:val="none"/>
                      <w:lang w:val="en-US" w:eastAsia="zh-CN"/>
                    </w:rPr>
                  </w:pPr>
                  <w:r>
                    <w:rPr>
                      <w:rFonts w:hint="eastAsia"/>
                      <w:u w:val="none"/>
                      <w:lang w:val="en-US" w:eastAsia="zh-CN"/>
                    </w:rPr>
                    <w:t>不涉及</w:t>
                  </w:r>
                </w:p>
              </w:tc>
              <w:tc>
                <w:tcPr>
                  <w:tcW w:w="914" w:type="pct"/>
                  <w:tcBorders>
                    <w:right w:val="single" w:color="auto" w:sz="4" w:space="0"/>
                  </w:tcBorders>
                  <w:noWrap w:val="0"/>
                  <w:vAlign w:val="center"/>
                </w:tcPr>
                <w:p w14:paraId="7D3E6A12">
                  <w:pPr>
                    <w:pStyle w:val="115"/>
                    <w:bidi w:val="0"/>
                    <w:jc w:val="center"/>
                    <w:rPr>
                      <w:rFonts w:hint="eastAsia"/>
                      <w:u w:val="none"/>
                      <w:lang w:val="en-US" w:eastAsia="zh-CN"/>
                    </w:rPr>
                  </w:pPr>
                  <w:r>
                    <w:rPr>
                      <w:rFonts w:hint="eastAsia"/>
                      <w:u w:val="none"/>
                      <w:lang w:val="en-US" w:eastAsia="zh-CN"/>
                    </w:rPr>
                    <w:t>符合</w:t>
                  </w:r>
                </w:p>
              </w:tc>
            </w:tr>
            <w:tr w14:paraId="07C14C4E">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1A5ACC91">
                  <w:pPr>
                    <w:pStyle w:val="115"/>
                    <w:bidi w:val="0"/>
                    <w:jc w:val="center"/>
                    <w:rPr>
                      <w:rFonts w:hint="eastAsia"/>
                      <w:u w:val="none"/>
                      <w:lang w:val="en-US" w:eastAsia="zh-CN"/>
                    </w:rPr>
                  </w:pPr>
                  <w:r>
                    <w:rPr>
                      <w:rFonts w:hint="eastAsia"/>
                      <w:u w:val="none"/>
                      <w:lang w:val="en-US" w:eastAsia="zh-CN"/>
                    </w:rPr>
                    <w:t>8、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005" w:type="pct"/>
                  <w:noWrap w:val="0"/>
                  <w:vAlign w:val="center"/>
                </w:tcPr>
                <w:p w14:paraId="0B876FB2">
                  <w:pPr>
                    <w:pStyle w:val="115"/>
                    <w:bidi w:val="0"/>
                    <w:jc w:val="center"/>
                    <w:rPr>
                      <w:rFonts w:hint="eastAsia"/>
                      <w:u w:val="none"/>
                      <w:lang w:val="en-US" w:eastAsia="zh-CN"/>
                    </w:rPr>
                  </w:pPr>
                  <w:r>
                    <w:rPr>
                      <w:rFonts w:hint="eastAsia"/>
                      <w:u w:val="none"/>
                      <w:lang w:val="en-US" w:eastAsia="zh-CN"/>
                    </w:rPr>
                    <w:t>不涉及</w:t>
                  </w:r>
                </w:p>
              </w:tc>
              <w:tc>
                <w:tcPr>
                  <w:tcW w:w="914" w:type="pct"/>
                  <w:tcBorders>
                    <w:right w:val="single" w:color="auto" w:sz="4" w:space="0"/>
                  </w:tcBorders>
                  <w:noWrap w:val="0"/>
                  <w:vAlign w:val="center"/>
                </w:tcPr>
                <w:p w14:paraId="370376D0">
                  <w:pPr>
                    <w:pStyle w:val="115"/>
                    <w:bidi w:val="0"/>
                    <w:jc w:val="center"/>
                    <w:rPr>
                      <w:rFonts w:hint="eastAsia"/>
                      <w:u w:val="none"/>
                      <w:lang w:val="en-US" w:eastAsia="zh-CN"/>
                    </w:rPr>
                  </w:pPr>
                  <w:r>
                    <w:rPr>
                      <w:rFonts w:hint="eastAsia"/>
                      <w:u w:val="none"/>
                      <w:lang w:val="en-US" w:eastAsia="zh-CN"/>
                    </w:rPr>
                    <w:t>符合</w:t>
                  </w:r>
                </w:p>
              </w:tc>
            </w:tr>
            <w:tr w14:paraId="666489D4">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3A06AC18">
                  <w:pPr>
                    <w:pStyle w:val="115"/>
                    <w:bidi w:val="0"/>
                    <w:jc w:val="center"/>
                    <w:rPr>
                      <w:rFonts w:hint="eastAsia"/>
                      <w:u w:val="none"/>
                      <w:lang w:val="en-US" w:eastAsia="zh-CN"/>
                    </w:rPr>
                  </w:pPr>
                  <w:r>
                    <w:rPr>
                      <w:rFonts w:hint="eastAsia"/>
                      <w:u w:val="none"/>
                      <w:lang w:val="en-US" w:eastAsia="zh-CN"/>
                    </w:rPr>
                    <w:t>9、禁止在合规园区外新建、扩建钢铁、石化、化工、焦化、建材、有色、制浆造纸等高污染项目。</w:t>
                  </w:r>
                </w:p>
              </w:tc>
              <w:tc>
                <w:tcPr>
                  <w:tcW w:w="1005" w:type="pct"/>
                  <w:noWrap w:val="0"/>
                  <w:vAlign w:val="center"/>
                </w:tcPr>
                <w:p w14:paraId="2384D2D3">
                  <w:pPr>
                    <w:pStyle w:val="115"/>
                    <w:bidi w:val="0"/>
                    <w:jc w:val="center"/>
                    <w:rPr>
                      <w:rFonts w:hint="eastAsia"/>
                      <w:u w:val="none"/>
                      <w:lang w:val="en-US" w:eastAsia="zh-CN"/>
                    </w:rPr>
                  </w:pPr>
                  <w:r>
                    <w:rPr>
                      <w:rFonts w:hint="eastAsia"/>
                      <w:u w:val="none"/>
                      <w:lang w:val="en-US" w:eastAsia="zh-CN"/>
                    </w:rPr>
                    <w:t>不涉及</w:t>
                  </w:r>
                </w:p>
              </w:tc>
              <w:tc>
                <w:tcPr>
                  <w:tcW w:w="914" w:type="pct"/>
                  <w:tcBorders>
                    <w:right w:val="single" w:color="auto" w:sz="4" w:space="0"/>
                  </w:tcBorders>
                  <w:noWrap w:val="0"/>
                  <w:vAlign w:val="center"/>
                </w:tcPr>
                <w:p w14:paraId="4FDE2AD3">
                  <w:pPr>
                    <w:pStyle w:val="115"/>
                    <w:bidi w:val="0"/>
                    <w:jc w:val="center"/>
                    <w:rPr>
                      <w:rFonts w:hint="eastAsia"/>
                      <w:u w:val="none"/>
                      <w:lang w:val="en-US" w:eastAsia="zh-CN"/>
                    </w:rPr>
                  </w:pPr>
                  <w:r>
                    <w:rPr>
                      <w:rFonts w:hint="eastAsia"/>
                      <w:u w:val="none"/>
                      <w:lang w:val="en-US" w:eastAsia="zh-CN"/>
                    </w:rPr>
                    <w:t>符合</w:t>
                  </w:r>
                </w:p>
              </w:tc>
            </w:tr>
            <w:tr w14:paraId="57969863">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590D1839">
                  <w:pPr>
                    <w:pStyle w:val="115"/>
                    <w:bidi w:val="0"/>
                    <w:jc w:val="center"/>
                    <w:rPr>
                      <w:rFonts w:hint="eastAsia"/>
                      <w:u w:val="none"/>
                      <w:lang w:val="en-US" w:eastAsia="zh-CN"/>
                    </w:rPr>
                  </w:pPr>
                  <w:r>
                    <w:rPr>
                      <w:rFonts w:hint="eastAsia"/>
                      <w:u w:val="none"/>
                      <w:lang w:val="en-US" w:eastAsia="zh-CN"/>
                    </w:rPr>
                    <w:t>10、禁止新建、扩建不符合国家石化、现代煤化工等产业布局规划的项目。</w:t>
                  </w:r>
                </w:p>
              </w:tc>
              <w:tc>
                <w:tcPr>
                  <w:tcW w:w="1005" w:type="pct"/>
                  <w:noWrap w:val="0"/>
                  <w:vAlign w:val="center"/>
                </w:tcPr>
                <w:p w14:paraId="3F1F3DB0">
                  <w:pPr>
                    <w:pStyle w:val="115"/>
                    <w:bidi w:val="0"/>
                    <w:jc w:val="center"/>
                    <w:rPr>
                      <w:rFonts w:hint="eastAsia"/>
                      <w:u w:val="none"/>
                      <w:lang w:val="en-US" w:eastAsia="zh-CN"/>
                    </w:rPr>
                  </w:pPr>
                  <w:r>
                    <w:rPr>
                      <w:rFonts w:hint="eastAsia"/>
                      <w:u w:val="none"/>
                      <w:lang w:val="en-US" w:eastAsia="zh-CN"/>
                    </w:rPr>
                    <w:t>不涉及</w:t>
                  </w:r>
                </w:p>
              </w:tc>
              <w:tc>
                <w:tcPr>
                  <w:tcW w:w="914" w:type="pct"/>
                  <w:tcBorders>
                    <w:right w:val="single" w:color="auto" w:sz="4" w:space="0"/>
                  </w:tcBorders>
                  <w:noWrap w:val="0"/>
                  <w:vAlign w:val="center"/>
                </w:tcPr>
                <w:p w14:paraId="6BB500A0">
                  <w:pPr>
                    <w:pStyle w:val="115"/>
                    <w:bidi w:val="0"/>
                    <w:jc w:val="center"/>
                    <w:rPr>
                      <w:rFonts w:hint="eastAsia"/>
                      <w:u w:val="none"/>
                      <w:lang w:val="en-US" w:eastAsia="zh-CN"/>
                    </w:rPr>
                  </w:pPr>
                  <w:r>
                    <w:rPr>
                      <w:rFonts w:hint="eastAsia"/>
                      <w:u w:val="none"/>
                      <w:lang w:val="en-US" w:eastAsia="zh-CN"/>
                    </w:rPr>
                    <w:t>符合</w:t>
                  </w:r>
                </w:p>
              </w:tc>
            </w:tr>
            <w:tr w14:paraId="61ADC132">
              <w:tblPrEx>
                <w:tblBorders>
                  <w:top w:val="single" w:color="auto" w:sz="18" w:space="0"/>
                  <w:left w:val="single" w:color="auto" w:sz="4" w:space="0"/>
                  <w:bottom w:val="single" w:color="auto" w:sz="4"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3079" w:type="pct"/>
                  <w:noWrap w:val="0"/>
                  <w:vAlign w:val="center"/>
                </w:tcPr>
                <w:p w14:paraId="59172609">
                  <w:pPr>
                    <w:pStyle w:val="115"/>
                    <w:bidi w:val="0"/>
                    <w:jc w:val="center"/>
                    <w:rPr>
                      <w:rFonts w:hint="eastAsia"/>
                      <w:u w:val="none"/>
                      <w:lang w:val="en-US" w:eastAsia="zh-CN"/>
                    </w:rPr>
                  </w:pPr>
                  <w:r>
                    <w:rPr>
                      <w:rFonts w:hint="eastAsia"/>
                      <w:u w:val="none"/>
                      <w:lang w:val="en-US" w:eastAsia="zh-CN"/>
                    </w:rPr>
                    <w:t>11、禁止新建、扩建法律法规和相关政策明令禁止的落后产能项目。禁止新建、扩建不符合国家产能置换要求的严重过剩产能行业的项目。禁止新建、扩建不符合要求的高耗能高排放项目。</w:t>
                  </w:r>
                </w:p>
              </w:tc>
              <w:tc>
                <w:tcPr>
                  <w:tcW w:w="1005" w:type="pct"/>
                  <w:noWrap w:val="0"/>
                  <w:vAlign w:val="center"/>
                </w:tcPr>
                <w:p w14:paraId="72D0A2EC">
                  <w:pPr>
                    <w:pStyle w:val="115"/>
                    <w:bidi w:val="0"/>
                    <w:jc w:val="center"/>
                    <w:rPr>
                      <w:rFonts w:hint="eastAsia"/>
                      <w:u w:val="none"/>
                      <w:lang w:val="en-US" w:eastAsia="zh-CN"/>
                    </w:rPr>
                  </w:pPr>
                  <w:r>
                    <w:rPr>
                      <w:rFonts w:hint="eastAsia"/>
                      <w:u w:val="none"/>
                      <w:lang w:val="en-US" w:eastAsia="zh-CN"/>
                    </w:rPr>
                    <w:t>本项目不属于产能严重过剩行业、高耗能高排放项目</w:t>
                  </w:r>
                </w:p>
              </w:tc>
              <w:tc>
                <w:tcPr>
                  <w:tcW w:w="914" w:type="pct"/>
                  <w:tcBorders>
                    <w:right w:val="single" w:color="auto" w:sz="4" w:space="0"/>
                  </w:tcBorders>
                  <w:noWrap w:val="0"/>
                  <w:vAlign w:val="center"/>
                </w:tcPr>
                <w:p w14:paraId="3062A05D">
                  <w:pPr>
                    <w:pStyle w:val="115"/>
                    <w:bidi w:val="0"/>
                    <w:jc w:val="center"/>
                    <w:rPr>
                      <w:rFonts w:hint="eastAsia"/>
                      <w:u w:val="none"/>
                      <w:lang w:val="en-US" w:eastAsia="zh-CN"/>
                    </w:rPr>
                  </w:pPr>
                  <w:r>
                    <w:rPr>
                      <w:rFonts w:hint="eastAsia"/>
                      <w:u w:val="none"/>
                      <w:lang w:val="en-US" w:eastAsia="zh-CN"/>
                    </w:rPr>
                    <w:t>符合</w:t>
                  </w:r>
                </w:p>
              </w:tc>
            </w:tr>
          </w:tbl>
          <w:p w14:paraId="3E0F46B7">
            <w:pPr>
              <w:bidi w:val="0"/>
              <w:rPr>
                <w:rFonts w:hint="eastAsia"/>
                <w:u w:val="none"/>
                <w:lang w:val="en-US" w:eastAsia="zh-CN"/>
              </w:rPr>
            </w:pPr>
            <w:r>
              <w:rPr>
                <w:rFonts w:hint="eastAsia"/>
                <w:u w:val="none"/>
                <w:lang w:val="en-US" w:eastAsia="zh-CN"/>
              </w:rPr>
              <w:t>综上所述，本项目的建设与《湖南省长江经济带发展负面清单实施细则（试行，2022年版）》中相关细则要求相符。</w:t>
            </w:r>
          </w:p>
          <w:p w14:paraId="5E5CF3FF">
            <w:pPr>
              <w:pStyle w:val="4"/>
              <w:bidi w:val="0"/>
              <w:rPr>
                <w:rFonts w:hint="default"/>
                <w:u w:val="single"/>
                <w:lang w:val="en-US" w:eastAsia="zh-CN"/>
              </w:rPr>
            </w:pPr>
            <w:r>
              <w:rPr>
                <w:rFonts w:hint="eastAsia"/>
                <w:lang w:val="en-US" w:eastAsia="zh-CN"/>
              </w:rPr>
              <w:t>1</w:t>
            </w:r>
            <w:r>
              <w:rPr>
                <w:rFonts w:hint="eastAsia"/>
                <w:u w:val="single"/>
                <w:lang w:val="en-US" w:eastAsia="zh-CN"/>
              </w:rPr>
              <w:t>.3生态环境分区管控符合性分析</w:t>
            </w:r>
          </w:p>
          <w:p w14:paraId="1B4DA567">
            <w:pPr>
              <w:bidi w:val="0"/>
              <w:rPr>
                <w:rFonts w:hint="eastAsia"/>
                <w:u w:val="single"/>
                <w:lang w:val="zh-CN"/>
              </w:rPr>
            </w:pPr>
            <w:r>
              <w:rPr>
                <w:rFonts w:hint="eastAsia"/>
                <w:u w:val="single"/>
                <w:lang w:val="en-US" w:eastAsia="zh-CN"/>
              </w:rPr>
              <w:t>2024年12月5日，怀化市生态环境局公开发布了《怀化市生态环境分区管控基本要求暨生态环境管控单元（省级以上产业园区除外）生态环境准入清单（2023 年版）》，本项目位于洪江市安江镇龙田村，环境管控单元编码为ZH43128110002，属于优先保护单元（见附图6），本项目与“洪江市安江镇生态环境准入清单相符性”分析如下，由下表可知，项目符合洪江市安江镇生态环境准入清单要求，</w:t>
            </w:r>
            <w:r>
              <w:rPr>
                <w:rFonts w:hint="eastAsia"/>
                <w:u w:val="single"/>
                <w:lang w:val="zh-CN"/>
              </w:rPr>
              <w:t>符合性分析见下表。</w:t>
            </w:r>
          </w:p>
          <w:p w14:paraId="3901F472">
            <w:pPr>
              <w:pStyle w:val="44"/>
              <w:bidi w:val="0"/>
              <w:rPr>
                <w:rFonts w:hint="eastAsia"/>
                <w:u w:val="single"/>
                <w:lang w:val="zh-CN"/>
              </w:rPr>
            </w:pPr>
            <w:r>
              <w:rPr>
                <w:rFonts w:hint="eastAsia"/>
                <w:u w:val="single"/>
                <w:lang w:val="zh-CN"/>
              </w:rPr>
              <w:t>表</w:t>
            </w:r>
            <w:r>
              <w:rPr>
                <w:rFonts w:hint="eastAsia"/>
                <w:u w:val="single"/>
                <w:lang w:val="en-US" w:eastAsia="zh-CN"/>
              </w:rPr>
              <w:t>1.3-1：</w:t>
            </w:r>
            <w:r>
              <w:rPr>
                <w:rFonts w:hint="eastAsia"/>
                <w:u w:val="single"/>
                <w:lang w:val="zh-CN"/>
              </w:rPr>
              <w:t>与怀化市生态环境分区管控动态更新成果（2023年版）符合性分析</w:t>
            </w:r>
          </w:p>
          <w:tbl>
            <w:tblPr>
              <w:tblStyle w:val="38"/>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920"/>
              <w:gridCol w:w="1325"/>
              <w:gridCol w:w="817"/>
              <w:gridCol w:w="944"/>
              <w:gridCol w:w="1848"/>
              <w:gridCol w:w="1541"/>
            </w:tblGrid>
            <w:tr w14:paraId="388789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5EB84212">
                  <w:pPr>
                    <w:pStyle w:val="115"/>
                    <w:bidi w:val="0"/>
                    <w:rPr>
                      <w:b/>
                      <w:bCs/>
                      <w:u w:val="single"/>
                    </w:rPr>
                  </w:pPr>
                  <w:r>
                    <w:rPr>
                      <w:b/>
                      <w:bCs/>
                      <w:u w:val="single"/>
                    </w:rPr>
                    <w:t>环境管控单元编码</w:t>
                  </w:r>
                </w:p>
              </w:tc>
              <w:tc>
                <w:tcPr>
                  <w:tcW w:w="920" w:type="dxa"/>
                  <w:vAlign w:val="center"/>
                </w:tcPr>
                <w:p w14:paraId="0D8A9E46">
                  <w:pPr>
                    <w:pStyle w:val="115"/>
                    <w:bidi w:val="0"/>
                    <w:rPr>
                      <w:b/>
                      <w:bCs/>
                      <w:u w:val="single"/>
                    </w:rPr>
                  </w:pPr>
                  <w:r>
                    <w:rPr>
                      <w:b/>
                      <w:bCs/>
                      <w:u w:val="single"/>
                    </w:rPr>
                    <w:t>行政区划</w:t>
                  </w:r>
                </w:p>
              </w:tc>
              <w:tc>
                <w:tcPr>
                  <w:tcW w:w="0" w:type="auto"/>
                  <w:vAlign w:val="center"/>
                </w:tcPr>
                <w:p w14:paraId="27EA743C">
                  <w:pPr>
                    <w:pStyle w:val="115"/>
                    <w:bidi w:val="0"/>
                    <w:rPr>
                      <w:b/>
                      <w:bCs/>
                      <w:u w:val="single"/>
                    </w:rPr>
                  </w:pPr>
                  <w:r>
                    <w:rPr>
                      <w:b/>
                      <w:bCs/>
                      <w:u w:val="single"/>
                    </w:rPr>
                    <w:t>单元分类</w:t>
                  </w:r>
                </w:p>
              </w:tc>
              <w:tc>
                <w:tcPr>
                  <w:tcW w:w="817" w:type="dxa"/>
                  <w:vAlign w:val="center"/>
                </w:tcPr>
                <w:p w14:paraId="2EE7C04D">
                  <w:pPr>
                    <w:pStyle w:val="115"/>
                    <w:bidi w:val="0"/>
                    <w:rPr>
                      <w:b/>
                      <w:bCs/>
                      <w:u w:val="single"/>
                    </w:rPr>
                  </w:pPr>
                  <w:r>
                    <w:rPr>
                      <w:b/>
                      <w:bCs/>
                      <w:u w:val="single"/>
                    </w:rPr>
                    <w:t>单元面积</w:t>
                  </w:r>
                  <w:r>
                    <w:rPr>
                      <w:rFonts w:hint="eastAsia"/>
                      <w:b/>
                      <w:bCs/>
                      <w:u w:val="single"/>
                    </w:rPr>
                    <w:t>（</w:t>
                  </w:r>
                  <w:r>
                    <w:rPr>
                      <w:b/>
                      <w:bCs/>
                      <w:u w:val="single"/>
                    </w:rPr>
                    <w:t>km</w:t>
                  </w:r>
                  <w:r>
                    <w:rPr>
                      <w:b/>
                      <w:bCs/>
                      <w:u w:val="single"/>
                      <w:vertAlign w:val="superscript"/>
                    </w:rPr>
                    <w:t>2</w:t>
                  </w:r>
                  <w:r>
                    <w:rPr>
                      <w:rFonts w:hint="eastAsia"/>
                      <w:b/>
                      <w:bCs/>
                      <w:u w:val="single"/>
                    </w:rPr>
                    <w:t>）</w:t>
                  </w:r>
                </w:p>
              </w:tc>
              <w:tc>
                <w:tcPr>
                  <w:tcW w:w="944" w:type="dxa"/>
                  <w:vAlign w:val="center"/>
                </w:tcPr>
                <w:p w14:paraId="09C16AD4">
                  <w:pPr>
                    <w:pStyle w:val="115"/>
                    <w:bidi w:val="0"/>
                    <w:rPr>
                      <w:b/>
                      <w:bCs/>
                      <w:u w:val="single"/>
                    </w:rPr>
                  </w:pPr>
                  <w:r>
                    <w:rPr>
                      <w:b/>
                      <w:bCs/>
                      <w:u w:val="single"/>
                    </w:rPr>
                    <w:t>涉及乡镇（街道）</w:t>
                  </w:r>
                </w:p>
              </w:tc>
              <w:tc>
                <w:tcPr>
                  <w:tcW w:w="1848" w:type="dxa"/>
                  <w:vAlign w:val="center"/>
                </w:tcPr>
                <w:p w14:paraId="75DAE1EB">
                  <w:pPr>
                    <w:pStyle w:val="115"/>
                    <w:bidi w:val="0"/>
                    <w:rPr>
                      <w:b/>
                      <w:bCs/>
                      <w:u w:val="single"/>
                    </w:rPr>
                  </w:pPr>
                  <w:r>
                    <w:rPr>
                      <w:b/>
                      <w:bCs/>
                      <w:u w:val="single"/>
                    </w:rPr>
                    <w:t>主体功能定位</w:t>
                  </w:r>
                </w:p>
              </w:tc>
              <w:tc>
                <w:tcPr>
                  <w:tcW w:w="1541" w:type="dxa"/>
                  <w:vAlign w:val="center"/>
                </w:tcPr>
                <w:p w14:paraId="168F2630">
                  <w:pPr>
                    <w:pStyle w:val="115"/>
                    <w:bidi w:val="0"/>
                    <w:rPr>
                      <w:b/>
                      <w:bCs/>
                      <w:u w:val="single"/>
                    </w:rPr>
                  </w:pPr>
                  <w:r>
                    <w:rPr>
                      <w:b/>
                      <w:bCs/>
                      <w:u w:val="single"/>
                    </w:rPr>
                    <w:t>经济产业布局</w:t>
                  </w:r>
                </w:p>
              </w:tc>
            </w:tr>
            <w:tr w14:paraId="765C9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204E4106">
                  <w:pPr>
                    <w:pStyle w:val="115"/>
                    <w:bidi w:val="0"/>
                    <w:rPr>
                      <w:u w:val="single"/>
                    </w:rPr>
                  </w:pPr>
                  <w:r>
                    <w:rPr>
                      <w:rFonts w:hint="eastAsia"/>
                      <w:u w:val="single"/>
                    </w:rPr>
                    <w:t>ZH43128110002</w:t>
                  </w:r>
                </w:p>
              </w:tc>
              <w:tc>
                <w:tcPr>
                  <w:tcW w:w="920" w:type="dxa"/>
                  <w:vAlign w:val="center"/>
                </w:tcPr>
                <w:p w14:paraId="47ABDC7D">
                  <w:pPr>
                    <w:pStyle w:val="115"/>
                    <w:bidi w:val="0"/>
                    <w:rPr>
                      <w:rFonts w:hint="default" w:eastAsia="宋体"/>
                      <w:u w:val="single"/>
                      <w:lang w:val="en-US" w:eastAsia="zh-CN"/>
                    </w:rPr>
                  </w:pPr>
                  <w:r>
                    <w:rPr>
                      <w:rFonts w:hint="eastAsia" w:eastAsia="宋体"/>
                      <w:u w:val="single"/>
                      <w:lang w:val="en-US" w:eastAsia="zh-CN"/>
                    </w:rPr>
                    <w:t>洪江市安江镇</w:t>
                  </w:r>
                </w:p>
              </w:tc>
              <w:tc>
                <w:tcPr>
                  <w:tcW w:w="0" w:type="auto"/>
                  <w:vAlign w:val="center"/>
                </w:tcPr>
                <w:p w14:paraId="153D893A">
                  <w:pPr>
                    <w:pStyle w:val="115"/>
                    <w:bidi w:val="0"/>
                    <w:rPr>
                      <w:u w:val="single"/>
                    </w:rPr>
                  </w:pPr>
                  <w:r>
                    <w:rPr>
                      <w:rFonts w:hint="eastAsia"/>
                      <w:u w:val="single"/>
                    </w:rPr>
                    <w:t>优先保护单元</w:t>
                  </w:r>
                </w:p>
              </w:tc>
              <w:tc>
                <w:tcPr>
                  <w:tcW w:w="817" w:type="dxa"/>
                  <w:vAlign w:val="center"/>
                </w:tcPr>
                <w:p w14:paraId="36B42DB4">
                  <w:pPr>
                    <w:pStyle w:val="115"/>
                    <w:bidi w:val="0"/>
                    <w:rPr>
                      <w:rFonts w:hint="default"/>
                      <w:u w:val="single"/>
                      <w:lang w:val="en-US" w:eastAsia="zh-CN"/>
                    </w:rPr>
                  </w:pPr>
                  <w:r>
                    <w:rPr>
                      <w:rFonts w:hint="eastAsia"/>
                      <w:u w:val="single"/>
                      <w:lang w:val="en-US" w:eastAsia="zh-CN"/>
                    </w:rPr>
                    <w:t>528.70</w:t>
                  </w:r>
                </w:p>
              </w:tc>
              <w:tc>
                <w:tcPr>
                  <w:tcW w:w="944" w:type="dxa"/>
                  <w:vAlign w:val="center"/>
                </w:tcPr>
                <w:p w14:paraId="75462D46">
                  <w:pPr>
                    <w:pStyle w:val="115"/>
                    <w:bidi w:val="0"/>
                    <w:rPr>
                      <w:u w:val="single"/>
                    </w:rPr>
                  </w:pPr>
                  <w:r>
                    <w:rPr>
                      <w:rFonts w:hint="eastAsia"/>
                      <w:u w:val="single"/>
                    </w:rPr>
                    <w:t>安江镇/岔头乡/茅渡乡/沙湾乡/太平乡</w:t>
                  </w:r>
                </w:p>
              </w:tc>
              <w:tc>
                <w:tcPr>
                  <w:tcW w:w="1848" w:type="dxa"/>
                  <w:vAlign w:val="center"/>
                </w:tcPr>
                <w:p w14:paraId="05525B72">
                  <w:pPr>
                    <w:pStyle w:val="115"/>
                    <w:bidi w:val="0"/>
                    <w:rPr>
                      <w:u w:val="single"/>
                    </w:rPr>
                  </w:pPr>
                  <w:r>
                    <w:rPr>
                      <w:rFonts w:hint="eastAsia"/>
                      <w:u w:val="single"/>
                    </w:rPr>
                    <w:t>安江镇：城市化地区/历史文化资源富集区</w:t>
                  </w:r>
                </w:p>
              </w:tc>
              <w:tc>
                <w:tcPr>
                  <w:tcW w:w="1541" w:type="dxa"/>
                  <w:vAlign w:val="center"/>
                </w:tcPr>
                <w:p w14:paraId="35242111">
                  <w:pPr>
                    <w:pStyle w:val="115"/>
                    <w:bidi w:val="0"/>
                    <w:rPr>
                      <w:rFonts w:hint="default"/>
                      <w:u w:val="single"/>
                      <w:lang w:val="en-US" w:eastAsia="zh-CN"/>
                    </w:rPr>
                  </w:pPr>
                  <w:r>
                    <w:rPr>
                      <w:rFonts w:hint="default"/>
                      <w:u w:val="single"/>
                      <w:lang w:val="en-US" w:eastAsia="zh-CN"/>
                    </w:rPr>
                    <w:t>安江镇：中药材加工、仓储、商贸、农业及农产品加工、先进制造业、食品加工业</w:t>
                  </w:r>
                </w:p>
              </w:tc>
            </w:tr>
            <w:tr w14:paraId="519859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3FEB858D">
                  <w:pPr>
                    <w:pStyle w:val="115"/>
                    <w:bidi w:val="0"/>
                    <w:rPr>
                      <w:u w:val="single"/>
                    </w:rPr>
                  </w:pPr>
                  <w:r>
                    <w:rPr>
                      <w:u w:val="single"/>
                    </w:rPr>
                    <w:t>管控维度</w:t>
                  </w:r>
                </w:p>
              </w:tc>
              <w:tc>
                <w:tcPr>
                  <w:tcW w:w="3481" w:type="dxa"/>
                  <w:gridSpan w:val="4"/>
                  <w:vAlign w:val="center"/>
                </w:tcPr>
                <w:p w14:paraId="3815FC66">
                  <w:pPr>
                    <w:pStyle w:val="115"/>
                    <w:bidi w:val="0"/>
                    <w:rPr>
                      <w:u w:val="single"/>
                    </w:rPr>
                  </w:pPr>
                  <w:r>
                    <w:rPr>
                      <w:u w:val="single"/>
                    </w:rPr>
                    <w:t>管控要求</w:t>
                  </w:r>
                </w:p>
              </w:tc>
              <w:tc>
                <w:tcPr>
                  <w:tcW w:w="1848" w:type="dxa"/>
                  <w:vAlign w:val="center"/>
                </w:tcPr>
                <w:p w14:paraId="6E8A41F6">
                  <w:pPr>
                    <w:pStyle w:val="115"/>
                    <w:bidi w:val="0"/>
                    <w:rPr>
                      <w:u w:val="single"/>
                    </w:rPr>
                  </w:pPr>
                  <w:r>
                    <w:rPr>
                      <w:u w:val="single"/>
                    </w:rPr>
                    <w:t>本项目</w:t>
                  </w:r>
                </w:p>
              </w:tc>
              <w:tc>
                <w:tcPr>
                  <w:tcW w:w="1541" w:type="dxa"/>
                  <w:vAlign w:val="center"/>
                </w:tcPr>
                <w:p w14:paraId="2AAB644F">
                  <w:pPr>
                    <w:pStyle w:val="115"/>
                    <w:bidi w:val="0"/>
                    <w:rPr>
                      <w:u w:val="single"/>
                    </w:rPr>
                  </w:pPr>
                  <w:r>
                    <w:rPr>
                      <w:u w:val="single"/>
                    </w:rPr>
                    <w:t>符合性</w:t>
                  </w:r>
                </w:p>
              </w:tc>
            </w:tr>
            <w:tr w14:paraId="2F0DDC9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4D62BC38">
                  <w:pPr>
                    <w:pStyle w:val="115"/>
                    <w:bidi w:val="0"/>
                    <w:rPr>
                      <w:u w:val="single"/>
                    </w:rPr>
                  </w:pPr>
                  <w:r>
                    <w:rPr>
                      <w:u w:val="single"/>
                    </w:rPr>
                    <w:t>空间布局约束</w:t>
                  </w:r>
                </w:p>
              </w:tc>
              <w:tc>
                <w:tcPr>
                  <w:tcW w:w="3481" w:type="dxa"/>
                  <w:gridSpan w:val="4"/>
                  <w:vAlign w:val="center"/>
                </w:tcPr>
                <w:p w14:paraId="628AD8F5">
                  <w:pPr>
                    <w:pStyle w:val="115"/>
                    <w:bidi w:val="0"/>
                    <w:jc w:val="left"/>
                    <w:rPr>
                      <w:rFonts w:hint="eastAsia"/>
                      <w:u w:val="single"/>
                    </w:rPr>
                  </w:pPr>
                  <w:r>
                    <w:rPr>
                      <w:rFonts w:hint="eastAsia"/>
                      <w:u w:val="single"/>
                    </w:rPr>
                    <w:t>（1.1）对已明确列入淘汰类的涉大气污染物排放“散乱污”企业依法依规关停取缔。</w:t>
                  </w:r>
                </w:p>
                <w:p w14:paraId="2461C77C">
                  <w:pPr>
                    <w:pStyle w:val="115"/>
                    <w:bidi w:val="0"/>
                    <w:jc w:val="left"/>
                    <w:rPr>
                      <w:rFonts w:hint="eastAsia"/>
                      <w:u w:val="single"/>
                    </w:rPr>
                  </w:pPr>
                  <w:r>
                    <w:rPr>
                      <w:rFonts w:hint="eastAsia"/>
                      <w:u w:val="single"/>
                    </w:rPr>
                    <w:t>（1.2）严格落实水域滩涂规划要求，合理规范水产养殖布局和规模，实施养殖许可制度。</w:t>
                  </w:r>
                </w:p>
                <w:p w14:paraId="01537C70">
                  <w:pPr>
                    <w:pStyle w:val="115"/>
                    <w:bidi w:val="0"/>
                    <w:jc w:val="left"/>
                    <w:rPr>
                      <w:u w:val="single"/>
                    </w:rPr>
                  </w:pPr>
                  <w:r>
                    <w:rPr>
                      <w:rFonts w:hint="eastAsia"/>
                      <w:u w:val="single"/>
                    </w:rPr>
                    <w:t>（1.3）为适应国家能源安全与矿业发展的重要陆域采矿区、战略性矿产储量区等区域，矿产能源发展区应符合矿产资源开发管理有关法律法规等要求。</w:t>
                  </w:r>
                </w:p>
              </w:tc>
              <w:tc>
                <w:tcPr>
                  <w:tcW w:w="1848" w:type="dxa"/>
                  <w:vAlign w:val="center"/>
                </w:tcPr>
                <w:p w14:paraId="23826B60">
                  <w:pPr>
                    <w:pStyle w:val="115"/>
                    <w:bidi w:val="0"/>
                    <w:rPr>
                      <w:rFonts w:hint="eastAsia" w:eastAsia="宋体"/>
                      <w:u w:val="single"/>
                      <w:lang w:val="en-US" w:eastAsia="zh-CN"/>
                    </w:rPr>
                  </w:pPr>
                  <w:r>
                    <w:rPr>
                      <w:rFonts w:hint="eastAsia" w:eastAsia="宋体"/>
                      <w:u w:val="single"/>
                      <w:lang w:val="en-US" w:eastAsia="zh-CN"/>
                    </w:rPr>
                    <w:t>本项目为固体废物治理项目，属鼓励类，选址不涉及生态敏感区，符合国家产业政策。</w:t>
                  </w:r>
                </w:p>
              </w:tc>
              <w:tc>
                <w:tcPr>
                  <w:tcW w:w="1541" w:type="dxa"/>
                  <w:vAlign w:val="center"/>
                </w:tcPr>
                <w:p w14:paraId="150B34F3">
                  <w:pPr>
                    <w:pStyle w:val="115"/>
                    <w:bidi w:val="0"/>
                    <w:rPr>
                      <w:u w:val="single"/>
                    </w:rPr>
                  </w:pPr>
                  <w:r>
                    <w:rPr>
                      <w:u w:val="single"/>
                    </w:rPr>
                    <w:t>符合</w:t>
                  </w:r>
                </w:p>
              </w:tc>
            </w:tr>
            <w:tr w14:paraId="1D38DA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65" w:type="dxa"/>
                  <w:vAlign w:val="center"/>
                </w:tcPr>
                <w:p w14:paraId="606D78C1">
                  <w:pPr>
                    <w:pStyle w:val="115"/>
                    <w:bidi w:val="0"/>
                    <w:rPr>
                      <w:u w:val="single"/>
                    </w:rPr>
                  </w:pPr>
                  <w:r>
                    <w:rPr>
                      <w:u w:val="single"/>
                    </w:rPr>
                    <w:t>污染物排放管控</w:t>
                  </w:r>
                </w:p>
              </w:tc>
              <w:tc>
                <w:tcPr>
                  <w:tcW w:w="3481" w:type="dxa"/>
                  <w:gridSpan w:val="4"/>
                  <w:vAlign w:val="center"/>
                </w:tcPr>
                <w:p w14:paraId="77616D74">
                  <w:pPr>
                    <w:pStyle w:val="115"/>
                    <w:bidi w:val="0"/>
                    <w:jc w:val="left"/>
                    <w:rPr>
                      <w:rFonts w:hint="eastAsia"/>
                      <w:u w:val="single"/>
                    </w:rPr>
                  </w:pPr>
                  <w:r>
                    <w:rPr>
                      <w:rFonts w:hint="eastAsia"/>
                      <w:u w:val="single"/>
                    </w:rPr>
                    <w:t>（2.1）废水：加强农村生活污水治理，推进集镇污水处理设施建设。</w:t>
                  </w:r>
                </w:p>
                <w:p w14:paraId="6B0D7C7D">
                  <w:pPr>
                    <w:pStyle w:val="115"/>
                    <w:bidi w:val="0"/>
                    <w:jc w:val="left"/>
                    <w:rPr>
                      <w:rFonts w:hint="eastAsia"/>
                      <w:u w:val="single"/>
                    </w:rPr>
                  </w:pPr>
                  <w:r>
                    <w:rPr>
                      <w:rFonts w:hint="eastAsia"/>
                      <w:u w:val="single"/>
                    </w:rPr>
                    <w:t>（2.2）废气：严禁秸秆、生活垃圾露天焚烧。</w:t>
                  </w:r>
                </w:p>
                <w:p w14:paraId="29FC37B0">
                  <w:pPr>
                    <w:pStyle w:val="115"/>
                    <w:bidi w:val="0"/>
                    <w:jc w:val="left"/>
                    <w:rPr>
                      <w:rFonts w:hint="eastAsia"/>
                      <w:u w:val="single"/>
                    </w:rPr>
                  </w:pPr>
                  <w:r>
                    <w:rPr>
                      <w:rFonts w:hint="eastAsia"/>
                      <w:u w:val="single"/>
                    </w:rPr>
                    <w:t>（2.3）固体废弃物</w:t>
                  </w:r>
                </w:p>
                <w:p w14:paraId="57C962F7">
                  <w:pPr>
                    <w:pStyle w:val="115"/>
                    <w:bidi w:val="0"/>
                    <w:jc w:val="left"/>
                    <w:rPr>
                      <w:rFonts w:hint="eastAsia"/>
                      <w:u w:val="single"/>
                    </w:rPr>
                  </w:pPr>
                  <w:r>
                    <w:rPr>
                      <w:rFonts w:hint="eastAsia"/>
                      <w:u w:val="single"/>
                    </w:rPr>
                    <w:t>（2.3.1）统筹推进生活垃圾和农业生产废弃物利用、处理，推行垃圾就地分类减量和资源化利用，实现“户分类、村收集、镇转运、县处理”垃圾处理模式。</w:t>
                  </w:r>
                </w:p>
                <w:p w14:paraId="4CF5EF4E">
                  <w:pPr>
                    <w:pStyle w:val="115"/>
                    <w:bidi w:val="0"/>
                    <w:jc w:val="left"/>
                    <w:rPr>
                      <w:rFonts w:hint="eastAsia"/>
                      <w:u w:val="single"/>
                    </w:rPr>
                  </w:pPr>
                  <w:r>
                    <w:rPr>
                      <w:rFonts w:hint="eastAsia"/>
                      <w:u w:val="single"/>
                    </w:rPr>
                    <w:t>（2.3.2）强化固体废物规范管理，对固废产生、运输、利用、处置实行全过程监管。</w:t>
                  </w:r>
                </w:p>
                <w:p w14:paraId="09250217">
                  <w:pPr>
                    <w:pStyle w:val="115"/>
                    <w:bidi w:val="0"/>
                    <w:jc w:val="left"/>
                    <w:rPr>
                      <w:rFonts w:hint="eastAsia"/>
                      <w:u w:val="single"/>
                    </w:rPr>
                  </w:pPr>
                  <w:r>
                    <w:rPr>
                      <w:rFonts w:hint="eastAsia"/>
                      <w:u w:val="single"/>
                    </w:rPr>
                    <w:t>（2.3.3）鼓励建设规模化畜禽养殖场有机肥生产利用工程，继续做好各类实用型沼气工程，积极推进其他方式的畜禽粪便资源化利用。</w:t>
                  </w:r>
                </w:p>
              </w:tc>
              <w:tc>
                <w:tcPr>
                  <w:tcW w:w="1848" w:type="dxa"/>
                  <w:vAlign w:val="center"/>
                </w:tcPr>
                <w:p w14:paraId="07DA4153">
                  <w:pPr>
                    <w:pStyle w:val="115"/>
                    <w:bidi w:val="0"/>
                    <w:rPr>
                      <w:rFonts w:hint="eastAsia" w:eastAsia="宋体"/>
                      <w:u w:val="single"/>
                      <w:lang w:val="en-US" w:eastAsia="zh-CN"/>
                    </w:rPr>
                  </w:pPr>
                  <w:r>
                    <w:rPr>
                      <w:rFonts w:hint="eastAsia" w:eastAsia="宋体"/>
                      <w:u w:val="single"/>
                      <w:lang w:val="en-US" w:eastAsia="zh-CN"/>
                    </w:rPr>
                    <w:t>本项目为建筑垃圾</w:t>
                  </w:r>
                  <w:r>
                    <w:rPr>
                      <w:rFonts w:hint="eastAsia"/>
                      <w:u w:val="single"/>
                      <w:lang w:val="en-US" w:eastAsia="zh-CN"/>
                    </w:rPr>
                    <w:t>堆填</w:t>
                  </w:r>
                  <w:r>
                    <w:rPr>
                      <w:rFonts w:hint="eastAsia" w:eastAsia="宋体"/>
                      <w:u w:val="single"/>
                      <w:lang w:val="en-US" w:eastAsia="zh-CN"/>
                    </w:rPr>
                    <w:t>项目，通过对建筑垃圾的规范处置，降低了对生态环境的影响，符合区域污染物管控导向。</w:t>
                  </w:r>
                </w:p>
              </w:tc>
              <w:tc>
                <w:tcPr>
                  <w:tcW w:w="1541" w:type="dxa"/>
                  <w:vAlign w:val="center"/>
                </w:tcPr>
                <w:p w14:paraId="2B98BDA7">
                  <w:pPr>
                    <w:pStyle w:val="115"/>
                    <w:bidi w:val="0"/>
                    <w:rPr>
                      <w:u w:val="single"/>
                    </w:rPr>
                  </w:pPr>
                  <w:r>
                    <w:rPr>
                      <w:u w:val="single"/>
                    </w:rPr>
                    <w:t>符合</w:t>
                  </w:r>
                </w:p>
              </w:tc>
            </w:tr>
            <w:tr w14:paraId="503FCA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665" w:type="dxa"/>
                  <w:vAlign w:val="center"/>
                </w:tcPr>
                <w:p w14:paraId="6D0F51B2">
                  <w:pPr>
                    <w:pStyle w:val="115"/>
                    <w:bidi w:val="0"/>
                    <w:rPr>
                      <w:u w:val="single"/>
                    </w:rPr>
                  </w:pPr>
                  <w:r>
                    <w:rPr>
                      <w:u w:val="single"/>
                    </w:rPr>
                    <w:t>环境风险防控</w:t>
                  </w:r>
                </w:p>
              </w:tc>
              <w:tc>
                <w:tcPr>
                  <w:tcW w:w="3481" w:type="dxa"/>
                  <w:gridSpan w:val="4"/>
                  <w:vAlign w:val="center"/>
                </w:tcPr>
                <w:p w14:paraId="5731DC16">
                  <w:pPr>
                    <w:pStyle w:val="115"/>
                    <w:bidi w:val="0"/>
                    <w:jc w:val="left"/>
                    <w:rPr>
                      <w:u w:val="single"/>
                    </w:rPr>
                  </w:pPr>
                  <w:r>
                    <w:rPr>
                      <w:rFonts w:hint="eastAsia"/>
                      <w:u w:val="single"/>
                    </w:rPr>
                    <w:t>（3.1）按省级、市级生态环境准入总体清单中与环境风险防控相关条文执行。</w:t>
                  </w:r>
                </w:p>
              </w:tc>
              <w:tc>
                <w:tcPr>
                  <w:tcW w:w="1848" w:type="dxa"/>
                  <w:vAlign w:val="center"/>
                </w:tcPr>
                <w:p w14:paraId="0B495E80">
                  <w:pPr>
                    <w:pStyle w:val="115"/>
                    <w:bidi w:val="0"/>
                    <w:rPr>
                      <w:rFonts w:hint="eastAsia" w:eastAsia="宋体"/>
                      <w:u w:val="single"/>
                      <w:lang w:eastAsia="zh-CN"/>
                    </w:rPr>
                  </w:pPr>
                  <w:r>
                    <w:rPr>
                      <w:rFonts w:hint="eastAsia"/>
                      <w:u w:val="single"/>
                    </w:rPr>
                    <w:t>项目建成后，将按要求编制突发环境事件应急预案并进行备案，落实各项风险防范措施</w:t>
                  </w:r>
                  <w:r>
                    <w:rPr>
                      <w:rFonts w:hint="eastAsia"/>
                      <w:u w:val="single"/>
                      <w:lang w:eastAsia="zh-CN"/>
                    </w:rPr>
                    <w:t>。</w:t>
                  </w:r>
                </w:p>
              </w:tc>
              <w:tc>
                <w:tcPr>
                  <w:tcW w:w="1541" w:type="dxa"/>
                  <w:vAlign w:val="center"/>
                </w:tcPr>
                <w:p w14:paraId="05C520BB">
                  <w:pPr>
                    <w:pStyle w:val="115"/>
                    <w:bidi w:val="0"/>
                    <w:rPr>
                      <w:u w:val="single"/>
                    </w:rPr>
                  </w:pPr>
                  <w:r>
                    <w:rPr>
                      <w:u w:val="single"/>
                    </w:rPr>
                    <w:t>符合</w:t>
                  </w:r>
                </w:p>
              </w:tc>
            </w:tr>
            <w:tr w14:paraId="508D8E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14:paraId="26A3EBA7">
                  <w:pPr>
                    <w:pStyle w:val="115"/>
                    <w:bidi w:val="0"/>
                    <w:rPr>
                      <w:u w:val="single"/>
                    </w:rPr>
                  </w:pPr>
                  <w:r>
                    <w:rPr>
                      <w:u w:val="single"/>
                    </w:rPr>
                    <w:t>资源开发效率要求</w:t>
                  </w:r>
                </w:p>
              </w:tc>
              <w:tc>
                <w:tcPr>
                  <w:tcW w:w="3481" w:type="dxa"/>
                  <w:gridSpan w:val="4"/>
                  <w:vAlign w:val="center"/>
                </w:tcPr>
                <w:p w14:paraId="30D081EE">
                  <w:pPr>
                    <w:pStyle w:val="115"/>
                    <w:bidi w:val="0"/>
                    <w:jc w:val="left"/>
                    <w:rPr>
                      <w:rFonts w:hint="eastAsia"/>
                      <w:u w:val="single"/>
                    </w:rPr>
                  </w:pPr>
                  <w:r>
                    <w:rPr>
                      <w:rFonts w:hint="eastAsia"/>
                      <w:u w:val="single"/>
                    </w:rPr>
                    <w:t>（4.1）能源：推广清洁能源的使用，改善以煤为燃料形成的煤烟型污染。</w:t>
                  </w:r>
                </w:p>
                <w:p w14:paraId="2872E614">
                  <w:pPr>
                    <w:pStyle w:val="115"/>
                    <w:bidi w:val="0"/>
                    <w:jc w:val="left"/>
                    <w:rPr>
                      <w:rFonts w:hint="eastAsia"/>
                      <w:u w:val="single"/>
                    </w:rPr>
                  </w:pPr>
                  <w:r>
                    <w:rPr>
                      <w:rFonts w:hint="eastAsia"/>
                      <w:u w:val="single"/>
                    </w:rPr>
                    <w:t>（4.2）水资源：</w:t>
                  </w:r>
                </w:p>
                <w:p w14:paraId="25A022C4">
                  <w:pPr>
                    <w:pStyle w:val="115"/>
                    <w:bidi w:val="0"/>
                    <w:jc w:val="left"/>
                    <w:rPr>
                      <w:rFonts w:hint="eastAsia"/>
                      <w:u w:val="single"/>
                    </w:rPr>
                  </w:pPr>
                  <w:r>
                    <w:rPr>
                      <w:rFonts w:hint="eastAsia"/>
                      <w:u w:val="single"/>
                    </w:rPr>
                    <w:t>（4.2.1）全面实施节水工程，提高水资源利用效率。</w:t>
                  </w:r>
                </w:p>
                <w:p w14:paraId="5D8AFEDE">
                  <w:pPr>
                    <w:pStyle w:val="115"/>
                    <w:bidi w:val="0"/>
                    <w:jc w:val="left"/>
                    <w:rPr>
                      <w:rFonts w:hint="eastAsia"/>
                      <w:u w:val="single"/>
                    </w:rPr>
                  </w:pPr>
                  <w:r>
                    <w:rPr>
                      <w:rFonts w:hint="eastAsia"/>
                      <w:u w:val="single"/>
                    </w:rPr>
                    <w:t>（4.2.2）到2025年，洪江市用水总量控制在1.6亿立方米以内，万元地区生产总量用水量比2020年下降19.40%，万元工业增加值用水量比2020年下降4.80%，农田灌溉水有效利用系数提高到0.571以上。</w:t>
                  </w:r>
                </w:p>
                <w:p w14:paraId="3999F0F3">
                  <w:pPr>
                    <w:pStyle w:val="115"/>
                    <w:bidi w:val="0"/>
                    <w:jc w:val="left"/>
                    <w:rPr>
                      <w:rFonts w:hint="eastAsia"/>
                      <w:u w:val="single"/>
                    </w:rPr>
                  </w:pPr>
                  <w:r>
                    <w:rPr>
                      <w:rFonts w:hint="eastAsia"/>
                      <w:u w:val="single"/>
                    </w:rPr>
                    <w:t>（4.3）土地资源：</w:t>
                  </w:r>
                </w:p>
                <w:p w14:paraId="7A4AB2C6">
                  <w:pPr>
                    <w:pStyle w:val="115"/>
                    <w:bidi w:val="0"/>
                    <w:jc w:val="left"/>
                    <w:rPr>
                      <w:rFonts w:hint="eastAsia"/>
                      <w:u w:val="single"/>
                    </w:rPr>
                  </w:pPr>
                  <w:r>
                    <w:rPr>
                      <w:rFonts w:hint="eastAsia"/>
                      <w:u w:val="single"/>
                    </w:rPr>
                    <w:t>岔头乡：规划至2025年，耕地保有量不少于11066.25亩，永久基本农田保护面积不低于10335.3亩，生态保护红线面积不低于3993.92公顷，城镇开发边界规模为101.22公顷。</w:t>
                  </w:r>
                </w:p>
                <w:p w14:paraId="2839326B">
                  <w:pPr>
                    <w:pStyle w:val="115"/>
                    <w:bidi w:val="0"/>
                    <w:jc w:val="left"/>
                    <w:rPr>
                      <w:rFonts w:hint="eastAsia"/>
                      <w:u w:val="single"/>
                    </w:rPr>
                  </w:pPr>
                  <w:r>
                    <w:rPr>
                      <w:rFonts w:hint="eastAsia"/>
                      <w:u w:val="single"/>
                    </w:rPr>
                    <w:t>茅渡乡：规划至2035年，耕地保护目标面积不低于6725.25亩，永久基本农田保护面积不低于6296.70亩，生态保护红线面积不低于678.52公顷，城镇开发边界总面积为67.90公顷。</w:t>
                  </w:r>
                </w:p>
                <w:p w14:paraId="2A22D580">
                  <w:pPr>
                    <w:pStyle w:val="115"/>
                    <w:bidi w:val="0"/>
                    <w:jc w:val="left"/>
                    <w:rPr>
                      <w:rFonts w:hint="eastAsia"/>
                      <w:u w:val="single"/>
                    </w:rPr>
                  </w:pPr>
                  <w:r>
                    <w:rPr>
                      <w:rFonts w:hint="eastAsia"/>
                      <w:u w:val="single"/>
                    </w:rPr>
                    <w:t>沙湾乡：规划至2025年，耕地保有量不少于6203.85亩，永久基本农田保护面积不低于5851.5亩，生态保护红线面积不低于2590.32公顷，城镇开发边界规模为0.32公顷。</w:t>
                  </w:r>
                </w:p>
                <w:p w14:paraId="52D7D786">
                  <w:pPr>
                    <w:pStyle w:val="115"/>
                    <w:bidi w:val="0"/>
                    <w:jc w:val="left"/>
                    <w:rPr>
                      <w:u w:val="single"/>
                    </w:rPr>
                  </w:pPr>
                  <w:r>
                    <w:rPr>
                      <w:rFonts w:hint="eastAsia"/>
                      <w:u w:val="single"/>
                    </w:rPr>
                    <w:t>太平乡：规划至2025年，耕地保有量不少于9388.97亩，永久基本农田保护面积不低于8825.35亩，生态保护红线面积不低于782.89公顷，城镇开发边界规模为19.25公顷。</w:t>
                  </w:r>
                </w:p>
              </w:tc>
              <w:tc>
                <w:tcPr>
                  <w:tcW w:w="1848" w:type="dxa"/>
                  <w:vAlign w:val="center"/>
                </w:tcPr>
                <w:p w14:paraId="5516F90E">
                  <w:pPr>
                    <w:pStyle w:val="115"/>
                    <w:bidi w:val="0"/>
                    <w:rPr>
                      <w:u w:val="single"/>
                    </w:rPr>
                  </w:pPr>
                  <w:r>
                    <w:rPr>
                      <w:rFonts w:hint="eastAsia"/>
                      <w:u w:val="single"/>
                    </w:rPr>
                    <w:t>项目建设符合湖南省及</w:t>
                  </w:r>
                  <w:r>
                    <w:rPr>
                      <w:rFonts w:hint="eastAsia"/>
                      <w:u w:val="single"/>
                      <w:lang w:val="en-US" w:eastAsia="zh-CN"/>
                    </w:rPr>
                    <w:t>怀化市</w:t>
                  </w:r>
                  <w:r>
                    <w:rPr>
                      <w:rFonts w:hint="eastAsia"/>
                      <w:u w:val="single"/>
                    </w:rPr>
                    <w:t>生态环境总体管控要求，不使用高污染燃料，用水用电在区域供应能力内，不占用基本农田。</w:t>
                  </w:r>
                </w:p>
              </w:tc>
              <w:tc>
                <w:tcPr>
                  <w:tcW w:w="1541" w:type="dxa"/>
                  <w:vAlign w:val="center"/>
                </w:tcPr>
                <w:p w14:paraId="1AC9BC2E">
                  <w:pPr>
                    <w:pStyle w:val="115"/>
                    <w:bidi w:val="0"/>
                    <w:rPr>
                      <w:u w:val="single"/>
                    </w:rPr>
                  </w:pPr>
                  <w:r>
                    <w:rPr>
                      <w:u w:val="single"/>
                    </w:rPr>
                    <w:t>符合</w:t>
                  </w:r>
                </w:p>
              </w:tc>
            </w:tr>
          </w:tbl>
          <w:p w14:paraId="711EF4D4">
            <w:pPr>
              <w:bidi w:val="0"/>
              <w:rPr>
                <w:u w:val="single"/>
              </w:rPr>
            </w:pPr>
            <w:r>
              <w:rPr>
                <w:rFonts w:hint="eastAsia"/>
                <w:u w:val="single"/>
              </w:rPr>
              <w:t>由上表可知，本项目符合所涉及的环境管控单元在空间布局约束、污染物排放管控、环境风险防控和资源开发效率要求，因此，本项目的建设符合《怀化市生态环境分区管控基本要求暨生态环境管控单元（省级以上产业园区除外）生态环境准入清单（2023 年版）》要求。</w:t>
            </w:r>
          </w:p>
          <w:p w14:paraId="6E027EC2">
            <w:pPr>
              <w:pStyle w:val="4"/>
              <w:bidi w:val="0"/>
              <w:rPr>
                <w:rFonts w:hint="default"/>
                <w:lang w:val="en-US" w:eastAsia="zh-CN"/>
              </w:rPr>
            </w:pPr>
            <w:r>
              <w:rPr>
                <w:rFonts w:hint="eastAsia"/>
                <w:lang w:val="en-US" w:eastAsia="zh-CN"/>
              </w:rPr>
              <w:t>1.4生态环境保护规划符合性分析</w:t>
            </w:r>
          </w:p>
          <w:p w14:paraId="26D3929A">
            <w:pPr>
              <w:pStyle w:val="5"/>
              <w:bidi w:val="0"/>
              <w:rPr>
                <w:rFonts w:hint="default"/>
                <w:lang w:val="en-US" w:eastAsia="zh-CN"/>
              </w:rPr>
            </w:pPr>
            <w:r>
              <w:rPr>
                <w:rFonts w:hint="eastAsia"/>
                <w:lang w:val="en-US" w:eastAsia="zh-CN"/>
              </w:rPr>
              <w:t>1.4.1与《湖南省“十四五”生态环境保护规划》相符性分析</w:t>
            </w:r>
          </w:p>
          <w:p w14:paraId="47E4361D">
            <w:pPr>
              <w:bidi w:val="0"/>
              <w:rPr>
                <w:rFonts w:hint="eastAsia"/>
                <w:lang w:val="en-US" w:eastAsia="zh-CN"/>
              </w:rPr>
            </w:pPr>
            <w:r>
              <w:rPr>
                <w:rFonts w:hint="eastAsia"/>
                <w:lang w:val="en-US" w:eastAsia="zh-CN"/>
              </w:rPr>
              <w:t>2021年9月湖南省人民政府发布了《湖南省“十四五”生态环境保护规划》（湘政办发〔2021〕61号），项目与其符合性分析见下表。由下表可知，项目符合《湖南省“十四五”生态环境保护规划》。</w:t>
            </w:r>
          </w:p>
          <w:p w14:paraId="0DE82AEF">
            <w:pPr>
              <w:pStyle w:val="44"/>
              <w:bidi w:val="0"/>
              <w:rPr>
                <w:rFonts w:hint="default"/>
                <w:lang w:val="en-US" w:eastAsia="zh-CN"/>
              </w:rPr>
            </w:pPr>
            <w:r>
              <w:rPr>
                <w:rFonts w:hint="eastAsia"/>
                <w:lang w:val="en-US" w:eastAsia="zh-CN"/>
              </w:rPr>
              <w:t>表1.4-1：与《湖南省“十四五”生态环境保护规划》符合性分析</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4"/>
              <w:gridCol w:w="1912"/>
              <w:gridCol w:w="1294"/>
            </w:tblGrid>
            <w:tr w14:paraId="5E17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844" w:type="dxa"/>
                  <w:noWrap w:val="0"/>
                  <w:vAlign w:val="center"/>
                </w:tcPr>
                <w:p w14:paraId="332F386C">
                  <w:pPr>
                    <w:pStyle w:val="115"/>
                    <w:bidi w:val="0"/>
                    <w:rPr>
                      <w:b/>
                      <w:bCs/>
                    </w:rPr>
                  </w:pPr>
                  <w:r>
                    <w:rPr>
                      <w:b/>
                      <w:bCs/>
                    </w:rPr>
                    <w:t>（湘政办发〔2021〕61号）文件要求</w:t>
                  </w:r>
                </w:p>
              </w:tc>
              <w:tc>
                <w:tcPr>
                  <w:tcW w:w="1912" w:type="dxa"/>
                  <w:noWrap w:val="0"/>
                  <w:vAlign w:val="center"/>
                </w:tcPr>
                <w:p w14:paraId="35EFDC5D">
                  <w:pPr>
                    <w:pStyle w:val="115"/>
                    <w:bidi w:val="0"/>
                    <w:rPr>
                      <w:b/>
                      <w:bCs/>
                    </w:rPr>
                  </w:pPr>
                  <w:r>
                    <w:rPr>
                      <w:b/>
                      <w:bCs/>
                    </w:rPr>
                    <w:t>本项目</w:t>
                  </w:r>
                </w:p>
              </w:tc>
              <w:tc>
                <w:tcPr>
                  <w:tcW w:w="1294" w:type="dxa"/>
                  <w:noWrap w:val="0"/>
                  <w:vAlign w:val="center"/>
                </w:tcPr>
                <w:p w14:paraId="194FE493">
                  <w:pPr>
                    <w:pStyle w:val="115"/>
                    <w:bidi w:val="0"/>
                    <w:rPr>
                      <w:b/>
                      <w:bCs/>
                    </w:rPr>
                  </w:pPr>
                  <w:r>
                    <w:rPr>
                      <w:b/>
                      <w:bCs/>
                    </w:rPr>
                    <w:t>符合性分析</w:t>
                  </w:r>
                </w:p>
              </w:tc>
            </w:tr>
            <w:tr w14:paraId="33F5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4" w:type="dxa"/>
                  <w:noWrap w:val="0"/>
                  <w:vAlign w:val="center"/>
                </w:tcPr>
                <w:p w14:paraId="511A4B56">
                  <w:pPr>
                    <w:pStyle w:val="115"/>
                    <w:bidi w:val="0"/>
                  </w:pPr>
                  <w:r>
                    <w:t>严格生态环境分区引导。严格落实湖南省“三线一单”生态环境总体管控要求，将生态保护红线、环境质量底线、资源利用上线和生态环境准入清单作为硬约束落实到环境管控单</w:t>
                  </w:r>
                  <w:r>
                    <w:cr/>
                  </w:r>
                  <w:r>
                    <w:t>，根据生态环境功能、自然资源禀赋、经济与社会发展实际，对环境管控单元实施差异化生态环境准入管理。加强“三线一单”与国土空间规划的衔接，区域资源开发、产业布局和结构调整、城镇建设、重大项目选址应以“三线一单”确定的环境管控单元及生态环境准入清单作为重要依据，加强省级以上产业园区生态环境准入管理。推进“三线一单”与排污许可、环评审批、环境监测、环境执法等数据系统共享，细化“三线一单”数据支撑体系及分区管控要求。</w:t>
                  </w:r>
                </w:p>
              </w:tc>
              <w:tc>
                <w:tcPr>
                  <w:tcW w:w="1912" w:type="dxa"/>
                  <w:noWrap w:val="0"/>
                  <w:vAlign w:val="center"/>
                </w:tcPr>
                <w:p w14:paraId="6C6D3BC7">
                  <w:pPr>
                    <w:pStyle w:val="115"/>
                    <w:bidi w:val="0"/>
                    <w:rPr>
                      <w:rFonts w:hint="eastAsia" w:eastAsia="宋体"/>
                      <w:lang w:eastAsia="zh-CN"/>
                    </w:rPr>
                  </w:pPr>
                  <w:r>
                    <w:t>项目符合“三线一单”确定的环境管控单元及生态环境准入清单的要求</w:t>
                  </w:r>
                  <w:r>
                    <w:rPr>
                      <w:rFonts w:hint="eastAsia"/>
                      <w:lang w:eastAsia="zh-CN"/>
                    </w:rPr>
                    <w:t>。</w:t>
                  </w:r>
                </w:p>
              </w:tc>
              <w:tc>
                <w:tcPr>
                  <w:tcW w:w="1294" w:type="dxa"/>
                  <w:noWrap w:val="0"/>
                  <w:vAlign w:val="center"/>
                </w:tcPr>
                <w:p w14:paraId="6DC570AE">
                  <w:pPr>
                    <w:pStyle w:val="115"/>
                    <w:bidi w:val="0"/>
                  </w:pPr>
                  <w:r>
                    <w:rPr>
                      <w:rFonts w:hint="eastAsia"/>
                    </w:rPr>
                    <w:t>符合</w:t>
                  </w:r>
                </w:p>
              </w:tc>
            </w:tr>
            <w:tr w14:paraId="3F52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4" w:type="dxa"/>
                  <w:noWrap w:val="0"/>
                  <w:vAlign w:val="center"/>
                </w:tcPr>
                <w:p w14:paraId="6CF38213">
                  <w:pPr>
                    <w:pStyle w:val="115"/>
                    <w:bidi w:val="0"/>
                  </w:pPr>
                  <w:r>
                    <w:t>加强规划环境影响评价。严格</w:t>
                  </w:r>
                  <w:r>
                    <w:cr/>
                  </w:r>
                  <w:r>
                    <w:t>行以环评制度为主体的生态环境源头预防制度，以国土空间规划、区域规划、行业发展规划引导经济社会发展，全面推进重点区域、重点流域、重点行业规划环评。规划编制要充分考虑底线约束、空间管制、总量管控和生态环境准入，统筹区域空间布局与生态安全格局。严格审查涉“两高”行业的有关综合性规划和工业、能源等专项规划，严格控制“两高”行业发展规模，优化规划布局、产业结构与实施时序。加强规划环评对建设项目环评工作的指导和约束，推动规划环评成果落实</w:t>
                  </w:r>
                </w:p>
              </w:tc>
              <w:tc>
                <w:tcPr>
                  <w:tcW w:w="1912" w:type="dxa"/>
                  <w:noWrap w:val="0"/>
                  <w:vAlign w:val="center"/>
                </w:tcPr>
                <w:p w14:paraId="66611E4D">
                  <w:pPr>
                    <w:pStyle w:val="115"/>
                    <w:bidi w:val="0"/>
                    <w:rPr>
                      <w:rFonts w:hint="eastAsia" w:eastAsia="宋体"/>
                      <w:lang w:eastAsia="zh-CN"/>
                    </w:rPr>
                  </w:pPr>
                  <w:r>
                    <w:t>本项目落实环评制度，不属两高行业，符合规划环评要求</w:t>
                  </w:r>
                  <w:r>
                    <w:rPr>
                      <w:rFonts w:hint="eastAsia"/>
                      <w:lang w:eastAsia="zh-CN"/>
                    </w:rPr>
                    <w:t>。</w:t>
                  </w:r>
                </w:p>
              </w:tc>
              <w:tc>
                <w:tcPr>
                  <w:tcW w:w="1294" w:type="dxa"/>
                  <w:noWrap w:val="0"/>
                  <w:vAlign w:val="center"/>
                </w:tcPr>
                <w:p w14:paraId="5DC1EAFE">
                  <w:pPr>
                    <w:pStyle w:val="115"/>
                    <w:bidi w:val="0"/>
                  </w:pPr>
                  <w:r>
                    <w:rPr>
                      <w:rFonts w:hint="eastAsia"/>
                    </w:rPr>
                    <w:t>符合</w:t>
                  </w:r>
                </w:p>
              </w:tc>
            </w:tr>
            <w:tr w14:paraId="0879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4" w:type="dxa"/>
                  <w:noWrap w:val="0"/>
                  <w:vAlign w:val="center"/>
                </w:tcPr>
                <w:p w14:paraId="49C7D7C6">
                  <w:pPr>
                    <w:pStyle w:val="115"/>
                    <w:bidi w:val="0"/>
                  </w:pPr>
                  <w:r>
                    <w:t>全面实行排污许可制度</w:t>
                  </w:r>
                  <w:r>
                    <w:cr/>
                  </w:r>
                  <w:r>
                    <w:t>推动构建以排污许可制为核心的固定污染源监管制度体系，实现固定污染源排污许可全覆盖，推动工业固体废物、土壤环境要素全覆盖，探索将碳排放纳入排污许可管理内容。依托排污许可证实施企事业单位污染物排放总量指标分配、监管和考核。建立以排污许可证为主要依据的生态环境日常监管执法体系，落实排污许可“一证式”管理。推进排污许可制度与环境影响评价制度有效融合，推动重点行业企业环境影响评价、排污许可、监管执法全闭环管理。持续做好排污许可证换证或登记延续动态更新</w:t>
                  </w:r>
                </w:p>
              </w:tc>
              <w:tc>
                <w:tcPr>
                  <w:tcW w:w="1912" w:type="dxa"/>
                  <w:noWrap w:val="0"/>
                  <w:vAlign w:val="center"/>
                </w:tcPr>
                <w:p w14:paraId="41D9945B">
                  <w:pPr>
                    <w:pStyle w:val="115"/>
                    <w:bidi w:val="0"/>
                    <w:rPr>
                      <w:rFonts w:hint="eastAsia" w:eastAsia="宋体"/>
                      <w:lang w:eastAsia="zh-CN"/>
                    </w:rPr>
                  </w:pPr>
                  <w:r>
                    <w:t>企业取得排污许可后，方可营运</w:t>
                  </w:r>
                  <w:r>
                    <w:rPr>
                      <w:rFonts w:hint="eastAsia"/>
                      <w:lang w:eastAsia="zh-CN"/>
                    </w:rPr>
                    <w:t>。</w:t>
                  </w:r>
                </w:p>
              </w:tc>
              <w:tc>
                <w:tcPr>
                  <w:tcW w:w="1294" w:type="dxa"/>
                  <w:noWrap w:val="0"/>
                  <w:vAlign w:val="center"/>
                </w:tcPr>
                <w:p w14:paraId="32B2D386">
                  <w:pPr>
                    <w:pStyle w:val="115"/>
                    <w:bidi w:val="0"/>
                  </w:pPr>
                  <w:r>
                    <w:rPr>
                      <w:rFonts w:hint="eastAsia"/>
                    </w:rPr>
                    <w:t>符合</w:t>
                  </w:r>
                </w:p>
              </w:tc>
            </w:tr>
            <w:tr w14:paraId="10FC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4" w:type="dxa"/>
                  <w:noWrap w:val="0"/>
                  <w:vAlign w:val="center"/>
                </w:tcPr>
                <w:p w14:paraId="593D020A">
                  <w:pPr>
                    <w:pStyle w:val="115"/>
                    <w:bidi w:val="0"/>
                  </w:pPr>
                  <w:r>
                    <w:t>促进区域绿色发展。保障“</w:t>
                  </w:r>
                  <w:r>
                    <w:rPr>
                      <w:rFonts w:hint="eastAsia"/>
                      <w:lang w:eastAsia="zh-CN"/>
                    </w:rPr>
                    <w:t>一山</w:t>
                  </w:r>
                  <w:r>
                    <w:cr/>
                  </w:r>
                  <w:r>
                    <w:t>一湖三山四水”生态安全，推动“长株潭、洞庭湖、湘南、大湘西”区域协调发展。大湘西区域严禁高耗能、 高排放等产业转入，以生态产业为导向承接产业转移，维护和加 强生态安全屏障，加强生态治理与修复，强化“四水”源头污染防 控和流域重金属污染治理</w:t>
                  </w:r>
                </w:p>
              </w:tc>
              <w:tc>
                <w:tcPr>
                  <w:tcW w:w="1912" w:type="dxa"/>
                  <w:noWrap w:val="0"/>
                  <w:vAlign w:val="center"/>
                </w:tcPr>
                <w:p w14:paraId="6EA2AE2E">
                  <w:pPr>
                    <w:pStyle w:val="115"/>
                    <w:bidi w:val="0"/>
                    <w:rPr>
                      <w:rFonts w:hint="eastAsia" w:eastAsia="宋体"/>
                      <w:lang w:eastAsia="zh-CN"/>
                    </w:rPr>
                  </w:pPr>
                  <w:r>
                    <w:rPr>
                      <w:rFonts w:hint="eastAsia"/>
                    </w:rPr>
                    <w:t>项目使用电能、水能等清洁能源，不属于高耗水工业，符合区域以生态产业为导向的发展要求</w:t>
                  </w:r>
                  <w:r>
                    <w:rPr>
                      <w:rFonts w:hint="eastAsia"/>
                      <w:lang w:eastAsia="zh-CN"/>
                    </w:rPr>
                    <w:t>。</w:t>
                  </w:r>
                </w:p>
              </w:tc>
              <w:tc>
                <w:tcPr>
                  <w:tcW w:w="1294" w:type="dxa"/>
                  <w:noWrap w:val="0"/>
                  <w:vAlign w:val="center"/>
                </w:tcPr>
                <w:p w14:paraId="29E043F4">
                  <w:pPr>
                    <w:pStyle w:val="115"/>
                    <w:bidi w:val="0"/>
                  </w:pPr>
                  <w:r>
                    <w:rPr>
                      <w:rFonts w:hint="eastAsia"/>
                    </w:rPr>
                    <w:t>符合</w:t>
                  </w:r>
                </w:p>
              </w:tc>
            </w:tr>
            <w:tr w14:paraId="3640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44" w:type="dxa"/>
                  <w:noWrap w:val="0"/>
                  <w:vAlign w:val="center"/>
                </w:tcPr>
                <w:p w14:paraId="5F909F70">
                  <w:pPr>
                    <w:pStyle w:val="115"/>
                    <w:bidi w:val="0"/>
                  </w:pPr>
                  <w:r>
                    <w:rPr>
                      <w:rFonts w:hint="eastAsia"/>
                    </w:rPr>
                    <w:t>防范化解生态环境风险</w:t>
                  </w:r>
                  <w:r>
                    <w:t>。</w:t>
                  </w:r>
                  <w:r>
                    <w:rPr>
                      <w:rFonts w:hint="eastAsia"/>
                    </w:rPr>
                    <w:t>推进一般工业固体废物综合利用。鼓励县级以上地方人民政府统筹或联合规划建设一般工业固体废物集中处置设施，支持资源化利用新技术、新设备、新产品的研发与应用；在环境风险可控下，充分利用工业窑炉、水泥窑等设施消纳采选尾矿、粉煤灰、炉渣、冶炼废渣、脱硫石膏等大宗工业固体废物；构建以水泥、建材、冶金等行业为核心的工业固体废物综合利用系统；推动工业固体废物资源综合利用示范基地（园区）、示范企业、示范项目建设，到 2025 年，全省一般工业固体废物资源综合利用率达到80%。</w:t>
                  </w:r>
                </w:p>
              </w:tc>
              <w:tc>
                <w:tcPr>
                  <w:tcW w:w="1912" w:type="dxa"/>
                  <w:noWrap w:val="0"/>
                  <w:vAlign w:val="center"/>
                </w:tcPr>
                <w:p w14:paraId="4B506B6B">
                  <w:pPr>
                    <w:pStyle w:val="115"/>
                    <w:bidi w:val="0"/>
                  </w:pPr>
                  <w:r>
                    <w:rPr>
                      <w:rFonts w:hint="eastAsia"/>
                      <w:lang w:eastAsia="zh-CN"/>
                    </w:rPr>
                    <w:t>本项目为</w:t>
                  </w:r>
                  <w:r>
                    <w:rPr>
                      <w:rFonts w:hint="default"/>
                      <w:lang w:val="en-US" w:eastAsia="zh-CN"/>
                    </w:rPr>
                    <w:t>固体废物治理</w:t>
                  </w:r>
                  <w:r>
                    <w:rPr>
                      <w:rFonts w:hint="eastAsia"/>
                      <w:lang w:val="en-US" w:eastAsia="zh-CN"/>
                    </w:rPr>
                    <w:t>项目</w:t>
                  </w:r>
                  <w:r>
                    <w:rPr>
                      <w:rFonts w:hint="eastAsia"/>
                      <w:lang w:eastAsia="zh-CN"/>
                    </w:rPr>
                    <w:t>，通过</w:t>
                  </w:r>
                  <w:r>
                    <w:rPr>
                      <w:rFonts w:hint="eastAsia"/>
                      <w:lang w:val="en-US" w:eastAsia="zh-CN"/>
                    </w:rPr>
                    <w:t>对洪江市内建筑垃圾集中收集，</w:t>
                  </w:r>
                  <w:r>
                    <w:rPr>
                      <w:rFonts w:hint="eastAsia"/>
                    </w:rPr>
                    <w:t>具备堆填处置条件的，直接入场</w:t>
                  </w:r>
                  <w:r>
                    <w:rPr>
                      <w:rFonts w:hint="eastAsia"/>
                      <w:lang w:val="en-US" w:eastAsia="zh-CN"/>
                    </w:rPr>
                    <w:t>堆填；无组织</w:t>
                  </w:r>
                  <w:r>
                    <w:rPr>
                      <w:rFonts w:hint="eastAsia"/>
                      <w:lang w:eastAsia="zh-CN"/>
                    </w:rPr>
                    <w:t>粉尘通过</w:t>
                  </w:r>
                  <w:r>
                    <w:rPr>
                      <w:rFonts w:hint="eastAsia"/>
                      <w:lang w:val="en-US" w:eastAsia="zh-CN"/>
                    </w:rPr>
                    <w:t>围挡、</w:t>
                  </w:r>
                  <w:r>
                    <w:rPr>
                      <w:rFonts w:hint="eastAsia"/>
                      <w:lang w:eastAsia="zh-CN"/>
                    </w:rPr>
                    <w:t>洒水降尘等措施控制，可确保污染物达标排放，属环境风险可控企业。</w:t>
                  </w:r>
                </w:p>
              </w:tc>
              <w:tc>
                <w:tcPr>
                  <w:tcW w:w="1294" w:type="dxa"/>
                  <w:noWrap w:val="0"/>
                  <w:vAlign w:val="center"/>
                </w:tcPr>
                <w:p w14:paraId="01CCC673">
                  <w:pPr>
                    <w:pStyle w:val="115"/>
                    <w:bidi w:val="0"/>
                  </w:pPr>
                  <w:r>
                    <w:rPr>
                      <w:rFonts w:hint="eastAsia"/>
                    </w:rPr>
                    <w:t>符合</w:t>
                  </w:r>
                </w:p>
              </w:tc>
            </w:tr>
          </w:tbl>
          <w:p w14:paraId="7674D207">
            <w:pPr>
              <w:pStyle w:val="5"/>
              <w:bidi w:val="0"/>
              <w:rPr>
                <w:rFonts w:hint="default"/>
                <w:lang w:val="en-US" w:eastAsia="zh-CN"/>
              </w:rPr>
            </w:pPr>
            <w:r>
              <w:rPr>
                <w:rFonts w:hint="eastAsia"/>
                <w:lang w:val="en-US" w:eastAsia="zh-CN"/>
              </w:rPr>
              <w:t>1.4.2与《怀化市</w:t>
            </w:r>
            <w:r>
              <w:rPr>
                <w:rFonts w:hint="eastAsia"/>
              </w:rPr>
              <w:t>“十四五”生态环境保护规划</w:t>
            </w:r>
            <w:r>
              <w:rPr>
                <w:rFonts w:hint="eastAsia"/>
                <w:lang w:val="en-US" w:eastAsia="zh-CN"/>
              </w:rPr>
              <w:t>》符合性分析</w:t>
            </w:r>
          </w:p>
          <w:p w14:paraId="06EEA02D">
            <w:pPr>
              <w:bidi w:val="0"/>
              <w:rPr>
                <w:rFonts w:hint="eastAsia"/>
                <w:lang w:val="en-US" w:eastAsia="zh-CN"/>
              </w:rPr>
            </w:pPr>
            <w:r>
              <w:rPr>
                <w:rFonts w:hint="eastAsia"/>
                <w:lang w:val="en-US" w:eastAsia="zh-CN"/>
              </w:rPr>
              <w:t>结合《怀化市“十四五”生态环境保护规划》中“第四节 推进工业固废综合利用 一、推动源头减量管理：持续推进全国和省、市人大固废执法检查反馈问题整改，建立健全精准化源头分类、规范化安全贮存、专业化二次分拣、智能化高效清运、最大化资源利用、集中化统一处置的一般工业固体废物分类收集体系和机制，实现固体废物应分尽分，鼓励各县（市、区）统筹或联合规划建设一般工业固体废物集中处置设施。在环境风险可控下，充分利用工业窑炉、水泥窑等设施消纳采选尾矿、粉煤灰、炉渣、冶炼废渣、脱硫石膏等大宗工业固体废物。推动工业固体废物资源综合利用示范基地（园区）、示范企业、示范项目建设，到2025年，全市一般工业固体废物资源综合利用率达到80%。</w:t>
            </w:r>
          </w:p>
          <w:p w14:paraId="1FC724AE">
            <w:pPr>
              <w:bidi w:val="0"/>
              <w:rPr>
                <w:rFonts w:hint="eastAsia"/>
                <w:lang w:val="en-US" w:eastAsia="zh-CN"/>
              </w:rPr>
            </w:pPr>
            <w:r>
              <w:rPr>
                <w:rFonts w:hint="eastAsia"/>
                <w:lang w:val="en-US" w:eastAsia="zh-CN"/>
              </w:rPr>
              <w:t>二、健全闭环式监管体系</w:t>
            </w:r>
          </w:p>
          <w:p w14:paraId="33A44902">
            <w:pPr>
              <w:bidi w:val="0"/>
              <w:rPr>
                <w:rFonts w:hint="eastAsia"/>
                <w:lang w:val="en-US" w:eastAsia="zh-CN"/>
              </w:rPr>
            </w:pPr>
            <w:r>
              <w:rPr>
                <w:rFonts w:hint="eastAsia"/>
                <w:lang w:val="en-US" w:eastAsia="zh-CN"/>
              </w:rPr>
              <w:t>大力推行工业固体废物监管信息化，将工业固体废物管理信息系统纳入怀化市生态环境综合协同平台，实现跨部门、跨层级、跨领域的数据共享与平台互联互通，实现对固体废物全过程闭环管理。定期开展企业自建工业固废利用处置设施专项整治工作，规范企业工业固体废物自行利用处置行为。严格执行固体废物转移交接记录制度，重点加强固体废物物流、资金流的管理。落实固体废物违法有奖举报制度，严厉打击固体废物非法转移、倾倒、处置等行为。</w:t>
            </w:r>
          </w:p>
          <w:p w14:paraId="7D86358C">
            <w:pPr>
              <w:bidi w:val="0"/>
              <w:rPr>
                <w:rFonts w:hint="eastAsia"/>
                <w:lang w:val="en-US" w:eastAsia="zh-CN"/>
              </w:rPr>
            </w:pPr>
            <w:r>
              <w:rPr>
                <w:rFonts w:hint="eastAsia"/>
                <w:lang w:val="en-US" w:eastAsia="zh-CN"/>
              </w:rPr>
              <w:t>本项目为固体废物治理项目，项目的建设可有效降低固体废物的危害性，促进固体废物的综合利用。通过对洪江市内建筑垃圾集中收集，具备堆填处置条件的，直接入场堆填，实现了固体废物的减量化。同时根据《产业结构调整指导目录（2024年本）》，本项目属于鼓励类项目，项目符合国家产业政策、环境功能区划的要求，符合怀化市“十四五”生态环境保护规划的要求。</w:t>
            </w:r>
          </w:p>
          <w:p w14:paraId="234C4B56">
            <w:pPr>
              <w:pStyle w:val="5"/>
              <w:bidi w:val="0"/>
              <w:rPr>
                <w:rFonts w:hint="default"/>
                <w:u w:val="single"/>
                <w:lang w:val="en-US" w:eastAsia="zh-CN"/>
              </w:rPr>
            </w:pPr>
            <w:r>
              <w:rPr>
                <w:rFonts w:hint="eastAsia"/>
                <w:u w:val="single"/>
                <w:lang w:val="en-US" w:eastAsia="zh-CN"/>
              </w:rPr>
              <w:t>1.4.3与《湖南省大气污染防治条例》符合性分析</w:t>
            </w:r>
          </w:p>
          <w:p w14:paraId="364FDBA2">
            <w:pPr>
              <w:numPr>
                <w:ilvl w:val="0"/>
                <w:numId w:val="0"/>
              </w:numPr>
              <w:ind w:firstLine="480" w:firstLineChars="200"/>
              <w:rPr>
                <w:rFonts w:hint="eastAsia"/>
                <w:u w:val="single"/>
                <w:lang w:val="en-US" w:eastAsia="zh-CN"/>
              </w:rPr>
            </w:pPr>
            <w:r>
              <w:rPr>
                <w:rFonts w:hint="eastAsia" w:ascii="Times New Roman" w:hAnsi="Times New Roman" w:eastAsia="宋体" w:cs="Times New Roman"/>
                <w:kern w:val="2"/>
                <w:sz w:val="24"/>
                <w:szCs w:val="24"/>
                <w:u w:val="single"/>
                <w:lang w:val="en-US" w:eastAsia="zh-CN" w:bidi="ar-SA"/>
              </w:rPr>
              <w:t>第四条</w:t>
            </w:r>
            <w:r>
              <w:rPr>
                <w:rFonts w:hint="eastAsia" w:cs="Times New Roman"/>
                <w:kern w:val="2"/>
                <w:sz w:val="24"/>
                <w:szCs w:val="24"/>
                <w:u w:val="single"/>
                <w:lang w:val="en-US" w:eastAsia="zh-CN" w:bidi="ar-SA"/>
              </w:rPr>
              <w:t xml:space="preserve">  </w:t>
            </w:r>
            <w:r>
              <w:rPr>
                <w:rFonts w:hint="eastAsia"/>
                <w:u w:val="single"/>
                <w:lang w:val="en-US" w:eastAsia="zh-CN"/>
              </w:rPr>
              <w:t>村（居）民委员会应当协助做好大气污染防治相关工作，发现大气污染违法行为应当予以劝阻，并及时报告乡镇人民政府、街道办事处或者县级人民政府环境保护主管部门。</w:t>
            </w:r>
          </w:p>
          <w:p w14:paraId="6B73D4EA">
            <w:pPr>
              <w:bidi w:val="0"/>
              <w:rPr>
                <w:rFonts w:hint="eastAsia"/>
                <w:u w:val="single"/>
                <w:lang w:val="en-US" w:eastAsia="zh-CN"/>
              </w:rPr>
            </w:pPr>
            <w:r>
              <w:rPr>
                <w:rFonts w:hint="eastAsia"/>
                <w:u w:val="single"/>
                <w:lang w:val="en-US" w:eastAsia="zh-CN"/>
              </w:rPr>
              <w:t>第二十三条 城市规划区内裸露地面应当按照下列规定进行扬尘污染防治：（一）市政道路以及河道沿线、公共用地的裸露地面，由相关主管部门组织实施绿化、透水铺装或者覆盖；（二）暂时不能开工的建设用地，由土地使用权人、建设单位对裸露地面采取设置防尘网或者防尘布等措施进行覆盖，不能开工超过三个月的，应当进行绿化、透水铺装；（三）其他裸露地面由土地使用权人、管理单位进行绿化、透水铺装或者覆盖。</w:t>
            </w:r>
          </w:p>
          <w:p w14:paraId="2381CAE3">
            <w:pPr>
              <w:bidi w:val="0"/>
              <w:rPr>
                <w:rFonts w:hint="eastAsia"/>
                <w:u w:val="single"/>
                <w:lang w:val="en-US" w:eastAsia="zh-CN"/>
              </w:rPr>
            </w:pPr>
            <w:r>
              <w:rPr>
                <w:rFonts w:hint="eastAsia"/>
                <w:u w:val="single"/>
                <w:lang w:val="en-US" w:eastAsia="zh-CN"/>
              </w:rPr>
              <w:t>第二十五条 县级以上人民政府及其有关主管部门应当鼓励和支持采用先进适用技术，对秸秆、落叶等进行综合利用。禁止在人口集中地区、机场周围、交通干线附近等区域露天焚烧秸秆、落叶、垃圾等产生烟尘污染的物质。具体范围由设区的市、自治州、县（市、区）人民政府划定，并向社会公布。</w:t>
            </w:r>
          </w:p>
          <w:p w14:paraId="7B7D9A41">
            <w:pPr>
              <w:bidi w:val="0"/>
              <w:rPr>
                <w:rFonts w:hint="eastAsia"/>
                <w:u w:val="single"/>
                <w:lang w:val="en-US" w:eastAsia="zh-CN"/>
              </w:rPr>
            </w:pPr>
            <w:r>
              <w:rPr>
                <w:rFonts w:hint="eastAsia"/>
                <w:u w:val="single"/>
                <w:lang w:val="en-US" w:eastAsia="zh-CN"/>
              </w:rPr>
              <w:t>县级以上人民政府农业主管部门应当建立健全禁止露天焚烧秸秆监管机制，利用遥感监测等技术手段进行监督抽测。</w:t>
            </w:r>
          </w:p>
          <w:p w14:paraId="6A7C59A0">
            <w:pPr>
              <w:bidi w:val="0"/>
              <w:rPr>
                <w:rFonts w:hint="default"/>
                <w:u w:val="single"/>
                <w:lang w:val="en-US" w:eastAsia="zh-CN"/>
              </w:rPr>
            </w:pPr>
            <w:r>
              <w:rPr>
                <w:rFonts w:hint="eastAsia"/>
                <w:u w:val="single"/>
                <w:lang w:val="en-US" w:eastAsia="zh-CN"/>
              </w:rPr>
              <w:t>本项目为固体废物治理项目，项目的建设可有效降低固体废物的危害性，促进固体废物的综合利用。通过对洪江市内建筑垃圾集中收集，具备堆填处置条件的，直接入场堆填，分拣出的废金属、废塑料、废木头在一般固废暂存间暂存后外售回收处置；分拣出的危险废物在危废暂存间暂存后交有资质单位处置，严禁混入堆填区处置，不会在建筑垃圾堆填场进行焚烧工作，且在堆填过程中采取分区作业、建设车辆冲洗平台、洒水降尘、设置围挡等污染防治措施，有效减少扬尘污染，符合《湖南省大气污染防治条例》的相关要求。</w:t>
            </w:r>
          </w:p>
          <w:p w14:paraId="4C7E9E9A">
            <w:pPr>
              <w:pStyle w:val="5"/>
              <w:bidi w:val="0"/>
              <w:rPr>
                <w:rFonts w:hint="default"/>
                <w:u w:val="single"/>
                <w:lang w:val="en-US" w:eastAsia="zh-CN"/>
              </w:rPr>
            </w:pPr>
            <w:r>
              <w:rPr>
                <w:rFonts w:hint="eastAsia"/>
                <w:u w:val="single"/>
                <w:lang w:val="en-US" w:eastAsia="zh-CN"/>
              </w:rPr>
              <w:t>1.4.4与《怀化市扬尘污染防治条例》符合性分析</w:t>
            </w:r>
          </w:p>
          <w:p w14:paraId="6FCC885B">
            <w:pPr>
              <w:bidi w:val="0"/>
              <w:rPr>
                <w:rFonts w:hint="eastAsia"/>
                <w:u w:val="single"/>
                <w:lang w:val="en-US" w:eastAsia="zh-CN"/>
              </w:rPr>
            </w:pPr>
            <w:r>
              <w:rPr>
                <w:rFonts w:hint="eastAsia"/>
                <w:u w:val="single"/>
                <w:lang w:val="en-US" w:eastAsia="zh-CN"/>
              </w:rPr>
              <w:t>第十七条 煤炭、垃圾、渣土、砂石、土方、灰浆、泥浆、商品混凝土、预拌砂浆等散装、流体物料的运输，应当符合下列要求：</w:t>
            </w:r>
          </w:p>
          <w:p w14:paraId="77EB3893">
            <w:pPr>
              <w:bidi w:val="0"/>
              <w:rPr>
                <w:rFonts w:hint="eastAsia"/>
                <w:u w:val="single"/>
                <w:lang w:val="en-US" w:eastAsia="zh-CN"/>
              </w:rPr>
            </w:pPr>
            <w:r>
              <w:rPr>
                <w:rFonts w:hint="eastAsia"/>
                <w:u w:val="single"/>
                <w:lang w:val="en-US" w:eastAsia="zh-CN"/>
              </w:rPr>
              <w:t>（一）运输垃圾、渣土、土方、灰浆、泥浆、商品混凝土、预拌砂浆采用全密闭化车辆，保证车厢密闭完整，运输煤炭、砂石等其他散装物料的车辆采取覆盖等防止物料遗撒的措施，运输途中不得泄漏、撒落；（二）运输车辆在除泥、冲洗干净后方可驶出装卸场所；（三）运输车辆倾倒物料后，继续采取覆盖或者密闭等措施，行驶途中不得泄漏、撒落。散装物料需要在城镇公共场所装卸作业的，应当装袋运输和装卸，不得泄漏、撒落。</w:t>
            </w:r>
          </w:p>
          <w:p w14:paraId="7ED48B98">
            <w:pPr>
              <w:bidi w:val="0"/>
              <w:rPr>
                <w:rFonts w:hint="eastAsia"/>
                <w:u w:val="single"/>
                <w:lang w:val="en-US" w:eastAsia="zh-CN"/>
              </w:rPr>
            </w:pPr>
            <w:r>
              <w:rPr>
                <w:rFonts w:hint="eastAsia"/>
                <w:u w:val="single"/>
                <w:lang w:val="en-US" w:eastAsia="zh-CN"/>
              </w:rPr>
              <w:t>第二十一条 市、县（市、区）人民政府应当加强固体废物处置设施建设。填埋场和消纳场应当实施分区作业，建设车辆冲洗平台，临近道路侧设置围挡，采取有效覆盖等防治措施。</w:t>
            </w:r>
          </w:p>
          <w:p w14:paraId="7CCB1574">
            <w:pPr>
              <w:bidi w:val="0"/>
              <w:rPr>
                <w:rFonts w:hint="eastAsia"/>
                <w:u w:val="single"/>
                <w:lang w:val="en-US" w:eastAsia="zh-CN"/>
              </w:rPr>
            </w:pPr>
            <w:r>
              <w:rPr>
                <w:rFonts w:hint="eastAsia"/>
                <w:u w:val="single"/>
                <w:lang w:val="en-US" w:eastAsia="zh-CN"/>
              </w:rPr>
              <w:t>禁止在城市规划区内设立煤炭、煤矸石、煤渣、煤灰、水泥、石灰、石膏、砂石等易产生扬尘污染的经营性露天物料堆场。</w:t>
            </w:r>
          </w:p>
          <w:p w14:paraId="6D26BA64">
            <w:pPr>
              <w:rPr>
                <w:rFonts w:hint="eastAsia"/>
                <w:u w:val="single"/>
                <w:lang w:val="en-US" w:eastAsia="zh-CN"/>
              </w:rPr>
            </w:pPr>
            <w:r>
              <w:rPr>
                <w:rFonts w:hint="eastAsia"/>
                <w:u w:val="single"/>
                <w:lang w:val="en-US" w:eastAsia="zh-CN"/>
              </w:rPr>
              <w:t>本项目为固体废物治理项目，建筑垃圾运输过程采用全密闭化车辆，保证车厢密闭完整，且在堆填过程中采取分区作业、建设车辆冲洗平台、洒水降尘、设置围挡等污染防治措施，有效减少扬尘污染，符合《怀化市扬尘污染防治条例》的相关要求。</w:t>
            </w:r>
          </w:p>
          <w:p w14:paraId="0124F0E8">
            <w:pPr>
              <w:pStyle w:val="4"/>
              <w:bidi w:val="0"/>
              <w:rPr>
                <w:rFonts w:hint="eastAsia"/>
                <w:lang w:val="en-US" w:eastAsia="zh-CN"/>
              </w:rPr>
            </w:pPr>
            <w:bookmarkStart w:id="12" w:name="_Toc111721032"/>
            <w:bookmarkStart w:id="13" w:name="_Toc111720916"/>
            <w:bookmarkStart w:id="14" w:name="_Toc109294445"/>
            <w:bookmarkStart w:id="15" w:name="_Toc109630646"/>
            <w:bookmarkStart w:id="16" w:name="_Toc110446449"/>
            <w:bookmarkStart w:id="17" w:name="_Toc109734348"/>
            <w:r>
              <w:rPr>
                <w:rFonts w:hint="eastAsia"/>
                <w:lang w:val="en-US" w:eastAsia="zh-CN"/>
              </w:rPr>
              <w:t>1.5专项法律法规符合性分析</w:t>
            </w:r>
          </w:p>
          <w:p w14:paraId="3B27E850">
            <w:pPr>
              <w:pStyle w:val="5"/>
              <w:bidi w:val="0"/>
              <w:rPr>
                <w:rFonts w:hint="eastAsia"/>
                <w:lang w:val="en-US" w:eastAsia="zh-CN"/>
              </w:rPr>
            </w:pPr>
            <w:r>
              <w:rPr>
                <w:rFonts w:hint="eastAsia"/>
                <w:lang w:val="en-US" w:eastAsia="zh-CN"/>
              </w:rPr>
              <w:t>1.5.1与《中华人民共和国固体废物污染环境防治法》符合性分析</w:t>
            </w:r>
          </w:p>
          <w:p w14:paraId="74ED59A6">
            <w:pPr>
              <w:bidi w:val="0"/>
              <w:rPr>
                <w:rFonts w:hint="default" w:ascii="Times New Roman" w:hAnsi="Times New Roman" w:eastAsia="宋体" w:cs="Times New Roman"/>
                <w:lang w:val="en-US" w:eastAsia="zh-CN"/>
              </w:rPr>
            </w:pPr>
            <w:r>
              <w:rPr>
                <w:rFonts w:hint="eastAsia" w:cs="Times New Roman"/>
                <w:lang w:val="en-US" w:eastAsia="zh-CN"/>
              </w:rPr>
              <w:t>对照《中华人民共和国固体废物污染环境防治法》中华人民共和国主席令（第四十三号）文件，本项目对照情况如下：</w:t>
            </w:r>
          </w:p>
          <w:p w14:paraId="3BA8C217">
            <w:pPr>
              <w:pStyle w:val="44"/>
              <w:bidi w:val="0"/>
              <w:rPr>
                <w:rFonts w:hint="default"/>
                <w:lang w:val="en-US" w:eastAsia="zh-CN"/>
              </w:rPr>
            </w:pPr>
            <w:r>
              <w:rPr>
                <w:rFonts w:hint="eastAsia"/>
                <w:lang w:val="en-US" w:eastAsia="zh-CN"/>
              </w:rPr>
              <w:t>表1.5-1：《中华人民共和国固体废物污染环境防治法》相符性分析一览表</w:t>
            </w:r>
          </w:p>
          <w:tbl>
            <w:tblPr>
              <w:tblStyle w:val="39"/>
              <w:tblW w:w="8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4318"/>
              <w:gridCol w:w="2029"/>
              <w:gridCol w:w="985"/>
            </w:tblGrid>
            <w:tr w14:paraId="5207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tcBorders>
                    <w:tl2br w:val="nil"/>
                    <w:tr2bl w:val="nil"/>
                  </w:tcBorders>
                  <w:noWrap w:val="0"/>
                  <w:vAlign w:val="center"/>
                </w:tcPr>
                <w:p w14:paraId="06AA5B2B">
                  <w:pPr>
                    <w:pStyle w:val="115"/>
                    <w:bidi w:val="0"/>
                    <w:rPr>
                      <w:rFonts w:hint="eastAsia"/>
                      <w:b/>
                      <w:bCs/>
                      <w:lang w:eastAsia="zh-CN"/>
                    </w:rPr>
                  </w:pPr>
                  <w:r>
                    <w:rPr>
                      <w:rFonts w:hint="eastAsia"/>
                      <w:b/>
                      <w:bCs/>
                      <w:lang w:eastAsia="zh-CN"/>
                    </w:rPr>
                    <w:t>序号</w:t>
                  </w:r>
                </w:p>
              </w:tc>
              <w:tc>
                <w:tcPr>
                  <w:tcW w:w="4318" w:type="dxa"/>
                  <w:tcBorders>
                    <w:tl2br w:val="nil"/>
                    <w:tr2bl w:val="nil"/>
                  </w:tcBorders>
                  <w:noWrap w:val="0"/>
                  <w:vAlign w:val="center"/>
                </w:tcPr>
                <w:p w14:paraId="65E0D209">
                  <w:pPr>
                    <w:pStyle w:val="115"/>
                    <w:bidi w:val="0"/>
                    <w:rPr>
                      <w:rFonts w:hint="eastAsia"/>
                      <w:b/>
                      <w:bCs/>
                    </w:rPr>
                  </w:pPr>
                  <w:r>
                    <w:rPr>
                      <w:rFonts w:hint="eastAsia"/>
                      <w:b/>
                      <w:bCs/>
                    </w:rPr>
                    <w:t>《</w:t>
                  </w:r>
                  <w:r>
                    <w:rPr>
                      <w:rFonts w:hint="eastAsia"/>
                      <w:b/>
                      <w:bCs/>
                      <w:lang w:val="en-US" w:eastAsia="zh-CN"/>
                    </w:rPr>
                    <w:t>中华人民共和国固体废物污染环境防治法</w:t>
                  </w:r>
                  <w:r>
                    <w:rPr>
                      <w:rFonts w:hint="eastAsia"/>
                      <w:b/>
                      <w:bCs/>
                    </w:rPr>
                    <w:t>》</w:t>
                  </w:r>
                </w:p>
              </w:tc>
              <w:tc>
                <w:tcPr>
                  <w:tcW w:w="2029" w:type="dxa"/>
                  <w:tcBorders>
                    <w:tl2br w:val="nil"/>
                    <w:tr2bl w:val="nil"/>
                  </w:tcBorders>
                  <w:noWrap w:val="0"/>
                  <w:vAlign w:val="center"/>
                </w:tcPr>
                <w:p w14:paraId="2D789FA5">
                  <w:pPr>
                    <w:pStyle w:val="115"/>
                    <w:bidi w:val="0"/>
                    <w:rPr>
                      <w:rFonts w:hint="eastAsia"/>
                      <w:b/>
                      <w:bCs/>
                    </w:rPr>
                  </w:pPr>
                  <w:r>
                    <w:rPr>
                      <w:rFonts w:hint="eastAsia"/>
                      <w:b/>
                      <w:bCs/>
                    </w:rPr>
                    <w:t>本项目情况</w:t>
                  </w:r>
                </w:p>
              </w:tc>
              <w:tc>
                <w:tcPr>
                  <w:tcW w:w="985" w:type="dxa"/>
                  <w:tcBorders>
                    <w:tl2br w:val="nil"/>
                    <w:tr2bl w:val="nil"/>
                  </w:tcBorders>
                  <w:noWrap w:val="0"/>
                  <w:vAlign w:val="center"/>
                </w:tcPr>
                <w:p w14:paraId="27DA9E33">
                  <w:pPr>
                    <w:pStyle w:val="115"/>
                    <w:bidi w:val="0"/>
                    <w:rPr>
                      <w:rFonts w:hint="eastAsia"/>
                      <w:b/>
                      <w:bCs/>
                      <w:lang w:eastAsia="zh-CN"/>
                    </w:rPr>
                  </w:pPr>
                  <w:r>
                    <w:rPr>
                      <w:rFonts w:hint="eastAsia"/>
                      <w:b/>
                      <w:bCs/>
                      <w:lang w:eastAsia="zh-CN"/>
                    </w:rPr>
                    <w:t>符合性</w:t>
                  </w:r>
                </w:p>
              </w:tc>
            </w:tr>
            <w:tr w14:paraId="33AA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tcBorders>
                    <w:tl2br w:val="nil"/>
                    <w:tr2bl w:val="nil"/>
                  </w:tcBorders>
                  <w:noWrap w:val="0"/>
                  <w:vAlign w:val="center"/>
                </w:tcPr>
                <w:p w14:paraId="26635447">
                  <w:pPr>
                    <w:pStyle w:val="115"/>
                    <w:bidi w:val="0"/>
                    <w:rPr>
                      <w:rFonts w:hint="default"/>
                      <w:lang w:val="en-US" w:eastAsia="zh-CN"/>
                    </w:rPr>
                  </w:pPr>
                  <w:r>
                    <w:rPr>
                      <w:rFonts w:hint="eastAsia"/>
                      <w:lang w:val="en-US" w:eastAsia="zh-CN"/>
                    </w:rPr>
                    <w:t>1</w:t>
                  </w:r>
                </w:p>
              </w:tc>
              <w:tc>
                <w:tcPr>
                  <w:tcW w:w="4318" w:type="dxa"/>
                  <w:tcBorders>
                    <w:tl2br w:val="nil"/>
                    <w:tr2bl w:val="nil"/>
                  </w:tcBorders>
                  <w:noWrap w:val="0"/>
                  <w:vAlign w:val="center"/>
                </w:tcPr>
                <w:p w14:paraId="72695C69">
                  <w:pPr>
                    <w:pStyle w:val="115"/>
                    <w:bidi w:val="0"/>
                    <w:rPr>
                      <w:rFonts w:hint="eastAsia"/>
                    </w:rPr>
                  </w:pPr>
                  <w:r>
                    <w:rPr>
                      <w:rFonts w:hint="eastAsia"/>
                    </w:rPr>
                    <w:t>固体废物污染环境防治坚持减量化、资源化和无害化的原则。任何单位和个人都应当采取措施，减少固体废物的产生量，促进固体废物的综合利用，降低固体废物的危害性。</w:t>
                  </w:r>
                </w:p>
              </w:tc>
              <w:tc>
                <w:tcPr>
                  <w:tcW w:w="2029" w:type="dxa"/>
                  <w:tcBorders>
                    <w:tl2br w:val="nil"/>
                    <w:tr2bl w:val="nil"/>
                  </w:tcBorders>
                  <w:noWrap w:val="0"/>
                  <w:vAlign w:val="center"/>
                </w:tcPr>
                <w:p w14:paraId="29A68FAB">
                  <w:pPr>
                    <w:pStyle w:val="115"/>
                    <w:bidi w:val="0"/>
                    <w:rPr>
                      <w:rFonts w:hint="eastAsia"/>
                      <w:lang w:eastAsia="zh-CN"/>
                    </w:rPr>
                  </w:pPr>
                  <w:r>
                    <w:rPr>
                      <w:rFonts w:hint="eastAsia"/>
                      <w:lang w:eastAsia="zh-CN"/>
                    </w:rPr>
                    <w:t>项目遵循“减量化、资源化和无害化”原则，通过对建筑垃圾</w:t>
                  </w:r>
                  <w:r>
                    <w:rPr>
                      <w:rFonts w:hint="eastAsia"/>
                      <w:lang w:val="en-US" w:eastAsia="zh-CN"/>
                    </w:rPr>
                    <w:t>进行堆填</w:t>
                  </w:r>
                  <w:r>
                    <w:rPr>
                      <w:rFonts w:hint="eastAsia"/>
                      <w:lang w:eastAsia="zh-CN"/>
                    </w:rPr>
                    <w:t>，降低其危害性。</w:t>
                  </w:r>
                </w:p>
              </w:tc>
              <w:tc>
                <w:tcPr>
                  <w:tcW w:w="985" w:type="dxa"/>
                  <w:tcBorders>
                    <w:tl2br w:val="nil"/>
                    <w:tr2bl w:val="nil"/>
                  </w:tcBorders>
                  <w:noWrap w:val="0"/>
                  <w:vAlign w:val="center"/>
                </w:tcPr>
                <w:p w14:paraId="04D6A92F">
                  <w:pPr>
                    <w:pStyle w:val="115"/>
                    <w:bidi w:val="0"/>
                    <w:rPr>
                      <w:rFonts w:hint="eastAsia"/>
                      <w:lang w:eastAsia="zh-CN"/>
                    </w:rPr>
                  </w:pPr>
                  <w:r>
                    <w:rPr>
                      <w:rFonts w:hint="eastAsia"/>
                      <w:lang w:eastAsia="zh-CN"/>
                    </w:rPr>
                    <w:t>符合</w:t>
                  </w:r>
                </w:p>
              </w:tc>
            </w:tr>
            <w:tr w14:paraId="5482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tcBorders>
                    <w:tl2br w:val="nil"/>
                    <w:tr2bl w:val="nil"/>
                  </w:tcBorders>
                  <w:noWrap w:val="0"/>
                  <w:vAlign w:val="center"/>
                </w:tcPr>
                <w:p w14:paraId="0778B7F4">
                  <w:pPr>
                    <w:pStyle w:val="115"/>
                    <w:bidi w:val="0"/>
                    <w:rPr>
                      <w:rFonts w:hint="default"/>
                      <w:lang w:val="en-US" w:eastAsia="zh-CN"/>
                    </w:rPr>
                  </w:pPr>
                  <w:r>
                    <w:rPr>
                      <w:rFonts w:hint="eastAsia"/>
                      <w:lang w:val="en-US" w:eastAsia="zh-CN"/>
                    </w:rPr>
                    <w:t>2</w:t>
                  </w:r>
                </w:p>
              </w:tc>
              <w:tc>
                <w:tcPr>
                  <w:tcW w:w="4318" w:type="dxa"/>
                  <w:tcBorders>
                    <w:tl2br w:val="nil"/>
                    <w:tr2bl w:val="nil"/>
                  </w:tcBorders>
                  <w:noWrap w:val="0"/>
                  <w:vAlign w:val="center"/>
                </w:tcPr>
                <w:p w14:paraId="343133AB">
                  <w:pPr>
                    <w:pStyle w:val="115"/>
                    <w:bidi w:val="0"/>
                    <w:rPr>
                      <w:rFonts w:hint="eastAsia"/>
                    </w:rPr>
                  </w:pPr>
                  <w:r>
                    <w:rPr>
                      <w:rFonts w:hint="eastAsia"/>
                    </w:rPr>
                    <w:t>建设产生、贮存、利用、处置固体废物的项目，应当依法进行环境影响评价，并遵守国家有关建设项目环境保护管理的规定。</w:t>
                  </w:r>
                </w:p>
              </w:tc>
              <w:tc>
                <w:tcPr>
                  <w:tcW w:w="2029" w:type="dxa"/>
                  <w:tcBorders>
                    <w:tl2br w:val="nil"/>
                    <w:tr2bl w:val="nil"/>
                  </w:tcBorders>
                  <w:noWrap w:val="0"/>
                  <w:vAlign w:val="center"/>
                </w:tcPr>
                <w:p w14:paraId="315A34EC">
                  <w:pPr>
                    <w:pStyle w:val="115"/>
                    <w:bidi w:val="0"/>
                    <w:rPr>
                      <w:rFonts w:hint="eastAsia"/>
                      <w:lang w:eastAsia="zh-CN"/>
                    </w:rPr>
                  </w:pPr>
                  <w:r>
                    <w:rPr>
                      <w:rFonts w:hint="eastAsia"/>
                      <w:lang w:eastAsia="zh-CN"/>
                    </w:rPr>
                    <w:t>本项目正在依法进行环境影响评价</w:t>
                  </w:r>
                </w:p>
              </w:tc>
              <w:tc>
                <w:tcPr>
                  <w:tcW w:w="985" w:type="dxa"/>
                  <w:tcBorders>
                    <w:tl2br w:val="nil"/>
                    <w:tr2bl w:val="nil"/>
                  </w:tcBorders>
                  <w:noWrap w:val="0"/>
                  <w:vAlign w:val="center"/>
                </w:tcPr>
                <w:p w14:paraId="180BBCB2">
                  <w:pPr>
                    <w:pStyle w:val="115"/>
                    <w:bidi w:val="0"/>
                    <w:rPr>
                      <w:rFonts w:hint="eastAsia"/>
                      <w:lang w:eastAsia="zh-CN"/>
                    </w:rPr>
                  </w:pPr>
                  <w:r>
                    <w:rPr>
                      <w:rFonts w:hint="eastAsia"/>
                      <w:lang w:eastAsia="zh-CN"/>
                    </w:rPr>
                    <w:t>符合</w:t>
                  </w:r>
                </w:p>
              </w:tc>
            </w:tr>
            <w:tr w14:paraId="6F0A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tcBorders>
                    <w:tl2br w:val="nil"/>
                    <w:tr2bl w:val="nil"/>
                  </w:tcBorders>
                  <w:noWrap w:val="0"/>
                  <w:vAlign w:val="center"/>
                </w:tcPr>
                <w:p w14:paraId="3C8FC3CE">
                  <w:pPr>
                    <w:pStyle w:val="115"/>
                    <w:bidi w:val="0"/>
                    <w:rPr>
                      <w:rFonts w:hint="default"/>
                      <w:lang w:val="en-US" w:eastAsia="zh-CN"/>
                    </w:rPr>
                  </w:pPr>
                  <w:r>
                    <w:rPr>
                      <w:rFonts w:hint="eastAsia"/>
                      <w:lang w:val="en-US" w:eastAsia="zh-CN"/>
                    </w:rPr>
                    <w:t>3</w:t>
                  </w:r>
                </w:p>
              </w:tc>
              <w:tc>
                <w:tcPr>
                  <w:tcW w:w="4318" w:type="dxa"/>
                  <w:tcBorders>
                    <w:tl2br w:val="nil"/>
                    <w:tr2bl w:val="nil"/>
                  </w:tcBorders>
                  <w:noWrap w:val="0"/>
                  <w:vAlign w:val="center"/>
                </w:tcPr>
                <w:p w14:paraId="3B9D39DD">
                  <w:pPr>
                    <w:pStyle w:val="115"/>
                    <w:bidi w:val="0"/>
                    <w:rPr>
                      <w:rFonts w:hint="eastAsia"/>
                    </w:rPr>
                  </w:pPr>
                  <w:r>
                    <w:rPr>
                      <w:rFonts w:hint="eastAsia"/>
                    </w:rPr>
                    <w:t>建设项目的环境影响评价文件确定需要配套建设的固体废物污染环境防治设施，应当与主体工程同时设计、同时施工、同时投入使用。建设项目的初步设计，应当按照环境保护设计规范的要求，将固体废物污染环境防治内容纳入环境影响评价文件，落实防治固体废物污染环境和破坏生态的措施以及固体废物污染环境防治设施投资概算。</w:t>
                  </w:r>
                </w:p>
                <w:p w14:paraId="14672001">
                  <w:pPr>
                    <w:pStyle w:val="115"/>
                    <w:bidi w:val="0"/>
                    <w:rPr>
                      <w:rFonts w:hint="eastAsia"/>
                    </w:rPr>
                  </w:pPr>
                  <w:r>
                    <w:rPr>
                      <w:rFonts w:hint="eastAsia"/>
                    </w:rPr>
                    <w:t>建设单位应当依照有关法律法规的规定，对配套建设的固体废物污染环境防治设施进行验收，编制验收报告，并向社会公开。</w:t>
                  </w:r>
                </w:p>
              </w:tc>
              <w:tc>
                <w:tcPr>
                  <w:tcW w:w="2029" w:type="dxa"/>
                  <w:tcBorders>
                    <w:tl2br w:val="nil"/>
                    <w:tr2bl w:val="nil"/>
                  </w:tcBorders>
                  <w:noWrap w:val="0"/>
                  <w:vAlign w:val="center"/>
                </w:tcPr>
                <w:p w14:paraId="2C62E879">
                  <w:pPr>
                    <w:pStyle w:val="115"/>
                    <w:bidi w:val="0"/>
                    <w:rPr>
                      <w:rFonts w:hint="eastAsia"/>
                      <w:lang w:eastAsia="zh-CN"/>
                    </w:rPr>
                  </w:pPr>
                  <w:r>
                    <w:rPr>
                      <w:rFonts w:hint="eastAsia"/>
                      <w:lang w:eastAsia="zh-CN"/>
                    </w:rPr>
                    <w:t>本项目明确固体废物污染防治措施，并与</w:t>
                  </w:r>
                  <w:r>
                    <w:rPr>
                      <w:rFonts w:hint="eastAsia"/>
                    </w:rPr>
                    <w:t>主体工程同时设计、同时施工、同时投入使用</w:t>
                  </w:r>
                  <w:r>
                    <w:rPr>
                      <w:rFonts w:hint="eastAsia"/>
                      <w:lang w:eastAsia="zh-CN"/>
                    </w:rPr>
                    <w:t>。项目建成后应按国家相关要求进行竣工环保验收，并向社会公开。</w:t>
                  </w:r>
                </w:p>
              </w:tc>
              <w:tc>
                <w:tcPr>
                  <w:tcW w:w="985" w:type="dxa"/>
                  <w:tcBorders>
                    <w:tl2br w:val="nil"/>
                    <w:tr2bl w:val="nil"/>
                  </w:tcBorders>
                  <w:noWrap w:val="0"/>
                  <w:vAlign w:val="center"/>
                </w:tcPr>
                <w:p w14:paraId="4DA6E4B9">
                  <w:pPr>
                    <w:pStyle w:val="115"/>
                    <w:bidi w:val="0"/>
                    <w:rPr>
                      <w:rFonts w:hint="eastAsia"/>
                      <w:lang w:eastAsia="zh-CN"/>
                    </w:rPr>
                  </w:pPr>
                  <w:r>
                    <w:rPr>
                      <w:rFonts w:hint="eastAsia"/>
                      <w:lang w:eastAsia="zh-CN"/>
                    </w:rPr>
                    <w:t>符合</w:t>
                  </w:r>
                </w:p>
              </w:tc>
            </w:tr>
            <w:tr w14:paraId="0A6A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8" w:type="dxa"/>
                  <w:tcBorders>
                    <w:tl2br w:val="nil"/>
                    <w:tr2bl w:val="nil"/>
                  </w:tcBorders>
                  <w:noWrap w:val="0"/>
                  <w:vAlign w:val="center"/>
                </w:tcPr>
                <w:p w14:paraId="63C06109">
                  <w:pPr>
                    <w:pStyle w:val="115"/>
                    <w:bidi w:val="0"/>
                    <w:rPr>
                      <w:rFonts w:hint="default"/>
                      <w:lang w:val="en-US" w:eastAsia="zh-CN"/>
                    </w:rPr>
                  </w:pPr>
                  <w:r>
                    <w:rPr>
                      <w:rFonts w:hint="eastAsia"/>
                      <w:lang w:val="en-US" w:eastAsia="zh-CN"/>
                    </w:rPr>
                    <w:t>4</w:t>
                  </w:r>
                </w:p>
              </w:tc>
              <w:tc>
                <w:tcPr>
                  <w:tcW w:w="4318" w:type="dxa"/>
                  <w:tcBorders>
                    <w:tl2br w:val="nil"/>
                    <w:tr2bl w:val="nil"/>
                  </w:tcBorders>
                  <w:noWrap w:val="0"/>
                  <w:vAlign w:val="center"/>
                </w:tcPr>
                <w:p w14:paraId="74BC2A15">
                  <w:pPr>
                    <w:pStyle w:val="115"/>
                    <w:bidi w:val="0"/>
                    <w:rPr>
                      <w:rFonts w:hint="eastAsia"/>
                      <w:lang w:eastAsia="zh-CN"/>
                    </w:rPr>
                  </w:pPr>
                  <w:r>
                    <w:rPr>
                      <w:rFonts w:hint="eastAsia"/>
                      <w:lang w:eastAsia="zh-CN"/>
                    </w:rPr>
                    <w:t>在生态保护红线区域、永久基本农田集中区域和其他需要特别保护的区域内，禁止建设工业固体废物、危险废物集中贮存、利用、处置的设施、场所和生活垃圾填埋场</w:t>
                  </w:r>
                </w:p>
              </w:tc>
              <w:tc>
                <w:tcPr>
                  <w:tcW w:w="2029" w:type="dxa"/>
                  <w:tcBorders>
                    <w:tl2br w:val="nil"/>
                    <w:tr2bl w:val="nil"/>
                  </w:tcBorders>
                  <w:noWrap w:val="0"/>
                  <w:vAlign w:val="center"/>
                </w:tcPr>
                <w:p w14:paraId="26FFAC92">
                  <w:pPr>
                    <w:pStyle w:val="115"/>
                    <w:bidi w:val="0"/>
                    <w:rPr>
                      <w:rFonts w:hint="eastAsia"/>
                      <w:lang w:eastAsia="zh-CN"/>
                    </w:rPr>
                  </w:pPr>
                  <w:r>
                    <w:rPr>
                      <w:rFonts w:hint="eastAsia"/>
                      <w:lang w:eastAsia="zh-CN"/>
                    </w:rPr>
                    <w:t>本项目选址于</w:t>
                  </w:r>
                  <w:r>
                    <w:rPr>
                      <w:rFonts w:hint="eastAsia"/>
                      <w:lang w:val="en-US" w:eastAsia="zh-CN"/>
                    </w:rPr>
                    <w:t>洪江市</w:t>
                  </w:r>
                  <w:r>
                    <w:rPr>
                      <w:rFonts w:hint="eastAsia"/>
                      <w:lang w:eastAsia="zh-CN"/>
                    </w:rPr>
                    <w:t>安江镇，不属于生态保护红线区域、永久基本农田集中区域和其他需要特别保护的区域。</w:t>
                  </w:r>
                </w:p>
              </w:tc>
              <w:tc>
                <w:tcPr>
                  <w:tcW w:w="985" w:type="dxa"/>
                  <w:tcBorders>
                    <w:tl2br w:val="nil"/>
                    <w:tr2bl w:val="nil"/>
                  </w:tcBorders>
                  <w:noWrap w:val="0"/>
                  <w:vAlign w:val="center"/>
                </w:tcPr>
                <w:p w14:paraId="1452AD98">
                  <w:pPr>
                    <w:pStyle w:val="115"/>
                    <w:bidi w:val="0"/>
                    <w:rPr>
                      <w:rFonts w:hint="eastAsia"/>
                      <w:lang w:eastAsia="zh-CN"/>
                    </w:rPr>
                  </w:pPr>
                  <w:r>
                    <w:rPr>
                      <w:rFonts w:hint="eastAsia"/>
                      <w:lang w:eastAsia="zh-CN"/>
                    </w:rPr>
                    <w:t>符合</w:t>
                  </w:r>
                </w:p>
              </w:tc>
            </w:tr>
          </w:tbl>
          <w:p w14:paraId="6062FB98">
            <w:pPr>
              <w:pStyle w:val="5"/>
              <w:bidi w:val="0"/>
              <w:rPr>
                <w:rFonts w:hint="default"/>
                <w:lang w:val="en-US" w:eastAsia="zh-CN"/>
              </w:rPr>
            </w:pPr>
            <w:r>
              <w:rPr>
                <w:rFonts w:hint="eastAsia"/>
                <w:lang w:val="en-US" w:eastAsia="zh-CN"/>
              </w:rPr>
              <w:t>1.5.2与《中华人民共和国长江保护法》（主席令第六十五号）符合性分析</w:t>
            </w:r>
          </w:p>
          <w:p w14:paraId="1A82B4BB">
            <w:pPr>
              <w:bidi w:val="0"/>
              <w:rPr>
                <w:rFonts w:hint="eastAsia"/>
                <w:lang w:val="zh-CN"/>
              </w:rPr>
            </w:pPr>
            <w:r>
              <w:rPr>
                <w:rFonts w:hint="eastAsia"/>
                <w:lang w:val="zh-CN"/>
              </w:rPr>
              <w:t>经对照《中华人民共和国长江保护法》（主席令第六十五号）文件，本项目与其符合性具体如下：</w:t>
            </w:r>
          </w:p>
          <w:p w14:paraId="0761B504">
            <w:pPr>
              <w:pStyle w:val="44"/>
              <w:bidi w:val="0"/>
              <w:rPr>
                <w:rFonts w:hint="eastAsia"/>
              </w:rPr>
            </w:pPr>
            <w:r>
              <w:rPr>
                <w:rFonts w:hint="eastAsia"/>
              </w:rPr>
              <w:t>表</w:t>
            </w:r>
            <w:r>
              <w:rPr>
                <w:rFonts w:hint="eastAsia"/>
                <w:lang w:val="en-US" w:eastAsia="zh-CN"/>
              </w:rPr>
              <w:t>1.5-2</w:t>
            </w:r>
            <w:r>
              <w:rPr>
                <w:rFonts w:hint="eastAsia"/>
                <w:lang w:eastAsia="zh-CN"/>
              </w:rPr>
              <w:t>：</w:t>
            </w:r>
            <w:r>
              <w:rPr>
                <w:rFonts w:hint="eastAsia"/>
              </w:rPr>
              <w:t>《中华人民共和国长江保护法》</w:t>
            </w:r>
            <w:r>
              <w:rPr>
                <w:rFonts w:hint="eastAsia"/>
                <w:lang w:eastAsia="zh-CN"/>
              </w:rPr>
              <w:t>（主席令第六十五号）</w:t>
            </w:r>
            <w:r>
              <w:rPr>
                <w:rFonts w:hint="eastAsia"/>
              </w:rPr>
              <w:t>相符性分析</w:t>
            </w:r>
          </w:p>
          <w:tbl>
            <w:tblPr>
              <w:tblStyle w:val="39"/>
              <w:tblW w:w="8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3427"/>
              <w:gridCol w:w="3105"/>
              <w:gridCol w:w="830"/>
            </w:tblGrid>
            <w:tr w14:paraId="3759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8" w:type="dxa"/>
                  <w:tcBorders>
                    <w:tl2br w:val="nil"/>
                    <w:tr2bl w:val="nil"/>
                  </w:tcBorders>
                  <w:noWrap w:val="0"/>
                  <w:vAlign w:val="center"/>
                </w:tcPr>
                <w:p w14:paraId="47957A4C">
                  <w:pPr>
                    <w:pStyle w:val="115"/>
                    <w:bidi w:val="0"/>
                    <w:rPr>
                      <w:rFonts w:hint="eastAsia"/>
                      <w:b/>
                      <w:bCs/>
                      <w:lang w:eastAsia="zh-CN"/>
                    </w:rPr>
                  </w:pPr>
                  <w:r>
                    <w:rPr>
                      <w:rFonts w:hint="eastAsia"/>
                      <w:b/>
                      <w:bCs/>
                      <w:lang w:eastAsia="zh-CN"/>
                    </w:rPr>
                    <w:t>序号</w:t>
                  </w:r>
                </w:p>
              </w:tc>
              <w:tc>
                <w:tcPr>
                  <w:tcW w:w="3427" w:type="dxa"/>
                  <w:tcBorders>
                    <w:tl2br w:val="nil"/>
                    <w:tr2bl w:val="nil"/>
                  </w:tcBorders>
                  <w:noWrap w:val="0"/>
                  <w:vAlign w:val="center"/>
                </w:tcPr>
                <w:p w14:paraId="5A86BA74">
                  <w:pPr>
                    <w:pStyle w:val="115"/>
                    <w:bidi w:val="0"/>
                    <w:rPr>
                      <w:rFonts w:hint="eastAsia"/>
                      <w:b/>
                      <w:bCs/>
                    </w:rPr>
                  </w:pPr>
                  <w:r>
                    <w:rPr>
                      <w:rFonts w:hint="eastAsia"/>
                      <w:b/>
                      <w:bCs/>
                    </w:rPr>
                    <w:t>《中华人民共和国长江保护法》</w:t>
                  </w:r>
                </w:p>
                <w:p w14:paraId="6FCA7965">
                  <w:pPr>
                    <w:pStyle w:val="115"/>
                    <w:bidi w:val="0"/>
                    <w:rPr>
                      <w:rFonts w:hint="eastAsia"/>
                      <w:b/>
                      <w:bCs/>
                    </w:rPr>
                  </w:pPr>
                  <w:r>
                    <w:rPr>
                      <w:rFonts w:hint="eastAsia"/>
                      <w:b/>
                      <w:bCs/>
                    </w:rPr>
                    <w:t>（主席令第六十五号）</w:t>
                  </w:r>
                </w:p>
              </w:tc>
              <w:tc>
                <w:tcPr>
                  <w:tcW w:w="3105" w:type="dxa"/>
                  <w:tcBorders>
                    <w:tl2br w:val="nil"/>
                    <w:tr2bl w:val="nil"/>
                  </w:tcBorders>
                  <w:noWrap w:val="0"/>
                  <w:vAlign w:val="center"/>
                </w:tcPr>
                <w:p w14:paraId="2F0A1C7C">
                  <w:pPr>
                    <w:pStyle w:val="115"/>
                    <w:bidi w:val="0"/>
                    <w:rPr>
                      <w:rFonts w:hint="eastAsia"/>
                      <w:b/>
                      <w:bCs/>
                    </w:rPr>
                  </w:pPr>
                  <w:r>
                    <w:rPr>
                      <w:rFonts w:hint="eastAsia"/>
                      <w:b/>
                      <w:bCs/>
                    </w:rPr>
                    <w:t>本项目情况</w:t>
                  </w:r>
                </w:p>
              </w:tc>
              <w:tc>
                <w:tcPr>
                  <w:tcW w:w="830" w:type="dxa"/>
                  <w:tcBorders>
                    <w:tl2br w:val="nil"/>
                    <w:tr2bl w:val="nil"/>
                  </w:tcBorders>
                  <w:noWrap w:val="0"/>
                  <w:vAlign w:val="center"/>
                </w:tcPr>
                <w:p w14:paraId="5D2BA4E2">
                  <w:pPr>
                    <w:pStyle w:val="115"/>
                    <w:bidi w:val="0"/>
                    <w:rPr>
                      <w:rFonts w:hint="eastAsia"/>
                      <w:b/>
                      <w:bCs/>
                      <w:lang w:eastAsia="zh-CN"/>
                    </w:rPr>
                  </w:pPr>
                  <w:r>
                    <w:rPr>
                      <w:rFonts w:hint="eastAsia"/>
                      <w:b/>
                      <w:bCs/>
                      <w:lang w:eastAsia="zh-CN"/>
                    </w:rPr>
                    <w:t>符合性</w:t>
                  </w:r>
                </w:p>
              </w:tc>
            </w:tr>
            <w:tr w14:paraId="5DA2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8" w:type="dxa"/>
                  <w:tcBorders>
                    <w:tl2br w:val="nil"/>
                    <w:tr2bl w:val="nil"/>
                  </w:tcBorders>
                  <w:noWrap w:val="0"/>
                  <w:vAlign w:val="center"/>
                </w:tcPr>
                <w:p w14:paraId="0C7451DF">
                  <w:pPr>
                    <w:pStyle w:val="115"/>
                    <w:bidi w:val="0"/>
                    <w:rPr>
                      <w:rFonts w:hint="default"/>
                      <w:lang w:val="en-US" w:eastAsia="zh-CN"/>
                    </w:rPr>
                  </w:pPr>
                  <w:r>
                    <w:rPr>
                      <w:rFonts w:hint="eastAsia"/>
                      <w:lang w:val="en-US" w:eastAsia="zh-CN"/>
                    </w:rPr>
                    <w:t>1</w:t>
                  </w:r>
                </w:p>
              </w:tc>
              <w:tc>
                <w:tcPr>
                  <w:tcW w:w="3427" w:type="dxa"/>
                  <w:tcBorders>
                    <w:tl2br w:val="nil"/>
                    <w:tr2bl w:val="nil"/>
                  </w:tcBorders>
                  <w:noWrap w:val="0"/>
                  <w:vAlign w:val="center"/>
                </w:tcPr>
                <w:p w14:paraId="3FACAF79">
                  <w:pPr>
                    <w:pStyle w:val="115"/>
                    <w:bidi w:val="0"/>
                    <w:rPr>
                      <w:rFonts w:hint="eastAsia"/>
                      <w:lang w:val="en-US" w:eastAsia="zh-CN"/>
                    </w:rPr>
                  </w:pPr>
                  <w:r>
                    <w:rPr>
                      <w:rFonts w:hint="eastAsia"/>
                      <w:lang w:val="en-US" w:eastAsia="zh-CN"/>
                    </w:rPr>
                    <w:t>禁止在长江干支流岸线一公里范围内新建、扩建化工园区和化工项目。</w:t>
                  </w:r>
                </w:p>
                <w:p w14:paraId="3466C60E">
                  <w:pPr>
                    <w:pStyle w:val="115"/>
                    <w:bidi w:val="0"/>
                    <w:rPr>
                      <w:rFonts w:hint="default"/>
                      <w:lang w:val="en-US" w:eastAsia="zh-CN"/>
                    </w:rPr>
                  </w:pPr>
                  <w:r>
                    <w:rPr>
                      <w:rFonts w:hint="eastAsia"/>
                      <w:lang w:val="en-US" w:eastAsia="zh-CN"/>
                    </w:rPr>
                    <w:t>禁止在长江干流岸线三公里范围内和重要支流岸线一公里范围内新建、改建、扩建尾矿库；但是以提升安全、生态环境保护水平为目的的改建除外。</w:t>
                  </w:r>
                </w:p>
              </w:tc>
              <w:tc>
                <w:tcPr>
                  <w:tcW w:w="3105" w:type="dxa"/>
                  <w:tcBorders>
                    <w:tl2br w:val="nil"/>
                    <w:tr2bl w:val="nil"/>
                  </w:tcBorders>
                  <w:noWrap w:val="0"/>
                  <w:vAlign w:val="center"/>
                </w:tcPr>
                <w:p w14:paraId="627F3BC9">
                  <w:pPr>
                    <w:pStyle w:val="115"/>
                    <w:bidi w:val="0"/>
                    <w:rPr>
                      <w:rFonts w:hint="eastAsia"/>
                      <w:lang w:eastAsia="zh-CN"/>
                    </w:rPr>
                  </w:pPr>
                  <w:r>
                    <w:rPr>
                      <w:rFonts w:hint="eastAsia"/>
                      <w:lang w:eastAsia="zh-CN"/>
                    </w:rPr>
                    <w:t>本项目</w:t>
                  </w:r>
                  <w:r>
                    <w:rPr>
                      <w:rFonts w:hint="eastAsia"/>
                      <w:lang w:val="en-US" w:eastAsia="zh-CN"/>
                    </w:rPr>
                    <w:t>属于</w:t>
                  </w:r>
                  <w:r>
                    <w:rPr>
                      <w:rFonts w:hint="default"/>
                      <w:lang w:val="en-US" w:eastAsia="zh-CN"/>
                    </w:rPr>
                    <w:t>固体废物治理</w:t>
                  </w:r>
                  <w:r>
                    <w:rPr>
                      <w:rFonts w:hint="eastAsia"/>
                      <w:lang w:eastAsia="zh-CN"/>
                    </w:rPr>
                    <w:t>项目，不属于化工园区及化工项目、尾矿库类项目。</w:t>
                  </w:r>
                </w:p>
              </w:tc>
              <w:tc>
                <w:tcPr>
                  <w:tcW w:w="830" w:type="dxa"/>
                  <w:tcBorders>
                    <w:tl2br w:val="nil"/>
                    <w:tr2bl w:val="nil"/>
                  </w:tcBorders>
                  <w:noWrap w:val="0"/>
                  <w:vAlign w:val="center"/>
                </w:tcPr>
                <w:p w14:paraId="681D9A08">
                  <w:pPr>
                    <w:pStyle w:val="115"/>
                    <w:bidi w:val="0"/>
                    <w:rPr>
                      <w:rFonts w:hint="eastAsia"/>
                      <w:lang w:eastAsia="zh-CN"/>
                    </w:rPr>
                  </w:pPr>
                  <w:r>
                    <w:rPr>
                      <w:rFonts w:hint="eastAsia"/>
                      <w:lang w:eastAsia="zh-CN"/>
                    </w:rPr>
                    <w:t>符合</w:t>
                  </w:r>
                </w:p>
              </w:tc>
            </w:tr>
            <w:tr w14:paraId="4EBA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8" w:type="dxa"/>
                  <w:tcBorders>
                    <w:tl2br w:val="nil"/>
                    <w:tr2bl w:val="nil"/>
                  </w:tcBorders>
                  <w:noWrap w:val="0"/>
                  <w:vAlign w:val="center"/>
                </w:tcPr>
                <w:p w14:paraId="5E356472">
                  <w:pPr>
                    <w:pStyle w:val="115"/>
                    <w:bidi w:val="0"/>
                    <w:rPr>
                      <w:rFonts w:hint="default"/>
                      <w:lang w:val="en-US" w:eastAsia="zh-CN"/>
                    </w:rPr>
                  </w:pPr>
                  <w:r>
                    <w:rPr>
                      <w:rFonts w:hint="eastAsia"/>
                      <w:lang w:val="en-US" w:eastAsia="zh-CN"/>
                    </w:rPr>
                    <w:t>2</w:t>
                  </w:r>
                </w:p>
              </w:tc>
              <w:tc>
                <w:tcPr>
                  <w:tcW w:w="3427" w:type="dxa"/>
                  <w:tcBorders>
                    <w:tl2br w:val="nil"/>
                    <w:tr2bl w:val="nil"/>
                  </w:tcBorders>
                  <w:noWrap w:val="0"/>
                  <w:vAlign w:val="center"/>
                </w:tcPr>
                <w:p w14:paraId="7B20CFC5">
                  <w:pPr>
                    <w:pStyle w:val="115"/>
                    <w:bidi w:val="0"/>
                    <w:rPr>
                      <w:rFonts w:hint="eastAsia"/>
                    </w:rPr>
                  </w:pPr>
                  <w:r>
                    <w:rPr>
                      <w:rFonts w:hint="eastAsia"/>
                    </w:rPr>
                    <w:t>禁止违法利用、占用长江流域河湖岸线</w:t>
                  </w:r>
                </w:p>
              </w:tc>
              <w:tc>
                <w:tcPr>
                  <w:tcW w:w="3105" w:type="dxa"/>
                  <w:tcBorders>
                    <w:tl2br w:val="nil"/>
                    <w:tr2bl w:val="nil"/>
                  </w:tcBorders>
                  <w:noWrap w:val="0"/>
                  <w:vAlign w:val="center"/>
                </w:tcPr>
                <w:p w14:paraId="19DBF6E5">
                  <w:pPr>
                    <w:pStyle w:val="115"/>
                    <w:bidi w:val="0"/>
                    <w:rPr>
                      <w:rFonts w:hint="eastAsia"/>
                      <w:lang w:eastAsia="zh-CN"/>
                    </w:rPr>
                  </w:pPr>
                  <w:r>
                    <w:rPr>
                      <w:rFonts w:hint="eastAsia"/>
                      <w:lang w:eastAsia="zh-CN"/>
                    </w:rPr>
                    <w:t>本项目选址于洪江市安江镇，项目用地</w:t>
                  </w:r>
                  <w:r>
                    <w:rPr>
                      <w:rFonts w:hint="eastAsia"/>
                      <w:lang w:val="en-US" w:eastAsia="zh-CN"/>
                    </w:rPr>
                    <w:t>均</w:t>
                  </w:r>
                  <w:r>
                    <w:rPr>
                      <w:rFonts w:hint="eastAsia"/>
                      <w:lang w:eastAsia="zh-CN"/>
                    </w:rPr>
                    <w:t>已取得相关合法手续，不属于违法利用土地，也不在</w:t>
                  </w:r>
                  <w:r>
                    <w:rPr>
                      <w:rFonts w:hint="eastAsia"/>
                    </w:rPr>
                    <w:t>长江流域河湖岸线</w:t>
                  </w:r>
                  <w:r>
                    <w:rPr>
                      <w:rFonts w:hint="eastAsia"/>
                      <w:lang w:eastAsia="zh-CN"/>
                    </w:rPr>
                    <w:t>内。</w:t>
                  </w:r>
                </w:p>
              </w:tc>
              <w:tc>
                <w:tcPr>
                  <w:tcW w:w="830" w:type="dxa"/>
                  <w:tcBorders>
                    <w:tl2br w:val="nil"/>
                    <w:tr2bl w:val="nil"/>
                  </w:tcBorders>
                  <w:noWrap w:val="0"/>
                  <w:vAlign w:val="center"/>
                </w:tcPr>
                <w:p w14:paraId="5DB3E547">
                  <w:pPr>
                    <w:pStyle w:val="115"/>
                    <w:bidi w:val="0"/>
                    <w:rPr>
                      <w:rFonts w:hint="eastAsia"/>
                      <w:lang w:eastAsia="zh-CN"/>
                    </w:rPr>
                  </w:pPr>
                  <w:r>
                    <w:rPr>
                      <w:rFonts w:hint="eastAsia"/>
                      <w:lang w:eastAsia="zh-CN"/>
                    </w:rPr>
                    <w:t>符合</w:t>
                  </w:r>
                </w:p>
              </w:tc>
            </w:tr>
            <w:tr w14:paraId="156A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8" w:type="dxa"/>
                  <w:tcBorders>
                    <w:tl2br w:val="nil"/>
                    <w:tr2bl w:val="nil"/>
                  </w:tcBorders>
                  <w:noWrap w:val="0"/>
                  <w:vAlign w:val="center"/>
                </w:tcPr>
                <w:p w14:paraId="1D5F4C4B">
                  <w:pPr>
                    <w:pStyle w:val="115"/>
                    <w:bidi w:val="0"/>
                    <w:rPr>
                      <w:rFonts w:hint="default"/>
                      <w:lang w:val="en-US" w:eastAsia="zh-CN"/>
                    </w:rPr>
                  </w:pPr>
                  <w:r>
                    <w:rPr>
                      <w:rFonts w:hint="eastAsia"/>
                      <w:lang w:val="en-US" w:eastAsia="zh-CN"/>
                    </w:rPr>
                    <w:t>3</w:t>
                  </w:r>
                </w:p>
              </w:tc>
              <w:tc>
                <w:tcPr>
                  <w:tcW w:w="3427" w:type="dxa"/>
                  <w:tcBorders>
                    <w:tl2br w:val="nil"/>
                    <w:tr2bl w:val="nil"/>
                  </w:tcBorders>
                  <w:noWrap w:val="0"/>
                  <w:vAlign w:val="center"/>
                </w:tcPr>
                <w:p w14:paraId="52EB4EBE">
                  <w:pPr>
                    <w:pStyle w:val="115"/>
                    <w:bidi w:val="0"/>
                    <w:rPr>
                      <w:rFonts w:hint="eastAsia"/>
                    </w:rPr>
                  </w:pPr>
                  <w:r>
                    <w:rPr>
                      <w:rFonts w:hint="eastAsia"/>
                    </w:rPr>
                    <w:t>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tc>
              <w:tc>
                <w:tcPr>
                  <w:tcW w:w="3105" w:type="dxa"/>
                  <w:tcBorders>
                    <w:tl2br w:val="nil"/>
                    <w:tr2bl w:val="nil"/>
                  </w:tcBorders>
                  <w:noWrap w:val="0"/>
                  <w:vAlign w:val="center"/>
                </w:tcPr>
                <w:p w14:paraId="7F143D08">
                  <w:pPr>
                    <w:pStyle w:val="115"/>
                    <w:bidi w:val="0"/>
                    <w:rPr>
                      <w:rFonts w:hint="eastAsia"/>
                      <w:lang w:eastAsia="zh-CN"/>
                    </w:rPr>
                  </w:pPr>
                  <w:r>
                    <w:rPr>
                      <w:rFonts w:hint="default"/>
                      <w:lang w:eastAsia="zh-CN"/>
                    </w:rPr>
                    <w:t>本项目</w:t>
                  </w:r>
                  <w:r>
                    <w:rPr>
                      <w:rFonts w:hint="eastAsia"/>
                      <w:lang w:val="en-US" w:eastAsia="zh-CN"/>
                    </w:rPr>
                    <w:t>属于</w:t>
                  </w:r>
                  <w:r>
                    <w:rPr>
                      <w:rFonts w:hint="default"/>
                      <w:lang w:val="en-US" w:eastAsia="zh-CN"/>
                    </w:rPr>
                    <w:t>固体废物治理</w:t>
                  </w:r>
                  <w:r>
                    <w:rPr>
                      <w:rFonts w:hint="default"/>
                      <w:lang w:eastAsia="zh-CN"/>
                    </w:rPr>
                    <w:t>项目，在生产过程中，本环评根据导则</w:t>
                  </w:r>
                  <w:r>
                    <w:rPr>
                      <w:rFonts w:hint="eastAsia"/>
                      <w:lang w:val="en-US" w:eastAsia="zh-CN"/>
                    </w:rPr>
                    <w:t>要求</w:t>
                  </w:r>
                  <w:r>
                    <w:rPr>
                      <w:rFonts w:hint="default"/>
                      <w:lang w:eastAsia="zh-CN"/>
                    </w:rPr>
                    <w:t>提出了分区防渗要求，能有效进行风险防控</w:t>
                  </w:r>
                  <w:r>
                    <w:rPr>
                      <w:rFonts w:hint="eastAsia"/>
                      <w:lang w:eastAsia="zh-CN"/>
                    </w:rPr>
                    <w:t>。</w:t>
                  </w:r>
                </w:p>
              </w:tc>
              <w:tc>
                <w:tcPr>
                  <w:tcW w:w="830" w:type="dxa"/>
                  <w:tcBorders>
                    <w:tl2br w:val="nil"/>
                    <w:tr2bl w:val="nil"/>
                  </w:tcBorders>
                  <w:noWrap w:val="0"/>
                  <w:vAlign w:val="center"/>
                </w:tcPr>
                <w:p w14:paraId="2E7E031F">
                  <w:pPr>
                    <w:pStyle w:val="115"/>
                    <w:bidi w:val="0"/>
                    <w:rPr>
                      <w:rFonts w:hint="eastAsia"/>
                      <w:lang w:eastAsia="zh-CN"/>
                    </w:rPr>
                  </w:pPr>
                  <w:r>
                    <w:rPr>
                      <w:rFonts w:hint="eastAsia"/>
                      <w:lang w:eastAsia="zh-CN"/>
                    </w:rPr>
                    <w:t>符合</w:t>
                  </w:r>
                </w:p>
              </w:tc>
            </w:tr>
            <w:tr w14:paraId="2B98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8" w:type="dxa"/>
                  <w:tcBorders>
                    <w:tl2br w:val="nil"/>
                    <w:tr2bl w:val="nil"/>
                  </w:tcBorders>
                  <w:noWrap w:val="0"/>
                  <w:vAlign w:val="center"/>
                </w:tcPr>
                <w:p w14:paraId="7745BED4">
                  <w:pPr>
                    <w:pStyle w:val="115"/>
                    <w:bidi w:val="0"/>
                    <w:rPr>
                      <w:rFonts w:hint="default"/>
                      <w:lang w:val="en-US" w:eastAsia="zh-CN"/>
                    </w:rPr>
                  </w:pPr>
                  <w:r>
                    <w:rPr>
                      <w:rFonts w:hint="eastAsia"/>
                      <w:lang w:val="en-US" w:eastAsia="zh-CN"/>
                    </w:rPr>
                    <w:t>4</w:t>
                  </w:r>
                </w:p>
              </w:tc>
              <w:tc>
                <w:tcPr>
                  <w:tcW w:w="3427" w:type="dxa"/>
                  <w:tcBorders>
                    <w:tl2br w:val="nil"/>
                    <w:tr2bl w:val="nil"/>
                  </w:tcBorders>
                  <w:noWrap w:val="0"/>
                  <w:vAlign w:val="center"/>
                </w:tcPr>
                <w:p w14:paraId="07F62FF1">
                  <w:pPr>
                    <w:pStyle w:val="115"/>
                    <w:bidi w:val="0"/>
                    <w:rPr>
                      <w:rFonts w:hint="eastAsia"/>
                    </w:rPr>
                  </w:pPr>
                  <w:r>
                    <w:rPr>
                      <w:rFonts w:hint="eastAsia"/>
                    </w:rPr>
                    <w:t>长江流域县级以上地方人民政府应当因地制宜采取消除地质灾害隐患、土地复垦、恢复植被、防治污染等措施，加快历史遗留矿山生态环境修复工作，并加强对在建和运行中矿山的监督管理，督促采矿权人切实履行矿山污染防治和生态环境修复责任</w:t>
                  </w:r>
                </w:p>
              </w:tc>
              <w:tc>
                <w:tcPr>
                  <w:tcW w:w="3105" w:type="dxa"/>
                  <w:tcBorders>
                    <w:tl2br w:val="nil"/>
                    <w:tr2bl w:val="nil"/>
                  </w:tcBorders>
                  <w:noWrap w:val="0"/>
                  <w:vAlign w:val="center"/>
                </w:tcPr>
                <w:p w14:paraId="327E79E0">
                  <w:pPr>
                    <w:pStyle w:val="115"/>
                    <w:bidi w:val="0"/>
                    <w:rPr>
                      <w:rFonts w:hint="eastAsia"/>
                      <w:lang w:val="en-US" w:eastAsia="zh-CN"/>
                    </w:rPr>
                  </w:pPr>
                  <w:r>
                    <w:rPr>
                      <w:rFonts w:hint="eastAsia"/>
                      <w:lang w:val="en-US" w:eastAsia="zh-CN"/>
                    </w:rPr>
                    <w:t>本项目建筑垃圾堆填场一期工程利用建筑垃圾对现有矿山采坑进行堆填，有助于地形地貌的恢复。</w:t>
                  </w:r>
                </w:p>
              </w:tc>
              <w:tc>
                <w:tcPr>
                  <w:tcW w:w="830" w:type="dxa"/>
                  <w:tcBorders>
                    <w:tl2br w:val="nil"/>
                    <w:tr2bl w:val="nil"/>
                  </w:tcBorders>
                  <w:noWrap w:val="0"/>
                  <w:vAlign w:val="center"/>
                </w:tcPr>
                <w:p w14:paraId="7033376D">
                  <w:pPr>
                    <w:pStyle w:val="115"/>
                    <w:bidi w:val="0"/>
                    <w:rPr>
                      <w:rFonts w:hint="eastAsia"/>
                      <w:lang w:eastAsia="zh-CN"/>
                    </w:rPr>
                  </w:pPr>
                  <w:r>
                    <w:rPr>
                      <w:rFonts w:hint="eastAsia"/>
                      <w:lang w:eastAsia="zh-CN"/>
                    </w:rPr>
                    <w:t>符合</w:t>
                  </w:r>
                </w:p>
              </w:tc>
            </w:tr>
          </w:tbl>
          <w:p w14:paraId="67E69C31">
            <w:pPr>
              <w:pStyle w:val="4"/>
              <w:spacing w:before="0" w:beforeLines="0" w:after="0" w:afterLines="0" w:line="360" w:lineRule="auto"/>
              <w:rPr>
                <w:color w:val="auto"/>
              </w:rPr>
            </w:pPr>
            <w:r>
              <w:rPr>
                <w:color w:val="auto"/>
              </w:rPr>
              <w:t>1.</w:t>
            </w:r>
            <w:r>
              <w:rPr>
                <w:rFonts w:hint="eastAsia"/>
                <w:color w:val="auto"/>
                <w:lang w:val="en-US" w:eastAsia="zh-CN"/>
              </w:rPr>
              <w:t>6</w:t>
            </w:r>
            <w:r>
              <w:rPr>
                <w:color w:val="auto"/>
              </w:rPr>
              <w:t>相关技术规范及</w:t>
            </w:r>
            <w:r>
              <w:rPr>
                <w:rFonts w:hint="eastAsia"/>
                <w:color w:val="auto"/>
                <w:lang w:val="en-US" w:eastAsia="zh-CN"/>
              </w:rPr>
              <w:t>行业准入</w:t>
            </w:r>
            <w:r>
              <w:rPr>
                <w:color w:val="auto"/>
              </w:rPr>
              <w:t>符合性分析</w:t>
            </w:r>
          </w:p>
          <w:p w14:paraId="75DE922B">
            <w:pPr>
              <w:pStyle w:val="5"/>
              <w:spacing w:before="0" w:beforeLines="0" w:after="0" w:afterLines="0" w:line="360" w:lineRule="auto"/>
              <w:rPr>
                <w:color w:val="auto"/>
              </w:rPr>
            </w:pPr>
            <w:r>
              <w:rPr>
                <w:rFonts w:hint="eastAsia"/>
                <w:color w:val="auto"/>
              </w:rPr>
              <w:t>1.</w:t>
            </w:r>
            <w:r>
              <w:rPr>
                <w:rFonts w:hint="eastAsia"/>
                <w:color w:val="auto"/>
                <w:lang w:val="en-US" w:eastAsia="zh-CN"/>
              </w:rPr>
              <w:t>6</w:t>
            </w:r>
            <w:r>
              <w:rPr>
                <w:rFonts w:hint="eastAsia"/>
                <w:color w:val="auto"/>
              </w:rPr>
              <w:t>.1</w:t>
            </w:r>
            <w:r>
              <w:rPr>
                <w:color w:val="auto"/>
              </w:rPr>
              <w:t>与</w:t>
            </w:r>
            <w:r>
              <w:rPr>
                <w:rFonts w:hint="default"/>
                <w:color w:val="auto"/>
              </w:rPr>
              <w:t>《</w:t>
            </w:r>
            <w:r>
              <w:rPr>
                <w:b/>
                <w:bCs/>
              </w:rPr>
              <w:t>固体废物处理处置工程技术导则》（</w:t>
            </w:r>
            <w:r>
              <w:rPr>
                <w:rFonts w:ascii="Times New Roman" w:hAnsi="Times New Roman" w:eastAsia="Times New Roman" w:cs="Times New Roman"/>
                <w:b/>
                <w:bCs/>
              </w:rPr>
              <w:t>HJ</w:t>
            </w:r>
            <w:r>
              <w:rPr>
                <w:rFonts w:ascii="Times New Roman" w:hAnsi="Times New Roman" w:eastAsia="Times New Roman" w:cs="Times New Roman"/>
                <w:b/>
                <w:bCs/>
                <w:spacing w:val="-1"/>
              </w:rPr>
              <w:t>2035-2013</w:t>
            </w:r>
            <w:r>
              <w:rPr>
                <w:b/>
                <w:bCs/>
                <w:spacing w:val="-1"/>
              </w:rPr>
              <w:t>）</w:t>
            </w:r>
            <w:r>
              <w:rPr>
                <w:color w:val="auto"/>
              </w:rPr>
              <w:t>的符合性分析</w:t>
            </w:r>
          </w:p>
          <w:p w14:paraId="6D0B5CE9">
            <w:pPr>
              <w:rPr>
                <w:rFonts w:hint="eastAsia" w:eastAsia="宋体"/>
                <w:lang w:eastAsia="zh-CN"/>
              </w:rPr>
            </w:pPr>
            <w:r>
              <w:rPr>
                <w:rFonts w:hint="eastAsia"/>
              </w:rPr>
              <w:t>经对照《固体废物处理处置工程技术导则》（HJ2035-2013），本项目在总体要求、场址选择与总图布局等方面均符合导则相关规定，具体分析见下表</w:t>
            </w:r>
            <w:r>
              <w:rPr>
                <w:rFonts w:hint="eastAsia"/>
                <w:lang w:eastAsia="zh-CN"/>
              </w:rPr>
              <w:t>：</w:t>
            </w:r>
          </w:p>
          <w:p w14:paraId="6C1B438B">
            <w:pPr>
              <w:pStyle w:val="44"/>
              <w:bidi w:val="0"/>
              <w:rPr>
                <w:rFonts w:hint="default"/>
              </w:rPr>
            </w:pPr>
            <w:r>
              <w:rPr>
                <w:rFonts w:hint="default"/>
              </w:rPr>
              <w:t>表</w:t>
            </w:r>
            <w:r>
              <w:rPr>
                <w:rFonts w:hint="eastAsia"/>
                <w:lang w:val="en-US" w:eastAsia="zh-CN"/>
              </w:rPr>
              <w:t>1.6-1：</w:t>
            </w:r>
            <w:r>
              <w:rPr>
                <w:rFonts w:hint="default"/>
              </w:rPr>
              <w:t>与《固体废物处理处置工程技术导则》相符性分析</w:t>
            </w:r>
          </w:p>
          <w:tbl>
            <w:tblPr>
              <w:tblStyle w:val="39"/>
              <w:tblW w:w="8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3189"/>
              <w:gridCol w:w="3146"/>
              <w:gridCol w:w="887"/>
            </w:tblGrid>
            <w:tr w14:paraId="1470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4" w:type="pct"/>
                  <w:noWrap w:val="0"/>
                  <w:vAlign w:val="center"/>
                </w:tcPr>
                <w:p w14:paraId="50B4F5DC">
                  <w:pPr>
                    <w:pStyle w:val="115"/>
                    <w:bidi w:val="0"/>
                    <w:rPr>
                      <w:rFonts w:hint="eastAsia"/>
                      <w:b/>
                      <w:bCs/>
                      <w:lang w:eastAsia="zh-CN"/>
                    </w:rPr>
                  </w:pPr>
                  <w:r>
                    <w:rPr>
                      <w:rFonts w:hint="eastAsia"/>
                      <w:b/>
                      <w:bCs/>
                      <w:lang w:val="en-US" w:eastAsia="zh-CN"/>
                    </w:rPr>
                    <w:t>类型</w:t>
                  </w:r>
                </w:p>
              </w:tc>
              <w:tc>
                <w:tcPr>
                  <w:tcW w:w="1980" w:type="pct"/>
                  <w:noWrap w:val="0"/>
                  <w:vAlign w:val="center"/>
                </w:tcPr>
                <w:p w14:paraId="7E9A83A9">
                  <w:pPr>
                    <w:pStyle w:val="115"/>
                    <w:bidi w:val="0"/>
                    <w:rPr>
                      <w:rFonts w:hint="default"/>
                      <w:b/>
                      <w:bCs/>
                    </w:rPr>
                  </w:pPr>
                  <w:r>
                    <w:rPr>
                      <w:rFonts w:hint="eastAsia"/>
                      <w:b/>
                      <w:bCs/>
                      <w:lang w:val="en-US" w:eastAsia="zh-CN"/>
                    </w:rPr>
                    <w:t>规范</w:t>
                  </w:r>
                  <w:r>
                    <w:rPr>
                      <w:rFonts w:hint="default"/>
                      <w:b/>
                      <w:bCs/>
                    </w:rPr>
                    <w:t>要求</w:t>
                  </w:r>
                </w:p>
              </w:tc>
              <w:tc>
                <w:tcPr>
                  <w:tcW w:w="1953" w:type="pct"/>
                  <w:noWrap w:val="0"/>
                  <w:vAlign w:val="center"/>
                </w:tcPr>
                <w:p w14:paraId="4C1A348E">
                  <w:pPr>
                    <w:pStyle w:val="115"/>
                    <w:bidi w:val="0"/>
                    <w:rPr>
                      <w:rFonts w:hint="default"/>
                      <w:b/>
                      <w:bCs/>
                    </w:rPr>
                  </w:pPr>
                  <w:r>
                    <w:rPr>
                      <w:rFonts w:hint="default"/>
                      <w:b/>
                      <w:bCs/>
                    </w:rPr>
                    <w:t>项目情况</w:t>
                  </w:r>
                </w:p>
              </w:tc>
              <w:tc>
                <w:tcPr>
                  <w:tcW w:w="551" w:type="pct"/>
                  <w:noWrap w:val="0"/>
                  <w:vAlign w:val="center"/>
                </w:tcPr>
                <w:p w14:paraId="769A2EEE">
                  <w:pPr>
                    <w:pStyle w:val="115"/>
                    <w:bidi w:val="0"/>
                    <w:rPr>
                      <w:rFonts w:hint="default"/>
                      <w:b/>
                      <w:bCs/>
                    </w:rPr>
                  </w:pPr>
                  <w:r>
                    <w:rPr>
                      <w:rFonts w:hint="default"/>
                      <w:b/>
                      <w:bCs/>
                    </w:rPr>
                    <w:t>符合性</w:t>
                  </w:r>
                </w:p>
              </w:tc>
            </w:tr>
            <w:tr w14:paraId="7698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514" w:type="pct"/>
                  <w:vMerge w:val="restart"/>
                  <w:noWrap w:val="0"/>
                  <w:vAlign w:val="center"/>
                </w:tcPr>
                <w:p w14:paraId="51B7389D">
                  <w:pPr>
                    <w:pStyle w:val="115"/>
                    <w:bidi w:val="0"/>
                    <w:rPr>
                      <w:rFonts w:hint="eastAsia"/>
                      <w:lang w:eastAsia="zh-CN"/>
                    </w:rPr>
                  </w:pPr>
                  <w:r>
                    <w:rPr>
                      <w:rFonts w:hint="eastAsia"/>
                      <w:lang w:val="en-US" w:eastAsia="zh-CN"/>
                    </w:rPr>
                    <w:t>总体要求</w:t>
                  </w:r>
                </w:p>
              </w:tc>
              <w:tc>
                <w:tcPr>
                  <w:tcW w:w="1980" w:type="pct"/>
                  <w:noWrap w:val="0"/>
                  <w:vAlign w:val="center"/>
                </w:tcPr>
                <w:p w14:paraId="4154BE04">
                  <w:pPr>
                    <w:pStyle w:val="115"/>
                    <w:bidi w:val="0"/>
                    <w:rPr>
                      <w:rFonts w:hint="default"/>
                    </w:rPr>
                  </w:pPr>
                  <w:r>
                    <w:rPr>
                      <w:rFonts w:hint="default"/>
                    </w:rPr>
                    <w:t>固体废物处理处置应遵循减量化、资源化、无害化的原则，对固体废物的产生、运输、贮存、处理和处置应实施全过程控制。</w:t>
                  </w:r>
                </w:p>
              </w:tc>
              <w:tc>
                <w:tcPr>
                  <w:tcW w:w="1953" w:type="pct"/>
                  <w:noWrap w:val="0"/>
                  <w:vAlign w:val="center"/>
                </w:tcPr>
                <w:p w14:paraId="6533A130">
                  <w:pPr>
                    <w:pStyle w:val="115"/>
                    <w:bidi w:val="0"/>
                    <w:rPr>
                      <w:rFonts w:hint="default"/>
                    </w:rPr>
                  </w:pPr>
                  <w:r>
                    <w:rPr>
                      <w:rFonts w:hint="eastAsia"/>
                    </w:rPr>
                    <w:t>本项目对洪江市内建筑垃圾实施集中收集与处置，根据处置方案，建筑垃圾入场后进行人工分拣，具备堆填条件的物料直接入场堆填，分拣出的废金属、</w:t>
                  </w:r>
                  <w:r>
                    <w:rPr>
                      <w:rFonts w:hint="eastAsia"/>
                      <w:lang w:eastAsia="zh-CN"/>
                    </w:rPr>
                    <w:t>废塑料、废木块</w:t>
                  </w:r>
                  <w:r>
                    <w:rPr>
                      <w:rFonts w:hint="eastAsia"/>
                    </w:rPr>
                    <w:t>在一般固废暂存间暂存后外售回收处置；分拣出的危险废物在危废暂存间暂存后交有资质单位处置，严禁混入堆填区处置，实现了固体废物的无害化处置与资源化利用</w:t>
                  </w:r>
                  <w:r>
                    <w:t>。</w:t>
                  </w:r>
                </w:p>
              </w:tc>
              <w:tc>
                <w:tcPr>
                  <w:tcW w:w="551" w:type="pct"/>
                  <w:noWrap w:val="0"/>
                  <w:vAlign w:val="center"/>
                </w:tcPr>
                <w:p w14:paraId="27614497">
                  <w:pPr>
                    <w:pStyle w:val="115"/>
                    <w:bidi w:val="0"/>
                    <w:rPr>
                      <w:rFonts w:hint="default"/>
                    </w:rPr>
                  </w:pPr>
                  <w:r>
                    <w:rPr>
                      <w:rFonts w:hint="default"/>
                    </w:rPr>
                    <w:t>符合</w:t>
                  </w:r>
                </w:p>
              </w:tc>
            </w:tr>
            <w:tr w14:paraId="68CB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514" w:type="pct"/>
                  <w:vMerge w:val="continue"/>
                  <w:noWrap w:val="0"/>
                  <w:vAlign w:val="center"/>
                </w:tcPr>
                <w:p w14:paraId="3F222F1C">
                  <w:pPr>
                    <w:pStyle w:val="115"/>
                    <w:bidi w:val="0"/>
                    <w:rPr>
                      <w:rFonts w:hint="default"/>
                    </w:rPr>
                  </w:pPr>
                </w:p>
              </w:tc>
              <w:tc>
                <w:tcPr>
                  <w:tcW w:w="1980" w:type="pct"/>
                  <w:noWrap w:val="0"/>
                  <w:vAlign w:val="center"/>
                </w:tcPr>
                <w:p w14:paraId="68D57CD9">
                  <w:pPr>
                    <w:pStyle w:val="115"/>
                    <w:bidi w:val="0"/>
                    <w:rPr>
                      <w:rFonts w:hint="default"/>
                    </w:rPr>
                  </w:pPr>
                  <w:r>
                    <w:t>有条件的地区应建设固体废物集中处置设施，以提高规模效益。</w:t>
                  </w:r>
                </w:p>
              </w:tc>
              <w:tc>
                <w:tcPr>
                  <w:tcW w:w="1953" w:type="pct"/>
                  <w:noWrap w:val="0"/>
                  <w:vAlign w:val="center"/>
                </w:tcPr>
                <w:p w14:paraId="6E6B6CD0">
                  <w:pPr>
                    <w:pStyle w:val="115"/>
                    <w:bidi w:val="0"/>
                    <w:rPr>
                      <w:rFonts w:hint="default"/>
                    </w:rPr>
                  </w:pPr>
                  <w:r>
                    <w:rPr>
                      <w:rFonts w:hint="eastAsia"/>
                    </w:rPr>
                    <w:t>本项目作为</w:t>
                  </w:r>
                  <w:r>
                    <w:rPr>
                      <w:rFonts w:hint="eastAsia"/>
                      <w:lang w:val="en-US" w:eastAsia="zh-CN"/>
                    </w:rPr>
                    <w:t>洪江市</w:t>
                  </w:r>
                  <w:r>
                    <w:rPr>
                      <w:rFonts w:hint="eastAsia"/>
                    </w:rPr>
                    <w:t>建筑垃圾集中处置设施，有助于提升县域固体废物处理的规模效益</w:t>
                  </w:r>
                  <w:r>
                    <w:t>。</w:t>
                  </w:r>
                </w:p>
              </w:tc>
              <w:tc>
                <w:tcPr>
                  <w:tcW w:w="551" w:type="pct"/>
                  <w:noWrap w:val="0"/>
                  <w:vAlign w:val="center"/>
                </w:tcPr>
                <w:p w14:paraId="4C36DA79">
                  <w:pPr>
                    <w:pStyle w:val="115"/>
                    <w:bidi w:val="0"/>
                    <w:rPr>
                      <w:rFonts w:hint="default"/>
                    </w:rPr>
                  </w:pPr>
                  <w:r>
                    <w:rPr>
                      <w:rFonts w:hint="default"/>
                    </w:rPr>
                    <w:t>符合</w:t>
                  </w:r>
                </w:p>
              </w:tc>
            </w:tr>
            <w:tr w14:paraId="1E1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514" w:type="pct"/>
                  <w:vMerge w:val="continue"/>
                  <w:noWrap w:val="0"/>
                  <w:vAlign w:val="center"/>
                </w:tcPr>
                <w:p w14:paraId="159C2118">
                  <w:pPr>
                    <w:pStyle w:val="115"/>
                    <w:bidi w:val="0"/>
                    <w:rPr>
                      <w:rFonts w:hint="default"/>
                    </w:rPr>
                  </w:pPr>
                </w:p>
              </w:tc>
              <w:tc>
                <w:tcPr>
                  <w:tcW w:w="1980" w:type="pct"/>
                  <w:noWrap w:val="0"/>
                  <w:vAlign w:val="center"/>
                </w:tcPr>
                <w:p w14:paraId="6982D247">
                  <w:pPr>
                    <w:pStyle w:val="115"/>
                    <w:bidi w:val="0"/>
                    <w:rPr>
                      <w:rFonts w:hint="default"/>
                    </w:rPr>
                  </w:pPr>
                  <w:r>
                    <w:t>固体废物处理处置工程的建设和运行应由具有国家相应资质的单位承担，满足该项目环境影响评价报告、审批文件及本标准的要求。固体废物处理处置工程应满足《建设项目环境保护管理条例》和《建设项目竣工环境保护验收管理办法》的要求。</w:t>
                  </w:r>
                </w:p>
              </w:tc>
              <w:tc>
                <w:tcPr>
                  <w:tcW w:w="1953" w:type="pct"/>
                  <w:noWrap w:val="0"/>
                  <w:vAlign w:val="center"/>
                </w:tcPr>
                <w:p w14:paraId="0072ACD5">
                  <w:pPr>
                    <w:pStyle w:val="115"/>
                    <w:bidi w:val="0"/>
                    <w:rPr>
                      <w:rFonts w:hint="default"/>
                    </w:rPr>
                  </w:pPr>
                  <w:r>
                    <w:rPr>
                      <w:rFonts w:hint="eastAsia"/>
                    </w:rPr>
                    <w:t>本项目将依法开展环境影响评价、竣工环境保护验收，并严格按照环评文件、审批文件及相应环保标准要求进行建设和运行</w:t>
                  </w:r>
                  <w:r>
                    <w:t>。</w:t>
                  </w:r>
                </w:p>
              </w:tc>
              <w:tc>
                <w:tcPr>
                  <w:tcW w:w="551" w:type="pct"/>
                  <w:noWrap w:val="0"/>
                  <w:vAlign w:val="center"/>
                </w:tcPr>
                <w:p w14:paraId="298FEB93">
                  <w:pPr>
                    <w:pStyle w:val="115"/>
                    <w:bidi w:val="0"/>
                    <w:rPr>
                      <w:rFonts w:hint="default"/>
                    </w:rPr>
                  </w:pPr>
                  <w:r>
                    <w:rPr>
                      <w:rFonts w:hint="default"/>
                    </w:rPr>
                    <w:t>符合</w:t>
                  </w:r>
                </w:p>
              </w:tc>
            </w:tr>
            <w:tr w14:paraId="0B99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4" w:type="pct"/>
                  <w:vMerge w:val="restart"/>
                  <w:noWrap w:val="0"/>
                  <w:vAlign w:val="center"/>
                </w:tcPr>
                <w:p w14:paraId="3F0717D0">
                  <w:pPr>
                    <w:pStyle w:val="115"/>
                    <w:bidi w:val="0"/>
                    <w:rPr>
                      <w:rFonts w:hint="default"/>
                    </w:rPr>
                  </w:pPr>
                  <w:r>
                    <w:rPr>
                      <w:rFonts w:hint="default"/>
                    </w:rPr>
                    <w:t>场址</w:t>
                  </w:r>
                </w:p>
                <w:p w14:paraId="1D90BAF1">
                  <w:pPr>
                    <w:pStyle w:val="115"/>
                    <w:bidi w:val="0"/>
                    <w:rPr>
                      <w:rFonts w:hint="default"/>
                    </w:rPr>
                  </w:pPr>
                  <w:r>
                    <w:rPr>
                      <w:rFonts w:hint="default"/>
                    </w:rPr>
                    <w:t>选择</w:t>
                  </w:r>
                </w:p>
                <w:p w14:paraId="05E434C1">
                  <w:pPr>
                    <w:pStyle w:val="115"/>
                    <w:bidi w:val="0"/>
                    <w:rPr>
                      <w:rFonts w:hint="default"/>
                    </w:rPr>
                  </w:pPr>
                  <w:r>
                    <w:rPr>
                      <w:rFonts w:hint="default"/>
                    </w:rPr>
                    <w:t>与总</w:t>
                  </w:r>
                </w:p>
                <w:p w14:paraId="4E8E51DA">
                  <w:pPr>
                    <w:pStyle w:val="115"/>
                    <w:bidi w:val="0"/>
                    <w:rPr>
                      <w:rFonts w:hint="default"/>
                    </w:rPr>
                  </w:pPr>
                  <w:r>
                    <w:rPr>
                      <w:rFonts w:hint="default"/>
                    </w:rPr>
                    <w:t>图布</w:t>
                  </w:r>
                </w:p>
                <w:p w14:paraId="201EAC6F">
                  <w:pPr>
                    <w:pStyle w:val="115"/>
                    <w:bidi w:val="0"/>
                    <w:rPr>
                      <w:rFonts w:hint="eastAsia"/>
                      <w:lang w:val="en-US" w:eastAsia="zh-CN"/>
                    </w:rPr>
                  </w:pPr>
                  <w:r>
                    <w:rPr>
                      <w:rFonts w:hint="default"/>
                    </w:rPr>
                    <w:t>局</w:t>
                  </w:r>
                </w:p>
              </w:tc>
              <w:tc>
                <w:tcPr>
                  <w:tcW w:w="1980" w:type="pct"/>
                  <w:noWrap w:val="0"/>
                  <w:vAlign w:val="center"/>
                </w:tcPr>
                <w:p w14:paraId="13E61EF3">
                  <w:pPr>
                    <w:pStyle w:val="115"/>
                    <w:bidi w:val="0"/>
                    <w:rPr>
                      <w:rFonts w:hint="default"/>
                    </w:rPr>
                  </w:pPr>
                  <w:r>
                    <w:t>厂（场）址的选择应符合城市总体规划、区域环境保护专业规划、环境卫生专业规划及国家有关标准的要求，应符合当地的大气污染防治、水资源保护和自然生态保护要求，并通过环境影响评价。</w:t>
                  </w:r>
                </w:p>
              </w:tc>
              <w:tc>
                <w:tcPr>
                  <w:tcW w:w="1953" w:type="pct"/>
                  <w:noWrap w:val="0"/>
                  <w:vAlign w:val="center"/>
                </w:tcPr>
                <w:p w14:paraId="715A73F6">
                  <w:pPr>
                    <w:pStyle w:val="115"/>
                    <w:bidi w:val="0"/>
                    <w:rPr>
                      <w:rFonts w:hint="default"/>
                    </w:rPr>
                  </w:pPr>
                  <w:r>
                    <w:rPr>
                      <w:rFonts w:hint="eastAsia"/>
                    </w:rPr>
                    <w:t>本项目选址符合</w:t>
                  </w:r>
                  <w:r>
                    <w:rPr>
                      <w:rFonts w:hint="eastAsia"/>
                      <w:lang w:val="en-US" w:eastAsia="zh-CN"/>
                    </w:rPr>
                    <w:t>洪江市</w:t>
                  </w:r>
                  <w:r>
                    <w:rPr>
                      <w:rFonts w:hint="eastAsia"/>
                    </w:rPr>
                    <w:t>城市总体规划及相关专业规划要求，拟采取的环保措施符合当地污染防治和生态保护要求，且正在依法开展环境影响评价</w:t>
                  </w:r>
                  <w:r>
                    <w:t>。</w:t>
                  </w:r>
                </w:p>
              </w:tc>
              <w:tc>
                <w:tcPr>
                  <w:tcW w:w="551" w:type="pct"/>
                  <w:noWrap w:val="0"/>
                  <w:vAlign w:val="center"/>
                </w:tcPr>
                <w:p w14:paraId="223B229A">
                  <w:pPr>
                    <w:pStyle w:val="115"/>
                    <w:bidi w:val="0"/>
                    <w:rPr>
                      <w:rFonts w:hint="default"/>
                    </w:rPr>
                  </w:pPr>
                  <w:r>
                    <w:rPr>
                      <w:rFonts w:hint="default"/>
                    </w:rPr>
                    <w:t>符合</w:t>
                  </w:r>
                </w:p>
              </w:tc>
            </w:tr>
            <w:tr w14:paraId="1D0A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44039E61">
                  <w:pPr>
                    <w:pStyle w:val="115"/>
                    <w:bidi w:val="0"/>
                    <w:rPr>
                      <w:rFonts w:hint="default"/>
                    </w:rPr>
                  </w:pPr>
                </w:p>
              </w:tc>
              <w:tc>
                <w:tcPr>
                  <w:tcW w:w="1980" w:type="pct"/>
                  <w:noWrap w:val="0"/>
                  <w:vAlign w:val="center"/>
                </w:tcPr>
                <w:p w14:paraId="7447F4E3">
                  <w:pPr>
                    <w:pStyle w:val="115"/>
                    <w:bidi w:val="0"/>
                    <w:rPr>
                      <w:rFonts w:hint="default"/>
                    </w:rPr>
                  </w:pPr>
                  <w:r>
                    <w:t>固体废物处理处置厂（场）周围应设置围墙或防护栅栏等隔离设施，防止家畜和无关人员进入。</w:t>
                  </w:r>
                </w:p>
              </w:tc>
              <w:tc>
                <w:tcPr>
                  <w:tcW w:w="1953" w:type="pct"/>
                  <w:noWrap w:val="0"/>
                  <w:vAlign w:val="center"/>
                </w:tcPr>
                <w:p w14:paraId="0A0DA99D">
                  <w:pPr>
                    <w:pStyle w:val="115"/>
                    <w:bidi w:val="0"/>
                    <w:rPr>
                      <w:rFonts w:hint="default"/>
                    </w:rPr>
                  </w:pPr>
                  <w:r>
                    <w:rPr>
                      <w:rFonts w:hint="eastAsia"/>
                    </w:rPr>
                    <w:t>根据设计要求，本项目将在场区安装防护栅栏，以防止家畜和无关人员进入</w:t>
                  </w:r>
                  <w:r>
                    <w:t>。</w:t>
                  </w:r>
                </w:p>
              </w:tc>
              <w:tc>
                <w:tcPr>
                  <w:tcW w:w="551" w:type="pct"/>
                  <w:noWrap w:val="0"/>
                  <w:vAlign w:val="center"/>
                </w:tcPr>
                <w:p w14:paraId="28907E71">
                  <w:pPr>
                    <w:pStyle w:val="115"/>
                    <w:bidi w:val="0"/>
                    <w:rPr>
                      <w:rFonts w:hint="default"/>
                    </w:rPr>
                  </w:pPr>
                  <w:r>
                    <w:rPr>
                      <w:rFonts w:hint="default"/>
                    </w:rPr>
                    <w:t>符合</w:t>
                  </w:r>
                </w:p>
              </w:tc>
            </w:tr>
            <w:tr w14:paraId="27E9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4" w:type="pct"/>
                  <w:vMerge w:val="continue"/>
                  <w:noWrap w:val="0"/>
                  <w:vAlign w:val="center"/>
                </w:tcPr>
                <w:p w14:paraId="29EC45A2">
                  <w:pPr>
                    <w:pStyle w:val="115"/>
                    <w:bidi w:val="0"/>
                    <w:rPr>
                      <w:rFonts w:hint="eastAsia"/>
                      <w:lang w:val="en-US" w:eastAsia="zh-CN"/>
                    </w:rPr>
                  </w:pPr>
                </w:p>
              </w:tc>
              <w:tc>
                <w:tcPr>
                  <w:tcW w:w="1980" w:type="pct"/>
                  <w:noWrap w:val="0"/>
                  <w:vAlign w:val="center"/>
                </w:tcPr>
                <w:p w14:paraId="22256F00">
                  <w:pPr>
                    <w:pStyle w:val="115"/>
                    <w:bidi w:val="0"/>
                    <w:rPr>
                      <w:rFonts w:hint="default"/>
                    </w:rPr>
                  </w:pPr>
                  <w:r>
                    <w:t>固体废物处理处置厂（场）车辆清洗设施宜设在卸料设施和处理处置场出口附近以便于及时清洗卸料后的车辆。</w:t>
                  </w:r>
                </w:p>
              </w:tc>
              <w:tc>
                <w:tcPr>
                  <w:tcW w:w="1953" w:type="pct"/>
                  <w:noWrap w:val="0"/>
                  <w:vAlign w:val="center"/>
                </w:tcPr>
                <w:p w14:paraId="0813BF81">
                  <w:pPr>
                    <w:pStyle w:val="115"/>
                    <w:bidi w:val="0"/>
                    <w:rPr>
                      <w:rFonts w:hint="eastAsia"/>
                      <w:lang w:eastAsia="zh-CN"/>
                    </w:rPr>
                  </w:pPr>
                  <w:r>
                    <w:rPr>
                      <w:rFonts w:hint="eastAsia"/>
                    </w:rPr>
                    <w:t>本项目已在</w:t>
                  </w:r>
                  <w:r>
                    <w:rPr>
                      <w:rFonts w:hint="eastAsia"/>
                      <w:lang w:val="en-US" w:eastAsia="zh-CN"/>
                    </w:rPr>
                    <w:t>建筑垃圾堆填场</w:t>
                  </w:r>
                  <w:r>
                    <w:rPr>
                      <w:rFonts w:hint="eastAsia"/>
                    </w:rPr>
                    <w:t>出口处设置有洗车平台及配套沉淀池，便于出场车辆及时清洗</w:t>
                  </w:r>
                  <w:r>
                    <w:t>。</w:t>
                  </w:r>
                </w:p>
              </w:tc>
              <w:tc>
                <w:tcPr>
                  <w:tcW w:w="551" w:type="pct"/>
                  <w:noWrap w:val="0"/>
                  <w:vAlign w:val="center"/>
                </w:tcPr>
                <w:p w14:paraId="4D52BD82">
                  <w:pPr>
                    <w:pStyle w:val="115"/>
                    <w:bidi w:val="0"/>
                    <w:rPr>
                      <w:rFonts w:hint="eastAsia"/>
                      <w:lang w:eastAsia="zh-CN"/>
                    </w:rPr>
                  </w:pPr>
                  <w:r>
                    <w:rPr>
                      <w:rFonts w:hint="eastAsia"/>
                      <w:lang w:eastAsia="zh-CN"/>
                    </w:rPr>
                    <w:t>符合</w:t>
                  </w:r>
                </w:p>
              </w:tc>
            </w:tr>
          </w:tbl>
          <w:p w14:paraId="0FCAF9C2">
            <w:pPr>
              <w:pStyle w:val="5"/>
              <w:rPr>
                <w:rFonts w:hint="default"/>
                <w:color w:val="auto"/>
              </w:rPr>
            </w:pPr>
            <w:r>
              <w:rPr>
                <w:rFonts w:hint="eastAsia"/>
                <w:color w:val="auto"/>
              </w:rPr>
              <w:t>1.</w:t>
            </w:r>
            <w:r>
              <w:rPr>
                <w:rFonts w:hint="eastAsia"/>
                <w:color w:val="auto"/>
                <w:lang w:val="en-US" w:eastAsia="zh-CN"/>
              </w:rPr>
              <w:t>6</w:t>
            </w:r>
            <w:r>
              <w:rPr>
                <w:rFonts w:hint="eastAsia"/>
                <w:color w:val="auto"/>
              </w:rPr>
              <w:t>.</w:t>
            </w:r>
            <w:r>
              <w:rPr>
                <w:rFonts w:hint="eastAsia"/>
                <w:color w:val="auto"/>
                <w:lang w:val="en-US" w:eastAsia="zh-CN"/>
              </w:rPr>
              <w:t xml:space="preserve">2 </w:t>
            </w:r>
            <w:r>
              <w:rPr>
                <w:rFonts w:hint="default"/>
                <w:color w:val="auto"/>
              </w:rPr>
              <w:t>与《建筑垃圾处理技术标准》（CJJ/T134-2019）相符性分析</w:t>
            </w:r>
          </w:p>
          <w:p w14:paraId="4E908FA2">
            <w:pPr>
              <w:rPr>
                <w:rFonts w:hint="default"/>
              </w:rPr>
            </w:pPr>
            <w:r>
              <w:rPr>
                <w:rFonts w:hint="default"/>
              </w:rPr>
              <w:t>经对照《建筑垃圾处理技术标准》（CJJ/T134-2019），本项目在基本规定、场址选择、堆填要求、收集运输、资源化利用工艺及环境保护等方面均符合标准要求，具体分析见下表。</w:t>
            </w:r>
          </w:p>
          <w:p w14:paraId="57AD44AC">
            <w:pPr>
              <w:pStyle w:val="44"/>
              <w:bidi w:val="0"/>
              <w:rPr>
                <w:rFonts w:hint="default"/>
                <w:color w:val="auto"/>
              </w:rPr>
            </w:pPr>
            <w:r>
              <w:rPr>
                <w:rFonts w:hint="default"/>
                <w:color w:val="auto"/>
              </w:rPr>
              <w:t>表</w:t>
            </w:r>
            <w:r>
              <w:rPr>
                <w:rFonts w:hint="eastAsia"/>
                <w:color w:val="auto"/>
                <w:lang w:val="en-US" w:eastAsia="zh-CN"/>
              </w:rPr>
              <w:t>1.6-2</w:t>
            </w:r>
            <w:r>
              <w:rPr>
                <w:rFonts w:hint="eastAsia"/>
                <w:color w:val="auto"/>
                <w:lang w:eastAsia="zh-CN"/>
              </w:rPr>
              <w:t>：</w:t>
            </w:r>
            <w:r>
              <w:rPr>
                <w:rFonts w:hint="default"/>
                <w:color w:val="auto"/>
                <w:highlight w:val="none"/>
              </w:rPr>
              <w:t>与《建筑垃圾处理技术标准》</w:t>
            </w:r>
            <w:r>
              <w:rPr>
                <w:rFonts w:hint="eastAsia"/>
                <w:color w:val="auto"/>
                <w:highlight w:val="none"/>
                <w:lang w:eastAsia="zh-CN"/>
              </w:rPr>
              <w:t>（</w:t>
            </w:r>
            <w:r>
              <w:rPr>
                <w:rFonts w:hint="default"/>
              </w:rPr>
              <w:t>CJJ/T134-2019</w:t>
            </w:r>
            <w:r>
              <w:rPr>
                <w:rFonts w:hint="eastAsia"/>
                <w:color w:val="auto"/>
                <w:highlight w:val="none"/>
                <w:lang w:eastAsia="zh-CN"/>
              </w:rPr>
              <w:t>）</w:t>
            </w:r>
            <w:r>
              <w:rPr>
                <w:rFonts w:hint="default"/>
                <w:color w:val="auto"/>
                <w:highlight w:val="none"/>
              </w:rPr>
              <w:t>相符性分析</w:t>
            </w:r>
          </w:p>
          <w:tbl>
            <w:tblPr>
              <w:tblStyle w:val="39"/>
              <w:tblW w:w="48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731"/>
              <w:gridCol w:w="2533"/>
              <w:gridCol w:w="2958"/>
              <w:gridCol w:w="874"/>
            </w:tblGrid>
            <w:tr w14:paraId="04F4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noWrap w:val="0"/>
                  <w:vAlign w:val="center"/>
                </w:tcPr>
                <w:p w14:paraId="641C970A">
                  <w:pPr>
                    <w:pStyle w:val="115"/>
                    <w:bidi w:val="0"/>
                    <w:rPr>
                      <w:rFonts w:hint="default"/>
                      <w:b/>
                      <w:bCs/>
                      <w:lang w:eastAsia="zh-CN"/>
                    </w:rPr>
                  </w:pPr>
                  <w:r>
                    <w:rPr>
                      <w:rFonts w:hint="default"/>
                      <w:b/>
                      <w:bCs/>
                      <w:lang w:val="en-US" w:eastAsia="zh-CN"/>
                    </w:rPr>
                    <w:t>类型</w:t>
                  </w:r>
                </w:p>
              </w:tc>
              <w:tc>
                <w:tcPr>
                  <w:tcW w:w="2103" w:type="pct"/>
                  <w:gridSpan w:val="2"/>
                  <w:noWrap w:val="0"/>
                  <w:vAlign w:val="center"/>
                </w:tcPr>
                <w:p w14:paraId="0E534F1E">
                  <w:pPr>
                    <w:pStyle w:val="115"/>
                    <w:bidi w:val="0"/>
                    <w:rPr>
                      <w:rFonts w:hint="default"/>
                      <w:b/>
                      <w:bCs/>
                    </w:rPr>
                  </w:pPr>
                  <w:r>
                    <w:rPr>
                      <w:rFonts w:hint="default"/>
                      <w:b/>
                      <w:bCs/>
                      <w:lang w:val="en-US" w:eastAsia="zh-CN"/>
                    </w:rPr>
                    <w:t>标准</w:t>
                  </w:r>
                  <w:r>
                    <w:rPr>
                      <w:rFonts w:hint="default"/>
                      <w:b/>
                      <w:bCs/>
                    </w:rPr>
                    <w:t>要求</w:t>
                  </w:r>
                </w:p>
              </w:tc>
              <w:tc>
                <w:tcPr>
                  <w:tcW w:w="1906" w:type="pct"/>
                  <w:noWrap w:val="0"/>
                  <w:vAlign w:val="center"/>
                </w:tcPr>
                <w:p w14:paraId="3F224FBD">
                  <w:pPr>
                    <w:pStyle w:val="115"/>
                    <w:bidi w:val="0"/>
                    <w:rPr>
                      <w:rFonts w:hint="default"/>
                      <w:b/>
                      <w:bCs/>
                    </w:rPr>
                  </w:pPr>
                  <w:r>
                    <w:rPr>
                      <w:rFonts w:hint="default"/>
                      <w:b/>
                      <w:bCs/>
                    </w:rPr>
                    <w:t>项目情况</w:t>
                  </w:r>
                </w:p>
              </w:tc>
              <w:tc>
                <w:tcPr>
                  <w:tcW w:w="563" w:type="pct"/>
                  <w:noWrap w:val="0"/>
                  <w:vAlign w:val="center"/>
                </w:tcPr>
                <w:p w14:paraId="0CB98FBA">
                  <w:pPr>
                    <w:pStyle w:val="115"/>
                    <w:bidi w:val="0"/>
                    <w:rPr>
                      <w:rFonts w:hint="default"/>
                      <w:b/>
                      <w:bCs/>
                    </w:rPr>
                  </w:pPr>
                  <w:r>
                    <w:rPr>
                      <w:rFonts w:hint="default"/>
                      <w:b/>
                      <w:bCs/>
                    </w:rPr>
                    <w:t>相符性</w:t>
                  </w:r>
                </w:p>
              </w:tc>
            </w:tr>
            <w:tr w14:paraId="577F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noWrap w:val="0"/>
                  <w:vAlign w:val="center"/>
                </w:tcPr>
                <w:p w14:paraId="19739CAF">
                  <w:pPr>
                    <w:pStyle w:val="115"/>
                    <w:bidi w:val="0"/>
                    <w:rPr>
                      <w:rFonts w:hint="default"/>
                      <w:lang w:val="en-US" w:eastAsia="zh-CN"/>
                    </w:rPr>
                  </w:pPr>
                  <w:r>
                    <w:rPr>
                      <w:rFonts w:hint="default"/>
                    </w:rPr>
                    <w:t>基本规定</w:t>
                  </w:r>
                </w:p>
              </w:tc>
              <w:tc>
                <w:tcPr>
                  <w:tcW w:w="2103" w:type="pct"/>
                  <w:gridSpan w:val="2"/>
                  <w:noWrap w:val="0"/>
                  <w:vAlign w:val="center"/>
                </w:tcPr>
                <w:p w14:paraId="40E0844F">
                  <w:pPr>
                    <w:pStyle w:val="115"/>
                    <w:bidi w:val="0"/>
                    <w:rPr>
                      <w:rFonts w:hint="default"/>
                    </w:rPr>
                  </w:pPr>
                  <w:r>
                    <w:rPr>
                      <w:rFonts w:hint="default"/>
                    </w:rPr>
                    <w:t>建筑垃圾宜优先考虑资源化利用，处理及利用优先次序宜按表3.0.6的规定确定，其中工程渣土、工程泥浆和工程垃圾处理优先次序为“资源化利用－堆填－填埋”。</w:t>
                  </w:r>
                </w:p>
              </w:tc>
              <w:tc>
                <w:tcPr>
                  <w:tcW w:w="1906" w:type="pct"/>
                  <w:noWrap w:val="0"/>
                  <w:vAlign w:val="center"/>
                </w:tcPr>
                <w:p w14:paraId="5D61670E">
                  <w:pPr>
                    <w:pStyle w:val="115"/>
                    <w:bidi w:val="0"/>
                    <w:rPr>
                      <w:rFonts w:hint="default"/>
                      <w:lang w:eastAsia="zh-CN"/>
                    </w:rPr>
                  </w:pPr>
                  <w:r>
                    <w:rPr>
                      <w:rFonts w:hint="default"/>
                      <w:lang w:eastAsia="zh-CN"/>
                    </w:rPr>
                    <w:t>本项目处置的建筑垃圾主要为工程渣土、工程垃圾、拆除垃圾、装修垃圾等，不接受盾构土、受污染土方、生活垃圾、医疗垃圾、危险废物</w:t>
                  </w:r>
                  <w:r>
                    <w:rPr>
                      <w:rFonts w:hint="eastAsia"/>
                      <w:lang w:eastAsia="zh-CN"/>
                    </w:rPr>
                    <w:t>、</w:t>
                  </w:r>
                  <w:r>
                    <w:rPr>
                      <w:rFonts w:hint="eastAsia"/>
                      <w:lang w:val="en-US" w:eastAsia="zh-CN"/>
                    </w:rPr>
                    <w:t>废沥青</w:t>
                  </w:r>
                  <w:r>
                    <w:rPr>
                      <w:rFonts w:hint="default"/>
                      <w:lang w:eastAsia="zh-CN"/>
                    </w:rPr>
                    <w:t>等有毒有害废物入场。处置方案遵循“资源化优先”原则，建筑垃圾入场后进行人工分拣，具备堆填条件的物料直接入场堆填，分拣出的废金属、</w:t>
                  </w:r>
                  <w:r>
                    <w:rPr>
                      <w:rFonts w:hint="eastAsia"/>
                      <w:lang w:eastAsia="zh-CN"/>
                    </w:rPr>
                    <w:t>废塑料、废木块</w:t>
                  </w:r>
                  <w:r>
                    <w:rPr>
                      <w:rFonts w:hint="default"/>
                      <w:lang w:eastAsia="zh-CN"/>
                    </w:rPr>
                    <w:t>在一般固废暂存间暂存后外售回收处置；分拣出的危险废物在危废暂存间暂存后交有资质单位处置，严禁混入堆填区处置。</w:t>
                  </w:r>
                </w:p>
              </w:tc>
              <w:tc>
                <w:tcPr>
                  <w:tcW w:w="563" w:type="pct"/>
                  <w:noWrap w:val="0"/>
                  <w:vAlign w:val="center"/>
                </w:tcPr>
                <w:p w14:paraId="60679855">
                  <w:pPr>
                    <w:pStyle w:val="115"/>
                    <w:bidi w:val="0"/>
                    <w:rPr>
                      <w:rFonts w:hint="default"/>
                      <w:lang w:eastAsia="zh-CN"/>
                    </w:rPr>
                  </w:pPr>
                  <w:r>
                    <w:rPr>
                      <w:rFonts w:hint="default"/>
                      <w:lang w:eastAsia="zh-CN"/>
                    </w:rPr>
                    <w:t>符合</w:t>
                  </w:r>
                </w:p>
              </w:tc>
            </w:tr>
            <w:tr w14:paraId="519E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pct"/>
                  <w:vMerge w:val="restart"/>
                  <w:noWrap w:val="0"/>
                  <w:vAlign w:val="center"/>
                </w:tcPr>
                <w:p w14:paraId="265A7AC9">
                  <w:pPr>
                    <w:pStyle w:val="115"/>
                    <w:bidi w:val="0"/>
                    <w:rPr>
                      <w:rFonts w:hint="default"/>
                      <w:lang w:eastAsia="zh-CN"/>
                    </w:rPr>
                  </w:pPr>
                  <w:r>
                    <w:t>场址选择</w:t>
                  </w:r>
                </w:p>
              </w:tc>
              <w:tc>
                <w:tcPr>
                  <w:tcW w:w="2103" w:type="pct"/>
                  <w:gridSpan w:val="2"/>
                  <w:noWrap w:val="0"/>
                  <w:vAlign w:val="center"/>
                </w:tcPr>
                <w:p w14:paraId="3462778F">
                  <w:pPr>
                    <w:pStyle w:val="115"/>
                    <w:bidi w:val="0"/>
                    <w:rPr>
                      <w:rFonts w:hint="default"/>
                    </w:rPr>
                  </w:pPr>
                  <w:r>
                    <w:rPr>
                      <w:rFonts w:hint="eastAsia"/>
                      <w:lang w:eastAsia="zh-CN"/>
                    </w:rPr>
                    <w:t>建筑垃圾消纳场</w:t>
                  </w:r>
                  <w:r>
                    <w:rPr>
                      <w:rFonts w:hint="default"/>
                    </w:rPr>
                    <w:t>宜优先选用废弃的采矿坑、滩涂造地等。</w:t>
                  </w:r>
                </w:p>
              </w:tc>
              <w:tc>
                <w:tcPr>
                  <w:tcW w:w="1906" w:type="pct"/>
                  <w:noWrap w:val="0"/>
                  <w:vAlign w:val="center"/>
                </w:tcPr>
                <w:p w14:paraId="4ECB10E8">
                  <w:pPr>
                    <w:pStyle w:val="115"/>
                    <w:bidi w:val="0"/>
                    <w:rPr>
                      <w:rFonts w:hint="default"/>
                    </w:rPr>
                  </w:pPr>
                  <w:r>
                    <w:rPr>
                      <w:rFonts w:hint="eastAsia"/>
                      <w:lang w:val="en-US" w:eastAsia="zh-CN"/>
                    </w:rPr>
                    <w:t>项目建筑垃圾堆填场一期工程利用建筑垃圾对现有矿山采坑进行堆填，有助于地形地貌的恢复</w:t>
                  </w:r>
                  <w:r>
                    <w:rPr>
                      <w:rFonts w:hint="default"/>
                    </w:rPr>
                    <w:t>。</w:t>
                  </w:r>
                </w:p>
              </w:tc>
              <w:tc>
                <w:tcPr>
                  <w:tcW w:w="563" w:type="pct"/>
                  <w:noWrap w:val="0"/>
                  <w:vAlign w:val="center"/>
                </w:tcPr>
                <w:p w14:paraId="51CBB907">
                  <w:pPr>
                    <w:pStyle w:val="115"/>
                    <w:bidi w:val="0"/>
                    <w:rPr>
                      <w:rFonts w:hint="default"/>
                    </w:rPr>
                  </w:pPr>
                  <w:r>
                    <w:rPr>
                      <w:rFonts w:hint="default"/>
                    </w:rPr>
                    <w:t>符合</w:t>
                  </w:r>
                </w:p>
              </w:tc>
            </w:tr>
            <w:tr w14:paraId="401F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26" w:type="pct"/>
                  <w:vMerge w:val="continue"/>
                  <w:noWrap w:val="0"/>
                  <w:vAlign w:val="center"/>
                </w:tcPr>
                <w:p w14:paraId="5D2BB723">
                  <w:pPr>
                    <w:pStyle w:val="115"/>
                    <w:bidi w:val="0"/>
                    <w:rPr>
                      <w:rFonts w:hint="default"/>
                      <w:lang w:val="en-US" w:eastAsia="zh-CN"/>
                    </w:rPr>
                  </w:pPr>
                </w:p>
              </w:tc>
              <w:tc>
                <w:tcPr>
                  <w:tcW w:w="2103" w:type="pct"/>
                  <w:gridSpan w:val="2"/>
                  <w:noWrap w:val="0"/>
                  <w:vAlign w:val="center"/>
                </w:tcPr>
                <w:p w14:paraId="4A48F964">
                  <w:pPr>
                    <w:pStyle w:val="115"/>
                    <w:bidi w:val="0"/>
                    <w:rPr>
                      <w:rFonts w:hint="default"/>
                      <w:lang w:val="en-US" w:eastAsia="zh-CN"/>
                    </w:rPr>
                  </w:pPr>
                  <w:r>
                    <w:rPr>
                      <w:rFonts w:hint="default"/>
                    </w:rPr>
                    <w:t>工程地质与水文地质条件应满足设施建设和运行的要求，不应选在发震断层、滑坡、泥石流、沼泽、流沙及采矿陷落区等地区。</w:t>
                  </w:r>
                </w:p>
              </w:tc>
              <w:tc>
                <w:tcPr>
                  <w:tcW w:w="1906" w:type="pct"/>
                  <w:noWrap w:val="0"/>
                  <w:vAlign w:val="center"/>
                </w:tcPr>
                <w:p w14:paraId="108AA671">
                  <w:pPr>
                    <w:pStyle w:val="115"/>
                    <w:bidi w:val="0"/>
                    <w:rPr>
                      <w:rFonts w:hint="default"/>
                      <w:lang w:val="en-US" w:eastAsia="zh-CN"/>
                    </w:rPr>
                  </w:pPr>
                  <w:r>
                    <w:rPr>
                      <w:rFonts w:hint="default"/>
                      <w:lang w:val="en-US" w:eastAsia="zh-CN"/>
                    </w:rPr>
                    <w:t>根据项目地勘资料，本项目选址区域无发震断层、滑坡、泥石流等不良地质现象，地质条件满足建设要求。</w:t>
                  </w:r>
                </w:p>
              </w:tc>
              <w:tc>
                <w:tcPr>
                  <w:tcW w:w="563" w:type="pct"/>
                  <w:noWrap w:val="0"/>
                  <w:vAlign w:val="center"/>
                </w:tcPr>
                <w:p w14:paraId="25F62399">
                  <w:pPr>
                    <w:pStyle w:val="115"/>
                    <w:bidi w:val="0"/>
                    <w:rPr>
                      <w:rFonts w:hint="default"/>
                      <w:lang w:val="en-US" w:eastAsia="zh-CN"/>
                    </w:rPr>
                  </w:pPr>
                  <w:r>
                    <w:rPr>
                      <w:rFonts w:hint="default"/>
                    </w:rPr>
                    <w:t>符合</w:t>
                  </w:r>
                </w:p>
              </w:tc>
            </w:tr>
            <w:tr w14:paraId="5191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26" w:type="pct"/>
                  <w:vMerge w:val="continue"/>
                  <w:noWrap w:val="0"/>
                  <w:vAlign w:val="center"/>
                </w:tcPr>
                <w:p w14:paraId="6B943B98">
                  <w:pPr>
                    <w:pStyle w:val="115"/>
                    <w:bidi w:val="0"/>
                    <w:rPr>
                      <w:rFonts w:hint="default"/>
                    </w:rPr>
                  </w:pPr>
                </w:p>
              </w:tc>
              <w:tc>
                <w:tcPr>
                  <w:tcW w:w="2103" w:type="pct"/>
                  <w:gridSpan w:val="2"/>
                  <w:noWrap w:val="0"/>
                  <w:vAlign w:val="center"/>
                </w:tcPr>
                <w:p w14:paraId="6E4946DE">
                  <w:pPr>
                    <w:pStyle w:val="115"/>
                    <w:bidi w:val="0"/>
                    <w:rPr>
                      <w:rFonts w:hint="default"/>
                      <w:lang w:val="en-US" w:eastAsia="zh-CN"/>
                    </w:rPr>
                  </w:pPr>
                  <w:r>
                    <w:rPr>
                      <w:rFonts w:hint="default"/>
                    </w:rPr>
                    <w:t>厂址不应受洪水、潮水或内涝的威胁。当必须建在该类地区时，应有可靠的防洪、排涝措施，其防洪标准应符合现行国家标准《防洪标准》GB50201的有关规定。</w:t>
                  </w:r>
                </w:p>
              </w:tc>
              <w:tc>
                <w:tcPr>
                  <w:tcW w:w="1906" w:type="pct"/>
                  <w:noWrap w:val="0"/>
                  <w:vAlign w:val="center"/>
                </w:tcPr>
                <w:p w14:paraId="12CBBE20">
                  <w:pPr>
                    <w:pStyle w:val="115"/>
                    <w:bidi w:val="0"/>
                    <w:rPr>
                      <w:rFonts w:hint="default"/>
                      <w:lang w:val="en-US" w:eastAsia="zh-CN"/>
                    </w:rPr>
                  </w:pPr>
                  <w:r>
                    <w:rPr>
                      <w:rFonts w:hint="default"/>
                      <w:lang w:val="en-US" w:eastAsia="zh-CN"/>
                    </w:rPr>
                    <w:t>本项目选址于洪江市安江镇内陆区域，不受潮水威胁，不处于洪水淹没区。区域防洪排涝体系完善，叠加临时截排水、应急抽排等措施，防洪标准符合GB50201要求。</w:t>
                  </w:r>
                </w:p>
              </w:tc>
              <w:tc>
                <w:tcPr>
                  <w:tcW w:w="563" w:type="pct"/>
                  <w:noWrap w:val="0"/>
                  <w:vAlign w:val="center"/>
                </w:tcPr>
                <w:p w14:paraId="0D262912">
                  <w:pPr>
                    <w:pStyle w:val="115"/>
                    <w:bidi w:val="0"/>
                    <w:rPr>
                      <w:rFonts w:hint="default"/>
                      <w:lang w:val="en-US" w:eastAsia="zh-CN"/>
                    </w:rPr>
                  </w:pPr>
                  <w:r>
                    <w:rPr>
                      <w:rFonts w:hint="default"/>
                    </w:rPr>
                    <w:t>符合</w:t>
                  </w:r>
                </w:p>
              </w:tc>
            </w:tr>
            <w:tr w14:paraId="61A0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restart"/>
                  <w:noWrap w:val="0"/>
                  <w:vAlign w:val="center"/>
                </w:tcPr>
                <w:p w14:paraId="7AFE203C">
                  <w:pPr>
                    <w:pStyle w:val="115"/>
                    <w:bidi w:val="0"/>
                    <w:rPr>
                      <w:rFonts w:hint="default"/>
                      <w:lang w:val="en-US" w:eastAsia="zh-CN"/>
                    </w:rPr>
                  </w:pPr>
                  <w:r>
                    <w:rPr>
                      <w:rFonts w:hint="default"/>
                      <w:lang w:val="en-US" w:eastAsia="zh-CN"/>
                    </w:rPr>
                    <w:t>堆填一般要求</w:t>
                  </w:r>
                </w:p>
              </w:tc>
              <w:tc>
                <w:tcPr>
                  <w:tcW w:w="2103" w:type="pct"/>
                  <w:gridSpan w:val="2"/>
                  <w:noWrap w:val="0"/>
                  <w:vAlign w:val="center"/>
                </w:tcPr>
                <w:p w14:paraId="5B3CA8D8">
                  <w:pPr>
                    <w:pStyle w:val="115"/>
                    <w:bidi w:val="0"/>
                    <w:rPr>
                      <w:rFonts w:hint="default"/>
                    </w:rPr>
                  </w:pPr>
                  <w:r>
                    <w:rPr>
                      <w:rFonts w:hint="default"/>
                    </w:rPr>
                    <w:t>堆填宜优先选择开挖工程渣土、工程泥浆工程垃圾等</w:t>
                  </w:r>
                </w:p>
              </w:tc>
              <w:tc>
                <w:tcPr>
                  <w:tcW w:w="1906" w:type="pct"/>
                  <w:noWrap w:val="0"/>
                  <w:vAlign w:val="center"/>
                </w:tcPr>
                <w:p w14:paraId="10368AB7">
                  <w:pPr>
                    <w:pStyle w:val="115"/>
                    <w:bidi w:val="0"/>
                    <w:rPr>
                      <w:rFonts w:hint="eastAsia" w:eastAsia="宋体"/>
                      <w:lang w:eastAsia="zh-CN"/>
                    </w:rPr>
                  </w:pPr>
                  <w:r>
                    <w:rPr>
                      <w:rFonts w:hint="default"/>
                    </w:rPr>
                    <w:t>本项目处置的建筑垃圾主要为工程渣土和工程垃圾</w:t>
                  </w:r>
                  <w:r>
                    <w:rPr>
                      <w:rFonts w:hint="eastAsia"/>
                      <w:lang w:eastAsia="zh-CN"/>
                    </w:rPr>
                    <w:t>。</w:t>
                  </w:r>
                </w:p>
              </w:tc>
              <w:tc>
                <w:tcPr>
                  <w:tcW w:w="563" w:type="pct"/>
                  <w:noWrap w:val="0"/>
                  <w:vAlign w:val="center"/>
                </w:tcPr>
                <w:p w14:paraId="0CAA47A8">
                  <w:pPr>
                    <w:pStyle w:val="115"/>
                    <w:bidi w:val="0"/>
                    <w:rPr>
                      <w:rFonts w:hint="default"/>
                      <w:lang w:eastAsia="zh-CN"/>
                    </w:rPr>
                  </w:pPr>
                  <w:r>
                    <w:rPr>
                      <w:rFonts w:hint="default"/>
                    </w:rPr>
                    <w:t>符合</w:t>
                  </w:r>
                </w:p>
              </w:tc>
            </w:tr>
            <w:tr w14:paraId="3C61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3997C234">
                  <w:pPr>
                    <w:pStyle w:val="115"/>
                    <w:bidi w:val="0"/>
                    <w:rPr>
                      <w:rFonts w:hint="default"/>
                    </w:rPr>
                  </w:pPr>
                </w:p>
              </w:tc>
              <w:tc>
                <w:tcPr>
                  <w:tcW w:w="2103" w:type="pct"/>
                  <w:gridSpan w:val="2"/>
                  <w:noWrap w:val="0"/>
                  <w:vAlign w:val="center"/>
                </w:tcPr>
                <w:p w14:paraId="2AC17777">
                  <w:pPr>
                    <w:pStyle w:val="115"/>
                    <w:bidi w:val="0"/>
                    <w:rPr>
                      <w:rFonts w:hint="default"/>
                    </w:rPr>
                  </w:pPr>
                  <w:r>
                    <w:rPr>
                      <w:rFonts w:hint="default"/>
                    </w:rPr>
                    <w:t>进场物料粒径宜小于0.3m，大粒径物料宜先进行破碎预处理且级配合理方可堆填</w:t>
                  </w:r>
                </w:p>
              </w:tc>
              <w:tc>
                <w:tcPr>
                  <w:tcW w:w="1906" w:type="pct"/>
                  <w:noWrap w:val="0"/>
                  <w:vAlign w:val="center"/>
                </w:tcPr>
                <w:p w14:paraId="05A14A80">
                  <w:pPr>
                    <w:pStyle w:val="115"/>
                    <w:bidi w:val="0"/>
                    <w:rPr>
                      <w:rFonts w:hint="eastAsia" w:eastAsia="宋体"/>
                      <w:lang w:eastAsia="zh-CN"/>
                    </w:rPr>
                  </w:pPr>
                  <w:r>
                    <w:rPr>
                      <w:rFonts w:hint="default"/>
                    </w:rPr>
                    <w:t>本项目堆填进场物料粒径控制小于0.3m</w:t>
                  </w:r>
                  <w:r>
                    <w:rPr>
                      <w:rFonts w:hint="eastAsia"/>
                      <w:lang w:eastAsia="zh-CN"/>
                    </w:rPr>
                    <w:t>。</w:t>
                  </w:r>
                </w:p>
              </w:tc>
              <w:tc>
                <w:tcPr>
                  <w:tcW w:w="563" w:type="pct"/>
                  <w:noWrap w:val="0"/>
                  <w:vAlign w:val="center"/>
                </w:tcPr>
                <w:p w14:paraId="6B38A145">
                  <w:pPr>
                    <w:pStyle w:val="115"/>
                    <w:bidi w:val="0"/>
                    <w:rPr>
                      <w:rFonts w:hint="default"/>
                      <w:lang w:eastAsia="zh-CN"/>
                    </w:rPr>
                  </w:pPr>
                  <w:r>
                    <w:rPr>
                      <w:rFonts w:hint="default"/>
                    </w:rPr>
                    <w:t>符合</w:t>
                  </w:r>
                </w:p>
              </w:tc>
            </w:tr>
            <w:tr w14:paraId="0639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54C54AA6">
                  <w:pPr>
                    <w:pStyle w:val="115"/>
                    <w:bidi w:val="0"/>
                    <w:rPr>
                      <w:rFonts w:hint="default"/>
                    </w:rPr>
                  </w:pPr>
                </w:p>
              </w:tc>
              <w:tc>
                <w:tcPr>
                  <w:tcW w:w="2103" w:type="pct"/>
                  <w:gridSpan w:val="2"/>
                  <w:noWrap w:val="0"/>
                  <w:vAlign w:val="center"/>
                </w:tcPr>
                <w:p w14:paraId="362AF6FC">
                  <w:pPr>
                    <w:pStyle w:val="115"/>
                    <w:bidi w:val="0"/>
                    <w:rPr>
                      <w:rFonts w:hint="default"/>
                    </w:rPr>
                  </w:pPr>
                  <w:r>
                    <w:rPr>
                      <w:rFonts w:hint="default"/>
                    </w:rPr>
                    <w:t>进场物料中废沥青、废旧管材、废旧木材、金属、橡（胶）塑</w:t>
                  </w:r>
                  <w:r>
                    <w:rPr>
                      <w:rFonts w:hint="eastAsia"/>
                      <w:lang w:eastAsia="zh-CN"/>
                    </w:rPr>
                    <w:t>（</w:t>
                  </w:r>
                  <w:r>
                    <w:rPr>
                      <w:rFonts w:hint="default"/>
                    </w:rPr>
                    <w:t>料</w:t>
                  </w:r>
                  <w:r>
                    <w:rPr>
                      <w:rFonts w:hint="eastAsia"/>
                      <w:lang w:eastAsia="zh-CN"/>
                    </w:rPr>
                    <w:t>）</w:t>
                  </w:r>
                  <w:r>
                    <w:rPr>
                      <w:rFonts w:hint="default"/>
                    </w:rPr>
                    <w:t>、竹木、纺织物等含量不大</w:t>
                  </w:r>
                  <w:r>
                    <w:rPr>
                      <w:rFonts w:hint="eastAsia"/>
                      <w:lang w:val="en-US" w:eastAsia="zh-CN"/>
                    </w:rPr>
                    <w:t>于</w:t>
                  </w:r>
                  <w:r>
                    <w:rPr>
                      <w:rFonts w:hint="default"/>
                    </w:rPr>
                    <w:t>5%时可进行堆填处理</w:t>
                  </w:r>
                </w:p>
              </w:tc>
              <w:tc>
                <w:tcPr>
                  <w:tcW w:w="1906" w:type="pct"/>
                  <w:noWrap w:val="0"/>
                  <w:vAlign w:val="center"/>
                </w:tcPr>
                <w:p w14:paraId="735D938F">
                  <w:pPr>
                    <w:pStyle w:val="115"/>
                    <w:bidi w:val="0"/>
                    <w:rPr>
                      <w:rFonts w:hint="eastAsia" w:eastAsia="宋体"/>
                      <w:lang w:eastAsia="zh-CN"/>
                    </w:rPr>
                  </w:pPr>
                  <w:r>
                    <w:rPr>
                      <w:rFonts w:hint="default"/>
                    </w:rPr>
                    <w:t>根据处置方案，建筑垃圾入场后进行人工分拣，具备堆填条件的物料直接入场堆填，</w:t>
                  </w:r>
                  <w:r>
                    <w:rPr>
                      <w:rFonts w:hint="eastAsia"/>
                      <w:lang w:val="en-US" w:eastAsia="zh-CN"/>
                    </w:rPr>
                    <w:t>可将废金属、废塑料、废木块等一般固体废物挑出，分拣后的建筑垃圾中</w:t>
                  </w:r>
                  <w:r>
                    <w:rPr>
                      <w:rFonts w:hint="default"/>
                    </w:rPr>
                    <w:t>废沥青、废旧管材、废旧木材、金属、橡（胶）塑</w:t>
                  </w:r>
                  <w:r>
                    <w:rPr>
                      <w:rFonts w:hint="eastAsia"/>
                      <w:lang w:eastAsia="zh-CN"/>
                    </w:rPr>
                    <w:t>（</w:t>
                  </w:r>
                  <w:r>
                    <w:rPr>
                      <w:rFonts w:hint="default"/>
                    </w:rPr>
                    <w:t>料</w:t>
                  </w:r>
                  <w:r>
                    <w:rPr>
                      <w:rFonts w:hint="eastAsia"/>
                      <w:lang w:eastAsia="zh-CN"/>
                    </w:rPr>
                    <w:t>）</w:t>
                  </w:r>
                  <w:r>
                    <w:rPr>
                      <w:rFonts w:hint="default"/>
                    </w:rPr>
                    <w:t>、竹木、纺织物等含量不大</w:t>
                  </w:r>
                  <w:r>
                    <w:rPr>
                      <w:rFonts w:hint="eastAsia"/>
                      <w:lang w:val="en-US" w:eastAsia="zh-CN"/>
                    </w:rPr>
                    <w:t>于</w:t>
                  </w:r>
                  <w:r>
                    <w:rPr>
                      <w:rFonts w:hint="default"/>
                    </w:rPr>
                    <w:t>5%</w:t>
                  </w:r>
                  <w:r>
                    <w:rPr>
                      <w:rFonts w:hint="eastAsia"/>
                      <w:lang w:eastAsia="zh-CN"/>
                    </w:rPr>
                    <w:t>。</w:t>
                  </w:r>
                </w:p>
              </w:tc>
              <w:tc>
                <w:tcPr>
                  <w:tcW w:w="563" w:type="pct"/>
                  <w:noWrap w:val="0"/>
                  <w:vAlign w:val="center"/>
                </w:tcPr>
                <w:p w14:paraId="593C18BB">
                  <w:pPr>
                    <w:pStyle w:val="115"/>
                    <w:bidi w:val="0"/>
                    <w:rPr>
                      <w:rFonts w:hint="default"/>
                      <w:lang w:eastAsia="zh-CN"/>
                    </w:rPr>
                  </w:pPr>
                  <w:r>
                    <w:rPr>
                      <w:rFonts w:hint="default"/>
                    </w:rPr>
                    <w:t>符合</w:t>
                  </w:r>
                </w:p>
              </w:tc>
            </w:tr>
            <w:tr w14:paraId="0BC9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39977156">
                  <w:pPr>
                    <w:pStyle w:val="115"/>
                    <w:bidi w:val="0"/>
                    <w:rPr>
                      <w:rFonts w:hint="default"/>
                    </w:rPr>
                  </w:pPr>
                </w:p>
              </w:tc>
              <w:tc>
                <w:tcPr>
                  <w:tcW w:w="2103" w:type="pct"/>
                  <w:gridSpan w:val="2"/>
                  <w:noWrap w:val="0"/>
                  <w:vAlign w:val="center"/>
                </w:tcPr>
                <w:p w14:paraId="5E528018">
                  <w:pPr>
                    <w:pStyle w:val="115"/>
                    <w:bidi w:val="0"/>
                    <w:rPr>
                      <w:rFonts w:hint="default"/>
                    </w:rPr>
                  </w:pPr>
                  <w:r>
                    <w:rPr>
                      <w:rFonts w:hint="default"/>
                    </w:rPr>
                    <w:t>工程渣土与泥浆应经预处理改善高含水率、高黏度、易流变、高持水性和低渗透系数的特性，改性后的物料含水率小于40%、相关力学指标符合标准要求后方可堆填</w:t>
                  </w:r>
                </w:p>
              </w:tc>
              <w:tc>
                <w:tcPr>
                  <w:tcW w:w="1906" w:type="pct"/>
                  <w:noWrap w:val="0"/>
                  <w:vAlign w:val="center"/>
                </w:tcPr>
                <w:p w14:paraId="32939842">
                  <w:pPr>
                    <w:pStyle w:val="115"/>
                    <w:bidi w:val="0"/>
                    <w:rPr>
                      <w:rFonts w:hint="default"/>
                      <w:lang w:val="en-US" w:eastAsia="zh-CN"/>
                    </w:rPr>
                  </w:pPr>
                  <w:r>
                    <w:rPr>
                      <w:rFonts w:hint="default"/>
                    </w:rPr>
                    <w:t>根据标准编制说明，</w:t>
                  </w:r>
                  <w:r>
                    <w:rPr>
                      <w:rFonts w:hint="default"/>
                      <w:lang w:val="en-US" w:eastAsia="zh-CN"/>
                    </w:rPr>
                    <w:t>本</w:t>
                  </w:r>
                  <w:r>
                    <w:rPr>
                      <w:rFonts w:hint="eastAsia"/>
                      <w:lang w:val="en-US" w:eastAsia="zh-CN"/>
                    </w:rPr>
                    <w:t>建筑垃圾消纳场</w:t>
                  </w:r>
                  <w:r>
                    <w:rPr>
                      <w:rFonts w:hint="default"/>
                      <w:lang w:val="en-US" w:eastAsia="zh-CN"/>
                    </w:rPr>
                    <w:t>将接受含水率小于40%的物料入场堆填</w:t>
                  </w:r>
                  <w:r>
                    <w:rPr>
                      <w:rFonts w:hint="eastAsia"/>
                      <w:lang w:val="en-US" w:eastAsia="zh-CN"/>
                    </w:rPr>
                    <w:t>。</w:t>
                  </w:r>
                </w:p>
              </w:tc>
              <w:tc>
                <w:tcPr>
                  <w:tcW w:w="563" w:type="pct"/>
                  <w:noWrap w:val="0"/>
                  <w:vAlign w:val="center"/>
                </w:tcPr>
                <w:p w14:paraId="768AFFEC">
                  <w:pPr>
                    <w:pStyle w:val="115"/>
                    <w:bidi w:val="0"/>
                    <w:rPr>
                      <w:rFonts w:hint="default"/>
                      <w:lang w:eastAsia="zh-CN"/>
                    </w:rPr>
                  </w:pPr>
                  <w:r>
                    <w:rPr>
                      <w:rFonts w:hint="default"/>
                    </w:rPr>
                    <w:t>符合</w:t>
                  </w:r>
                </w:p>
              </w:tc>
            </w:tr>
            <w:tr w14:paraId="6977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25AF1AFF">
                  <w:pPr>
                    <w:pStyle w:val="115"/>
                    <w:bidi w:val="0"/>
                    <w:rPr>
                      <w:rFonts w:hint="default"/>
                    </w:rPr>
                  </w:pPr>
                </w:p>
              </w:tc>
              <w:tc>
                <w:tcPr>
                  <w:tcW w:w="2103" w:type="pct"/>
                  <w:gridSpan w:val="2"/>
                  <w:noWrap w:val="0"/>
                  <w:vAlign w:val="center"/>
                </w:tcPr>
                <w:p w14:paraId="19BA4E38">
                  <w:pPr>
                    <w:pStyle w:val="115"/>
                    <w:bidi w:val="0"/>
                    <w:rPr>
                      <w:rFonts w:hint="default"/>
                    </w:rPr>
                  </w:pPr>
                  <w:r>
                    <w:rPr>
                      <w:rFonts w:hint="default"/>
                    </w:rPr>
                    <w:t>堆填前应清除基底的垃圾、树根等杂物抽除坑穴积水、淤泥，验收基底标高。如在耕植土或松士上填方，应在基底压实后再进行</w:t>
                  </w:r>
                </w:p>
              </w:tc>
              <w:tc>
                <w:tcPr>
                  <w:tcW w:w="1906" w:type="pct"/>
                  <w:noWrap w:val="0"/>
                  <w:vAlign w:val="center"/>
                </w:tcPr>
                <w:p w14:paraId="461D53A3">
                  <w:pPr>
                    <w:pStyle w:val="115"/>
                    <w:bidi w:val="0"/>
                    <w:rPr>
                      <w:rFonts w:hint="default"/>
                      <w:lang w:val="en-US" w:eastAsia="zh-CN"/>
                    </w:rPr>
                  </w:pPr>
                  <w:r>
                    <w:rPr>
                      <w:rFonts w:hint="eastAsia"/>
                      <w:lang w:eastAsia="zh-CN"/>
                    </w:rPr>
                    <w:t>根据设计要求，</w:t>
                  </w:r>
                  <w:r>
                    <w:rPr>
                      <w:rFonts w:hint="eastAsia"/>
                      <w:lang w:val="en-US" w:eastAsia="zh-CN"/>
                    </w:rPr>
                    <w:t>一期工程对矿坑废水进行抽排，抽排清空后</w:t>
                  </w:r>
                  <w:r>
                    <w:rPr>
                      <w:rFonts w:hint="eastAsia"/>
                      <w:lang w:eastAsia="zh-CN"/>
                    </w:rPr>
                    <w:t>将清除基底杂物、抽除积水淤泥，并验收基底标高，对基底进行压实处理</w:t>
                  </w:r>
                  <w:r>
                    <w:rPr>
                      <w:rFonts w:hint="eastAsia"/>
                      <w:lang w:val="en-US" w:eastAsia="zh-CN"/>
                    </w:rPr>
                    <w:t>后在开展堆填工作。</w:t>
                  </w:r>
                </w:p>
              </w:tc>
              <w:tc>
                <w:tcPr>
                  <w:tcW w:w="563" w:type="pct"/>
                  <w:noWrap w:val="0"/>
                  <w:vAlign w:val="center"/>
                </w:tcPr>
                <w:p w14:paraId="6B62550F">
                  <w:pPr>
                    <w:pStyle w:val="115"/>
                    <w:bidi w:val="0"/>
                    <w:rPr>
                      <w:rFonts w:hint="default"/>
                      <w:lang w:eastAsia="zh-CN"/>
                    </w:rPr>
                  </w:pPr>
                  <w:r>
                    <w:rPr>
                      <w:rFonts w:hint="default"/>
                    </w:rPr>
                    <w:t>符合</w:t>
                  </w:r>
                </w:p>
              </w:tc>
            </w:tr>
            <w:tr w14:paraId="0E51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restart"/>
                  <w:noWrap w:val="0"/>
                  <w:vAlign w:val="center"/>
                </w:tcPr>
                <w:p w14:paraId="74136711">
                  <w:pPr>
                    <w:pStyle w:val="115"/>
                    <w:bidi w:val="0"/>
                    <w:rPr>
                      <w:rFonts w:hint="default"/>
                    </w:rPr>
                  </w:pPr>
                  <w:r>
                    <w:rPr>
                      <w:rFonts w:hint="default"/>
                    </w:rPr>
                    <w:t>堆填要求</w:t>
                  </w:r>
                </w:p>
              </w:tc>
              <w:tc>
                <w:tcPr>
                  <w:tcW w:w="2103" w:type="pct"/>
                  <w:gridSpan w:val="2"/>
                  <w:noWrap w:val="0"/>
                  <w:vAlign w:val="center"/>
                </w:tcPr>
                <w:p w14:paraId="34614FFD">
                  <w:pPr>
                    <w:pStyle w:val="115"/>
                    <w:bidi w:val="0"/>
                    <w:rPr>
                      <w:rFonts w:hint="default"/>
                      <w:lang w:val="en-US" w:eastAsia="zh-CN"/>
                    </w:rPr>
                  </w:pPr>
                  <w:r>
                    <w:rPr>
                      <w:rFonts w:hint="eastAsia"/>
                      <w:lang w:eastAsia="zh-CN"/>
                    </w:rPr>
                    <w:t>建筑垃圾消纳场</w:t>
                  </w:r>
                  <w:r>
                    <w:rPr>
                      <w:rFonts w:hint="default"/>
                    </w:rPr>
                    <w:t>应设置排水措施，雨季作业时，应采取措施防止地面水流入堆填点内部，避免边坡塌方</w:t>
                  </w:r>
                </w:p>
              </w:tc>
              <w:tc>
                <w:tcPr>
                  <w:tcW w:w="1906" w:type="pct"/>
                  <w:noWrap w:val="0"/>
                  <w:vAlign w:val="center"/>
                </w:tcPr>
                <w:p w14:paraId="3C2399D1">
                  <w:pPr>
                    <w:pStyle w:val="115"/>
                    <w:bidi w:val="0"/>
                    <w:rPr>
                      <w:rFonts w:hint="default"/>
                      <w:lang w:val="en-US" w:eastAsia="zh-CN"/>
                    </w:rPr>
                  </w:pPr>
                  <w:r>
                    <w:rPr>
                      <w:rFonts w:hint="default"/>
                      <w:lang w:val="en-US" w:eastAsia="zh-CN"/>
                    </w:rPr>
                    <w:t>本项目主要对</w:t>
                  </w:r>
                  <w:r>
                    <w:rPr>
                      <w:rFonts w:hint="eastAsia"/>
                      <w:lang w:val="en-US" w:eastAsia="zh-CN"/>
                    </w:rPr>
                    <w:t>矿山采坑</w:t>
                  </w:r>
                  <w:r>
                    <w:rPr>
                      <w:rFonts w:hint="default"/>
                      <w:lang w:val="en-US" w:eastAsia="zh-CN"/>
                    </w:rPr>
                    <w:t>进行回填、平整，不属于高填方堆体，边坡塌方风险较小。但仍将按设计要求设置完善的场区排水系统，防止地面水流入堆填区域。</w:t>
                  </w:r>
                </w:p>
              </w:tc>
              <w:tc>
                <w:tcPr>
                  <w:tcW w:w="563" w:type="pct"/>
                  <w:noWrap w:val="0"/>
                  <w:vAlign w:val="center"/>
                </w:tcPr>
                <w:p w14:paraId="2F32429F">
                  <w:pPr>
                    <w:pStyle w:val="115"/>
                    <w:bidi w:val="0"/>
                    <w:rPr>
                      <w:rFonts w:hint="default"/>
                      <w:lang w:eastAsia="zh-CN"/>
                    </w:rPr>
                  </w:pPr>
                  <w:r>
                    <w:rPr>
                      <w:rFonts w:hint="default"/>
                    </w:rPr>
                    <w:t>符合</w:t>
                  </w:r>
                </w:p>
              </w:tc>
            </w:tr>
            <w:tr w14:paraId="4DB2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5EB520CA">
                  <w:pPr>
                    <w:pStyle w:val="115"/>
                    <w:bidi w:val="0"/>
                    <w:rPr>
                      <w:rFonts w:hint="default"/>
                    </w:rPr>
                  </w:pPr>
                </w:p>
              </w:tc>
              <w:tc>
                <w:tcPr>
                  <w:tcW w:w="2103" w:type="pct"/>
                  <w:gridSpan w:val="2"/>
                  <w:noWrap w:val="0"/>
                  <w:vAlign w:val="center"/>
                </w:tcPr>
                <w:p w14:paraId="6726A160">
                  <w:pPr>
                    <w:pStyle w:val="115"/>
                    <w:bidi w:val="0"/>
                    <w:rPr>
                      <w:rFonts w:hint="default"/>
                      <w:lang w:val="en-US" w:eastAsia="zh-CN"/>
                    </w:rPr>
                  </w:pPr>
                  <w:r>
                    <w:rPr>
                      <w:rFonts w:hint="default"/>
                    </w:rPr>
                    <w:t>在堆填现场主要出人口宜设置洗车台，外出车辆宜冲洗干净后进人市政道路</w:t>
                  </w:r>
                </w:p>
              </w:tc>
              <w:tc>
                <w:tcPr>
                  <w:tcW w:w="1906" w:type="pct"/>
                  <w:noWrap w:val="0"/>
                  <w:vAlign w:val="center"/>
                </w:tcPr>
                <w:p w14:paraId="235FC5D5">
                  <w:pPr>
                    <w:pStyle w:val="115"/>
                    <w:bidi w:val="0"/>
                    <w:rPr>
                      <w:rFonts w:hint="default"/>
                      <w:lang w:val="en-US" w:eastAsia="zh-CN"/>
                    </w:rPr>
                  </w:pPr>
                  <w:r>
                    <w:rPr>
                      <w:rFonts w:hint="default"/>
                      <w:lang w:val="en-US" w:eastAsia="zh-CN"/>
                    </w:rPr>
                    <w:t>本项目</w:t>
                  </w:r>
                  <w:r>
                    <w:rPr>
                      <w:rFonts w:hint="eastAsia"/>
                      <w:lang w:val="en-US" w:eastAsia="zh-CN"/>
                    </w:rPr>
                    <w:t>建筑垃圾堆填场</w:t>
                  </w:r>
                  <w:r>
                    <w:rPr>
                      <w:rFonts w:hint="default"/>
                      <w:lang w:val="en-US" w:eastAsia="zh-CN"/>
                    </w:rPr>
                    <w:t>主要出入口已设置洗车台，出场车辆冲洗干净后方可进入市政道路。</w:t>
                  </w:r>
                </w:p>
              </w:tc>
              <w:tc>
                <w:tcPr>
                  <w:tcW w:w="563" w:type="pct"/>
                  <w:noWrap w:val="0"/>
                  <w:vAlign w:val="center"/>
                </w:tcPr>
                <w:p w14:paraId="43A78AC9">
                  <w:pPr>
                    <w:pStyle w:val="115"/>
                    <w:bidi w:val="0"/>
                    <w:rPr>
                      <w:rFonts w:hint="default"/>
                      <w:lang w:eastAsia="zh-CN"/>
                    </w:rPr>
                  </w:pPr>
                  <w:r>
                    <w:rPr>
                      <w:rFonts w:hint="default"/>
                    </w:rPr>
                    <w:t>符合</w:t>
                  </w:r>
                </w:p>
              </w:tc>
            </w:tr>
            <w:tr w14:paraId="59A0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38BA896D">
                  <w:pPr>
                    <w:pStyle w:val="115"/>
                    <w:bidi w:val="0"/>
                    <w:rPr>
                      <w:rFonts w:hint="default"/>
                    </w:rPr>
                  </w:pPr>
                </w:p>
              </w:tc>
              <w:tc>
                <w:tcPr>
                  <w:tcW w:w="2103" w:type="pct"/>
                  <w:gridSpan w:val="2"/>
                  <w:noWrap w:val="0"/>
                  <w:vAlign w:val="center"/>
                </w:tcPr>
                <w:p w14:paraId="65412AC9">
                  <w:pPr>
                    <w:pStyle w:val="115"/>
                    <w:bidi w:val="0"/>
                    <w:rPr>
                      <w:rFonts w:hint="default"/>
                      <w:lang w:val="en-US" w:eastAsia="zh-CN"/>
                    </w:rPr>
                  </w:pPr>
                  <w:r>
                    <w:rPr>
                      <w:rFonts w:hint="default"/>
                    </w:rPr>
                    <w:t>堆填施工过程中，分层厚度、压实遍数宜符合表9.2.4的规定</w:t>
                  </w:r>
                </w:p>
              </w:tc>
              <w:tc>
                <w:tcPr>
                  <w:tcW w:w="1906" w:type="pct"/>
                  <w:noWrap w:val="0"/>
                  <w:vAlign w:val="center"/>
                </w:tcPr>
                <w:p w14:paraId="74C2946F">
                  <w:pPr>
                    <w:pStyle w:val="115"/>
                    <w:bidi w:val="0"/>
                    <w:rPr>
                      <w:rFonts w:hint="default"/>
                      <w:lang w:val="en-US" w:eastAsia="zh-CN"/>
                    </w:rPr>
                  </w:pPr>
                  <w:r>
                    <w:rPr>
                      <w:rFonts w:hint="default"/>
                      <w:lang w:val="en-US" w:eastAsia="zh-CN"/>
                    </w:rPr>
                    <w:t>本项目主要对</w:t>
                  </w:r>
                  <w:r>
                    <w:rPr>
                      <w:rFonts w:hint="eastAsia"/>
                      <w:lang w:val="en-US" w:eastAsia="zh-CN"/>
                    </w:rPr>
                    <w:t>矿山采坑</w:t>
                  </w:r>
                  <w:r>
                    <w:rPr>
                      <w:rFonts w:hint="default"/>
                      <w:lang w:val="en-US" w:eastAsia="zh-CN"/>
                    </w:rPr>
                    <w:t>进行回填、平整，在平整过程中将按规范要求进行分层压实，确保填筑质量。</w:t>
                  </w:r>
                </w:p>
              </w:tc>
              <w:tc>
                <w:tcPr>
                  <w:tcW w:w="563" w:type="pct"/>
                  <w:noWrap w:val="0"/>
                  <w:vAlign w:val="center"/>
                </w:tcPr>
                <w:p w14:paraId="23949F1C">
                  <w:pPr>
                    <w:pStyle w:val="115"/>
                    <w:bidi w:val="0"/>
                    <w:rPr>
                      <w:rFonts w:hint="default"/>
                      <w:lang w:eastAsia="zh-CN"/>
                    </w:rPr>
                  </w:pPr>
                  <w:r>
                    <w:rPr>
                      <w:rFonts w:hint="default"/>
                    </w:rPr>
                    <w:t>符合</w:t>
                  </w:r>
                </w:p>
              </w:tc>
            </w:tr>
            <w:tr w14:paraId="2561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26" w:type="pct"/>
                  <w:vMerge w:val="restart"/>
                  <w:noWrap w:val="0"/>
                  <w:vAlign w:val="center"/>
                </w:tcPr>
                <w:p w14:paraId="38EEF64E">
                  <w:pPr>
                    <w:pStyle w:val="115"/>
                    <w:bidi w:val="0"/>
                    <w:rPr>
                      <w:rFonts w:hint="default"/>
                      <w:lang w:val="en-US" w:eastAsia="zh-CN"/>
                    </w:rPr>
                  </w:pPr>
                  <w:r>
                    <w:t>收集运输与转运调配</w:t>
                  </w:r>
                </w:p>
              </w:tc>
              <w:tc>
                <w:tcPr>
                  <w:tcW w:w="471" w:type="pct"/>
                  <w:vMerge w:val="restart"/>
                  <w:noWrap w:val="0"/>
                  <w:vAlign w:val="center"/>
                </w:tcPr>
                <w:p w14:paraId="4283722A">
                  <w:pPr>
                    <w:pStyle w:val="115"/>
                    <w:bidi w:val="0"/>
                    <w:rPr>
                      <w:rFonts w:hint="default"/>
                    </w:rPr>
                  </w:pPr>
                  <w:r>
                    <w:rPr>
                      <w:rFonts w:hint="default"/>
                      <w:lang w:val="en-US" w:eastAsia="zh-CN"/>
                    </w:rPr>
                    <w:t>收集运输</w:t>
                  </w:r>
                </w:p>
              </w:tc>
              <w:tc>
                <w:tcPr>
                  <w:tcW w:w="1632" w:type="pct"/>
                  <w:noWrap w:val="0"/>
                  <w:vAlign w:val="center"/>
                </w:tcPr>
                <w:p w14:paraId="639502DA">
                  <w:pPr>
                    <w:pStyle w:val="115"/>
                    <w:bidi w:val="0"/>
                    <w:rPr>
                      <w:rFonts w:hint="default"/>
                    </w:rPr>
                  </w:pPr>
                  <w:r>
                    <w:t>建筑垃圾运输车厢盖和集装箱盖宜采用机械密闭装置，开启、关闭动作应平稳灵活，车厢与集装箱底部宜采取防渗措施</w:t>
                  </w:r>
                </w:p>
              </w:tc>
              <w:tc>
                <w:tcPr>
                  <w:tcW w:w="1906" w:type="pct"/>
                  <w:noWrap w:val="0"/>
                  <w:vAlign w:val="center"/>
                </w:tcPr>
                <w:p w14:paraId="21CD8CBE">
                  <w:pPr>
                    <w:pStyle w:val="115"/>
                    <w:bidi w:val="0"/>
                    <w:rPr>
                      <w:rFonts w:hint="default"/>
                    </w:rPr>
                  </w:pPr>
                  <w:r>
                    <w:rPr>
                      <w:rFonts w:hint="default"/>
                    </w:rPr>
                    <w:t>项目运输车辆采用机械密闭装置的集装箱和车厢盖，车厢与集装箱底部采取防渗措施。</w:t>
                  </w:r>
                </w:p>
              </w:tc>
              <w:tc>
                <w:tcPr>
                  <w:tcW w:w="563" w:type="pct"/>
                  <w:noWrap w:val="0"/>
                  <w:vAlign w:val="center"/>
                </w:tcPr>
                <w:p w14:paraId="4683ED18">
                  <w:pPr>
                    <w:pStyle w:val="115"/>
                    <w:bidi w:val="0"/>
                    <w:rPr>
                      <w:rFonts w:hint="default"/>
                    </w:rPr>
                  </w:pPr>
                  <w:r>
                    <w:rPr>
                      <w:rFonts w:hint="default"/>
                    </w:rPr>
                    <w:t>符合</w:t>
                  </w:r>
                </w:p>
              </w:tc>
            </w:tr>
            <w:tr w14:paraId="7D12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0BB49D0D">
                  <w:pPr>
                    <w:pStyle w:val="115"/>
                    <w:bidi w:val="0"/>
                    <w:rPr>
                      <w:rFonts w:hint="default"/>
                      <w:lang w:val="en-US" w:eastAsia="zh-CN"/>
                    </w:rPr>
                  </w:pPr>
                </w:p>
              </w:tc>
              <w:tc>
                <w:tcPr>
                  <w:tcW w:w="471" w:type="pct"/>
                  <w:vMerge w:val="continue"/>
                  <w:noWrap w:val="0"/>
                  <w:vAlign w:val="center"/>
                </w:tcPr>
                <w:p w14:paraId="0AF0A1D7">
                  <w:pPr>
                    <w:pStyle w:val="115"/>
                    <w:bidi w:val="0"/>
                    <w:rPr>
                      <w:rFonts w:hint="default"/>
                    </w:rPr>
                  </w:pPr>
                </w:p>
              </w:tc>
              <w:tc>
                <w:tcPr>
                  <w:tcW w:w="1632" w:type="pct"/>
                  <w:noWrap w:val="0"/>
                  <w:vAlign w:val="center"/>
                </w:tcPr>
                <w:p w14:paraId="4A548DC3">
                  <w:pPr>
                    <w:pStyle w:val="115"/>
                    <w:bidi w:val="0"/>
                    <w:rPr>
                      <w:rFonts w:hint="default"/>
                    </w:rPr>
                  </w:pPr>
                  <w:r>
                    <w:t>建筑垃圾运输工具应容貌整洁、标志齐全，车厢、集装箱、车辆底盘、车轮、船舶无大块泥沙等附着物</w:t>
                  </w:r>
                </w:p>
              </w:tc>
              <w:tc>
                <w:tcPr>
                  <w:tcW w:w="1906" w:type="pct"/>
                  <w:noWrap w:val="0"/>
                  <w:vAlign w:val="center"/>
                </w:tcPr>
                <w:p w14:paraId="2B324898">
                  <w:pPr>
                    <w:pStyle w:val="115"/>
                    <w:bidi w:val="0"/>
                    <w:rPr>
                      <w:rFonts w:hint="default"/>
                    </w:rPr>
                  </w:pPr>
                  <w:r>
                    <w:rPr>
                      <w:rFonts w:hint="default"/>
                    </w:rPr>
                    <w:t>本项目定期对运输车辆进行冲洗，确保车容整洁、无大块泥沙附着。</w:t>
                  </w:r>
                </w:p>
              </w:tc>
              <w:tc>
                <w:tcPr>
                  <w:tcW w:w="563" w:type="pct"/>
                  <w:noWrap w:val="0"/>
                  <w:vAlign w:val="center"/>
                </w:tcPr>
                <w:p w14:paraId="22AC6853">
                  <w:pPr>
                    <w:pStyle w:val="115"/>
                    <w:bidi w:val="0"/>
                    <w:rPr>
                      <w:rFonts w:hint="default"/>
                    </w:rPr>
                  </w:pPr>
                  <w:r>
                    <w:rPr>
                      <w:rFonts w:hint="default"/>
                    </w:rPr>
                    <w:t>符合</w:t>
                  </w:r>
                </w:p>
              </w:tc>
            </w:tr>
            <w:tr w14:paraId="2078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0AF54B1A">
                  <w:pPr>
                    <w:pStyle w:val="115"/>
                    <w:bidi w:val="0"/>
                    <w:rPr>
                      <w:rFonts w:hint="default"/>
                      <w:lang w:val="en-US" w:eastAsia="zh-CN"/>
                    </w:rPr>
                  </w:pPr>
                </w:p>
              </w:tc>
              <w:tc>
                <w:tcPr>
                  <w:tcW w:w="471" w:type="pct"/>
                  <w:vMerge w:val="continue"/>
                  <w:noWrap w:val="0"/>
                  <w:vAlign w:val="center"/>
                </w:tcPr>
                <w:p w14:paraId="1B2A4019">
                  <w:pPr>
                    <w:pStyle w:val="115"/>
                    <w:bidi w:val="0"/>
                    <w:rPr>
                      <w:rFonts w:hint="default"/>
                    </w:rPr>
                  </w:pPr>
                </w:p>
              </w:tc>
              <w:tc>
                <w:tcPr>
                  <w:tcW w:w="1632" w:type="pct"/>
                  <w:noWrap w:val="0"/>
                  <w:vAlign w:val="center"/>
                </w:tcPr>
                <w:p w14:paraId="06DCFCEC">
                  <w:pPr>
                    <w:pStyle w:val="115"/>
                    <w:bidi w:val="0"/>
                    <w:rPr>
                      <w:rFonts w:hint="default"/>
                    </w:rPr>
                  </w:pPr>
                  <w:r>
                    <w:t>建筑垃圾装载高度最高点应低于车厢栏板高度0.15m以上，车辆装载完毕后，厢盖应关闭到位，装载量不得超过车辆额定载重量</w:t>
                  </w:r>
                </w:p>
              </w:tc>
              <w:tc>
                <w:tcPr>
                  <w:tcW w:w="1906" w:type="pct"/>
                  <w:noWrap w:val="0"/>
                  <w:vAlign w:val="center"/>
                </w:tcPr>
                <w:p w14:paraId="018CB81C">
                  <w:pPr>
                    <w:pStyle w:val="115"/>
                    <w:bidi w:val="0"/>
                    <w:rPr>
                      <w:rFonts w:hint="default"/>
                    </w:rPr>
                  </w:pPr>
                  <w:r>
                    <w:rPr>
                      <w:rFonts w:hint="default"/>
                    </w:rPr>
                    <w:t>本项目严格控制建筑垃圾装载高度低于车厢栏板0.15m以上，装载完毕后厢盖关闭到位，严禁超载。</w:t>
                  </w:r>
                </w:p>
              </w:tc>
              <w:tc>
                <w:tcPr>
                  <w:tcW w:w="563" w:type="pct"/>
                  <w:noWrap w:val="0"/>
                  <w:vAlign w:val="center"/>
                </w:tcPr>
                <w:p w14:paraId="1AA91E50">
                  <w:pPr>
                    <w:pStyle w:val="115"/>
                    <w:bidi w:val="0"/>
                    <w:rPr>
                      <w:rFonts w:hint="default"/>
                    </w:rPr>
                  </w:pPr>
                  <w:r>
                    <w:rPr>
                      <w:rFonts w:hint="default"/>
                    </w:rPr>
                    <w:t>符合</w:t>
                  </w:r>
                </w:p>
              </w:tc>
            </w:tr>
            <w:tr w14:paraId="46F9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restart"/>
                  <w:noWrap w:val="0"/>
                  <w:vAlign w:val="center"/>
                </w:tcPr>
                <w:p w14:paraId="2C4B3470">
                  <w:pPr>
                    <w:pStyle w:val="115"/>
                    <w:bidi w:val="0"/>
                    <w:rPr>
                      <w:rFonts w:hint="default"/>
                      <w:lang w:val="en-US" w:eastAsia="zh-CN"/>
                    </w:rPr>
                  </w:pPr>
                  <w:r>
                    <w:t>环境保护与安全卫生</w:t>
                  </w:r>
                </w:p>
              </w:tc>
              <w:tc>
                <w:tcPr>
                  <w:tcW w:w="471" w:type="pct"/>
                  <w:vMerge w:val="restart"/>
                  <w:noWrap w:val="0"/>
                  <w:vAlign w:val="center"/>
                </w:tcPr>
                <w:p w14:paraId="3F6CAE26">
                  <w:pPr>
                    <w:pStyle w:val="115"/>
                    <w:bidi w:val="0"/>
                    <w:rPr>
                      <w:rFonts w:hint="default"/>
                    </w:rPr>
                  </w:pPr>
                  <w:r>
                    <w:t>环境保护</w:t>
                  </w:r>
                </w:p>
              </w:tc>
              <w:tc>
                <w:tcPr>
                  <w:tcW w:w="1632" w:type="pct"/>
                  <w:noWrap w:val="0"/>
                  <w:vAlign w:val="center"/>
                </w:tcPr>
                <w:p w14:paraId="7B657B24">
                  <w:pPr>
                    <w:pStyle w:val="115"/>
                    <w:bidi w:val="0"/>
                    <w:rPr>
                      <w:rFonts w:hint="default"/>
                    </w:rPr>
                  </w:pPr>
                  <w:r>
                    <w:t>资源化利用和填埋处置工程应有雨、污分流设施，防止污染周边环境。</w:t>
                  </w:r>
                </w:p>
              </w:tc>
              <w:tc>
                <w:tcPr>
                  <w:tcW w:w="1906" w:type="pct"/>
                  <w:noWrap w:val="0"/>
                  <w:vAlign w:val="center"/>
                </w:tcPr>
                <w:p w14:paraId="7DF8E56F">
                  <w:pPr>
                    <w:pStyle w:val="115"/>
                    <w:bidi w:val="0"/>
                    <w:rPr>
                      <w:rFonts w:hint="default"/>
                    </w:rPr>
                  </w:pPr>
                  <w:r>
                    <w:rPr>
                      <w:rFonts w:hint="default"/>
                    </w:rPr>
                    <w:t>本项目配套完善的雨、污分流系统，防止污染周边环境。</w:t>
                  </w:r>
                </w:p>
              </w:tc>
              <w:tc>
                <w:tcPr>
                  <w:tcW w:w="563" w:type="pct"/>
                  <w:noWrap w:val="0"/>
                  <w:vAlign w:val="center"/>
                </w:tcPr>
                <w:p w14:paraId="76328787">
                  <w:pPr>
                    <w:pStyle w:val="115"/>
                    <w:bidi w:val="0"/>
                    <w:rPr>
                      <w:rFonts w:hint="default"/>
                    </w:rPr>
                  </w:pPr>
                  <w:r>
                    <w:rPr>
                      <w:rFonts w:hint="default"/>
                    </w:rPr>
                    <w:t>符合</w:t>
                  </w:r>
                </w:p>
              </w:tc>
            </w:tr>
            <w:tr w14:paraId="6C85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67D49FD7">
                  <w:pPr>
                    <w:pStyle w:val="115"/>
                    <w:bidi w:val="0"/>
                    <w:rPr>
                      <w:rFonts w:hint="default"/>
                      <w:lang w:val="en-US" w:eastAsia="zh-CN"/>
                    </w:rPr>
                  </w:pPr>
                </w:p>
              </w:tc>
              <w:tc>
                <w:tcPr>
                  <w:tcW w:w="471" w:type="pct"/>
                  <w:vMerge w:val="continue"/>
                  <w:noWrap w:val="0"/>
                  <w:vAlign w:val="center"/>
                </w:tcPr>
                <w:p w14:paraId="4C64A2DC">
                  <w:pPr>
                    <w:pStyle w:val="115"/>
                    <w:bidi w:val="0"/>
                    <w:rPr>
                      <w:rFonts w:hint="default"/>
                    </w:rPr>
                  </w:pPr>
                </w:p>
              </w:tc>
              <w:tc>
                <w:tcPr>
                  <w:tcW w:w="1632" w:type="pct"/>
                  <w:noWrap w:val="0"/>
                  <w:vAlign w:val="center"/>
                </w:tcPr>
                <w:p w14:paraId="10EFBCA1">
                  <w:pPr>
                    <w:pStyle w:val="115"/>
                    <w:bidi w:val="0"/>
                    <w:rPr>
                      <w:rFonts w:hint="default"/>
                    </w:rPr>
                  </w:pPr>
                  <w:r>
                    <w:t>建筑垃圾处理全过程噪声控制应符合下列规定：（1）建筑垃圾收集、运输、处理系统应选取低噪声运输车辆，车辆在车厢开启、关闭、卸料时产生的噪声不应超过82dB(A)；</w:t>
                  </w:r>
                </w:p>
              </w:tc>
              <w:tc>
                <w:tcPr>
                  <w:tcW w:w="1906" w:type="pct"/>
                  <w:noWrap w:val="0"/>
                  <w:vAlign w:val="center"/>
                </w:tcPr>
                <w:p w14:paraId="7F687AF9">
                  <w:pPr>
                    <w:pStyle w:val="115"/>
                    <w:bidi w:val="0"/>
                    <w:rPr>
                      <w:rFonts w:hint="default"/>
                    </w:rPr>
                  </w:pPr>
                  <w:r>
                    <w:rPr>
                      <w:rFonts w:hint="default"/>
                    </w:rPr>
                    <w:t>本项目优先选用低噪声运输车辆和处理设备，采取隔声、减振等措施。</w:t>
                  </w:r>
                </w:p>
              </w:tc>
              <w:tc>
                <w:tcPr>
                  <w:tcW w:w="563" w:type="pct"/>
                  <w:noWrap w:val="0"/>
                  <w:vAlign w:val="center"/>
                </w:tcPr>
                <w:p w14:paraId="5587AC8A">
                  <w:pPr>
                    <w:pStyle w:val="115"/>
                    <w:bidi w:val="0"/>
                    <w:rPr>
                      <w:rFonts w:hint="default"/>
                    </w:rPr>
                  </w:pPr>
                  <w:r>
                    <w:rPr>
                      <w:rFonts w:hint="default"/>
                    </w:rPr>
                    <w:t>符合</w:t>
                  </w:r>
                </w:p>
              </w:tc>
            </w:tr>
            <w:tr w14:paraId="0EFE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pct"/>
                  <w:vMerge w:val="continue"/>
                  <w:noWrap w:val="0"/>
                  <w:vAlign w:val="center"/>
                </w:tcPr>
                <w:p w14:paraId="22F10DF5">
                  <w:pPr>
                    <w:pStyle w:val="115"/>
                    <w:bidi w:val="0"/>
                    <w:rPr>
                      <w:rFonts w:hint="default"/>
                      <w:lang w:val="en-US" w:eastAsia="zh-CN"/>
                    </w:rPr>
                  </w:pPr>
                </w:p>
              </w:tc>
              <w:tc>
                <w:tcPr>
                  <w:tcW w:w="471" w:type="pct"/>
                  <w:vMerge w:val="continue"/>
                  <w:noWrap w:val="0"/>
                  <w:vAlign w:val="center"/>
                </w:tcPr>
                <w:p w14:paraId="7F6EE646">
                  <w:pPr>
                    <w:pStyle w:val="115"/>
                    <w:bidi w:val="0"/>
                    <w:rPr>
                      <w:rFonts w:hint="default"/>
                    </w:rPr>
                  </w:pPr>
                </w:p>
              </w:tc>
              <w:tc>
                <w:tcPr>
                  <w:tcW w:w="1632" w:type="pct"/>
                  <w:noWrap w:val="0"/>
                  <w:vAlign w:val="center"/>
                </w:tcPr>
                <w:p w14:paraId="427F20F5">
                  <w:pPr>
                    <w:pStyle w:val="115"/>
                    <w:bidi w:val="0"/>
                    <w:rPr>
                      <w:rFonts w:hint="default"/>
                    </w:rPr>
                  </w:pPr>
                  <w:r>
                    <w:t>建筑垃圾处理工程的环境影响评价及环境污染防治应符合下列规定：（1）在进行可行性研究的同时，应对建设项目的环境影响作出评价；（</w:t>
                  </w:r>
                  <w:r>
                    <w:rPr>
                      <w:rFonts w:hint="default"/>
                    </w:rPr>
                    <w:t>2</w:t>
                  </w:r>
                  <w:r>
                    <w:t>）建设项目的环境污染防治设施，应与主体工程同时设计同时施工、同时投产使用；（</w:t>
                  </w:r>
                  <w:r>
                    <w:rPr>
                      <w:rFonts w:hint="default"/>
                    </w:rPr>
                    <w:t>3</w:t>
                  </w:r>
                  <w:r>
                    <w:t>）建筑垃圾处理作业过程中产生的各种污染物的防治与排放，应贯彻执行国家现行的环境保护法规和有关标准的规定。</w:t>
                  </w:r>
                </w:p>
              </w:tc>
              <w:tc>
                <w:tcPr>
                  <w:tcW w:w="1906" w:type="pct"/>
                  <w:noWrap w:val="0"/>
                  <w:vAlign w:val="center"/>
                </w:tcPr>
                <w:p w14:paraId="7A490BAB">
                  <w:pPr>
                    <w:pStyle w:val="115"/>
                    <w:bidi w:val="0"/>
                    <w:rPr>
                      <w:rFonts w:hint="default"/>
                    </w:rPr>
                  </w:pPr>
                  <w:r>
                    <w:rPr>
                      <w:rFonts w:hint="default"/>
                    </w:rPr>
                    <w:t>生活废水水质简单、水量小，处置方式合理；平面布局已考虑噪声防护要求。项目采取的污染治理措施切实可行，对周边环境影响较小</w:t>
                  </w:r>
                </w:p>
              </w:tc>
              <w:tc>
                <w:tcPr>
                  <w:tcW w:w="563" w:type="pct"/>
                  <w:noWrap w:val="0"/>
                  <w:vAlign w:val="center"/>
                </w:tcPr>
                <w:p w14:paraId="049121A3">
                  <w:pPr>
                    <w:pStyle w:val="115"/>
                    <w:bidi w:val="0"/>
                    <w:rPr>
                      <w:rFonts w:hint="default"/>
                    </w:rPr>
                  </w:pPr>
                  <w:r>
                    <w:rPr>
                      <w:rFonts w:hint="default"/>
                    </w:rPr>
                    <w:t>符合</w:t>
                  </w:r>
                </w:p>
              </w:tc>
            </w:tr>
          </w:tbl>
          <w:p w14:paraId="758C951D">
            <w:pPr>
              <w:pStyle w:val="5"/>
              <w:spacing w:before="0" w:beforeLines="0" w:after="0" w:afterLines="0" w:line="360" w:lineRule="auto"/>
              <w:rPr>
                <w:rFonts w:hint="default"/>
                <w:color w:val="auto"/>
                <w:u w:val="single"/>
                <w:lang w:val="en-US" w:eastAsia="zh-CN"/>
              </w:rPr>
            </w:pPr>
            <w:r>
              <w:rPr>
                <w:rFonts w:hint="eastAsia"/>
                <w:color w:val="auto"/>
                <w:u w:val="single"/>
                <w:lang w:val="en-US" w:eastAsia="zh-CN"/>
              </w:rPr>
              <w:t>1.6.3</w:t>
            </w:r>
            <w:r>
              <w:rPr>
                <w:rFonts w:hint="eastAsia"/>
                <w:u w:val="single"/>
                <w:lang w:val="en-US" w:eastAsia="zh-CN"/>
              </w:rPr>
              <w:t>与《建筑垃圾污染控制技术规范》（HJ 1462-2026）的符合性分析</w:t>
            </w:r>
          </w:p>
          <w:p w14:paraId="6D19EF3A">
            <w:pPr>
              <w:bidi w:val="0"/>
              <w:ind w:firstLine="480" w:firstLineChars="200"/>
              <w:rPr>
                <w:rFonts w:hint="eastAsia"/>
                <w:color w:val="auto"/>
                <w:u w:val="single"/>
                <w:lang w:val="en-US" w:eastAsia="zh-CN"/>
              </w:rPr>
            </w:pPr>
            <w:r>
              <w:rPr>
                <w:rFonts w:hint="eastAsia"/>
                <w:color w:val="auto"/>
                <w:u w:val="single"/>
                <w:lang w:val="en-US" w:eastAsia="zh-CN"/>
              </w:rPr>
              <w:t>本项目与</w:t>
            </w:r>
            <w:r>
              <w:rPr>
                <w:rFonts w:hint="eastAsia"/>
                <w:u w:val="single"/>
                <w:lang w:val="en-US" w:eastAsia="zh-CN"/>
              </w:rPr>
              <w:t>《建筑垃圾污染控制技术规范》（HJ 1462-2026）的符合性分析</w:t>
            </w:r>
            <w:r>
              <w:rPr>
                <w:rFonts w:hint="eastAsia"/>
                <w:color w:val="auto"/>
                <w:u w:val="single"/>
                <w:lang w:val="en-US" w:eastAsia="zh-CN"/>
              </w:rPr>
              <w:t>见下表：</w:t>
            </w:r>
          </w:p>
          <w:p w14:paraId="5DB4599A">
            <w:pPr>
              <w:pStyle w:val="44"/>
              <w:bidi w:val="0"/>
              <w:rPr>
                <w:rFonts w:hint="eastAsia"/>
                <w:color w:val="auto"/>
                <w:u w:val="single"/>
                <w:lang w:val="en-US" w:eastAsia="zh-CN"/>
              </w:rPr>
            </w:pPr>
            <w:r>
              <w:rPr>
                <w:rFonts w:hint="eastAsia"/>
                <w:color w:val="auto"/>
                <w:u w:val="single"/>
                <w:lang w:val="en-US" w:eastAsia="zh-CN"/>
              </w:rPr>
              <w:t>表1.6-3：项目与《</w:t>
            </w:r>
            <w:r>
              <w:rPr>
                <w:rFonts w:hint="eastAsia"/>
                <w:u w:val="single"/>
                <w:lang w:val="en-US" w:eastAsia="zh-CN"/>
              </w:rPr>
              <w:t>建筑垃圾污染控制技术规范</w:t>
            </w:r>
            <w:r>
              <w:rPr>
                <w:rFonts w:hint="eastAsia"/>
                <w:color w:val="auto"/>
                <w:u w:val="single"/>
                <w:lang w:val="en-US" w:eastAsia="zh-CN"/>
              </w:rPr>
              <w:t>》</w:t>
            </w:r>
            <w:r>
              <w:rPr>
                <w:rFonts w:hint="eastAsia"/>
                <w:u w:val="single"/>
                <w:lang w:val="en-US" w:eastAsia="zh-CN"/>
              </w:rPr>
              <w:t>（HJ 1462-2026）</w:t>
            </w:r>
            <w:r>
              <w:rPr>
                <w:rFonts w:hint="eastAsia"/>
                <w:color w:val="auto"/>
                <w:u w:val="single"/>
                <w:lang w:val="en-US" w:eastAsia="zh-CN"/>
              </w:rPr>
              <w:t>内容对照表</w:t>
            </w:r>
          </w:p>
          <w:tbl>
            <w:tblPr>
              <w:tblStyle w:val="39"/>
              <w:tblW w:w="8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3519"/>
              <w:gridCol w:w="3055"/>
              <w:gridCol w:w="704"/>
            </w:tblGrid>
            <w:tr w14:paraId="37AD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2" w:type="dxa"/>
                  <w:noWrap w:val="0"/>
                  <w:vAlign w:val="center"/>
                </w:tcPr>
                <w:p w14:paraId="01054881">
                  <w:pPr>
                    <w:pStyle w:val="115"/>
                    <w:bidi w:val="0"/>
                    <w:rPr>
                      <w:rFonts w:hint="eastAsia"/>
                      <w:b/>
                      <w:bCs/>
                      <w:u w:val="single"/>
                      <w:lang w:val="en-US" w:eastAsia="zh-CN"/>
                    </w:rPr>
                  </w:pPr>
                  <w:r>
                    <w:rPr>
                      <w:rFonts w:hint="eastAsia"/>
                      <w:b/>
                      <w:bCs/>
                      <w:u w:val="single"/>
                      <w:lang w:val="en-US" w:eastAsia="zh-CN"/>
                    </w:rPr>
                    <w:t>对照内容</w:t>
                  </w:r>
                </w:p>
              </w:tc>
              <w:tc>
                <w:tcPr>
                  <w:tcW w:w="3519" w:type="dxa"/>
                  <w:noWrap w:val="0"/>
                  <w:vAlign w:val="center"/>
                </w:tcPr>
                <w:p w14:paraId="70CA38C8">
                  <w:pPr>
                    <w:pStyle w:val="115"/>
                    <w:bidi w:val="0"/>
                    <w:rPr>
                      <w:rFonts w:hint="eastAsia"/>
                      <w:b/>
                      <w:bCs/>
                      <w:u w:val="single"/>
                      <w:lang w:val="en-US" w:eastAsia="zh-CN"/>
                    </w:rPr>
                  </w:pPr>
                  <w:r>
                    <w:rPr>
                      <w:rFonts w:hint="eastAsia"/>
                      <w:b/>
                      <w:bCs/>
                      <w:u w:val="single"/>
                      <w:lang w:val="en-US" w:eastAsia="zh-CN"/>
                    </w:rPr>
                    <w:t>建筑垃圾污染控制技术规范</w:t>
                  </w:r>
                </w:p>
              </w:tc>
              <w:tc>
                <w:tcPr>
                  <w:tcW w:w="3055" w:type="dxa"/>
                  <w:noWrap w:val="0"/>
                  <w:vAlign w:val="center"/>
                </w:tcPr>
                <w:p w14:paraId="50E60EA4">
                  <w:pPr>
                    <w:pStyle w:val="115"/>
                    <w:bidi w:val="0"/>
                    <w:rPr>
                      <w:rFonts w:hint="eastAsia"/>
                      <w:b/>
                      <w:bCs/>
                      <w:u w:val="single"/>
                      <w:lang w:val="en-US" w:eastAsia="zh-CN"/>
                    </w:rPr>
                  </w:pPr>
                  <w:r>
                    <w:rPr>
                      <w:rFonts w:hint="eastAsia"/>
                      <w:b/>
                      <w:bCs/>
                      <w:u w:val="single"/>
                      <w:lang w:val="en-US" w:eastAsia="zh-CN"/>
                    </w:rPr>
                    <w:t>项目建设内容</w:t>
                  </w:r>
                </w:p>
              </w:tc>
              <w:tc>
                <w:tcPr>
                  <w:tcW w:w="704" w:type="dxa"/>
                  <w:noWrap w:val="0"/>
                  <w:vAlign w:val="center"/>
                </w:tcPr>
                <w:p w14:paraId="034B1FC9">
                  <w:pPr>
                    <w:pStyle w:val="115"/>
                    <w:bidi w:val="0"/>
                    <w:rPr>
                      <w:rFonts w:hint="eastAsia"/>
                      <w:b/>
                      <w:bCs/>
                      <w:u w:val="single"/>
                      <w:lang w:val="en-US" w:eastAsia="zh-CN"/>
                    </w:rPr>
                  </w:pPr>
                  <w:r>
                    <w:rPr>
                      <w:rFonts w:hint="eastAsia"/>
                      <w:b/>
                      <w:bCs/>
                      <w:u w:val="single"/>
                      <w:lang w:val="en-US" w:eastAsia="zh-CN"/>
                    </w:rPr>
                    <w:t>是否符合</w:t>
                  </w:r>
                </w:p>
              </w:tc>
            </w:tr>
            <w:tr w14:paraId="4A28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72" w:type="dxa"/>
                  <w:vMerge w:val="restart"/>
                  <w:noWrap w:val="0"/>
                  <w:vAlign w:val="center"/>
                </w:tcPr>
                <w:p w14:paraId="72A243E8">
                  <w:pPr>
                    <w:pStyle w:val="115"/>
                    <w:bidi w:val="0"/>
                    <w:rPr>
                      <w:rFonts w:hint="eastAsia"/>
                      <w:u w:val="single"/>
                      <w:lang w:val="en-US" w:eastAsia="zh-CN"/>
                    </w:rPr>
                  </w:pPr>
                  <w:r>
                    <w:rPr>
                      <w:rFonts w:hint="eastAsia"/>
                      <w:u w:val="single"/>
                      <w:lang w:val="en-US" w:eastAsia="zh-CN"/>
                    </w:rPr>
                    <w:t>总体要求</w:t>
                  </w:r>
                </w:p>
              </w:tc>
              <w:tc>
                <w:tcPr>
                  <w:tcW w:w="3519" w:type="dxa"/>
                  <w:noWrap w:val="0"/>
                  <w:vAlign w:val="center"/>
                </w:tcPr>
                <w:p w14:paraId="550FF0A2">
                  <w:pPr>
                    <w:pStyle w:val="115"/>
                    <w:bidi w:val="0"/>
                    <w:rPr>
                      <w:rFonts w:hint="eastAsia"/>
                      <w:u w:val="single"/>
                      <w:lang w:val="en-US" w:eastAsia="zh-CN"/>
                    </w:rPr>
                  </w:pPr>
                  <w:r>
                    <w:rPr>
                      <w:rFonts w:hint="eastAsia"/>
                      <w:u w:val="single"/>
                      <w:lang w:val="en-US" w:eastAsia="zh-CN"/>
                    </w:rPr>
                    <w:t>建筑垃圾贮存、资源化利用、填埋等设施或场所的选址应符合CJJ/T134要求。</w:t>
                  </w:r>
                </w:p>
              </w:tc>
              <w:tc>
                <w:tcPr>
                  <w:tcW w:w="3055" w:type="dxa"/>
                  <w:noWrap w:val="0"/>
                  <w:vAlign w:val="center"/>
                </w:tcPr>
                <w:p w14:paraId="144582FE">
                  <w:pPr>
                    <w:pStyle w:val="115"/>
                    <w:bidi w:val="0"/>
                    <w:rPr>
                      <w:rFonts w:hint="default"/>
                      <w:u w:val="single"/>
                      <w:lang w:val="en-US" w:eastAsia="zh-CN"/>
                    </w:rPr>
                  </w:pPr>
                  <w:r>
                    <w:rPr>
                      <w:rFonts w:hint="eastAsia"/>
                      <w:u w:val="single"/>
                      <w:lang w:val="en-US" w:eastAsia="zh-CN"/>
                    </w:rPr>
                    <w:t>经上文项目与</w:t>
                  </w:r>
                  <w:r>
                    <w:rPr>
                      <w:rFonts w:hint="default"/>
                      <w:u w:val="single"/>
                    </w:rPr>
                    <w:t>CJJ/T134-2019</w:t>
                  </w:r>
                  <w:r>
                    <w:rPr>
                      <w:rFonts w:hint="eastAsia"/>
                      <w:u w:val="single"/>
                      <w:lang w:val="en-US" w:eastAsia="zh-CN"/>
                    </w:rPr>
                    <w:t>的符合性分析可知，本项目建筑垃圾堆填场的选址符合CJJ/T134要求。</w:t>
                  </w:r>
                </w:p>
              </w:tc>
              <w:tc>
                <w:tcPr>
                  <w:tcW w:w="704" w:type="dxa"/>
                  <w:noWrap w:val="0"/>
                  <w:vAlign w:val="center"/>
                </w:tcPr>
                <w:p w14:paraId="3B459FD6">
                  <w:pPr>
                    <w:pStyle w:val="115"/>
                    <w:bidi w:val="0"/>
                    <w:rPr>
                      <w:rFonts w:hint="eastAsia"/>
                      <w:u w:val="single"/>
                      <w:lang w:val="en-US" w:eastAsia="zh-CN"/>
                    </w:rPr>
                  </w:pPr>
                  <w:r>
                    <w:rPr>
                      <w:rFonts w:hint="eastAsia"/>
                      <w:u w:val="single"/>
                      <w:lang w:val="en-US" w:eastAsia="zh-CN"/>
                    </w:rPr>
                    <w:t>是</w:t>
                  </w:r>
                </w:p>
              </w:tc>
            </w:tr>
            <w:tr w14:paraId="29ED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772" w:type="dxa"/>
                  <w:vMerge w:val="continue"/>
                  <w:noWrap w:val="0"/>
                  <w:vAlign w:val="center"/>
                </w:tcPr>
                <w:p w14:paraId="415E21C6">
                  <w:pPr>
                    <w:pStyle w:val="115"/>
                    <w:bidi w:val="0"/>
                    <w:rPr>
                      <w:u w:val="single"/>
                    </w:rPr>
                  </w:pPr>
                </w:p>
              </w:tc>
              <w:tc>
                <w:tcPr>
                  <w:tcW w:w="3519" w:type="dxa"/>
                  <w:noWrap w:val="0"/>
                  <w:vAlign w:val="center"/>
                </w:tcPr>
                <w:p w14:paraId="22FF8977">
                  <w:pPr>
                    <w:pStyle w:val="115"/>
                    <w:bidi w:val="0"/>
                    <w:rPr>
                      <w:rFonts w:hint="eastAsia"/>
                      <w:u w:val="single"/>
                      <w:lang w:val="en-US" w:eastAsia="zh-CN"/>
                    </w:rPr>
                  </w:pPr>
                  <w:r>
                    <w:rPr>
                      <w:rFonts w:hint="eastAsia"/>
                      <w:u w:val="single"/>
                      <w:lang w:val="en-US" w:eastAsia="zh-CN"/>
                    </w:rPr>
                    <w:t>利用4.2b）中废弃建材类进行堆填利用的选址，应符合以下规定：不应选在生态保护红线区域、自然保护地、永久基本农田集中区域和其他需要特别保护的区域内；应避开活动断层、溶洞区、天然滑坡或泥石流影响区以及湿地等区域；</w:t>
                  </w:r>
                </w:p>
                <w:p w14:paraId="3E370A99">
                  <w:pPr>
                    <w:pStyle w:val="115"/>
                    <w:bidi w:val="0"/>
                    <w:rPr>
                      <w:rFonts w:hint="eastAsia"/>
                      <w:u w:val="single"/>
                      <w:lang w:val="en-US" w:eastAsia="zh-CN"/>
                    </w:rPr>
                  </w:pPr>
                  <w:r>
                    <w:rPr>
                      <w:rFonts w:hint="eastAsia"/>
                      <w:u w:val="single"/>
                      <w:lang w:val="en-US" w:eastAsia="zh-CN"/>
                    </w:rPr>
                    <w:t>c）不应选在江河、湖泊、运河、渠道、水库最高水位线以下的滩地和岸坡，以及国家和地方长远</w:t>
                  </w:r>
                  <w:r>
                    <w:rPr>
                      <w:u w:val="single"/>
                    </w:rPr>
                    <w:t>规划中的水库等人工蓄水设施的淹没区和保护区之内</w:t>
                  </w:r>
                  <w:r>
                    <w:rPr>
                      <w:rFonts w:hint="eastAsia"/>
                      <w:u w:val="single"/>
                      <w:lang w:val="en-US" w:eastAsia="zh-CN"/>
                    </w:rPr>
                    <w:t>。</w:t>
                  </w:r>
                </w:p>
              </w:tc>
              <w:tc>
                <w:tcPr>
                  <w:tcW w:w="3055" w:type="dxa"/>
                  <w:noWrap w:val="0"/>
                  <w:vAlign w:val="center"/>
                </w:tcPr>
                <w:p w14:paraId="3C783D2D">
                  <w:pPr>
                    <w:pStyle w:val="115"/>
                    <w:bidi w:val="0"/>
                    <w:rPr>
                      <w:rFonts w:hint="default"/>
                      <w:u w:val="single"/>
                      <w:lang w:val="en-US" w:eastAsia="zh-CN"/>
                    </w:rPr>
                  </w:pPr>
                  <w:r>
                    <w:rPr>
                      <w:rFonts w:hint="eastAsia"/>
                      <w:u w:val="single"/>
                      <w:lang w:val="en-US" w:eastAsia="zh-CN"/>
                    </w:rPr>
                    <w:t>①本项目建筑垃圾堆填场的选址不涉及生态保护红线区域、自然保护地、永久基本农田集中区域和其他需要特别保护的区域内；②</w:t>
                  </w:r>
                  <w:r>
                    <w:rPr>
                      <w:rFonts w:hint="default"/>
                      <w:u w:val="single"/>
                      <w:lang w:val="en-US" w:eastAsia="zh-CN"/>
                    </w:rPr>
                    <w:t>根据项目地勘资料，本项目选址区域无发震断层、滑坡、泥石流等不良地质现象，地质条件满足建设要求</w:t>
                  </w:r>
                  <w:r>
                    <w:rPr>
                      <w:rFonts w:hint="eastAsia"/>
                      <w:u w:val="single"/>
                      <w:lang w:val="en-US" w:eastAsia="zh-CN"/>
                    </w:rPr>
                    <w:t>；③</w:t>
                  </w:r>
                  <w:r>
                    <w:rPr>
                      <w:rFonts w:hint="default"/>
                      <w:u w:val="single"/>
                      <w:lang w:val="en-US" w:eastAsia="zh-CN"/>
                    </w:rPr>
                    <w:t>本项目选址于洪江市安江镇</w:t>
                  </w:r>
                  <w:r>
                    <w:rPr>
                      <w:rFonts w:hint="eastAsia"/>
                      <w:u w:val="single"/>
                      <w:lang w:val="en-US" w:eastAsia="zh-CN"/>
                    </w:rPr>
                    <w:t>内</w:t>
                  </w:r>
                  <w:r>
                    <w:rPr>
                      <w:rFonts w:hint="default"/>
                      <w:u w:val="single"/>
                      <w:lang w:val="en-US" w:eastAsia="zh-CN"/>
                    </w:rPr>
                    <w:t>陆区域，不受潮水威胁，不处于洪水淹没区。区域防洪排涝体系完善，叠加临时截排水、应急抽排等措施，防洪标准符合GB50201要求。</w:t>
                  </w:r>
                </w:p>
              </w:tc>
              <w:tc>
                <w:tcPr>
                  <w:tcW w:w="704" w:type="dxa"/>
                  <w:noWrap w:val="0"/>
                  <w:vAlign w:val="center"/>
                </w:tcPr>
                <w:p w14:paraId="73D945D2">
                  <w:pPr>
                    <w:pStyle w:val="115"/>
                    <w:bidi w:val="0"/>
                    <w:rPr>
                      <w:rFonts w:hint="eastAsia"/>
                      <w:u w:val="single"/>
                      <w:lang w:val="en-US" w:eastAsia="zh-CN"/>
                    </w:rPr>
                  </w:pPr>
                  <w:r>
                    <w:rPr>
                      <w:rFonts w:hint="eastAsia"/>
                      <w:u w:val="single"/>
                      <w:lang w:val="en-US" w:eastAsia="zh-CN"/>
                    </w:rPr>
                    <w:t>是</w:t>
                  </w:r>
                </w:p>
              </w:tc>
            </w:tr>
            <w:tr w14:paraId="44D2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72" w:type="dxa"/>
                  <w:vMerge w:val="restart"/>
                  <w:noWrap w:val="0"/>
                  <w:vAlign w:val="center"/>
                </w:tcPr>
                <w:p w14:paraId="2C7F4A33">
                  <w:pPr>
                    <w:pStyle w:val="115"/>
                    <w:bidi w:val="0"/>
                    <w:rPr>
                      <w:rFonts w:hint="eastAsia"/>
                      <w:u w:val="single"/>
                      <w:lang w:val="en-US" w:eastAsia="zh-CN"/>
                    </w:rPr>
                  </w:pPr>
                  <w:r>
                    <w:rPr>
                      <w:rFonts w:hint="eastAsia"/>
                      <w:u w:val="single"/>
                      <w:lang w:val="en-US" w:eastAsia="zh-CN"/>
                    </w:rPr>
                    <w:t>贮存与运输过程污染控制要求</w:t>
                  </w:r>
                </w:p>
              </w:tc>
              <w:tc>
                <w:tcPr>
                  <w:tcW w:w="3519" w:type="dxa"/>
                  <w:noWrap w:val="0"/>
                  <w:vAlign w:val="center"/>
                </w:tcPr>
                <w:p w14:paraId="2F896FEE">
                  <w:pPr>
                    <w:pStyle w:val="115"/>
                    <w:bidi w:val="0"/>
                    <w:rPr>
                      <w:rFonts w:hint="eastAsia"/>
                      <w:u w:val="single"/>
                      <w:lang w:val="en-US" w:eastAsia="zh-CN"/>
                    </w:rPr>
                  </w:pPr>
                  <w:r>
                    <w:rPr>
                      <w:rFonts w:hint="eastAsia"/>
                      <w:u w:val="single"/>
                      <w:lang w:val="en-US" w:eastAsia="zh-CN"/>
                    </w:rPr>
                    <w:t>贮存设施或场所可接收4.2b）、4.2c）、工程渣土、脱水后工程泥浆，并进行分区堆放与管理，根据需求进行中转、调配</w:t>
                  </w:r>
                </w:p>
              </w:tc>
              <w:tc>
                <w:tcPr>
                  <w:tcW w:w="3055" w:type="dxa"/>
                  <w:noWrap w:val="0"/>
                  <w:vAlign w:val="center"/>
                </w:tcPr>
                <w:p w14:paraId="11F35DD5">
                  <w:pPr>
                    <w:pStyle w:val="115"/>
                    <w:bidi w:val="0"/>
                    <w:rPr>
                      <w:rFonts w:hint="default"/>
                      <w:u w:val="single"/>
                      <w:lang w:val="en-US" w:eastAsia="zh-CN"/>
                    </w:rPr>
                  </w:pPr>
                  <w:r>
                    <w:rPr>
                      <w:rFonts w:hint="default"/>
                      <w:u w:val="single"/>
                    </w:rPr>
                    <w:t>根据标准编制说明，</w:t>
                  </w:r>
                  <w:r>
                    <w:rPr>
                      <w:rFonts w:hint="default"/>
                      <w:u w:val="single"/>
                      <w:lang w:val="en-US" w:eastAsia="zh-CN"/>
                    </w:rPr>
                    <w:t>本</w:t>
                  </w:r>
                  <w:r>
                    <w:rPr>
                      <w:rFonts w:hint="eastAsia"/>
                      <w:u w:val="single"/>
                      <w:lang w:val="en-US" w:eastAsia="zh-CN"/>
                    </w:rPr>
                    <w:t>建筑垃圾建筑垃圾消纳场</w:t>
                  </w:r>
                  <w:r>
                    <w:rPr>
                      <w:rFonts w:hint="default"/>
                      <w:u w:val="single"/>
                      <w:lang w:val="en-US" w:eastAsia="zh-CN"/>
                    </w:rPr>
                    <w:t>接受含水率小于40%的物料入场堆填</w:t>
                  </w:r>
                  <w:r>
                    <w:rPr>
                      <w:rFonts w:hint="eastAsia"/>
                      <w:u w:val="single"/>
                      <w:lang w:val="en-US" w:eastAsia="zh-CN"/>
                    </w:rPr>
                    <w:t>，分区堆填。</w:t>
                  </w:r>
                </w:p>
              </w:tc>
              <w:tc>
                <w:tcPr>
                  <w:tcW w:w="704" w:type="dxa"/>
                  <w:noWrap w:val="0"/>
                  <w:vAlign w:val="center"/>
                </w:tcPr>
                <w:p w14:paraId="0504D10D">
                  <w:pPr>
                    <w:pStyle w:val="115"/>
                    <w:bidi w:val="0"/>
                    <w:rPr>
                      <w:rFonts w:hint="eastAsia"/>
                      <w:u w:val="single"/>
                      <w:lang w:val="en-US" w:eastAsia="zh-CN"/>
                    </w:rPr>
                  </w:pPr>
                  <w:r>
                    <w:rPr>
                      <w:rFonts w:hint="eastAsia"/>
                      <w:u w:val="single"/>
                      <w:lang w:val="en-US" w:eastAsia="zh-CN"/>
                    </w:rPr>
                    <w:t>是</w:t>
                  </w:r>
                </w:p>
              </w:tc>
            </w:tr>
            <w:tr w14:paraId="2A59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72" w:type="dxa"/>
                  <w:vMerge w:val="continue"/>
                  <w:noWrap w:val="0"/>
                  <w:vAlign w:val="center"/>
                </w:tcPr>
                <w:p w14:paraId="300F6AD5">
                  <w:pPr>
                    <w:pStyle w:val="115"/>
                    <w:bidi w:val="0"/>
                    <w:rPr>
                      <w:u w:val="single"/>
                    </w:rPr>
                  </w:pPr>
                </w:p>
              </w:tc>
              <w:tc>
                <w:tcPr>
                  <w:tcW w:w="3519" w:type="dxa"/>
                  <w:noWrap w:val="0"/>
                  <w:vAlign w:val="center"/>
                </w:tcPr>
                <w:p w14:paraId="1EB96A7A">
                  <w:pPr>
                    <w:pStyle w:val="115"/>
                    <w:bidi w:val="0"/>
                    <w:rPr>
                      <w:rFonts w:hint="eastAsia"/>
                      <w:u w:val="single"/>
                      <w:lang w:val="en-US" w:eastAsia="zh-CN"/>
                    </w:rPr>
                  </w:pPr>
                  <w:r>
                    <w:rPr>
                      <w:rFonts w:hint="eastAsia"/>
                      <w:u w:val="single"/>
                      <w:lang w:val="en-US" w:eastAsia="zh-CN"/>
                    </w:rPr>
                    <w:t>贮存设施或场所的基础设施应参照CJJ/T134进行建设和配备，场区内不存有积水</w:t>
                  </w:r>
                </w:p>
              </w:tc>
              <w:tc>
                <w:tcPr>
                  <w:tcW w:w="3055" w:type="dxa"/>
                  <w:noWrap w:val="0"/>
                  <w:vAlign w:val="center"/>
                </w:tcPr>
                <w:p w14:paraId="3CEA88B6">
                  <w:pPr>
                    <w:pStyle w:val="115"/>
                    <w:bidi w:val="0"/>
                    <w:rPr>
                      <w:rFonts w:hint="eastAsia" w:eastAsia="宋体"/>
                      <w:u w:val="single"/>
                      <w:lang w:val="en-US" w:eastAsia="zh-CN"/>
                    </w:rPr>
                  </w:pPr>
                  <w:r>
                    <w:rPr>
                      <w:rFonts w:hint="default"/>
                      <w:u w:val="single"/>
                    </w:rPr>
                    <w:t>本项目配套完善的雨、污分流系统，防止污染周边环境</w:t>
                  </w:r>
                  <w:r>
                    <w:rPr>
                      <w:rFonts w:hint="eastAsia"/>
                      <w:u w:val="single"/>
                      <w:lang w:eastAsia="zh-CN"/>
                    </w:rPr>
                    <w:t>。</w:t>
                  </w:r>
                </w:p>
              </w:tc>
              <w:tc>
                <w:tcPr>
                  <w:tcW w:w="704" w:type="dxa"/>
                  <w:noWrap w:val="0"/>
                  <w:vAlign w:val="center"/>
                </w:tcPr>
                <w:p w14:paraId="5E92F8D0">
                  <w:pPr>
                    <w:pStyle w:val="115"/>
                    <w:bidi w:val="0"/>
                    <w:rPr>
                      <w:rFonts w:hint="eastAsia"/>
                      <w:u w:val="single"/>
                      <w:lang w:val="en-US" w:eastAsia="zh-CN"/>
                    </w:rPr>
                  </w:pPr>
                  <w:r>
                    <w:rPr>
                      <w:rFonts w:hint="eastAsia"/>
                      <w:u w:val="single"/>
                      <w:lang w:val="en-US" w:eastAsia="zh-CN"/>
                    </w:rPr>
                    <w:t>是</w:t>
                  </w:r>
                </w:p>
              </w:tc>
            </w:tr>
            <w:tr w14:paraId="658A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72" w:type="dxa"/>
                  <w:vMerge w:val="continue"/>
                  <w:noWrap w:val="0"/>
                  <w:vAlign w:val="center"/>
                </w:tcPr>
                <w:p w14:paraId="30D41B2A">
                  <w:pPr>
                    <w:pStyle w:val="115"/>
                    <w:bidi w:val="0"/>
                    <w:rPr>
                      <w:rFonts w:hint="eastAsia"/>
                      <w:u w:val="single"/>
                      <w:lang w:val="en-US" w:eastAsia="zh-CN"/>
                    </w:rPr>
                  </w:pPr>
                </w:p>
              </w:tc>
              <w:tc>
                <w:tcPr>
                  <w:tcW w:w="3519" w:type="dxa"/>
                  <w:noWrap w:val="0"/>
                  <w:vAlign w:val="center"/>
                </w:tcPr>
                <w:p w14:paraId="60A9DF9C">
                  <w:pPr>
                    <w:pStyle w:val="115"/>
                    <w:bidi w:val="0"/>
                    <w:rPr>
                      <w:rFonts w:hint="eastAsia"/>
                      <w:u w:val="single"/>
                      <w:lang w:val="en-US" w:eastAsia="zh-CN"/>
                    </w:rPr>
                  </w:pPr>
                  <w:r>
                    <w:rPr>
                      <w:rFonts w:hint="eastAsia"/>
                      <w:u w:val="single"/>
                      <w:lang w:val="en-US" w:eastAsia="zh-CN"/>
                    </w:rPr>
                    <w:t>贮存设施或场所应对场内物料倒运、上料、卸料等环节采取降噪措施，并采取喷雾、洒水、苫盖等措施进行抑尘</w:t>
                  </w:r>
                </w:p>
              </w:tc>
              <w:tc>
                <w:tcPr>
                  <w:tcW w:w="3055" w:type="dxa"/>
                  <w:noWrap w:val="0"/>
                  <w:vAlign w:val="center"/>
                </w:tcPr>
                <w:p w14:paraId="638D15C2">
                  <w:pPr>
                    <w:pStyle w:val="115"/>
                    <w:bidi w:val="0"/>
                    <w:rPr>
                      <w:rFonts w:hint="eastAsia" w:eastAsia="宋体"/>
                      <w:u w:val="single"/>
                      <w:lang w:val="en-US" w:eastAsia="zh-CN"/>
                    </w:rPr>
                  </w:pPr>
                  <w:r>
                    <w:rPr>
                      <w:rFonts w:hint="default"/>
                      <w:u w:val="single"/>
                    </w:rPr>
                    <w:t>无组织废气采取水喷淋、定期洒水等措施抑尘，符合标准要求</w:t>
                  </w:r>
                  <w:r>
                    <w:rPr>
                      <w:rFonts w:hint="eastAsia"/>
                      <w:u w:val="single"/>
                      <w:lang w:eastAsia="zh-CN"/>
                    </w:rPr>
                    <w:t>。</w:t>
                  </w:r>
                </w:p>
              </w:tc>
              <w:tc>
                <w:tcPr>
                  <w:tcW w:w="704" w:type="dxa"/>
                  <w:noWrap w:val="0"/>
                  <w:vAlign w:val="center"/>
                </w:tcPr>
                <w:p w14:paraId="44EEB1B6">
                  <w:pPr>
                    <w:pStyle w:val="115"/>
                    <w:bidi w:val="0"/>
                    <w:rPr>
                      <w:rFonts w:hint="eastAsia"/>
                      <w:u w:val="single"/>
                      <w:lang w:val="en-US" w:eastAsia="zh-CN"/>
                    </w:rPr>
                  </w:pPr>
                  <w:r>
                    <w:rPr>
                      <w:rFonts w:hint="eastAsia"/>
                      <w:u w:val="single"/>
                      <w:lang w:val="en-US" w:eastAsia="zh-CN"/>
                    </w:rPr>
                    <w:t>是</w:t>
                  </w:r>
                </w:p>
              </w:tc>
            </w:tr>
            <w:tr w14:paraId="7D54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72" w:type="dxa"/>
                  <w:vMerge w:val="continue"/>
                  <w:noWrap w:val="0"/>
                  <w:vAlign w:val="center"/>
                </w:tcPr>
                <w:p w14:paraId="112A7855">
                  <w:pPr>
                    <w:pStyle w:val="115"/>
                    <w:bidi w:val="0"/>
                    <w:rPr>
                      <w:rFonts w:hint="eastAsia"/>
                      <w:u w:val="single"/>
                      <w:lang w:val="en-US" w:eastAsia="zh-CN"/>
                    </w:rPr>
                  </w:pPr>
                </w:p>
              </w:tc>
              <w:tc>
                <w:tcPr>
                  <w:tcW w:w="3519" w:type="dxa"/>
                  <w:noWrap w:val="0"/>
                  <w:vAlign w:val="center"/>
                </w:tcPr>
                <w:p w14:paraId="716D8EC1">
                  <w:pPr>
                    <w:pStyle w:val="115"/>
                    <w:bidi w:val="0"/>
                    <w:rPr>
                      <w:rFonts w:hint="eastAsia"/>
                      <w:u w:val="single"/>
                      <w:lang w:val="en-US" w:eastAsia="zh-CN"/>
                    </w:rPr>
                  </w:pPr>
                  <w:r>
                    <w:rPr>
                      <w:rFonts w:hint="eastAsia"/>
                      <w:u w:val="single"/>
                      <w:lang w:val="en-US" w:eastAsia="zh-CN"/>
                    </w:rPr>
                    <w:t>建筑垃圾在装运过程中应避免混合，运输过程中应采取必要的防扬散、防遗撒、防渗漏、防噪声措施</w:t>
                  </w:r>
                </w:p>
              </w:tc>
              <w:tc>
                <w:tcPr>
                  <w:tcW w:w="3055" w:type="dxa"/>
                  <w:noWrap w:val="0"/>
                  <w:vAlign w:val="center"/>
                </w:tcPr>
                <w:p w14:paraId="3AD2125E">
                  <w:pPr>
                    <w:pStyle w:val="115"/>
                    <w:bidi w:val="0"/>
                    <w:rPr>
                      <w:rFonts w:hint="eastAsia" w:eastAsia="宋体"/>
                      <w:u w:val="single"/>
                      <w:lang w:val="en-US" w:eastAsia="zh-CN"/>
                    </w:rPr>
                  </w:pPr>
                  <w:r>
                    <w:rPr>
                      <w:rFonts w:hint="default"/>
                      <w:u w:val="single"/>
                    </w:rPr>
                    <w:t>项目运输车辆采用机械密闭装置的集装箱和车厢盖，车厢与集装箱底部采取防渗措施</w:t>
                  </w:r>
                  <w:r>
                    <w:rPr>
                      <w:rFonts w:hint="eastAsia"/>
                      <w:u w:val="single"/>
                      <w:lang w:eastAsia="zh-CN"/>
                    </w:rPr>
                    <w:t>；</w:t>
                  </w:r>
                  <w:r>
                    <w:rPr>
                      <w:rFonts w:hint="default"/>
                      <w:u w:val="single"/>
                    </w:rPr>
                    <w:t>严格控制建筑垃圾装载高度低于车厢栏板0.15m以上，装载完毕后厢盖关闭到位，严禁超载</w:t>
                  </w:r>
                  <w:r>
                    <w:rPr>
                      <w:rFonts w:hint="eastAsia"/>
                      <w:u w:val="single"/>
                      <w:lang w:eastAsia="zh-CN"/>
                    </w:rPr>
                    <w:t>；</w:t>
                  </w:r>
                  <w:r>
                    <w:rPr>
                      <w:rFonts w:hint="default"/>
                      <w:u w:val="single"/>
                    </w:rPr>
                    <w:t>优先选用低噪声运输车辆和处理设备，采取隔声、减振等措施</w:t>
                  </w:r>
                  <w:r>
                    <w:rPr>
                      <w:rFonts w:hint="eastAsia"/>
                      <w:u w:val="single"/>
                      <w:lang w:eastAsia="zh-CN"/>
                    </w:rPr>
                    <w:t>。</w:t>
                  </w:r>
                </w:p>
              </w:tc>
              <w:tc>
                <w:tcPr>
                  <w:tcW w:w="704" w:type="dxa"/>
                  <w:noWrap w:val="0"/>
                  <w:vAlign w:val="center"/>
                </w:tcPr>
                <w:p w14:paraId="3293E65F">
                  <w:pPr>
                    <w:pStyle w:val="115"/>
                    <w:bidi w:val="0"/>
                    <w:rPr>
                      <w:rFonts w:hint="eastAsia"/>
                      <w:u w:val="single"/>
                      <w:lang w:val="en-US" w:eastAsia="zh-CN"/>
                    </w:rPr>
                  </w:pPr>
                  <w:r>
                    <w:rPr>
                      <w:rFonts w:hint="eastAsia"/>
                      <w:u w:val="single"/>
                      <w:lang w:val="en-US" w:eastAsia="zh-CN"/>
                    </w:rPr>
                    <w:t>是</w:t>
                  </w:r>
                </w:p>
              </w:tc>
            </w:tr>
            <w:tr w14:paraId="3649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72" w:type="dxa"/>
                  <w:vMerge w:val="continue"/>
                  <w:noWrap w:val="0"/>
                  <w:vAlign w:val="center"/>
                </w:tcPr>
                <w:p w14:paraId="62FA78C7">
                  <w:pPr>
                    <w:pStyle w:val="115"/>
                    <w:bidi w:val="0"/>
                    <w:rPr>
                      <w:rFonts w:hint="eastAsia"/>
                      <w:u w:val="single"/>
                      <w:lang w:val="en-US" w:eastAsia="zh-CN"/>
                    </w:rPr>
                  </w:pPr>
                </w:p>
              </w:tc>
              <w:tc>
                <w:tcPr>
                  <w:tcW w:w="3519" w:type="dxa"/>
                  <w:noWrap w:val="0"/>
                  <w:vAlign w:val="center"/>
                </w:tcPr>
                <w:p w14:paraId="01D39E65">
                  <w:pPr>
                    <w:pStyle w:val="115"/>
                    <w:bidi w:val="0"/>
                    <w:rPr>
                      <w:rFonts w:hint="eastAsia"/>
                      <w:u w:val="single"/>
                      <w:lang w:val="en-US" w:eastAsia="zh-CN"/>
                    </w:rPr>
                  </w:pPr>
                  <w:r>
                    <w:rPr>
                      <w:rFonts w:hint="eastAsia"/>
                      <w:u w:val="single"/>
                      <w:lang w:val="en-US" w:eastAsia="zh-CN"/>
                    </w:rPr>
                    <w:t>贮存与运输过程中宜使用新能源车和机械</w:t>
                  </w:r>
                </w:p>
              </w:tc>
              <w:tc>
                <w:tcPr>
                  <w:tcW w:w="3055" w:type="dxa"/>
                  <w:noWrap w:val="0"/>
                  <w:vAlign w:val="center"/>
                </w:tcPr>
                <w:p w14:paraId="1EE41446">
                  <w:pPr>
                    <w:pStyle w:val="115"/>
                    <w:bidi w:val="0"/>
                    <w:rPr>
                      <w:rFonts w:hint="default"/>
                      <w:u w:val="single"/>
                      <w:lang w:val="en-US" w:eastAsia="zh-CN"/>
                    </w:rPr>
                  </w:pPr>
                  <w:r>
                    <w:rPr>
                      <w:rFonts w:hint="eastAsia"/>
                      <w:u w:val="single"/>
                      <w:lang w:val="en-US" w:eastAsia="zh-CN"/>
                    </w:rPr>
                    <w:t>贮存与运输过程中使用新能源车和机械，均不涉及淘汰类设备。</w:t>
                  </w:r>
                </w:p>
              </w:tc>
              <w:tc>
                <w:tcPr>
                  <w:tcW w:w="704" w:type="dxa"/>
                  <w:noWrap w:val="0"/>
                  <w:vAlign w:val="center"/>
                </w:tcPr>
                <w:p w14:paraId="704FFA31">
                  <w:pPr>
                    <w:pStyle w:val="115"/>
                    <w:bidi w:val="0"/>
                    <w:rPr>
                      <w:rFonts w:hint="eastAsia"/>
                      <w:u w:val="single"/>
                      <w:lang w:val="en-US" w:eastAsia="zh-CN"/>
                    </w:rPr>
                  </w:pPr>
                  <w:r>
                    <w:rPr>
                      <w:rFonts w:hint="eastAsia"/>
                      <w:u w:val="single"/>
                      <w:lang w:val="en-US" w:eastAsia="zh-CN"/>
                    </w:rPr>
                    <w:t>是</w:t>
                  </w:r>
                </w:p>
              </w:tc>
            </w:tr>
            <w:tr w14:paraId="510A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restart"/>
                  <w:noWrap w:val="0"/>
                  <w:vAlign w:val="center"/>
                </w:tcPr>
                <w:p w14:paraId="52EFB497">
                  <w:pPr>
                    <w:pStyle w:val="115"/>
                    <w:bidi w:val="0"/>
                    <w:rPr>
                      <w:rFonts w:hint="eastAsia"/>
                      <w:u w:val="single"/>
                      <w:lang w:val="en-US" w:eastAsia="zh-CN"/>
                    </w:rPr>
                  </w:pPr>
                  <w:r>
                    <w:rPr>
                      <w:rFonts w:hint="eastAsia"/>
                      <w:u w:val="single"/>
                      <w:lang w:val="en-US" w:eastAsia="zh-CN"/>
                    </w:rPr>
                    <w:t>堆填利用的污染控制要求</w:t>
                  </w:r>
                </w:p>
              </w:tc>
              <w:tc>
                <w:tcPr>
                  <w:tcW w:w="3519" w:type="dxa"/>
                  <w:noWrap w:val="0"/>
                  <w:vAlign w:val="center"/>
                </w:tcPr>
                <w:p w14:paraId="3502A75D">
                  <w:pPr>
                    <w:pStyle w:val="115"/>
                    <w:bidi w:val="0"/>
                    <w:rPr>
                      <w:rFonts w:hint="eastAsia"/>
                      <w:u w:val="single"/>
                      <w:lang w:val="en-US" w:eastAsia="zh-CN"/>
                    </w:rPr>
                  </w:pPr>
                  <w:r>
                    <w:rPr>
                      <w:rFonts w:hint="eastAsia"/>
                      <w:u w:val="single"/>
                      <w:lang w:val="en-US" w:eastAsia="zh-CN"/>
                    </w:rPr>
                    <w:t>4.2 b）中的废弃建材类进行堆填利用时，应满足CJJ/T134的要求，同时防止其他固体废物混入，用于废弃矿坑（山）修复、生态恢复时应按照HJ25.3等相关标准开展环境风险评估</w:t>
                  </w:r>
                </w:p>
              </w:tc>
              <w:tc>
                <w:tcPr>
                  <w:tcW w:w="3055" w:type="dxa"/>
                  <w:noWrap w:val="0"/>
                  <w:vAlign w:val="center"/>
                </w:tcPr>
                <w:p w14:paraId="246EAAB0">
                  <w:pPr>
                    <w:pStyle w:val="115"/>
                    <w:bidi w:val="0"/>
                    <w:rPr>
                      <w:rFonts w:hint="eastAsia"/>
                      <w:u w:val="single"/>
                      <w:lang w:val="en-US" w:eastAsia="zh-CN"/>
                    </w:rPr>
                  </w:pPr>
                  <w:r>
                    <w:rPr>
                      <w:rFonts w:hint="eastAsia"/>
                      <w:u w:val="single"/>
                      <w:lang w:val="en-US" w:eastAsia="zh-CN"/>
                    </w:rPr>
                    <w:t>经上文项目与</w:t>
                  </w:r>
                  <w:r>
                    <w:rPr>
                      <w:rFonts w:hint="default"/>
                      <w:u w:val="single"/>
                    </w:rPr>
                    <w:t>CJJ/T134-2019</w:t>
                  </w:r>
                  <w:r>
                    <w:rPr>
                      <w:rFonts w:hint="eastAsia"/>
                      <w:u w:val="single"/>
                      <w:lang w:val="en-US" w:eastAsia="zh-CN"/>
                    </w:rPr>
                    <w:t>的符合性分析可知，建筑垃圾入场后进行人工分拣，具备堆填条件的物料直接入场堆填，可将废金属、废塑料、废木块等一般固体废物挑出，分拣后的建筑垃圾中废沥青、废旧管材、废旧木材、金属、橡（胶）塑（料）、竹木、纺织物等含量不大于5%。</w:t>
                  </w:r>
                </w:p>
                <w:p w14:paraId="12227139">
                  <w:pPr>
                    <w:pStyle w:val="115"/>
                    <w:bidi w:val="0"/>
                    <w:rPr>
                      <w:rFonts w:hint="default"/>
                      <w:u w:val="single"/>
                      <w:lang w:val="en-US" w:eastAsia="zh-CN"/>
                    </w:rPr>
                  </w:pPr>
                  <w:r>
                    <w:rPr>
                      <w:rFonts w:hint="eastAsia"/>
                      <w:u w:val="single"/>
                      <w:lang w:val="en-US" w:eastAsia="zh-CN"/>
                    </w:rPr>
                    <w:t>本项目建筑垃圾堆填场满足CJJ/T134的要求。</w:t>
                  </w:r>
                </w:p>
              </w:tc>
              <w:tc>
                <w:tcPr>
                  <w:tcW w:w="704" w:type="dxa"/>
                  <w:noWrap w:val="0"/>
                  <w:vAlign w:val="center"/>
                </w:tcPr>
                <w:p w14:paraId="1E0318D1">
                  <w:pPr>
                    <w:pStyle w:val="115"/>
                    <w:bidi w:val="0"/>
                    <w:rPr>
                      <w:rFonts w:hint="eastAsia"/>
                      <w:u w:val="single"/>
                      <w:lang w:val="en-US" w:eastAsia="zh-CN"/>
                    </w:rPr>
                  </w:pPr>
                  <w:r>
                    <w:rPr>
                      <w:rFonts w:hint="eastAsia"/>
                      <w:u w:val="single"/>
                      <w:lang w:val="en-US" w:eastAsia="zh-CN"/>
                    </w:rPr>
                    <w:t>是</w:t>
                  </w:r>
                </w:p>
              </w:tc>
            </w:tr>
            <w:tr w14:paraId="196B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16A184F1">
                  <w:pPr>
                    <w:pStyle w:val="115"/>
                    <w:bidi w:val="0"/>
                    <w:rPr>
                      <w:rFonts w:hint="eastAsia"/>
                      <w:u w:val="single"/>
                      <w:lang w:val="en-US" w:eastAsia="zh-CN"/>
                    </w:rPr>
                  </w:pPr>
                </w:p>
              </w:tc>
              <w:tc>
                <w:tcPr>
                  <w:tcW w:w="3519" w:type="dxa"/>
                  <w:noWrap w:val="0"/>
                  <w:vAlign w:val="center"/>
                </w:tcPr>
                <w:p w14:paraId="13547D9C">
                  <w:pPr>
                    <w:pStyle w:val="115"/>
                    <w:bidi w:val="0"/>
                    <w:rPr>
                      <w:rFonts w:hint="eastAsia"/>
                      <w:u w:val="single"/>
                      <w:lang w:val="en-US" w:eastAsia="zh-CN"/>
                    </w:rPr>
                  </w:pPr>
                  <w:r>
                    <w:rPr>
                      <w:rFonts w:hint="eastAsia"/>
                      <w:u w:val="single"/>
                      <w:lang w:val="en-US" w:eastAsia="zh-CN"/>
                    </w:rPr>
                    <w:t>利用工程渣土或脱水后的工程泥浆进行堆填利用，应满足堆填利用地块的环境风险管控要求</w:t>
                  </w:r>
                </w:p>
              </w:tc>
              <w:tc>
                <w:tcPr>
                  <w:tcW w:w="3055" w:type="dxa"/>
                  <w:noWrap w:val="0"/>
                  <w:vAlign w:val="center"/>
                </w:tcPr>
                <w:p w14:paraId="29F838A9">
                  <w:pPr>
                    <w:pStyle w:val="115"/>
                    <w:bidi w:val="0"/>
                    <w:rPr>
                      <w:rFonts w:hint="eastAsia"/>
                      <w:u w:val="single"/>
                      <w:lang w:val="en-US" w:eastAsia="zh-CN"/>
                    </w:rPr>
                  </w:pPr>
                  <w:r>
                    <w:rPr>
                      <w:rFonts w:hint="eastAsia"/>
                      <w:u w:val="single"/>
                      <w:lang w:val="en-US" w:eastAsia="zh-CN"/>
                    </w:rPr>
                    <w:t>本项目建筑垃圾堆填场满足堆填利用地块的环境风险管控要求。</w:t>
                  </w:r>
                </w:p>
              </w:tc>
              <w:tc>
                <w:tcPr>
                  <w:tcW w:w="704" w:type="dxa"/>
                  <w:noWrap w:val="0"/>
                  <w:vAlign w:val="center"/>
                </w:tcPr>
                <w:p w14:paraId="445DFD41">
                  <w:pPr>
                    <w:pStyle w:val="115"/>
                    <w:bidi w:val="0"/>
                    <w:rPr>
                      <w:rFonts w:hint="eastAsia"/>
                      <w:u w:val="single"/>
                      <w:lang w:val="en-US" w:eastAsia="zh-CN"/>
                    </w:rPr>
                  </w:pPr>
                  <w:r>
                    <w:rPr>
                      <w:rFonts w:hint="eastAsia"/>
                      <w:u w:val="single"/>
                      <w:lang w:val="en-US" w:eastAsia="zh-CN"/>
                    </w:rPr>
                    <w:t>是</w:t>
                  </w:r>
                </w:p>
              </w:tc>
            </w:tr>
            <w:tr w14:paraId="5141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52AC1BD0">
                  <w:pPr>
                    <w:pStyle w:val="115"/>
                    <w:bidi w:val="0"/>
                    <w:rPr>
                      <w:rFonts w:hint="eastAsia"/>
                      <w:u w:val="single"/>
                      <w:lang w:val="en-US" w:eastAsia="zh-CN"/>
                    </w:rPr>
                  </w:pPr>
                </w:p>
              </w:tc>
              <w:tc>
                <w:tcPr>
                  <w:tcW w:w="3519" w:type="dxa"/>
                  <w:noWrap w:val="0"/>
                  <w:vAlign w:val="center"/>
                </w:tcPr>
                <w:p w14:paraId="09FB1C9C">
                  <w:pPr>
                    <w:pStyle w:val="115"/>
                    <w:bidi w:val="0"/>
                    <w:rPr>
                      <w:rFonts w:hint="eastAsia"/>
                      <w:u w:val="single"/>
                      <w:lang w:val="en-US" w:eastAsia="zh-CN"/>
                    </w:rPr>
                  </w:pPr>
                  <w:r>
                    <w:rPr>
                      <w:rFonts w:hint="eastAsia"/>
                      <w:u w:val="single"/>
                      <w:lang w:val="en-US" w:eastAsia="zh-CN"/>
                    </w:rPr>
                    <w:t>堆填利用前应开展环境本底调查，包括堆填利用区域的土壤环境、地下水环境以及地表水环境等，可参考已有的环境影响评价以及相关水文地质资料</w:t>
                  </w:r>
                </w:p>
              </w:tc>
              <w:tc>
                <w:tcPr>
                  <w:tcW w:w="3055" w:type="dxa"/>
                  <w:noWrap w:val="0"/>
                  <w:vAlign w:val="center"/>
                </w:tcPr>
                <w:p w14:paraId="36550340">
                  <w:pPr>
                    <w:pStyle w:val="115"/>
                    <w:bidi w:val="0"/>
                    <w:rPr>
                      <w:rFonts w:hint="default"/>
                      <w:u w:val="single"/>
                      <w:lang w:val="en-US" w:eastAsia="zh-CN"/>
                    </w:rPr>
                  </w:pPr>
                  <w:r>
                    <w:rPr>
                      <w:rFonts w:hint="eastAsia"/>
                      <w:u w:val="single"/>
                      <w:lang w:val="en-US" w:eastAsia="zh-CN"/>
                    </w:rPr>
                    <w:t>本项目建筑垃圾堆填场已开展土壤环境、地下水环境以及地表水环境本底调查。</w:t>
                  </w:r>
                </w:p>
              </w:tc>
              <w:tc>
                <w:tcPr>
                  <w:tcW w:w="704" w:type="dxa"/>
                  <w:noWrap w:val="0"/>
                  <w:vAlign w:val="center"/>
                </w:tcPr>
                <w:p w14:paraId="5BAAA2ED">
                  <w:pPr>
                    <w:pStyle w:val="115"/>
                    <w:bidi w:val="0"/>
                    <w:rPr>
                      <w:rFonts w:hint="eastAsia"/>
                      <w:u w:val="single"/>
                      <w:lang w:val="en-US" w:eastAsia="zh-CN"/>
                    </w:rPr>
                  </w:pPr>
                  <w:r>
                    <w:rPr>
                      <w:rFonts w:hint="eastAsia"/>
                      <w:u w:val="single"/>
                      <w:lang w:val="en-US" w:eastAsia="zh-CN"/>
                    </w:rPr>
                    <w:t>是</w:t>
                  </w:r>
                </w:p>
              </w:tc>
            </w:tr>
            <w:tr w14:paraId="5D61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0C59FABE">
                  <w:pPr>
                    <w:pStyle w:val="115"/>
                    <w:bidi w:val="0"/>
                    <w:rPr>
                      <w:rFonts w:hint="eastAsia"/>
                      <w:u w:val="single"/>
                      <w:lang w:val="en-US" w:eastAsia="zh-CN"/>
                    </w:rPr>
                  </w:pPr>
                </w:p>
              </w:tc>
              <w:tc>
                <w:tcPr>
                  <w:tcW w:w="3519" w:type="dxa"/>
                  <w:noWrap w:val="0"/>
                  <w:vAlign w:val="center"/>
                </w:tcPr>
                <w:p w14:paraId="6C639E5C">
                  <w:pPr>
                    <w:pStyle w:val="115"/>
                    <w:bidi w:val="0"/>
                    <w:rPr>
                      <w:rFonts w:hint="eastAsia"/>
                      <w:u w:val="single"/>
                      <w:lang w:val="en-US" w:eastAsia="zh-CN"/>
                    </w:rPr>
                  </w:pPr>
                  <w:r>
                    <w:rPr>
                      <w:rFonts w:hint="eastAsia"/>
                      <w:u w:val="single"/>
                      <w:lang w:val="en-US" w:eastAsia="zh-CN"/>
                    </w:rPr>
                    <w:t>堆填利用作业实施前，应制定施工方案，制定作业计划、作业工序，包括防扬尘、雨水导排等措施</w:t>
                  </w:r>
                </w:p>
              </w:tc>
              <w:tc>
                <w:tcPr>
                  <w:tcW w:w="3055" w:type="dxa"/>
                  <w:noWrap w:val="0"/>
                  <w:vAlign w:val="center"/>
                </w:tcPr>
                <w:p w14:paraId="1F87F041">
                  <w:pPr>
                    <w:pStyle w:val="115"/>
                    <w:bidi w:val="0"/>
                    <w:rPr>
                      <w:rFonts w:hint="default"/>
                      <w:u w:val="single"/>
                      <w:lang w:val="en-US" w:eastAsia="zh-CN"/>
                    </w:rPr>
                  </w:pPr>
                  <w:r>
                    <w:rPr>
                      <w:rFonts w:hint="eastAsia"/>
                      <w:u w:val="single"/>
                      <w:lang w:val="en-US" w:eastAsia="zh-CN"/>
                    </w:rPr>
                    <w:t>本项目已制定堆填方案，制定作业计划、作业工序，包括防扬尘、雨水导排等措施。</w:t>
                  </w:r>
                </w:p>
              </w:tc>
              <w:tc>
                <w:tcPr>
                  <w:tcW w:w="704" w:type="dxa"/>
                  <w:noWrap w:val="0"/>
                  <w:vAlign w:val="center"/>
                </w:tcPr>
                <w:p w14:paraId="4BB903EA">
                  <w:pPr>
                    <w:pStyle w:val="115"/>
                    <w:bidi w:val="0"/>
                    <w:rPr>
                      <w:rFonts w:hint="eastAsia"/>
                      <w:u w:val="single"/>
                      <w:lang w:val="en-US" w:eastAsia="zh-CN"/>
                    </w:rPr>
                  </w:pPr>
                  <w:r>
                    <w:rPr>
                      <w:rFonts w:hint="eastAsia"/>
                      <w:u w:val="single"/>
                      <w:lang w:val="en-US" w:eastAsia="zh-CN"/>
                    </w:rPr>
                    <w:t>是</w:t>
                  </w:r>
                </w:p>
              </w:tc>
            </w:tr>
            <w:tr w14:paraId="797D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1EA0C8FA">
                  <w:pPr>
                    <w:pStyle w:val="115"/>
                    <w:bidi w:val="0"/>
                    <w:rPr>
                      <w:rFonts w:hint="eastAsia"/>
                      <w:u w:val="single"/>
                      <w:lang w:val="en-US" w:eastAsia="zh-CN"/>
                    </w:rPr>
                  </w:pPr>
                </w:p>
              </w:tc>
              <w:tc>
                <w:tcPr>
                  <w:tcW w:w="3519" w:type="dxa"/>
                  <w:noWrap w:val="0"/>
                  <w:vAlign w:val="center"/>
                </w:tcPr>
                <w:p w14:paraId="44938630">
                  <w:pPr>
                    <w:pStyle w:val="115"/>
                    <w:bidi w:val="0"/>
                    <w:rPr>
                      <w:rFonts w:hint="eastAsia"/>
                      <w:u w:val="single"/>
                      <w:lang w:val="en-US" w:eastAsia="zh-CN"/>
                    </w:rPr>
                  </w:pPr>
                  <w:r>
                    <w:rPr>
                      <w:rFonts w:hint="eastAsia"/>
                      <w:u w:val="single"/>
                      <w:lang w:val="en-US" w:eastAsia="zh-CN"/>
                    </w:rPr>
                    <w:t>堆填利用作业过程中，应对作业面、场区内道路采取洒水抑尘措施，并对作业面回填压实后及时覆盖，车辆运输过程中做好密封措施</w:t>
                  </w:r>
                </w:p>
              </w:tc>
              <w:tc>
                <w:tcPr>
                  <w:tcW w:w="3055" w:type="dxa"/>
                  <w:noWrap w:val="0"/>
                  <w:vAlign w:val="center"/>
                </w:tcPr>
                <w:p w14:paraId="3977E606">
                  <w:pPr>
                    <w:pStyle w:val="115"/>
                    <w:bidi w:val="0"/>
                    <w:rPr>
                      <w:rFonts w:hint="eastAsia"/>
                      <w:u w:val="single"/>
                      <w:lang w:val="en-US" w:eastAsia="zh-CN"/>
                    </w:rPr>
                  </w:pPr>
                  <w:r>
                    <w:rPr>
                      <w:rFonts w:hint="eastAsia"/>
                      <w:u w:val="single"/>
                      <w:lang w:val="en-US" w:eastAsia="zh-CN"/>
                    </w:rPr>
                    <w:t>堆填利用作业过程中，对作业面、场区内道路采取雾炮机洒水抑尘措施，并对作业面回填压实后及时覆盖，车辆运输过程中做好密封措施。</w:t>
                  </w:r>
                </w:p>
              </w:tc>
              <w:tc>
                <w:tcPr>
                  <w:tcW w:w="704" w:type="dxa"/>
                  <w:noWrap w:val="0"/>
                  <w:vAlign w:val="center"/>
                </w:tcPr>
                <w:p w14:paraId="665FAB2B">
                  <w:pPr>
                    <w:pStyle w:val="115"/>
                    <w:bidi w:val="0"/>
                    <w:rPr>
                      <w:rFonts w:hint="eastAsia"/>
                      <w:u w:val="single"/>
                      <w:lang w:val="en-US" w:eastAsia="zh-CN"/>
                    </w:rPr>
                  </w:pPr>
                  <w:r>
                    <w:rPr>
                      <w:rFonts w:hint="eastAsia"/>
                      <w:u w:val="single"/>
                      <w:lang w:val="en-US" w:eastAsia="zh-CN"/>
                    </w:rPr>
                    <w:t>是</w:t>
                  </w:r>
                </w:p>
              </w:tc>
            </w:tr>
            <w:tr w14:paraId="3BA6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54567769">
                  <w:pPr>
                    <w:pStyle w:val="115"/>
                    <w:bidi w:val="0"/>
                    <w:rPr>
                      <w:rFonts w:hint="eastAsia"/>
                      <w:u w:val="single"/>
                      <w:lang w:val="en-US" w:eastAsia="zh-CN"/>
                    </w:rPr>
                  </w:pPr>
                </w:p>
              </w:tc>
              <w:tc>
                <w:tcPr>
                  <w:tcW w:w="3519" w:type="dxa"/>
                  <w:noWrap w:val="0"/>
                  <w:vAlign w:val="center"/>
                </w:tcPr>
                <w:p w14:paraId="19ED5F30">
                  <w:pPr>
                    <w:pStyle w:val="115"/>
                    <w:bidi w:val="0"/>
                    <w:rPr>
                      <w:rFonts w:hint="eastAsia"/>
                      <w:u w:val="single"/>
                      <w:lang w:val="en-US" w:eastAsia="zh-CN"/>
                    </w:rPr>
                  </w:pPr>
                  <w:r>
                    <w:rPr>
                      <w:rFonts w:hint="eastAsia"/>
                      <w:u w:val="single"/>
                      <w:lang w:val="en-US" w:eastAsia="zh-CN"/>
                    </w:rPr>
                    <w:t>堆填利用作业期间宜选用低噪音机械或采取降噪措施</w:t>
                  </w:r>
                </w:p>
              </w:tc>
              <w:tc>
                <w:tcPr>
                  <w:tcW w:w="3055" w:type="dxa"/>
                  <w:noWrap w:val="0"/>
                  <w:vAlign w:val="center"/>
                </w:tcPr>
                <w:p w14:paraId="6C5D1A55">
                  <w:pPr>
                    <w:pStyle w:val="115"/>
                    <w:bidi w:val="0"/>
                    <w:rPr>
                      <w:rFonts w:hint="eastAsia" w:eastAsia="宋体"/>
                      <w:u w:val="single"/>
                      <w:lang w:val="en-US" w:eastAsia="zh-CN"/>
                    </w:rPr>
                  </w:pPr>
                  <w:r>
                    <w:rPr>
                      <w:rFonts w:hint="eastAsia"/>
                      <w:u w:val="single"/>
                      <w:lang w:val="en-US" w:eastAsia="zh-CN"/>
                    </w:rPr>
                    <w:t>项目</w:t>
                  </w:r>
                  <w:r>
                    <w:rPr>
                      <w:rFonts w:hint="default"/>
                      <w:u w:val="single"/>
                    </w:rPr>
                    <w:t>优先选用低噪声设备</w:t>
                  </w:r>
                  <w:r>
                    <w:rPr>
                      <w:rFonts w:hint="eastAsia"/>
                      <w:u w:val="single"/>
                      <w:lang w:eastAsia="zh-CN"/>
                    </w:rPr>
                    <w:t>。</w:t>
                  </w:r>
                </w:p>
              </w:tc>
              <w:tc>
                <w:tcPr>
                  <w:tcW w:w="704" w:type="dxa"/>
                  <w:noWrap w:val="0"/>
                  <w:vAlign w:val="center"/>
                </w:tcPr>
                <w:p w14:paraId="6A36FEBA">
                  <w:pPr>
                    <w:pStyle w:val="115"/>
                    <w:bidi w:val="0"/>
                    <w:rPr>
                      <w:rFonts w:hint="eastAsia"/>
                      <w:u w:val="single"/>
                      <w:lang w:val="en-US" w:eastAsia="zh-CN"/>
                    </w:rPr>
                  </w:pPr>
                  <w:r>
                    <w:rPr>
                      <w:rFonts w:hint="eastAsia"/>
                      <w:u w:val="single"/>
                      <w:lang w:val="en-US" w:eastAsia="zh-CN"/>
                    </w:rPr>
                    <w:t>是</w:t>
                  </w:r>
                </w:p>
              </w:tc>
            </w:tr>
            <w:tr w14:paraId="297C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restart"/>
                  <w:noWrap w:val="0"/>
                  <w:vAlign w:val="center"/>
                </w:tcPr>
                <w:p w14:paraId="69A2D704">
                  <w:pPr>
                    <w:pStyle w:val="115"/>
                    <w:bidi w:val="0"/>
                    <w:rPr>
                      <w:rFonts w:hint="eastAsia"/>
                      <w:u w:val="single"/>
                      <w:lang w:val="en-US" w:eastAsia="zh-CN"/>
                    </w:rPr>
                  </w:pPr>
                  <w:r>
                    <w:rPr>
                      <w:rFonts w:hint="eastAsia"/>
                      <w:u w:val="single"/>
                      <w:lang w:val="en-US" w:eastAsia="zh-CN"/>
                    </w:rPr>
                    <w:t>环境管理要求</w:t>
                  </w:r>
                </w:p>
              </w:tc>
              <w:tc>
                <w:tcPr>
                  <w:tcW w:w="3519" w:type="dxa"/>
                  <w:noWrap w:val="0"/>
                  <w:vAlign w:val="center"/>
                </w:tcPr>
                <w:p w14:paraId="3394DECF">
                  <w:pPr>
                    <w:pStyle w:val="115"/>
                    <w:bidi w:val="0"/>
                    <w:rPr>
                      <w:rFonts w:hint="eastAsia"/>
                      <w:u w:val="single"/>
                      <w:lang w:val="en-US" w:eastAsia="zh-CN"/>
                    </w:rPr>
                  </w:pPr>
                  <w:r>
                    <w:rPr>
                      <w:rFonts w:hint="eastAsia"/>
                      <w:u w:val="single"/>
                      <w:lang w:val="en-US" w:eastAsia="zh-CN"/>
                    </w:rPr>
                    <w:t>建筑垃圾产生与收集、贮存与运输、利用与处置设施或场所的运营单位应建立台账并至少记录以下内容：</w:t>
                  </w:r>
                </w:p>
                <w:p w14:paraId="4686597C">
                  <w:pPr>
                    <w:pStyle w:val="115"/>
                    <w:bidi w:val="0"/>
                    <w:rPr>
                      <w:rFonts w:hint="eastAsia"/>
                      <w:u w:val="single"/>
                      <w:lang w:val="en-US" w:eastAsia="zh-CN"/>
                    </w:rPr>
                  </w:pPr>
                  <w:r>
                    <w:rPr>
                      <w:rFonts w:hint="eastAsia"/>
                      <w:u w:val="single"/>
                      <w:lang w:val="en-US" w:eastAsia="zh-CN"/>
                    </w:rPr>
                    <w:t>产生过程应明确建筑垃圾责任单位，责任单位应记录建筑垃圾类别、产生量、接收单位；</w:t>
                  </w:r>
                </w:p>
                <w:p w14:paraId="3D8DAE9F">
                  <w:pPr>
                    <w:pStyle w:val="115"/>
                    <w:bidi w:val="0"/>
                    <w:rPr>
                      <w:rFonts w:hint="eastAsia"/>
                      <w:u w:val="single"/>
                      <w:lang w:val="en-US" w:eastAsia="zh-CN"/>
                    </w:rPr>
                  </w:pPr>
                  <w:r>
                    <w:rPr>
                      <w:rFonts w:hint="eastAsia"/>
                      <w:u w:val="single"/>
                      <w:lang w:val="en-US" w:eastAsia="zh-CN"/>
                    </w:rPr>
                    <w:t>收集、运输单位应记录收集和运输量、运输车辆、接收单位；</w:t>
                  </w:r>
                </w:p>
                <w:p w14:paraId="1CCAD0F2">
                  <w:pPr>
                    <w:pStyle w:val="115"/>
                    <w:bidi w:val="0"/>
                    <w:rPr>
                      <w:rFonts w:hint="eastAsia"/>
                      <w:u w:val="single"/>
                      <w:lang w:val="en-US" w:eastAsia="zh-CN"/>
                    </w:rPr>
                  </w:pPr>
                  <w:r>
                    <w:rPr>
                      <w:u w:val="single"/>
                    </w:rPr>
                    <w:t>c）贮存、利用、处置单位应记录接收量、类别、去向</w:t>
                  </w:r>
                </w:p>
              </w:tc>
              <w:tc>
                <w:tcPr>
                  <w:tcW w:w="3055" w:type="dxa"/>
                  <w:noWrap w:val="0"/>
                  <w:vAlign w:val="center"/>
                </w:tcPr>
                <w:p w14:paraId="69AD29AE">
                  <w:pPr>
                    <w:pStyle w:val="115"/>
                    <w:bidi w:val="0"/>
                    <w:rPr>
                      <w:rFonts w:hint="eastAsia"/>
                      <w:u w:val="single"/>
                      <w:lang w:val="en-US" w:eastAsia="zh-CN"/>
                    </w:rPr>
                  </w:pPr>
                  <w:r>
                    <w:rPr>
                      <w:rFonts w:hint="eastAsia"/>
                      <w:u w:val="single"/>
                      <w:lang w:val="en-US" w:eastAsia="zh-CN"/>
                    </w:rPr>
                    <w:t>运营单位运营期将建立台账并至少记录以下内容：</w:t>
                  </w:r>
                </w:p>
                <w:p w14:paraId="6642B58A">
                  <w:pPr>
                    <w:pStyle w:val="115"/>
                    <w:bidi w:val="0"/>
                    <w:rPr>
                      <w:rFonts w:hint="eastAsia"/>
                      <w:u w:val="single"/>
                      <w:lang w:val="en-US" w:eastAsia="zh-CN"/>
                    </w:rPr>
                  </w:pPr>
                  <w:r>
                    <w:rPr>
                      <w:rFonts w:hint="eastAsia"/>
                      <w:u w:val="single"/>
                      <w:lang w:val="en-US" w:eastAsia="zh-CN"/>
                    </w:rPr>
                    <w:t>产生过程应明确建筑垃圾责任单位，责任单位应记录建筑垃圾类别、产生量、接收单位；</w:t>
                  </w:r>
                </w:p>
                <w:p w14:paraId="60D9BE7F">
                  <w:pPr>
                    <w:pStyle w:val="115"/>
                    <w:bidi w:val="0"/>
                    <w:rPr>
                      <w:rFonts w:hint="eastAsia"/>
                      <w:u w:val="single"/>
                      <w:lang w:val="en-US" w:eastAsia="zh-CN"/>
                    </w:rPr>
                  </w:pPr>
                  <w:r>
                    <w:rPr>
                      <w:rFonts w:hint="eastAsia"/>
                      <w:u w:val="single"/>
                      <w:lang w:val="en-US" w:eastAsia="zh-CN"/>
                    </w:rPr>
                    <w:t>收集、运输单位应记录收集和运输量、运输车辆、接收单位；</w:t>
                  </w:r>
                </w:p>
                <w:p w14:paraId="6DA7D6DF">
                  <w:pPr>
                    <w:pStyle w:val="115"/>
                    <w:bidi w:val="0"/>
                    <w:rPr>
                      <w:rFonts w:hint="eastAsia" w:eastAsia="宋体"/>
                      <w:u w:val="single"/>
                      <w:lang w:val="en-US" w:eastAsia="zh-CN"/>
                    </w:rPr>
                  </w:pPr>
                  <w:r>
                    <w:rPr>
                      <w:u w:val="single"/>
                    </w:rPr>
                    <w:t>c）贮存、利用、处置单位应记录接收量、类别、去向</w:t>
                  </w:r>
                  <w:r>
                    <w:rPr>
                      <w:rFonts w:hint="eastAsia"/>
                      <w:u w:val="single"/>
                      <w:lang w:eastAsia="zh-CN"/>
                    </w:rPr>
                    <w:t>。</w:t>
                  </w:r>
                </w:p>
              </w:tc>
              <w:tc>
                <w:tcPr>
                  <w:tcW w:w="704" w:type="dxa"/>
                  <w:noWrap w:val="0"/>
                  <w:vAlign w:val="center"/>
                </w:tcPr>
                <w:p w14:paraId="6977D39B">
                  <w:pPr>
                    <w:pStyle w:val="115"/>
                    <w:bidi w:val="0"/>
                    <w:rPr>
                      <w:rFonts w:hint="eastAsia"/>
                      <w:u w:val="single"/>
                      <w:lang w:val="en-US" w:eastAsia="zh-CN"/>
                    </w:rPr>
                  </w:pPr>
                  <w:r>
                    <w:rPr>
                      <w:rFonts w:hint="eastAsia"/>
                      <w:u w:val="single"/>
                      <w:lang w:val="en-US" w:eastAsia="zh-CN"/>
                    </w:rPr>
                    <w:t>是</w:t>
                  </w:r>
                </w:p>
              </w:tc>
            </w:tr>
            <w:tr w14:paraId="0076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72" w:type="dxa"/>
                  <w:vMerge w:val="continue"/>
                  <w:noWrap w:val="0"/>
                  <w:vAlign w:val="center"/>
                </w:tcPr>
                <w:p w14:paraId="21A4733F">
                  <w:pPr>
                    <w:pStyle w:val="115"/>
                    <w:bidi w:val="0"/>
                    <w:rPr>
                      <w:rFonts w:hint="eastAsia"/>
                      <w:u w:val="single"/>
                      <w:lang w:val="en-US" w:eastAsia="zh-CN"/>
                    </w:rPr>
                  </w:pPr>
                </w:p>
              </w:tc>
              <w:tc>
                <w:tcPr>
                  <w:tcW w:w="3519" w:type="dxa"/>
                  <w:noWrap w:val="0"/>
                  <w:vAlign w:val="center"/>
                </w:tcPr>
                <w:p w14:paraId="04F8045F">
                  <w:pPr>
                    <w:pStyle w:val="115"/>
                    <w:bidi w:val="0"/>
                    <w:rPr>
                      <w:rFonts w:hint="eastAsia"/>
                      <w:u w:val="single"/>
                      <w:lang w:val="en-US" w:eastAsia="zh-CN"/>
                    </w:rPr>
                  </w:pPr>
                  <w:r>
                    <w:rPr>
                      <w:rFonts w:hint="eastAsia"/>
                      <w:u w:val="single"/>
                      <w:lang w:val="en-US" w:eastAsia="zh-CN"/>
                    </w:rPr>
                    <w:t>台账保存时间不少于5年</w:t>
                  </w:r>
                </w:p>
              </w:tc>
              <w:tc>
                <w:tcPr>
                  <w:tcW w:w="3055" w:type="dxa"/>
                  <w:noWrap w:val="0"/>
                  <w:vAlign w:val="center"/>
                </w:tcPr>
                <w:p w14:paraId="698043D4">
                  <w:pPr>
                    <w:pStyle w:val="115"/>
                    <w:bidi w:val="0"/>
                    <w:rPr>
                      <w:rFonts w:hint="eastAsia"/>
                      <w:u w:val="single"/>
                      <w:lang w:val="en-US" w:eastAsia="zh-CN"/>
                    </w:rPr>
                  </w:pPr>
                  <w:r>
                    <w:rPr>
                      <w:rFonts w:hint="eastAsia"/>
                      <w:u w:val="single"/>
                      <w:lang w:val="en-US" w:eastAsia="zh-CN"/>
                    </w:rPr>
                    <w:t>台账保存时间不少于5年</w:t>
                  </w:r>
                </w:p>
              </w:tc>
              <w:tc>
                <w:tcPr>
                  <w:tcW w:w="704" w:type="dxa"/>
                  <w:noWrap w:val="0"/>
                  <w:vAlign w:val="center"/>
                </w:tcPr>
                <w:p w14:paraId="030349A2">
                  <w:pPr>
                    <w:pStyle w:val="115"/>
                    <w:bidi w:val="0"/>
                    <w:rPr>
                      <w:rFonts w:hint="eastAsia"/>
                      <w:u w:val="single"/>
                      <w:lang w:val="en-US" w:eastAsia="zh-CN"/>
                    </w:rPr>
                  </w:pPr>
                  <w:r>
                    <w:rPr>
                      <w:rFonts w:hint="eastAsia"/>
                      <w:u w:val="single"/>
                      <w:lang w:val="en-US" w:eastAsia="zh-CN"/>
                    </w:rPr>
                    <w:t>是</w:t>
                  </w:r>
                </w:p>
              </w:tc>
            </w:tr>
          </w:tbl>
          <w:p w14:paraId="77C2F05E">
            <w:pPr>
              <w:rPr>
                <w:rFonts w:hint="eastAsia"/>
                <w:color w:val="auto"/>
                <w:u w:val="single"/>
                <w:lang w:val="en-US" w:eastAsia="zh-CN"/>
              </w:rPr>
            </w:pPr>
            <w:r>
              <w:rPr>
                <w:rFonts w:hint="eastAsia"/>
                <w:color w:val="auto"/>
                <w:u w:val="single"/>
                <w:lang w:val="en-US" w:eastAsia="zh-CN"/>
              </w:rPr>
              <w:t>本项目建设内容符合</w:t>
            </w:r>
            <w:r>
              <w:rPr>
                <w:rFonts w:hint="eastAsia"/>
                <w:u w:val="single"/>
                <w:lang w:val="en-US" w:eastAsia="zh-CN"/>
              </w:rPr>
              <w:t>《建筑垃圾污染控制技术规范》（HJ1462-2026）</w:t>
            </w:r>
            <w:r>
              <w:rPr>
                <w:rFonts w:hint="eastAsia"/>
                <w:color w:val="auto"/>
                <w:u w:val="single"/>
                <w:lang w:val="en-US" w:eastAsia="zh-CN"/>
              </w:rPr>
              <w:t>相关规范要求。</w:t>
            </w:r>
          </w:p>
          <w:p w14:paraId="360ADF06">
            <w:pPr>
              <w:pStyle w:val="5"/>
              <w:spacing w:before="0" w:beforeLines="0" w:after="0" w:afterLines="0" w:line="360" w:lineRule="auto"/>
              <w:rPr>
                <w:rFonts w:hint="default"/>
                <w:color w:val="auto"/>
                <w:u w:val="none"/>
                <w:lang w:val="en-US" w:eastAsia="zh-CN"/>
              </w:rPr>
            </w:pPr>
            <w:r>
              <w:rPr>
                <w:rFonts w:hint="eastAsia"/>
                <w:color w:val="auto"/>
                <w:u w:val="none"/>
                <w:lang w:val="en-US" w:eastAsia="zh-CN"/>
              </w:rPr>
              <w:t>1.6.4</w:t>
            </w:r>
            <w:r>
              <w:rPr>
                <w:rFonts w:hint="eastAsia"/>
                <w:lang w:val="en-US" w:eastAsia="zh-CN"/>
              </w:rPr>
              <w:t>与《国务院办公厅转发住房和城乡建设部〈关于进一步加强城市建筑垃圾治理的意见〉的通知》（国办函〔2025〕57号）的符合性分析</w:t>
            </w:r>
          </w:p>
          <w:p w14:paraId="0A8A5937">
            <w:pPr>
              <w:pStyle w:val="44"/>
              <w:bidi w:val="0"/>
              <w:rPr>
                <w:rFonts w:hint="default"/>
              </w:rPr>
            </w:pPr>
            <w:r>
              <w:rPr>
                <w:rFonts w:hint="default"/>
              </w:rPr>
              <w:t>表</w:t>
            </w:r>
            <w:r>
              <w:rPr>
                <w:rFonts w:hint="eastAsia"/>
                <w:lang w:val="en-US" w:eastAsia="zh-CN"/>
              </w:rPr>
              <w:t>1.6-4</w:t>
            </w:r>
            <w:r>
              <w:rPr>
                <w:rFonts w:hint="eastAsia"/>
                <w:lang w:eastAsia="zh-CN"/>
              </w:rPr>
              <w:t>：</w:t>
            </w:r>
            <w:r>
              <w:rPr>
                <w:rFonts w:hint="default"/>
              </w:rPr>
              <w:t>与</w:t>
            </w:r>
            <w:r>
              <w:rPr>
                <w:rFonts w:hint="eastAsia"/>
                <w:lang w:val="en-US" w:eastAsia="zh-CN"/>
              </w:rPr>
              <w:t>国办函〔2025〕57号</w:t>
            </w:r>
            <w:r>
              <w:rPr>
                <w:rFonts w:hint="default"/>
              </w:rPr>
              <w:t>相符性分析</w:t>
            </w:r>
          </w:p>
          <w:tbl>
            <w:tblPr>
              <w:tblStyle w:val="39"/>
              <w:tblW w:w="48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3028"/>
              <w:gridCol w:w="3295"/>
              <w:gridCol w:w="884"/>
            </w:tblGrid>
            <w:tr w14:paraId="301E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noWrap w:val="0"/>
                  <w:vAlign w:val="center"/>
                </w:tcPr>
                <w:p w14:paraId="0E25C1C2">
                  <w:pPr>
                    <w:pStyle w:val="115"/>
                    <w:bidi w:val="0"/>
                    <w:rPr>
                      <w:rFonts w:hint="default"/>
                      <w:b/>
                      <w:bCs/>
                    </w:rPr>
                  </w:pPr>
                  <w:r>
                    <w:rPr>
                      <w:rFonts w:hint="default"/>
                      <w:b/>
                      <w:bCs/>
                    </w:rPr>
                    <w:t>序号</w:t>
                  </w:r>
                </w:p>
              </w:tc>
              <w:tc>
                <w:tcPr>
                  <w:tcW w:w="1922" w:type="pct"/>
                  <w:noWrap w:val="0"/>
                  <w:vAlign w:val="center"/>
                </w:tcPr>
                <w:p w14:paraId="3D720102">
                  <w:pPr>
                    <w:pStyle w:val="115"/>
                    <w:bidi w:val="0"/>
                    <w:rPr>
                      <w:rFonts w:hint="default"/>
                      <w:b/>
                      <w:bCs/>
                    </w:rPr>
                  </w:pPr>
                  <w:r>
                    <w:rPr>
                      <w:rFonts w:hint="default"/>
                      <w:b/>
                      <w:bCs/>
                    </w:rPr>
                    <w:t>文件要求</w:t>
                  </w:r>
                </w:p>
              </w:tc>
              <w:tc>
                <w:tcPr>
                  <w:tcW w:w="2091" w:type="pct"/>
                  <w:noWrap w:val="0"/>
                  <w:vAlign w:val="center"/>
                </w:tcPr>
                <w:p w14:paraId="77DA0659">
                  <w:pPr>
                    <w:pStyle w:val="115"/>
                    <w:bidi w:val="0"/>
                    <w:rPr>
                      <w:rFonts w:hint="default"/>
                      <w:b/>
                      <w:bCs/>
                    </w:rPr>
                  </w:pPr>
                  <w:r>
                    <w:rPr>
                      <w:rFonts w:hint="default"/>
                      <w:b/>
                      <w:bCs/>
                    </w:rPr>
                    <w:t>项目情况</w:t>
                  </w:r>
                </w:p>
              </w:tc>
              <w:tc>
                <w:tcPr>
                  <w:tcW w:w="561" w:type="pct"/>
                  <w:noWrap w:val="0"/>
                  <w:vAlign w:val="center"/>
                </w:tcPr>
                <w:p w14:paraId="25ED5BAE">
                  <w:pPr>
                    <w:pStyle w:val="115"/>
                    <w:bidi w:val="0"/>
                    <w:rPr>
                      <w:rFonts w:hint="default"/>
                      <w:b/>
                      <w:bCs/>
                    </w:rPr>
                  </w:pPr>
                  <w:r>
                    <w:rPr>
                      <w:rFonts w:hint="default"/>
                      <w:b/>
                      <w:bCs/>
                    </w:rPr>
                    <w:t>相符性</w:t>
                  </w:r>
                </w:p>
              </w:tc>
            </w:tr>
            <w:tr w14:paraId="3B54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3" w:hRule="atLeast"/>
                <w:jc w:val="center"/>
              </w:trPr>
              <w:tc>
                <w:tcPr>
                  <w:tcW w:w="424" w:type="pct"/>
                  <w:noWrap w:val="0"/>
                  <w:vAlign w:val="center"/>
                </w:tcPr>
                <w:p w14:paraId="11C31CEA">
                  <w:pPr>
                    <w:pStyle w:val="115"/>
                    <w:bidi w:val="0"/>
                    <w:rPr>
                      <w:rFonts w:hint="default"/>
                      <w:lang w:val="en-US" w:eastAsia="zh-CN"/>
                    </w:rPr>
                  </w:pPr>
                  <w:r>
                    <w:rPr>
                      <w:rFonts w:hint="eastAsia"/>
                      <w:lang w:val="en-US" w:eastAsia="zh-CN"/>
                    </w:rPr>
                    <w:t>加强建筑垃圾源头管理</w:t>
                  </w:r>
                </w:p>
              </w:tc>
              <w:tc>
                <w:tcPr>
                  <w:tcW w:w="1922" w:type="pct"/>
                  <w:noWrap w:val="0"/>
                  <w:vAlign w:val="center"/>
                </w:tcPr>
                <w:p w14:paraId="40DD16F3">
                  <w:pPr>
                    <w:pStyle w:val="115"/>
                    <w:bidi w:val="0"/>
                    <w:rPr>
                      <w:rFonts w:hint="default"/>
                      <w:lang w:val="en-US" w:eastAsia="zh-CN"/>
                    </w:rPr>
                  </w:pPr>
                  <w:r>
                    <w:t>实行分类处理</w:t>
                  </w:r>
                  <w:r>
                    <w:rPr>
                      <w:rFonts w:hint="default"/>
                    </w:rPr>
                    <w:t>：将建筑垃圾分为工程渣土、工程泥浆、工程垃圾、拆除垃圾、装修垃圾五类，分类明确处理方式</w:t>
                  </w:r>
                  <w:r>
                    <w:rPr>
                      <w:rFonts w:hint="eastAsia"/>
                      <w:lang w:eastAsia="zh-CN"/>
                    </w:rPr>
                    <w:t>；</w:t>
                  </w:r>
                  <w:r>
                    <w:rPr>
                      <w:rFonts w:hint="default"/>
                    </w:rPr>
                    <w:t>工程垃圾、拆除垃圾、装修垃圾应优先用于生产再生骨料、再生建材等</w:t>
                  </w:r>
                  <w:r>
                    <w:rPr>
                      <w:rFonts w:hint="eastAsia"/>
                      <w:lang w:eastAsia="zh-CN"/>
                    </w:rPr>
                    <w:t>；</w:t>
                  </w:r>
                  <w:r>
                    <w:rPr>
                      <w:rFonts w:hint="default"/>
                    </w:rPr>
                    <w:t>无法利用的建筑垃圾应进行无害化处置，保障处置安全</w:t>
                  </w:r>
                  <w:r>
                    <w:rPr>
                      <w:rFonts w:hint="eastAsia"/>
                      <w:lang w:val="en-US" w:eastAsia="zh-CN"/>
                    </w:rPr>
                    <w:t>防止污染环境</w:t>
                  </w:r>
                </w:p>
              </w:tc>
              <w:tc>
                <w:tcPr>
                  <w:tcW w:w="2091" w:type="pct"/>
                  <w:noWrap w:val="0"/>
                  <w:vAlign w:val="center"/>
                </w:tcPr>
                <w:p w14:paraId="7A00D34F">
                  <w:pPr>
                    <w:pStyle w:val="115"/>
                    <w:bidi w:val="0"/>
                    <w:rPr>
                      <w:rFonts w:hint="eastAsia" w:eastAsia="宋体"/>
                      <w:lang w:eastAsia="zh-CN"/>
                    </w:rPr>
                  </w:pPr>
                  <w:r>
                    <w:rPr>
                      <w:rFonts w:hint="eastAsia"/>
                    </w:rPr>
                    <w:t>本项目对洪江市内建筑垃圾实施集中收集与处置，根据处置方案，建筑垃圾入场后进行人工分拣，具备堆填条件的物料直接入场堆填，分拣出的废金属、</w:t>
                  </w:r>
                  <w:r>
                    <w:rPr>
                      <w:rFonts w:hint="eastAsia"/>
                      <w:lang w:eastAsia="zh-CN"/>
                    </w:rPr>
                    <w:t>废塑料、废木块</w:t>
                  </w:r>
                  <w:r>
                    <w:rPr>
                      <w:rFonts w:hint="eastAsia"/>
                    </w:rPr>
                    <w:t>在一般固废暂存间暂存后外售回收处置；分拣出的危险废物在危废暂存间暂存后交有资质单位处置，严禁混入</w:t>
                  </w:r>
                  <w:r>
                    <w:rPr>
                      <w:rFonts w:hint="eastAsia"/>
                      <w:lang w:val="en-US" w:eastAsia="zh-CN"/>
                    </w:rPr>
                    <w:t>堆填场</w:t>
                  </w:r>
                  <w:r>
                    <w:rPr>
                      <w:rFonts w:hint="eastAsia"/>
                    </w:rPr>
                    <w:t>处置</w:t>
                  </w:r>
                  <w:r>
                    <w:rPr>
                      <w:rFonts w:hint="eastAsia"/>
                      <w:lang w:eastAsia="zh-CN"/>
                    </w:rPr>
                    <w:t>。</w:t>
                  </w:r>
                </w:p>
              </w:tc>
              <w:tc>
                <w:tcPr>
                  <w:tcW w:w="561" w:type="pct"/>
                  <w:noWrap w:val="0"/>
                  <w:vAlign w:val="center"/>
                </w:tcPr>
                <w:p w14:paraId="5A4B76B7">
                  <w:pPr>
                    <w:pStyle w:val="115"/>
                    <w:bidi w:val="0"/>
                    <w:rPr>
                      <w:rFonts w:hint="eastAsia"/>
                      <w:lang w:eastAsia="zh-CN"/>
                    </w:rPr>
                  </w:pPr>
                  <w:r>
                    <w:rPr>
                      <w:rFonts w:hint="eastAsia"/>
                      <w:lang w:eastAsia="zh-CN"/>
                    </w:rPr>
                    <w:t>符合</w:t>
                  </w:r>
                </w:p>
              </w:tc>
            </w:tr>
            <w:tr w14:paraId="23FE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restart"/>
                  <w:noWrap w:val="0"/>
                  <w:vAlign w:val="center"/>
                </w:tcPr>
                <w:p w14:paraId="5939FF34">
                  <w:pPr>
                    <w:pStyle w:val="115"/>
                    <w:bidi w:val="0"/>
                    <w:rPr>
                      <w:rFonts w:hint="eastAsia"/>
                      <w:lang w:eastAsia="zh-CN"/>
                    </w:rPr>
                  </w:pPr>
                  <w:r>
                    <w:rPr>
                      <w:rFonts w:hint="eastAsia"/>
                      <w:lang w:eastAsia="zh-CN"/>
                    </w:rPr>
                    <w:t>强化建筑垃圾运输监管</w:t>
                  </w:r>
                </w:p>
              </w:tc>
              <w:tc>
                <w:tcPr>
                  <w:tcW w:w="1922" w:type="pct"/>
                  <w:noWrap w:val="0"/>
                  <w:vAlign w:val="center"/>
                </w:tcPr>
                <w:p w14:paraId="3AB900AD">
                  <w:pPr>
                    <w:pStyle w:val="115"/>
                    <w:bidi w:val="0"/>
                    <w:rPr>
                      <w:rFonts w:hint="default"/>
                    </w:rPr>
                  </w:pPr>
                  <w:r>
                    <w:rPr>
                      <w:rFonts w:hint="default"/>
                    </w:rPr>
                    <w:t>明确技术要求：鼓励使用新能源车辆运输建筑垃圾</w:t>
                  </w:r>
                </w:p>
              </w:tc>
              <w:tc>
                <w:tcPr>
                  <w:tcW w:w="2091" w:type="pct"/>
                  <w:noWrap w:val="0"/>
                  <w:vAlign w:val="center"/>
                </w:tcPr>
                <w:p w14:paraId="0987A9B6">
                  <w:pPr>
                    <w:pStyle w:val="115"/>
                    <w:bidi w:val="0"/>
                    <w:rPr>
                      <w:rFonts w:hint="default"/>
                      <w:lang w:val="en-US" w:eastAsia="zh-CN"/>
                    </w:rPr>
                  </w:pPr>
                  <w:r>
                    <w:rPr>
                      <w:rFonts w:hint="eastAsia"/>
                      <w:lang w:val="en-US" w:eastAsia="zh-CN"/>
                    </w:rPr>
                    <w:t>本项目使用新能源车辆运输建筑垃圾，均不涉及淘汰类设备。</w:t>
                  </w:r>
                </w:p>
              </w:tc>
              <w:tc>
                <w:tcPr>
                  <w:tcW w:w="561" w:type="pct"/>
                  <w:noWrap w:val="0"/>
                  <w:vAlign w:val="center"/>
                </w:tcPr>
                <w:p w14:paraId="38A89CA7">
                  <w:pPr>
                    <w:pStyle w:val="115"/>
                    <w:bidi w:val="0"/>
                    <w:rPr>
                      <w:rFonts w:hint="default"/>
                    </w:rPr>
                  </w:pPr>
                  <w:r>
                    <w:rPr>
                      <w:rFonts w:hint="default"/>
                    </w:rPr>
                    <w:t>符合</w:t>
                  </w:r>
                </w:p>
              </w:tc>
            </w:tr>
            <w:tr w14:paraId="12C3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noWrap w:val="0"/>
                  <w:vAlign w:val="center"/>
                </w:tcPr>
                <w:p w14:paraId="547BA9A1">
                  <w:pPr>
                    <w:pStyle w:val="115"/>
                    <w:bidi w:val="0"/>
                    <w:rPr>
                      <w:rFonts w:hint="default"/>
                      <w:lang w:val="en-US" w:eastAsia="zh-CN"/>
                    </w:rPr>
                  </w:pPr>
                </w:p>
              </w:tc>
              <w:tc>
                <w:tcPr>
                  <w:tcW w:w="1922" w:type="pct"/>
                  <w:noWrap w:val="0"/>
                  <w:vAlign w:val="center"/>
                </w:tcPr>
                <w:p w14:paraId="38BCEE87">
                  <w:pPr>
                    <w:pStyle w:val="115"/>
                    <w:bidi w:val="0"/>
                    <w:rPr>
                      <w:rFonts w:hint="default"/>
                    </w:rPr>
                  </w:pPr>
                  <w:r>
                    <w:rPr>
                      <w:rFonts w:hint="default"/>
                    </w:rPr>
                    <w:t>规范运输管理：强化运输行为监管，督促运输单位加强驾驶员安全教育和车辆运行状况检查，按照规定时间、路线将建筑垃圾运送至指定地点，严防沿途遗撒、乱倒乱卸、交通违法等行为发生</w:t>
                  </w:r>
                </w:p>
              </w:tc>
              <w:tc>
                <w:tcPr>
                  <w:tcW w:w="2091" w:type="pct"/>
                  <w:noWrap w:val="0"/>
                  <w:vAlign w:val="center"/>
                </w:tcPr>
                <w:p w14:paraId="4BDC9E97">
                  <w:pPr>
                    <w:pStyle w:val="115"/>
                    <w:bidi w:val="0"/>
                    <w:rPr>
                      <w:rFonts w:hint="eastAsia" w:eastAsia="宋体"/>
                      <w:lang w:eastAsia="zh-CN"/>
                    </w:rPr>
                  </w:pPr>
                  <w:r>
                    <w:rPr>
                      <w:rFonts w:hint="eastAsia"/>
                      <w:lang w:val="en-US" w:eastAsia="zh-CN"/>
                    </w:rPr>
                    <w:t>运营期项目</w:t>
                  </w:r>
                  <w:r>
                    <w:rPr>
                      <w:rFonts w:hint="default"/>
                    </w:rPr>
                    <w:t>加强驾驶员安全教育和车辆运行状况检查，按照规定时间、路线将建筑垃圾运送至指定地点，严防沿途遗撒、乱倒乱卸、交通违法等行为发生</w:t>
                  </w:r>
                  <w:r>
                    <w:rPr>
                      <w:rFonts w:hint="eastAsia"/>
                      <w:lang w:eastAsia="zh-CN"/>
                    </w:rPr>
                    <w:t>。</w:t>
                  </w:r>
                </w:p>
              </w:tc>
              <w:tc>
                <w:tcPr>
                  <w:tcW w:w="561" w:type="pct"/>
                  <w:noWrap w:val="0"/>
                  <w:vAlign w:val="center"/>
                </w:tcPr>
                <w:p w14:paraId="58DA89A7">
                  <w:pPr>
                    <w:pStyle w:val="115"/>
                    <w:bidi w:val="0"/>
                    <w:rPr>
                      <w:rFonts w:hint="eastAsia"/>
                      <w:lang w:eastAsia="zh-CN"/>
                    </w:rPr>
                  </w:pPr>
                  <w:r>
                    <w:rPr>
                      <w:rFonts w:hint="eastAsia"/>
                      <w:lang w:eastAsia="zh-CN"/>
                    </w:rPr>
                    <w:t>符合</w:t>
                  </w:r>
                </w:p>
              </w:tc>
            </w:tr>
            <w:tr w14:paraId="4CF3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restart"/>
                  <w:noWrap w:val="0"/>
                  <w:vAlign w:val="center"/>
                </w:tcPr>
                <w:p w14:paraId="48E249DD">
                  <w:pPr>
                    <w:pStyle w:val="115"/>
                    <w:bidi w:val="0"/>
                    <w:rPr>
                      <w:rFonts w:hint="default"/>
                      <w:lang w:val="en-US" w:eastAsia="zh-CN"/>
                    </w:rPr>
                  </w:pPr>
                  <w:r>
                    <w:rPr>
                      <w:rFonts w:hint="default"/>
                      <w:lang w:val="en-US" w:eastAsia="zh-CN"/>
                    </w:rPr>
                    <w:t>规范建筑垃圾处置</w:t>
                  </w:r>
                </w:p>
              </w:tc>
              <w:tc>
                <w:tcPr>
                  <w:tcW w:w="1922" w:type="pct"/>
                  <w:noWrap w:val="0"/>
                  <w:vAlign w:val="center"/>
                </w:tcPr>
                <w:p w14:paraId="6B48746E">
                  <w:pPr>
                    <w:pStyle w:val="115"/>
                    <w:bidi w:val="0"/>
                    <w:rPr>
                      <w:rFonts w:hint="default"/>
                    </w:rPr>
                  </w:pPr>
                  <w:r>
                    <w:rPr>
                      <w:rFonts w:hint="default"/>
                    </w:rPr>
                    <w:t>加强规划选址：要充分考虑运输成本、经济效益和生态效益，在严守耕地和永久基本农田保护红线等三条控制线基础上，合理规划建设长期的建筑垃圾填埋场，并研究就近配套建设资源化利用设施，及时处理建筑垃圾</w:t>
                  </w:r>
                </w:p>
              </w:tc>
              <w:tc>
                <w:tcPr>
                  <w:tcW w:w="2091" w:type="pct"/>
                  <w:noWrap w:val="0"/>
                  <w:vAlign w:val="center"/>
                </w:tcPr>
                <w:p w14:paraId="6D66B25E">
                  <w:pPr>
                    <w:pStyle w:val="115"/>
                    <w:bidi w:val="0"/>
                    <w:rPr>
                      <w:rFonts w:hint="eastAsia"/>
                      <w:lang w:eastAsia="zh-CN"/>
                    </w:rPr>
                  </w:pPr>
                  <w:r>
                    <w:rPr>
                      <w:rFonts w:hint="eastAsia"/>
                      <w:lang w:eastAsia="zh-CN"/>
                    </w:rPr>
                    <w:t>项目</w:t>
                  </w:r>
                  <w:r>
                    <w:rPr>
                      <w:rFonts w:hint="eastAsia"/>
                      <w:lang w:val="en-US" w:eastAsia="zh-CN"/>
                    </w:rPr>
                    <w:t>建筑垃圾堆填场</w:t>
                  </w:r>
                  <w:r>
                    <w:rPr>
                      <w:rFonts w:hint="eastAsia"/>
                    </w:rPr>
                    <w:t>选址</w:t>
                  </w:r>
                  <w:r>
                    <w:rPr>
                      <w:rFonts w:hint="eastAsia"/>
                      <w:lang w:val="en-US" w:eastAsia="zh-CN"/>
                    </w:rPr>
                    <w:t>位于洪江市安江镇，项目用地不占用基本农田、生态保护红线，</w:t>
                  </w:r>
                  <w:r>
                    <w:rPr>
                      <w:rFonts w:hint="eastAsia"/>
                    </w:rPr>
                    <w:t>项目建设符合区域性环境保护规划和当地城乡总体规划要求</w:t>
                  </w:r>
                  <w:r>
                    <w:rPr>
                      <w:rFonts w:hint="eastAsia"/>
                      <w:lang w:eastAsia="zh-CN"/>
                    </w:rPr>
                    <w:t>。</w:t>
                  </w:r>
                </w:p>
              </w:tc>
              <w:tc>
                <w:tcPr>
                  <w:tcW w:w="561" w:type="pct"/>
                  <w:noWrap w:val="0"/>
                  <w:vAlign w:val="center"/>
                </w:tcPr>
                <w:p w14:paraId="69CB9D49">
                  <w:pPr>
                    <w:pStyle w:val="115"/>
                    <w:bidi w:val="0"/>
                    <w:rPr>
                      <w:rFonts w:hint="eastAsia"/>
                      <w:lang w:eastAsia="zh-CN"/>
                    </w:rPr>
                  </w:pPr>
                  <w:r>
                    <w:rPr>
                      <w:rFonts w:hint="eastAsia"/>
                      <w:lang w:eastAsia="zh-CN"/>
                    </w:rPr>
                    <w:t>符合</w:t>
                  </w:r>
                </w:p>
              </w:tc>
            </w:tr>
            <w:tr w14:paraId="796F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noWrap w:val="0"/>
                  <w:vAlign w:val="center"/>
                </w:tcPr>
                <w:p w14:paraId="59262FBE">
                  <w:pPr>
                    <w:pStyle w:val="115"/>
                    <w:bidi w:val="0"/>
                    <w:rPr>
                      <w:rFonts w:hint="default"/>
                      <w:lang w:val="en-US" w:eastAsia="zh-CN"/>
                    </w:rPr>
                  </w:pPr>
                </w:p>
              </w:tc>
              <w:tc>
                <w:tcPr>
                  <w:tcW w:w="1922" w:type="pct"/>
                  <w:noWrap w:val="0"/>
                  <w:vAlign w:val="center"/>
                </w:tcPr>
                <w:p w14:paraId="54CC785D">
                  <w:pPr>
                    <w:pStyle w:val="115"/>
                    <w:bidi w:val="0"/>
                    <w:rPr>
                      <w:rFonts w:hint="default"/>
                    </w:rPr>
                  </w:pPr>
                  <w:r>
                    <w:rPr>
                      <w:rFonts w:hint="default"/>
                    </w:rPr>
                    <w:t>规范设施运行：建筑垃圾利用、处置单位要按照有关标准加强运行管理，做好场区污染防治工作，组织开展安全风险评估、隐患排查治理、安全教育培训、应急处置演练，提升安全风险防控和应急处置能力</w:t>
                  </w:r>
                </w:p>
              </w:tc>
              <w:tc>
                <w:tcPr>
                  <w:tcW w:w="2091" w:type="pct"/>
                  <w:noWrap w:val="0"/>
                  <w:vAlign w:val="center"/>
                </w:tcPr>
                <w:p w14:paraId="4EF2E64D">
                  <w:pPr>
                    <w:pStyle w:val="115"/>
                    <w:bidi w:val="0"/>
                    <w:rPr>
                      <w:rFonts w:hint="eastAsia"/>
                      <w:lang w:eastAsia="zh-CN"/>
                    </w:rPr>
                  </w:pPr>
                  <w:r>
                    <w:rPr>
                      <w:rFonts w:hint="default"/>
                      <w:lang w:val="en-US" w:eastAsia="zh-CN"/>
                    </w:rPr>
                    <w:t>项目建成后，将按要求编制突发环境事件应急预案并进行备案，落实各项风险防范措施</w:t>
                  </w:r>
                  <w:r>
                    <w:rPr>
                      <w:rFonts w:hint="eastAsia"/>
                      <w:lang w:val="en-US" w:eastAsia="zh-CN"/>
                    </w:rPr>
                    <w:t>。</w:t>
                  </w:r>
                </w:p>
              </w:tc>
              <w:tc>
                <w:tcPr>
                  <w:tcW w:w="561" w:type="pct"/>
                  <w:noWrap w:val="0"/>
                  <w:vAlign w:val="center"/>
                </w:tcPr>
                <w:p w14:paraId="4C661386">
                  <w:pPr>
                    <w:pStyle w:val="115"/>
                    <w:bidi w:val="0"/>
                    <w:rPr>
                      <w:rFonts w:hint="eastAsia"/>
                      <w:lang w:eastAsia="zh-CN"/>
                    </w:rPr>
                  </w:pPr>
                  <w:r>
                    <w:rPr>
                      <w:rFonts w:hint="eastAsia"/>
                      <w:lang w:eastAsia="zh-CN"/>
                    </w:rPr>
                    <w:t>符合</w:t>
                  </w:r>
                </w:p>
              </w:tc>
            </w:tr>
          </w:tbl>
          <w:p w14:paraId="0465FDDD">
            <w:pPr>
              <w:rPr>
                <w:rFonts w:hint="default" w:ascii="Times New Roman" w:hAnsi="Times New Roman" w:eastAsia="宋体" w:cs="Times New Roman"/>
                <w:lang w:val="en-US" w:eastAsia="zh-CN"/>
              </w:rPr>
            </w:pPr>
            <w:r>
              <w:rPr>
                <w:rFonts w:hint="default" w:ascii="Times New Roman" w:hAnsi="Times New Roman" w:eastAsia="宋体" w:cs="Times New Roman"/>
                <w:i w:val="0"/>
                <w:iCs w:val="0"/>
                <w:caps w:val="0"/>
                <w:color w:val="0F1115"/>
                <w:spacing w:val="0"/>
                <w:sz w:val="24"/>
                <w:szCs w:val="24"/>
                <w:shd w:val="clear" w:color="auto" w:fill="FFFFFF"/>
                <w:lang w:val="en-US" w:eastAsia="zh-CN"/>
              </w:rPr>
              <w:t>综上所述，</w:t>
            </w:r>
            <w:r>
              <w:rPr>
                <w:rFonts w:ascii="Times New Roman" w:hAnsi="Times New Roman" w:eastAsia="Segoe UI" w:cs="Times New Roman"/>
                <w:i w:val="0"/>
                <w:iCs w:val="0"/>
                <w:caps w:val="0"/>
                <w:color w:val="0F1115"/>
                <w:spacing w:val="0"/>
                <w:sz w:val="24"/>
                <w:szCs w:val="24"/>
                <w:shd w:val="clear" w:color="auto" w:fill="FFFFFF"/>
              </w:rPr>
              <w:t>本项目符合国办函〔2025〕57号文的总体要求</w:t>
            </w:r>
            <w:r>
              <w:rPr>
                <w:rFonts w:hint="default" w:ascii="Times New Roman" w:hAnsi="Times New Roman" w:eastAsia="宋体" w:cs="Times New Roman"/>
                <w:i w:val="0"/>
                <w:iCs w:val="0"/>
                <w:caps w:val="0"/>
                <w:color w:val="0F1115"/>
                <w:spacing w:val="0"/>
                <w:sz w:val="24"/>
                <w:szCs w:val="24"/>
                <w:shd w:val="clear" w:color="auto" w:fill="FFFFFF"/>
                <w:lang w:eastAsia="zh-CN"/>
              </w:rPr>
              <w:t>。</w:t>
            </w:r>
          </w:p>
          <w:p w14:paraId="2E9D92BA">
            <w:pPr>
              <w:pStyle w:val="5"/>
              <w:spacing w:before="0" w:beforeLines="0" w:after="0" w:afterLines="0" w:line="360" w:lineRule="auto"/>
              <w:rPr>
                <w:rFonts w:hint="default"/>
                <w:color w:val="auto"/>
                <w:u w:val="none"/>
                <w:lang w:val="en-US" w:eastAsia="zh-CN"/>
              </w:rPr>
            </w:pPr>
            <w:r>
              <w:rPr>
                <w:rFonts w:hint="eastAsia"/>
                <w:color w:val="auto"/>
                <w:u w:val="none"/>
                <w:lang w:val="en-US" w:eastAsia="zh-CN"/>
              </w:rPr>
              <w:t>1.6.5</w:t>
            </w:r>
            <w:r>
              <w:rPr>
                <w:rFonts w:hint="eastAsia"/>
                <w:lang w:val="en-US" w:eastAsia="zh-CN"/>
              </w:rPr>
              <w:t>与《关于印发〈湖南省城市建筑垃圾管理实施细则〉的通知》（湘建建〔2024〕9号）的符合性分析</w:t>
            </w:r>
          </w:p>
          <w:p w14:paraId="0660557E">
            <w:pPr>
              <w:pStyle w:val="44"/>
              <w:bidi w:val="0"/>
              <w:rPr>
                <w:rFonts w:hint="default"/>
              </w:rPr>
            </w:pPr>
            <w:r>
              <w:rPr>
                <w:rFonts w:hint="default"/>
              </w:rPr>
              <w:t>表</w:t>
            </w:r>
            <w:r>
              <w:rPr>
                <w:rFonts w:hint="eastAsia"/>
                <w:lang w:val="en-US" w:eastAsia="zh-CN"/>
              </w:rPr>
              <w:t>1.6-5：</w:t>
            </w:r>
            <w:r>
              <w:rPr>
                <w:rFonts w:hint="default"/>
              </w:rPr>
              <w:t>与</w:t>
            </w:r>
            <w:r>
              <w:rPr>
                <w:rFonts w:hint="default"/>
                <w:lang w:val="en-US" w:eastAsia="zh-CN"/>
              </w:rPr>
              <w:t>湘建建〔2024〕9号</w:t>
            </w:r>
            <w:r>
              <w:rPr>
                <w:rFonts w:hint="default"/>
              </w:rPr>
              <w:t>相符性分析</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3613"/>
              <w:gridCol w:w="2395"/>
              <w:gridCol w:w="1089"/>
            </w:tblGrid>
            <w:tr w14:paraId="2AEA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92" w:type="pct"/>
                  <w:shd w:val="clear" w:color="auto" w:fill="auto"/>
                  <w:noWrap w:val="0"/>
                  <w:vAlign w:val="center"/>
                </w:tcPr>
                <w:p w14:paraId="63004E4A">
                  <w:pPr>
                    <w:pStyle w:val="115"/>
                    <w:bidi w:val="0"/>
                    <w:rPr>
                      <w:rFonts w:hint="eastAsia"/>
                      <w:b/>
                      <w:bCs/>
                      <w:lang w:val="en-US" w:eastAsia="zh-CN"/>
                    </w:rPr>
                  </w:pPr>
                  <w:r>
                    <w:rPr>
                      <w:rFonts w:hint="eastAsia"/>
                      <w:b/>
                      <w:bCs/>
                      <w:lang w:val="en-US" w:eastAsia="zh-CN"/>
                    </w:rPr>
                    <w:t>序号</w:t>
                  </w:r>
                </w:p>
              </w:tc>
              <w:tc>
                <w:tcPr>
                  <w:tcW w:w="2243" w:type="pct"/>
                  <w:shd w:val="clear" w:color="auto" w:fill="auto"/>
                  <w:noWrap w:val="0"/>
                  <w:vAlign w:val="center"/>
                </w:tcPr>
                <w:p w14:paraId="37A4E0AE">
                  <w:pPr>
                    <w:pStyle w:val="115"/>
                    <w:bidi w:val="0"/>
                    <w:rPr>
                      <w:rFonts w:hint="eastAsia"/>
                      <w:b/>
                      <w:bCs/>
                      <w:lang w:val="en-US" w:eastAsia="zh-CN"/>
                    </w:rPr>
                  </w:pPr>
                  <w:r>
                    <w:rPr>
                      <w:rFonts w:hint="eastAsia"/>
                      <w:b/>
                      <w:bCs/>
                      <w:lang w:val="en-US" w:eastAsia="zh-CN"/>
                    </w:rPr>
                    <w:t>相关内容要求</w:t>
                  </w:r>
                </w:p>
              </w:tc>
              <w:tc>
                <w:tcPr>
                  <w:tcW w:w="1487" w:type="pct"/>
                  <w:shd w:val="clear" w:color="auto" w:fill="auto"/>
                  <w:noWrap w:val="0"/>
                  <w:vAlign w:val="center"/>
                </w:tcPr>
                <w:p w14:paraId="76D8597E">
                  <w:pPr>
                    <w:pStyle w:val="115"/>
                    <w:bidi w:val="0"/>
                    <w:rPr>
                      <w:rFonts w:hint="eastAsia"/>
                      <w:b/>
                      <w:bCs/>
                      <w:lang w:val="en-US" w:eastAsia="zh-CN"/>
                    </w:rPr>
                  </w:pPr>
                  <w:r>
                    <w:rPr>
                      <w:rFonts w:hint="eastAsia"/>
                      <w:b/>
                      <w:bCs/>
                      <w:lang w:val="en-US" w:eastAsia="zh-CN"/>
                    </w:rPr>
                    <w:t>本项目</w:t>
                  </w:r>
                </w:p>
              </w:tc>
              <w:tc>
                <w:tcPr>
                  <w:tcW w:w="676" w:type="pct"/>
                  <w:shd w:val="clear" w:color="auto" w:fill="auto"/>
                  <w:noWrap w:val="0"/>
                  <w:vAlign w:val="center"/>
                </w:tcPr>
                <w:p w14:paraId="30F99357">
                  <w:pPr>
                    <w:pStyle w:val="115"/>
                    <w:bidi w:val="0"/>
                    <w:rPr>
                      <w:rFonts w:hint="eastAsia"/>
                      <w:b/>
                      <w:bCs/>
                      <w:lang w:val="en-US" w:eastAsia="zh-CN"/>
                    </w:rPr>
                  </w:pPr>
                  <w:r>
                    <w:rPr>
                      <w:rFonts w:hint="eastAsia"/>
                      <w:b/>
                      <w:bCs/>
                      <w:lang w:val="en-US" w:eastAsia="zh-CN"/>
                    </w:rPr>
                    <w:t>相符性</w:t>
                  </w:r>
                </w:p>
              </w:tc>
            </w:tr>
            <w:tr w14:paraId="7588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2" w:type="pct"/>
                  <w:shd w:val="clear" w:color="auto" w:fill="auto"/>
                  <w:noWrap w:val="0"/>
                  <w:vAlign w:val="center"/>
                </w:tcPr>
                <w:p w14:paraId="5D575C0F">
                  <w:pPr>
                    <w:pStyle w:val="115"/>
                    <w:bidi w:val="0"/>
                    <w:rPr>
                      <w:rFonts w:hint="eastAsia"/>
                      <w:lang w:val="en-US" w:eastAsia="zh-CN"/>
                    </w:rPr>
                  </w:pPr>
                  <w:r>
                    <w:rPr>
                      <w:rFonts w:hint="eastAsia"/>
                      <w:lang w:val="en-US" w:eastAsia="zh-CN"/>
                    </w:rPr>
                    <w:t>1</w:t>
                  </w:r>
                </w:p>
              </w:tc>
              <w:tc>
                <w:tcPr>
                  <w:tcW w:w="2243" w:type="pct"/>
                  <w:shd w:val="clear" w:color="auto" w:fill="auto"/>
                  <w:noWrap w:val="0"/>
                  <w:vAlign w:val="center"/>
                </w:tcPr>
                <w:p w14:paraId="6D697FD0">
                  <w:pPr>
                    <w:pStyle w:val="115"/>
                    <w:bidi w:val="0"/>
                    <w:rPr>
                      <w:rFonts w:hint="eastAsia"/>
                      <w:lang w:val="en-US" w:eastAsia="zh-CN"/>
                    </w:rPr>
                  </w:pPr>
                  <w:r>
                    <w:rPr>
                      <w:rFonts w:hint="eastAsia"/>
                      <w:lang w:val="en-US" w:eastAsia="zh-CN"/>
                    </w:rPr>
                    <w:t>建筑垃圾管理和资源化利用工作牵头部门要会同相关部门，科学制定建筑垃圾管理和资源化利用专项规划，专项规划要涵盖建筑垃圾处置设施布局，与国土空间规划充分衔接，并纳入国土空间规划“一张图”管理。</w:t>
                  </w:r>
                </w:p>
              </w:tc>
              <w:tc>
                <w:tcPr>
                  <w:tcW w:w="1487" w:type="pct"/>
                  <w:shd w:val="clear" w:color="auto" w:fill="auto"/>
                  <w:noWrap w:val="0"/>
                  <w:vAlign w:val="center"/>
                </w:tcPr>
                <w:p w14:paraId="60CAD1C7">
                  <w:pPr>
                    <w:pStyle w:val="115"/>
                    <w:bidi w:val="0"/>
                    <w:rPr>
                      <w:rFonts w:hint="eastAsia"/>
                      <w:lang w:val="en-US" w:eastAsia="zh-CN"/>
                    </w:rPr>
                  </w:pPr>
                  <w:r>
                    <w:rPr>
                      <w:rFonts w:hint="eastAsia"/>
                      <w:lang w:val="en-US" w:eastAsia="zh-CN"/>
                    </w:rPr>
                    <w:t>本项目选址已获得建设用地预审与选址意见书、使用林地同意书，已在自然资源局查询三区三线（附件6），与国土空间规矩充分衔接。</w:t>
                  </w:r>
                </w:p>
              </w:tc>
              <w:tc>
                <w:tcPr>
                  <w:tcW w:w="676" w:type="pct"/>
                  <w:shd w:val="clear" w:color="auto" w:fill="auto"/>
                  <w:noWrap w:val="0"/>
                  <w:vAlign w:val="center"/>
                </w:tcPr>
                <w:p w14:paraId="0E1DB456">
                  <w:pPr>
                    <w:pStyle w:val="115"/>
                    <w:bidi w:val="0"/>
                    <w:rPr>
                      <w:rFonts w:hint="eastAsia"/>
                      <w:lang w:val="en-US" w:eastAsia="zh-CN"/>
                    </w:rPr>
                  </w:pPr>
                  <w:r>
                    <w:rPr>
                      <w:rFonts w:hint="eastAsia"/>
                      <w:lang w:val="en-US" w:eastAsia="zh-CN"/>
                    </w:rPr>
                    <w:t>符合</w:t>
                  </w:r>
                </w:p>
              </w:tc>
            </w:tr>
            <w:tr w14:paraId="02E0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2" w:type="pct"/>
                  <w:shd w:val="clear" w:color="auto" w:fill="auto"/>
                  <w:noWrap w:val="0"/>
                  <w:vAlign w:val="center"/>
                </w:tcPr>
                <w:p w14:paraId="01465CBA">
                  <w:pPr>
                    <w:pStyle w:val="115"/>
                    <w:bidi w:val="0"/>
                    <w:rPr>
                      <w:rFonts w:hint="eastAsia"/>
                      <w:lang w:val="en-US" w:eastAsia="zh-CN"/>
                    </w:rPr>
                  </w:pPr>
                  <w:r>
                    <w:rPr>
                      <w:rFonts w:hint="eastAsia"/>
                      <w:lang w:val="en-US" w:eastAsia="zh-CN"/>
                    </w:rPr>
                    <w:t>2</w:t>
                  </w:r>
                </w:p>
              </w:tc>
              <w:tc>
                <w:tcPr>
                  <w:tcW w:w="2243" w:type="pct"/>
                  <w:shd w:val="clear" w:color="auto" w:fill="auto"/>
                  <w:noWrap w:val="0"/>
                  <w:vAlign w:val="center"/>
                </w:tcPr>
                <w:p w14:paraId="080081C2">
                  <w:pPr>
                    <w:pStyle w:val="115"/>
                    <w:bidi w:val="0"/>
                    <w:rPr>
                      <w:rFonts w:hint="eastAsia"/>
                      <w:lang w:val="en-US" w:eastAsia="zh-CN"/>
                    </w:rPr>
                  </w:pPr>
                  <w:r>
                    <w:rPr>
                      <w:rFonts w:hint="eastAsia"/>
                      <w:lang w:val="en-US" w:eastAsia="zh-CN"/>
                    </w:rPr>
                    <w:t>从事建筑垃圾处置单位获得市容环境卫生主管部门核准后方可处置建筑垃圾。申请城市建筑垃圾处置核准（处置）应当具备以下条件：（一）取得土地使用证明；（二）具有建筑垃圾处置场地平面图、进场路线图等；（三）具有健全的环境卫生和安全管理制度并得到有效执行；（四）具有建筑垃圾分类处理的方案和对废混凝土、金属、木材等回收利用的方案；（五）具有与处置工艺相对应的摊铺、碾压、除尘、照明等机械和设备，以及排水、消防等配套设施。</w:t>
                  </w:r>
                </w:p>
              </w:tc>
              <w:tc>
                <w:tcPr>
                  <w:tcW w:w="1487" w:type="pct"/>
                  <w:shd w:val="clear" w:color="auto" w:fill="auto"/>
                  <w:noWrap w:val="0"/>
                  <w:vAlign w:val="center"/>
                </w:tcPr>
                <w:p w14:paraId="35E1376F">
                  <w:pPr>
                    <w:pStyle w:val="115"/>
                    <w:bidi w:val="0"/>
                    <w:rPr>
                      <w:rFonts w:hint="eastAsia"/>
                      <w:lang w:val="en-US" w:eastAsia="zh-CN"/>
                    </w:rPr>
                  </w:pPr>
                  <w:r>
                    <w:rPr>
                      <w:rFonts w:hint="eastAsia"/>
                      <w:lang w:val="en-US" w:eastAsia="zh-CN"/>
                    </w:rPr>
                    <w:t>本项目按照相关要求设置了场地进场道路、平面布置图；本项目对洪江市内建筑垃圾实施集中收集与处置，根据处置方案，建筑垃圾入场后进行人工分拣，具备堆填条件的物料直接入场堆填，分拣出的废金属、废塑料、废木块在一般固废暂存间暂存后外售回收处置；分拣出的危险废物在危废暂存间暂存后交有资质单位处置，严禁混入堆填场处置；项目配备堆填、除尘、照明等设备，并配套建设排水、消防等设施。</w:t>
                  </w:r>
                </w:p>
              </w:tc>
              <w:tc>
                <w:tcPr>
                  <w:tcW w:w="676" w:type="pct"/>
                  <w:shd w:val="clear" w:color="auto" w:fill="auto"/>
                  <w:noWrap w:val="0"/>
                  <w:vAlign w:val="center"/>
                </w:tcPr>
                <w:p w14:paraId="24BE5C6D">
                  <w:pPr>
                    <w:pStyle w:val="115"/>
                    <w:bidi w:val="0"/>
                    <w:rPr>
                      <w:rFonts w:hint="eastAsia"/>
                      <w:lang w:val="en-US" w:eastAsia="zh-CN"/>
                    </w:rPr>
                  </w:pPr>
                  <w:r>
                    <w:rPr>
                      <w:rFonts w:hint="eastAsia"/>
                      <w:lang w:val="en-US" w:eastAsia="zh-CN"/>
                    </w:rPr>
                    <w:t>符合</w:t>
                  </w:r>
                </w:p>
              </w:tc>
            </w:tr>
            <w:tr w14:paraId="3C05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2" w:type="pct"/>
                  <w:shd w:val="clear" w:color="auto" w:fill="auto"/>
                  <w:noWrap w:val="0"/>
                  <w:vAlign w:val="center"/>
                </w:tcPr>
                <w:p w14:paraId="19768A7F">
                  <w:pPr>
                    <w:pStyle w:val="115"/>
                    <w:bidi w:val="0"/>
                    <w:rPr>
                      <w:rFonts w:hint="eastAsia"/>
                      <w:lang w:val="en-US" w:eastAsia="zh-CN"/>
                    </w:rPr>
                  </w:pPr>
                  <w:r>
                    <w:rPr>
                      <w:rFonts w:hint="eastAsia"/>
                      <w:lang w:val="en-US" w:eastAsia="zh-CN"/>
                    </w:rPr>
                    <w:t>3</w:t>
                  </w:r>
                </w:p>
              </w:tc>
              <w:tc>
                <w:tcPr>
                  <w:tcW w:w="2243" w:type="pct"/>
                  <w:shd w:val="clear" w:color="auto" w:fill="auto"/>
                  <w:noWrap w:val="0"/>
                  <w:vAlign w:val="center"/>
                </w:tcPr>
                <w:p w14:paraId="633F976A">
                  <w:pPr>
                    <w:pStyle w:val="115"/>
                    <w:bidi w:val="0"/>
                    <w:rPr>
                      <w:rFonts w:hint="eastAsia"/>
                      <w:lang w:val="en-US" w:eastAsia="zh-CN"/>
                    </w:rPr>
                  </w:pPr>
                  <w:r>
                    <w:rPr>
                      <w:rFonts w:hint="eastAsia"/>
                      <w:lang w:val="en-US" w:eastAsia="zh-CN"/>
                    </w:rPr>
                    <w:t>建筑垃圾处置场所的生产活动，应符合下列要求：（一）按规定分类受纳、堆放、处置建筑垃圾，核对确认进入场所的运输车辆，以及建筑垃圾的来源、种类、数量等情况，不得受纳、处置生活垃圾、一般工业固体废物和危险废物等其他废弃物；二）实施建筑垃圾信息化管理，建立完整规范的台账，包括建筑垃圾来源、类型、接收量、处置量、处置利用工艺、建筑垃圾再生产品类型与产出量、产品流向等信息。安装视频监控、号牌识别、车货称重检测等技术检测监控设备，记录车辆出入、卸载、称重以及建筑垃圾类型等检测监控信息，实时传输至建筑垃圾信息监督管理平台；（三）公示服务内容、服务标准、收费项目、收费标准以及投诉电话等信息。</w:t>
                  </w:r>
                </w:p>
              </w:tc>
              <w:tc>
                <w:tcPr>
                  <w:tcW w:w="1487" w:type="pct"/>
                  <w:shd w:val="clear" w:color="auto" w:fill="auto"/>
                  <w:noWrap w:val="0"/>
                  <w:vAlign w:val="center"/>
                </w:tcPr>
                <w:p w14:paraId="7B01D896">
                  <w:pPr>
                    <w:pStyle w:val="115"/>
                    <w:bidi w:val="0"/>
                    <w:rPr>
                      <w:rFonts w:hint="eastAsia"/>
                      <w:lang w:val="en-US" w:eastAsia="zh-CN"/>
                    </w:rPr>
                  </w:pPr>
                  <w:r>
                    <w:rPr>
                      <w:rFonts w:hint="eastAsia"/>
                    </w:rPr>
                    <w:t>本项目对洪江市内建筑垃圾实施集中收集与处置，根据处置方案，建筑垃圾入场后进行人工分拣，具备堆填条件的物料直接入场堆填，分拣出的废金属、</w:t>
                  </w:r>
                  <w:r>
                    <w:rPr>
                      <w:rFonts w:hint="eastAsia"/>
                      <w:lang w:eastAsia="zh-CN"/>
                    </w:rPr>
                    <w:t>废塑料、废木块</w:t>
                  </w:r>
                  <w:r>
                    <w:rPr>
                      <w:rFonts w:hint="eastAsia"/>
                    </w:rPr>
                    <w:t>在一般固废暂存间暂存后外售回收处置；分拣出的危险废物在危废暂存间暂存后交有资质单位处置，严禁混入</w:t>
                  </w:r>
                  <w:r>
                    <w:rPr>
                      <w:rFonts w:hint="eastAsia"/>
                      <w:lang w:val="en-US" w:eastAsia="zh-CN"/>
                    </w:rPr>
                    <w:t>堆填场</w:t>
                  </w:r>
                  <w:r>
                    <w:rPr>
                      <w:rFonts w:hint="eastAsia"/>
                    </w:rPr>
                    <w:t>处置</w:t>
                  </w:r>
                  <w:r>
                    <w:rPr>
                      <w:rFonts w:hint="eastAsia"/>
                      <w:lang w:val="en-US" w:eastAsia="zh-CN"/>
                    </w:rPr>
                    <w:t>。</w:t>
                  </w:r>
                </w:p>
              </w:tc>
              <w:tc>
                <w:tcPr>
                  <w:tcW w:w="676" w:type="pct"/>
                  <w:shd w:val="clear" w:color="auto" w:fill="auto"/>
                  <w:noWrap w:val="0"/>
                  <w:vAlign w:val="center"/>
                </w:tcPr>
                <w:p w14:paraId="0C883F7A">
                  <w:pPr>
                    <w:pStyle w:val="115"/>
                    <w:bidi w:val="0"/>
                    <w:rPr>
                      <w:rFonts w:hint="eastAsia"/>
                      <w:lang w:val="en-US" w:eastAsia="zh-CN"/>
                    </w:rPr>
                  </w:pPr>
                  <w:r>
                    <w:rPr>
                      <w:rFonts w:hint="eastAsia"/>
                      <w:lang w:val="en-US" w:eastAsia="zh-CN"/>
                    </w:rPr>
                    <w:t>符合</w:t>
                  </w:r>
                </w:p>
              </w:tc>
            </w:tr>
            <w:tr w14:paraId="20EB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2" w:type="pct"/>
                  <w:shd w:val="clear" w:color="auto" w:fill="auto"/>
                  <w:noWrap w:val="0"/>
                  <w:vAlign w:val="center"/>
                </w:tcPr>
                <w:p w14:paraId="43E7566C">
                  <w:pPr>
                    <w:pStyle w:val="115"/>
                    <w:bidi w:val="0"/>
                    <w:rPr>
                      <w:rFonts w:hint="eastAsia"/>
                      <w:lang w:val="en-US" w:eastAsia="zh-CN"/>
                    </w:rPr>
                  </w:pPr>
                  <w:r>
                    <w:rPr>
                      <w:rFonts w:hint="eastAsia"/>
                      <w:lang w:val="en-US" w:eastAsia="zh-CN"/>
                    </w:rPr>
                    <w:t>4</w:t>
                  </w:r>
                </w:p>
              </w:tc>
              <w:tc>
                <w:tcPr>
                  <w:tcW w:w="2243" w:type="pct"/>
                  <w:shd w:val="clear" w:color="auto" w:fill="auto"/>
                  <w:noWrap w:val="0"/>
                  <w:vAlign w:val="center"/>
                </w:tcPr>
                <w:p w14:paraId="43486406">
                  <w:pPr>
                    <w:pStyle w:val="115"/>
                    <w:bidi w:val="0"/>
                    <w:rPr>
                      <w:rFonts w:hint="eastAsia"/>
                      <w:lang w:val="en-US" w:eastAsia="zh-CN"/>
                    </w:rPr>
                  </w:pPr>
                  <w:r>
                    <w:rPr>
                      <w:rFonts w:hint="eastAsia"/>
                      <w:lang w:val="en-US" w:eastAsia="zh-CN"/>
                    </w:rPr>
                    <w:t>建筑垃圾处置场所运营企业应当采取有效措施保障安全生产，严格落实风险管控要求，加强对堆体稳定性检测，杜绝安全隐患。市容环境卫生主管部门应当对建筑垃圾处置场所定期开展安全风险排查，对建筑垃圾堆体的稳定性和可能存在的风险、应急预案的可靠性等进行检查评估，对排查中发现的安全隐患，结合堆放规模、场地情况和周边环境等，制定综合整治方案并限期整改。</w:t>
                  </w:r>
                </w:p>
              </w:tc>
              <w:tc>
                <w:tcPr>
                  <w:tcW w:w="1487" w:type="pct"/>
                  <w:shd w:val="clear" w:color="auto" w:fill="auto"/>
                  <w:noWrap w:val="0"/>
                  <w:vAlign w:val="center"/>
                </w:tcPr>
                <w:p w14:paraId="16976FAA">
                  <w:pPr>
                    <w:pStyle w:val="115"/>
                    <w:bidi w:val="0"/>
                    <w:rPr>
                      <w:rFonts w:hint="eastAsia"/>
                      <w:lang w:val="en-US" w:eastAsia="zh-CN"/>
                    </w:rPr>
                  </w:pPr>
                  <w:r>
                    <w:rPr>
                      <w:rFonts w:hint="eastAsia"/>
                      <w:lang w:val="en-US" w:eastAsia="zh-CN"/>
                    </w:rPr>
                    <w:t>项目运营期间将严格按照相关规定进行生产，落实有效措施保障安全生产，定期对建筑垃圾堆体进行巡查，防止出现风险事故，定期排查厂区的安全隐患并及时进行整改，并按要求制定应急预案。</w:t>
                  </w:r>
                </w:p>
              </w:tc>
              <w:tc>
                <w:tcPr>
                  <w:tcW w:w="676" w:type="pct"/>
                  <w:shd w:val="clear" w:color="auto" w:fill="auto"/>
                  <w:noWrap w:val="0"/>
                  <w:vAlign w:val="center"/>
                </w:tcPr>
                <w:p w14:paraId="160ABC22">
                  <w:pPr>
                    <w:pStyle w:val="115"/>
                    <w:bidi w:val="0"/>
                    <w:rPr>
                      <w:rFonts w:hint="eastAsia"/>
                      <w:lang w:val="en-US" w:eastAsia="zh-CN"/>
                    </w:rPr>
                  </w:pPr>
                  <w:r>
                    <w:rPr>
                      <w:rFonts w:hint="eastAsia"/>
                      <w:lang w:val="en-US" w:eastAsia="zh-CN"/>
                    </w:rPr>
                    <w:t>符合</w:t>
                  </w:r>
                </w:p>
              </w:tc>
            </w:tr>
          </w:tbl>
          <w:p w14:paraId="0AD8EB30">
            <w:pPr>
              <w:rPr>
                <w:rFonts w:hint="eastAsia"/>
                <w:lang w:val="en-US" w:eastAsia="zh-CN"/>
              </w:rPr>
            </w:pPr>
            <w:r>
              <w:rPr>
                <w:rFonts w:hint="default" w:ascii="Times New Roman" w:hAnsi="Times New Roman" w:eastAsia="宋体" w:cs="Times New Roman"/>
                <w:i w:val="0"/>
                <w:iCs w:val="0"/>
                <w:caps w:val="0"/>
                <w:color w:val="0F1115"/>
                <w:spacing w:val="0"/>
                <w:sz w:val="24"/>
                <w:szCs w:val="24"/>
                <w:shd w:val="clear" w:color="auto" w:fill="FFFFFF"/>
                <w:lang w:val="en-US" w:eastAsia="zh-CN"/>
              </w:rPr>
              <w:t>综上所述，</w:t>
            </w:r>
            <w:r>
              <w:rPr>
                <w:rFonts w:ascii="Times New Roman" w:hAnsi="Times New Roman" w:eastAsia="Segoe UI" w:cs="Times New Roman"/>
                <w:i w:val="0"/>
                <w:iCs w:val="0"/>
                <w:caps w:val="0"/>
                <w:color w:val="0F1115"/>
                <w:spacing w:val="0"/>
                <w:sz w:val="24"/>
                <w:szCs w:val="24"/>
                <w:shd w:val="clear" w:color="auto" w:fill="FFFFFF"/>
              </w:rPr>
              <w:t>本项目符合</w:t>
            </w:r>
            <w:r>
              <w:rPr>
                <w:rFonts w:hint="eastAsia"/>
                <w:lang w:val="en-US" w:eastAsia="zh-CN"/>
              </w:rPr>
              <w:t>湘建建〔2024〕9号</w:t>
            </w:r>
            <w:r>
              <w:rPr>
                <w:rFonts w:ascii="Times New Roman" w:hAnsi="Times New Roman" w:eastAsia="Segoe UI" w:cs="Times New Roman"/>
                <w:i w:val="0"/>
                <w:iCs w:val="0"/>
                <w:caps w:val="0"/>
                <w:color w:val="0F1115"/>
                <w:spacing w:val="0"/>
                <w:sz w:val="24"/>
                <w:szCs w:val="24"/>
                <w:shd w:val="clear" w:color="auto" w:fill="FFFFFF"/>
              </w:rPr>
              <w:t>的总体要求</w:t>
            </w:r>
            <w:r>
              <w:rPr>
                <w:rFonts w:hint="default" w:ascii="Times New Roman" w:hAnsi="Times New Roman" w:eastAsia="宋体" w:cs="Times New Roman"/>
                <w:i w:val="0"/>
                <w:iCs w:val="0"/>
                <w:caps w:val="0"/>
                <w:color w:val="0F1115"/>
                <w:spacing w:val="0"/>
                <w:sz w:val="24"/>
                <w:szCs w:val="24"/>
                <w:shd w:val="clear" w:color="auto" w:fill="FFFFFF"/>
                <w:lang w:eastAsia="zh-CN"/>
              </w:rPr>
              <w:t>。</w:t>
            </w:r>
          </w:p>
          <w:p w14:paraId="77EFE3E8">
            <w:pPr>
              <w:pStyle w:val="5"/>
              <w:bidi w:val="0"/>
              <w:rPr>
                <w:rFonts w:hint="eastAsia"/>
                <w:lang w:val="en-US" w:eastAsia="zh-CN"/>
              </w:rPr>
            </w:pPr>
            <w:r>
              <w:rPr>
                <w:rFonts w:hint="eastAsia"/>
                <w:lang w:val="en-US" w:eastAsia="zh-CN"/>
              </w:rPr>
              <w:t>1.6.6与《湖南省建筑垃圾源头控制及处理技术标准》相符性分析</w:t>
            </w:r>
          </w:p>
          <w:p w14:paraId="38136BF6">
            <w:pPr>
              <w:bidi w:val="0"/>
              <w:rPr>
                <w:rFonts w:hint="eastAsia"/>
                <w:lang w:val="en-US" w:eastAsia="zh-CN"/>
              </w:rPr>
            </w:pPr>
            <w:r>
              <w:rPr>
                <w:rFonts w:hint="eastAsia"/>
                <w:lang w:val="en-US" w:eastAsia="zh-CN"/>
              </w:rPr>
              <w:t>项目与《湖南省建筑垃圾源头控制及处理技术标准》相关内容要求分析详见下表。</w:t>
            </w:r>
          </w:p>
          <w:p w14:paraId="0AC69666">
            <w:pPr>
              <w:pStyle w:val="44"/>
              <w:keepNext/>
              <w:keepLines w:val="0"/>
              <w:pageBreakBefore w:val="0"/>
              <w:widowControl/>
              <w:kinsoku/>
              <w:wordWrap w:val="0"/>
              <w:overflowPunct w:val="0"/>
              <w:topLinePunct w:val="0"/>
              <w:autoSpaceDE w:val="0"/>
              <w:autoSpaceDN w:val="0"/>
              <w:bidi w:val="0"/>
              <w:adjustRightInd w:val="0"/>
              <w:snapToGrid w:val="0"/>
              <w:textAlignment w:val="baseline"/>
            </w:pPr>
            <w:r>
              <w:rPr>
                <w:rFonts w:hint="eastAsia"/>
              </w:rPr>
              <w:t>表</w:t>
            </w:r>
            <w:r>
              <w:rPr>
                <w:rFonts w:hint="eastAsia"/>
                <w:lang w:val="en-US" w:eastAsia="zh-CN"/>
              </w:rPr>
              <w:t>1.6-6：</w:t>
            </w:r>
            <w:r>
              <w:rPr>
                <w:rFonts w:hint="eastAsia"/>
              </w:rPr>
              <w:t>与《湖南省建筑垃圾源头控制及处理技术标准》符合性一览表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3171"/>
              <w:gridCol w:w="2835"/>
              <w:gridCol w:w="1089"/>
            </w:tblGrid>
            <w:tr w14:paraId="0FE4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93" w:type="pct"/>
                  <w:shd w:val="clear" w:color="auto" w:fill="auto"/>
                  <w:noWrap w:val="0"/>
                  <w:vAlign w:val="center"/>
                </w:tcPr>
                <w:p w14:paraId="012A06B1">
                  <w:pPr>
                    <w:pStyle w:val="115"/>
                    <w:bidi w:val="0"/>
                    <w:rPr>
                      <w:rFonts w:hint="eastAsia"/>
                      <w:b/>
                      <w:bCs/>
                      <w:lang w:val="en-US" w:eastAsia="zh-CN"/>
                    </w:rPr>
                  </w:pPr>
                  <w:r>
                    <w:rPr>
                      <w:rFonts w:hint="eastAsia"/>
                      <w:b/>
                      <w:bCs/>
                      <w:lang w:val="en-US" w:eastAsia="zh-CN"/>
                    </w:rPr>
                    <w:t>序号</w:t>
                  </w:r>
                </w:p>
              </w:tc>
              <w:tc>
                <w:tcPr>
                  <w:tcW w:w="1969" w:type="pct"/>
                  <w:shd w:val="clear" w:color="auto" w:fill="auto"/>
                  <w:noWrap w:val="0"/>
                  <w:vAlign w:val="center"/>
                </w:tcPr>
                <w:p w14:paraId="6CF9E176">
                  <w:pPr>
                    <w:pStyle w:val="115"/>
                    <w:bidi w:val="0"/>
                    <w:rPr>
                      <w:rFonts w:hint="eastAsia"/>
                      <w:b/>
                      <w:bCs/>
                      <w:lang w:val="en-US" w:eastAsia="zh-CN"/>
                    </w:rPr>
                  </w:pPr>
                  <w:r>
                    <w:rPr>
                      <w:rFonts w:hint="eastAsia"/>
                      <w:b/>
                      <w:bCs/>
                      <w:lang w:val="en-US" w:eastAsia="zh-CN"/>
                    </w:rPr>
                    <w:t>相关内容要求</w:t>
                  </w:r>
                </w:p>
              </w:tc>
              <w:tc>
                <w:tcPr>
                  <w:tcW w:w="1760" w:type="pct"/>
                  <w:shd w:val="clear" w:color="auto" w:fill="auto"/>
                  <w:noWrap w:val="0"/>
                  <w:vAlign w:val="center"/>
                </w:tcPr>
                <w:p w14:paraId="51946C3E">
                  <w:pPr>
                    <w:pStyle w:val="115"/>
                    <w:bidi w:val="0"/>
                    <w:rPr>
                      <w:rFonts w:hint="eastAsia"/>
                      <w:b/>
                      <w:bCs/>
                      <w:lang w:val="en-US" w:eastAsia="zh-CN"/>
                    </w:rPr>
                  </w:pPr>
                  <w:r>
                    <w:rPr>
                      <w:rFonts w:hint="eastAsia"/>
                      <w:b/>
                      <w:bCs/>
                      <w:lang w:val="en-US" w:eastAsia="zh-CN"/>
                    </w:rPr>
                    <w:t>本项目</w:t>
                  </w:r>
                </w:p>
              </w:tc>
              <w:tc>
                <w:tcPr>
                  <w:tcW w:w="676" w:type="pct"/>
                  <w:shd w:val="clear" w:color="auto" w:fill="auto"/>
                  <w:noWrap w:val="0"/>
                  <w:vAlign w:val="center"/>
                </w:tcPr>
                <w:p w14:paraId="187F05F3">
                  <w:pPr>
                    <w:pStyle w:val="115"/>
                    <w:bidi w:val="0"/>
                    <w:rPr>
                      <w:rFonts w:hint="eastAsia"/>
                      <w:b/>
                      <w:bCs/>
                      <w:lang w:val="en-US" w:eastAsia="zh-CN"/>
                    </w:rPr>
                  </w:pPr>
                  <w:r>
                    <w:rPr>
                      <w:rFonts w:hint="eastAsia"/>
                      <w:b/>
                      <w:bCs/>
                      <w:lang w:val="en-US" w:eastAsia="zh-CN"/>
                    </w:rPr>
                    <w:t>相符性</w:t>
                  </w:r>
                </w:p>
              </w:tc>
            </w:tr>
            <w:tr w14:paraId="728F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shd w:val="clear" w:color="auto" w:fill="auto"/>
                  <w:noWrap w:val="0"/>
                  <w:vAlign w:val="center"/>
                </w:tcPr>
                <w:p w14:paraId="4E72AD3E">
                  <w:pPr>
                    <w:pStyle w:val="115"/>
                    <w:bidi w:val="0"/>
                    <w:rPr>
                      <w:rFonts w:hint="eastAsia"/>
                      <w:lang w:val="en-US" w:eastAsia="zh-CN"/>
                    </w:rPr>
                  </w:pPr>
                  <w:r>
                    <w:rPr>
                      <w:rFonts w:hint="eastAsia"/>
                      <w:lang w:val="en-US" w:eastAsia="zh-CN"/>
                    </w:rPr>
                    <w:t>1</w:t>
                  </w:r>
                </w:p>
              </w:tc>
              <w:tc>
                <w:tcPr>
                  <w:tcW w:w="1969" w:type="pct"/>
                  <w:shd w:val="clear" w:color="auto" w:fill="auto"/>
                  <w:noWrap w:val="0"/>
                  <w:vAlign w:val="center"/>
                </w:tcPr>
                <w:p w14:paraId="34F1463B">
                  <w:pPr>
                    <w:pStyle w:val="115"/>
                    <w:bidi w:val="0"/>
                    <w:rPr>
                      <w:rFonts w:hint="eastAsia"/>
                      <w:lang w:val="en-US" w:eastAsia="zh-CN"/>
                    </w:rPr>
                  </w:pPr>
                  <w:r>
                    <w:rPr>
                      <w:rFonts w:hint="eastAsia"/>
                      <w:lang w:val="en-US" w:eastAsia="zh-CN"/>
                    </w:rPr>
                    <w:t>建筑垃圾应从源头分类。展昭工程渣土、工程泥浆、工程垃圾、城镇道路垃圾、拆除垃圾和装修垃圾进行分类收集、分类运输、分类处理处置</w:t>
                  </w:r>
                </w:p>
              </w:tc>
              <w:tc>
                <w:tcPr>
                  <w:tcW w:w="1760" w:type="pct"/>
                  <w:vMerge w:val="restart"/>
                  <w:shd w:val="clear" w:color="auto" w:fill="auto"/>
                  <w:noWrap w:val="0"/>
                  <w:vAlign w:val="center"/>
                </w:tcPr>
                <w:p w14:paraId="6C62A399">
                  <w:pPr>
                    <w:pStyle w:val="115"/>
                    <w:bidi w:val="0"/>
                    <w:rPr>
                      <w:rFonts w:hint="eastAsia"/>
                      <w:lang w:val="en-US" w:eastAsia="zh-CN"/>
                    </w:rPr>
                  </w:pPr>
                  <w:r>
                    <w:rPr>
                      <w:rFonts w:hint="eastAsia"/>
                      <w:lang w:val="en-US" w:eastAsia="zh-CN"/>
                    </w:rPr>
                    <w:t>本项目对洪江市内建筑垃圾实施集中收集与处置，根据处置方案，建筑垃圾入场后进行人工分拣，具备堆填条件的物料直接入场堆填，分拣出的废金属、废塑料、废木块在一般固废暂存间暂存后外售回收处置；分拣出的危险废物在危废暂存间暂存后交有资质单位处置，严禁混入堆填场处置。</w:t>
                  </w:r>
                </w:p>
              </w:tc>
              <w:tc>
                <w:tcPr>
                  <w:tcW w:w="676" w:type="pct"/>
                  <w:shd w:val="clear" w:color="auto" w:fill="auto"/>
                  <w:noWrap w:val="0"/>
                  <w:vAlign w:val="center"/>
                </w:tcPr>
                <w:p w14:paraId="7E3D5700">
                  <w:pPr>
                    <w:pStyle w:val="115"/>
                    <w:bidi w:val="0"/>
                    <w:rPr>
                      <w:rFonts w:hint="eastAsia"/>
                      <w:lang w:val="en-US" w:eastAsia="zh-CN"/>
                    </w:rPr>
                  </w:pPr>
                  <w:r>
                    <w:rPr>
                      <w:rFonts w:hint="eastAsia"/>
                      <w:lang w:val="en-US" w:eastAsia="zh-CN"/>
                    </w:rPr>
                    <w:t>符合</w:t>
                  </w:r>
                </w:p>
              </w:tc>
            </w:tr>
            <w:tr w14:paraId="45E8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shd w:val="clear" w:color="auto" w:fill="auto"/>
                  <w:noWrap w:val="0"/>
                  <w:vAlign w:val="center"/>
                </w:tcPr>
                <w:p w14:paraId="50E3AE98">
                  <w:pPr>
                    <w:pStyle w:val="115"/>
                    <w:bidi w:val="0"/>
                    <w:rPr>
                      <w:rFonts w:hint="eastAsia"/>
                      <w:lang w:val="en-US" w:eastAsia="zh-CN"/>
                    </w:rPr>
                  </w:pPr>
                  <w:r>
                    <w:rPr>
                      <w:rFonts w:hint="eastAsia"/>
                      <w:lang w:val="en-US" w:eastAsia="zh-CN"/>
                    </w:rPr>
                    <w:t>2</w:t>
                  </w:r>
                </w:p>
              </w:tc>
              <w:tc>
                <w:tcPr>
                  <w:tcW w:w="1969" w:type="pct"/>
                  <w:shd w:val="clear" w:color="auto" w:fill="auto"/>
                  <w:noWrap w:val="0"/>
                  <w:vAlign w:val="center"/>
                </w:tcPr>
                <w:p w14:paraId="73B51F18">
                  <w:pPr>
                    <w:pStyle w:val="115"/>
                    <w:bidi w:val="0"/>
                    <w:rPr>
                      <w:rFonts w:hint="eastAsia"/>
                      <w:lang w:val="en-US" w:eastAsia="zh-CN"/>
                    </w:rPr>
                  </w:pPr>
                  <w:r>
                    <w:rPr>
                      <w:rFonts w:hint="eastAsia"/>
                      <w:lang w:val="en-US" w:eastAsia="zh-CN"/>
                    </w:rPr>
                    <w:t>建筑垃圾宜优先考虑资源化利用，工程渣土处理及利用优先次序为资源化利用；堆填；作为生活垃圾消纳场覆盖用土；填埋处置</w:t>
                  </w:r>
                </w:p>
              </w:tc>
              <w:tc>
                <w:tcPr>
                  <w:tcW w:w="1760" w:type="pct"/>
                  <w:vMerge w:val="continue"/>
                  <w:shd w:val="clear" w:color="auto" w:fill="auto"/>
                  <w:noWrap w:val="0"/>
                  <w:vAlign w:val="center"/>
                </w:tcPr>
                <w:p w14:paraId="74A5A575">
                  <w:pPr>
                    <w:pStyle w:val="115"/>
                    <w:bidi w:val="0"/>
                    <w:rPr>
                      <w:rFonts w:hint="eastAsia"/>
                      <w:lang w:val="en-US" w:eastAsia="zh-CN"/>
                    </w:rPr>
                  </w:pPr>
                </w:p>
              </w:tc>
              <w:tc>
                <w:tcPr>
                  <w:tcW w:w="676" w:type="pct"/>
                  <w:shd w:val="clear" w:color="auto" w:fill="auto"/>
                  <w:noWrap w:val="0"/>
                  <w:vAlign w:val="center"/>
                </w:tcPr>
                <w:p w14:paraId="432D8293">
                  <w:pPr>
                    <w:pStyle w:val="115"/>
                    <w:bidi w:val="0"/>
                    <w:rPr>
                      <w:rFonts w:hint="eastAsia"/>
                      <w:lang w:val="en-US" w:eastAsia="zh-CN"/>
                    </w:rPr>
                  </w:pPr>
                  <w:r>
                    <w:rPr>
                      <w:rFonts w:hint="eastAsia"/>
                      <w:lang w:val="en-US" w:eastAsia="zh-CN"/>
                    </w:rPr>
                    <w:t>符合</w:t>
                  </w:r>
                </w:p>
              </w:tc>
            </w:tr>
            <w:tr w14:paraId="0AD8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shd w:val="clear" w:color="auto" w:fill="auto"/>
                  <w:noWrap w:val="0"/>
                  <w:vAlign w:val="center"/>
                </w:tcPr>
                <w:p w14:paraId="7553106A">
                  <w:pPr>
                    <w:pStyle w:val="115"/>
                    <w:bidi w:val="0"/>
                    <w:rPr>
                      <w:rFonts w:hint="eastAsia"/>
                      <w:lang w:val="en-US" w:eastAsia="zh-CN"/>
                    </w:rPr>
                  </w:pPr>
                  <w:r>
                    <w:rPr>
                      <w:rFonts w:hint="eastAsia"/>
                      <w:lang w:val="en-US" w:eastAsia="zh-CN"/>
                    </w:rPr>
                    <w:t>3</w:t>
                  </w:r>
                </w:p>
              </w:tc>
              <w:tc>
                <w:tcPr>
                  <w:tcW w:w="1969" w:type="pct"/>
                  <w:shd w:val="clear" w:color="auto" w:fill="auto"/>
                  <w:noWrap w:val="0"/>
                  <w:vAlign w:val="center"/>
                </w:tcPr>
                <w:p w14:paraId="26CAAAD5">
                  <w:pPr>
                    <w:pStyle w:val="115"/>
                    <w:bidi w:val="0"/>
                    <w:rPr>
                      <w:rFonts w:hint="eastAsia"/>
                      <w:lang w:val="en-US" w:eastAsia="zh-CN"/>
                    </w:rPr>
                  </w:pPr>
                  <w:r>
                    <w:rPr>
                      <w:rFonts w:hint="eastAsia"/>
                      <w:lang w:val="en-US" w:eastAsia="zh-CN"/>
                    </w:rPr>
                    <w:t>建筑垃圾转运调配、资源化利用、填埋处置工程厂（场）址应根据该工程服务区域的建筑垃圾现状产生量及预测产生量，结合服务区域经济性、技术可行性和可靠性等因素，按照资源就近处置的原则选择，且应与城市总体规划、土地利用总体规划和资源综合利用规划相衔接</w:t>
                  </w:r>
                </w:p>
              </w:tc>
              <w:tc>
                <w:tcPr>
                  <w:tcW w:w="1760" w:type="pct"/>
                  <w:shd w:val="clear" w:color="auto" w:fill="auto"/>
                  <w:noWrap w:val="0"/>
                  <w:vAlign w:val="center"/>
                </w:tcPr>
                <w:p w14:paraId="140022CC">
                  <w:pPr>
                    <w:pStyle w:val="115"/>
                    <w:bidi w:val="0"/>
                    <w:rPr>
                      <w:rFonts w:hint="eastAsia"/>
                      <w:lang w:val="en-US" w:eastAsia="zh-CN"/>
                    </w:rPr>
                  </w:pPr>
                  <w:r>
                    <w:rPr>
                      <w:rFonts w:hint="eastAsia"/>
                      <w:lang w:val="en-US" w:eastAsia="zh-CN"/>
                    </w:rPr>
                    <w:t>本项目消纳方式为堆填，根据要求，消纳场宜优先选用废弃的采矿坑、滩涂造地等，本项目消纳场选用原矿山采砂石矿遗留下的矿坑用作消纳场堆填建筑垃圾的场所。</w:t>
                  </w:r>
                </w:p>
              </w:tc>
              <w:tc>
                <w:tcPr>
                  <w:tcW w:w="676" w:type="pct"/>
                  <w:shd w:val="clear" w:color="auto" w:fill="auto"/>
                  <w:noWrap w:val="0"/>
                  <w:vAlign w:val="center"/>
                </w:tcPr>
                <w:p w14:paraId="48580988">
                  <w:pPr>
                    <w:pStyle w:val="115"/>
                    <w:bidi w:val="0"/>
                    <w:rPr>
                      <w:rFonts w:hint="eastAsia"/>
                      <w:lang w:val="en-US" w:eastAsia="zh-CN"/>
                    </w:rPr>
                  </w:pPr>
                  <w:r>
                    <w:rPr>
                      <w:rFonts w:hint="eastAsia"/>
                      <w:lang w:val="en-US" w:eastAsia="zh-CN"/>
                    </w:rPr>
                    <w:t>符合</w:t>
                  </w:r>
                </w:p>
              </w:tc>
            </w:tr>
            <w:tr w14:paraId="285C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3" w:type="pct"/>
                  <w:shd w:val="clear" w:color="auto" w:fill="auto"/>
                  <w:noWrap w:val="0"/>
                  <w:vAlign w:val="center"/>
                </w:tcPr>
                <w:p w14:paraId="075D8616">
                  <w:pPr>
                    <w:pStyle w:val="115"/>
                    <w:bidi w:val="0"/>
                    <w:rPr>
                      <w:rFonts w:hint="eastAsia"/>
                      <w:lang w:val="en-US" w:eastAsia="zh-CN"/>
                    </w:rPr>
                  </w:pPr>
                  <w:r>
                    <w:rPr>
                      <w:rFonts w:hint="eastAsia"/>
                      <w:lang w:val="en-US" w:eastAsia="zh-CN"/>
                    </w:rPr>
                    <w:t>4</w:t>
                  </w:r>
                </w:p>
              </w:tc>
              <w:tc>
                <w:tcPr>
                  <w:tcW w:w="1969" w:type="pct"/>
                  <w:shd w:val="clear" w:color="auto" w:fill="auto"/>
                  <w:noWrap w:val="0"/>
                  <w:vAlign w:val="center"/>
                </w:tcPr>
                <w:p w14:paraId="6FFFAE6E">
                  <w:pPr>
                    <w:pStyle w:val="115"/>
                    <w:bidi w:val="0"/>
                    <w:rPr>
                      <w:rFonts w:hint="eastAsia"/>
                      <w:lang w:val="en-US" w:eastAsia="zh-CN"/>
                    </w:rPr>
                  </w:pPr>
                  <w:r>
                    <w:rPr>
                      <w:rFonts w:hint="eastAsia"/>
                      <w:lang w:val="en-US" w:eastAsia="zh-CN"/>
                    </w:rPr>
                    <w:t>堆填处理应包括计量设施、预处理系统、垃圾坝、地基处理、防洪及雨水导排系统、地下水导排系统、场区道路、封场工程及监测井等。辅助设施构成应包括进场道路、供配电、给排水设施、生活和行政办公管理设施、设备维修、消防和安全卫生设施、车辆冲洗、通信、信息化及监控、应急设施（包括建筑垃圾临时存放、紧急照明）等</w:t>
                  </w:r>
                </w:p>
              </w:tc>
              <w:tc>
                <w:tcPr>
                  <w:tcW w:w="1760" w:type="pct"/>
                  <w:shd w:val="clear" w:color="auto" w:fill="auto"/>
                  <w:noWrap w:val="0"/>
                  <w:vAlign w:val="center"/>
                </w:tcPr>
                <w:p w14:paraId="69FB3E59">
                  <w:pPr>
                    <w:pStyle w:val="115"/>
                    <w:bidi w:val="0"/>
                    <w:rPr>
                      <w:rFonts w:hint="eastAsia"/>
                      <w:lang w:val="en-US" w:eastAsia="zh-CN"/>
                    </w:rPr>
                  </w:pPr>
                  <w:r>
                    <w:rPr>
                      <w:rFonts w:hint="eastAsia"/>
                      <w:lang w:val="en-US" w:eastAsia="zh-CN"/>
                    </w:rPr>
                    <w:t>本项目利用原矿山遗留矿坑进行建筑垃圾的堆填，消纳场现场环境设置雨水导排系统、场区道路，配备值了相应的辅助性设施设备。</w:t>
                  </w:r>
                </w:p>
              </w:tc>
              <w:tc>
                <w:tcPr>
                  <w:tcW w:w="676" w:type="pct"/>
                  <w:shd w:val="clear" w:color="auto" w:fill="auto"/>
                  <w:noWrap w:val="0"/>
                  <w:vAlign w:val="center"/>
                </w:tcPr>
                <w:p w14:paraId="5CA0AA0A">
                  <w:pPr>
                    <w:pStyle w:val="115"/>
                    <w:bidi w:val="0"/>
                    <w:rPr>
                      <w:rFonts w:hint="eastAsia"/>
                      <w:lang w:val="en-US" w:eastAsia="zh-CN"/>
                    </w:rPr>
                  </w:pPr>
                  <w:r>
                    <w:rPr>
                      <w:rFonts w:hint="eastAsia"/>
                      <w:lang w:val="en-US" w:eastAsia="zh-CN"/>
                    </w:rPr>
                    <w:t>符合</w:t>
                  </w:r>
                </w:p>
              </w:tc>
            </w:tr>
          </w:tbl>
          <w:p w14:paraId="5AA5D54A">
            <w:pPr>
              <w:bidi w:val="0"/>
              <w:rPr>
                <w:rFonts w:hint="eastAsia"/>
              </w:rPr>
            </w:pPr>
            <w:r>
              <w:rPr>
                <w:rFonts w:hint="eastAsia"/>
              </w:rPr>
              <w:t>通过上表分析，项目基本符合《湖南省建筑垃圾源头控制及处理技术标准》的相关要求。</w:t>
            </w:r>
          </w:p>
          <w:p w14:paraId="5782B05B">
            <w:pPr>
              <w:pStyle w:val="4"/>
              <w:bidi w:val="0"/>
              <w:rPr>
                <w:rFonts w:hint="default"/>
                <w:u w:val="single"/>
                <w:lang w:val="en-US" w:eastAsia="zh-CN"/>
              </w:rPr>
            </w:pPr>
            <w:r>
              <w:rPr>
                <w:rFonts w:hint="eastAsia"/>
                <w:u w:val="single"/>
                <w:lang w:val="en-US" w:eastAsia="zh-CN"/>
              </w:rPr>
              <w:t>1.7与</w:t>
            </w:r>
            <w:r>
              <w:rPr>
                <w:rFonts w:hint="eastAsia"/>
                <w:u w:val="single"/>
              </w:rPr>
              <w:t>《洪江市国土空间总体规划（2021</w:t>
            </w:r>
            <w:r>
              <w:rPr>
                <w:rFonts w:hint="eastAsia"/>
                <w:u w:val="single"/>
                <w:lang w:val="en-US" w:eastAsia="zh-CN"/>
              </w:rPr>
              <w:t>-</w:t>
            </w:r>
            <w:r>
              <w:rPr>
                <w:rFonts w:hint="eastAsia"/>
                <w:u w:val="single"/>
              </w:rPr>
              <w:t>2035年）》</w:t>
            </w:r>
            <w:r>
              <w:rPr>
                <w:rFonts w:hint="eastAsia"/>
                <w:u w:val="single"/>
                <w:lang w:val="en-US" w:eastAsia="zh-CN"/>
              </w:rPr>
              <w:t>符合性分析</w:t>
            </w:r>
          </w:p>
          <w:p w14:paraId="2318450F">
            <w:pPr>
              <w:rPr>
                <w:rFonts w:hint="eastAsia" w:eastAsia="宋体"/>
                <w:u w:val="single"/>
                <w:lang w:val="en-US" w:eastAsia="zh-CN"/>
              </w:rPr>
            </w:pPr>
            <w:r>
              <w:rPr>
                <w:rFonts w:hint="eastAsia"/>
                <w:u w:val="single"/>
              </w:rPr>
              <w:t>根据《洪江市国土空间总体规划（2021—2035年）》，建筑垃圾堆填场在功能定位上与洪江市“工贸新城、生态宜居城市”的发展目标及安江镇作为重点镇的布局方向无冲突，</w:t>
            </w:r>
            <w:r>
              <w:rPr>
                <w:rFonts w:hint="eastAsia"/>
                <w:color w:val="auto"/>
                <w:u w:val="single"/>
                <w:lang w:val="en-US" w:eastAsia="zh-CN"/>
              </w:rPr>
              <w:t>根据洪江市自然资源局提供的证明文件可知（详见附件6），通过项目与洪江市三区三线套合分析，本项目用地不在生态保护红线范围内，不在永久基本农田范围内，项目用地完全未压覆城镇开发边界范围，项目未占用</w:t>
            </w:r>
            <w:r>
              <w:rPr>
                <w:rFonts w:hint="eastAsia"/>
                <w:u w:val="single"/>
              </w:rPr>
              <w:t>安江镇等历史文化资源富集区及沅水、㵲水生态廊道</w:t>
            </w:r>
            <w:r>
              <w:rPr>
                <w:rFonts w:hint="eastAsia"/>
                <w:u w:val="single"/>
                <w:lang w:eastAsia="zh-CN"/>
              </w:rPr>
              <w:t>，</w:t>
            </w:r>
            <w:r>
              <w:rPr>
                <w:rFonts w:hint="eastAsia"/>
                <w:u w:val="single"/>
                <w:lang w:val="en-US" w:eastAsia="zh-CN"/>
              </w:rPr>
              <w:t>项目建设与</w:t>
            </w:r>
            <w:r>
              <w:rPr>
                <w:rFonts w:hint="eastAsia"/>
                <w:u w:val="single"/>
              </w:rPr>
              <w:t>《洪江市国土空间总体规划（2021</w:t>
            </w:r>
            <w:r>
              <w:rPr>
                <w:rFonts w:hint="eastAsia"/>
                <w:u w:val="single"/>
                <w:lang w:val="en-US" w:eastAsia="zh-CN"/>
              </w:rPr>
              <w:t>-</w:t>
            </w:r>
            <w:r>
              <w:rPr>
                <w:rFonts w:hint="eastAsia"/>
                <w:u w:val="single"/>
              </w:rPr>
              <w:t>2035年）》</w:t>
            </w:r>
            <w:r>
              <w:rPr>
                <w:rFonts w:hint="eastAsia"/>
                <w:u w:val="single"/>
                <w:lang w:val="en-US" w:eastAsia="zh-CN"/>
              </w:rPr>
              <w:t>相符合。</w:t>
            </w:r>
          </w:p>
          <w:p w14:paraId="78D9E310">
            <w:pPr>
              <w:pStyle w:val="4"/>
              <w:bidi w:val="0"/>
              <w:rPr>
                <w:u w:val="single"/>
              </w:rPr>
            </w:pPr>
            <w:r>
              <w:rPr>
                <w:rFonts w:hint="eastAsia"/>
                <w:u w:val="single"/>
                <w:lang w:val="en-US" w:eastAsia="zh-CN"/>
              </w:rPr>
              <w:t>1.8</w:t>
            </w:r>
            <w:r>
              <w:rPr>
                <w:u w:val="single"/>
              </w:rPr>
              <w:t>项目选址合理性及周边环境分析</w:t>
            </w:r>
          </w:p>
          <w:p w14:paraId="22FCF049">
            <w:pPr>
              <w:ind w:firstLine="480"/>
              <w:rPr>
                <w:rFonts w:hint="eastAsia"/>
                <w:color w:val="auto"/>
                <w:u w:val="single"/>
                <w:lang w:val="en-US" w:eastAsia="zh-CN"/>
              </w:rPr>
            </w:pPr>
            <w:r>
              <w:rPr>
                <w:rFonts w:hint="eastAsia"/>
                <w:color w:val="auto"/>
                <w:u w:val="single"/>
                <w:lang w:val="en-US" w:eastAsia="zh-CN"/>
              </w:rPr>
              <w:t>（1）地理位置及土地利用符合性</w:t>
            </w:r>
          </w:p>
          <w:p w14:paraId="715AEF51">
            <w:pPr>
              <w:ind w:firstLine="480"/>
              <w:rPr>
                <w:rFonts w:hint="eastAsia"/>
                <w:color w:val="auto"/>
                <w:u w:val="single"/>
                <w:lang w:val="en-US" w:eastAsia="zh-CN"/>
              </w:rPr>
            </w:pPr>
            <w:r>
              <w:rPr>
                <w:rFonts w:hint="eastAsia"/>
                <w:color w:val="auto"/>
                <w:u w:val="single"/>
                <w:lang w:val="en-US" w:eastAsia="zh-CN"/>
              </w:rPr>
              <w:t>本项目选址位于湖南省怀化市洪江市安江镇龙田村，沪昆高速及国道320以南，交通便利且与城区运输距离较短，便于建筑垃圾及时清运；东北侧距国道320约184米，周边有山林阻隔，不在可视范围内，周围环境敏感目标较少。场址不涉及农业保护区、自然保护区、风景名胜区、文物考古保护区、饮用水水源保护区、供水远景规划区、矿产资源储备区、军事要地及其他需要特别保护的区域。根据洪江市自然资源局出具的“三区三线”套合证明（详见附件6，用地面积包括一期工程、二期工程总用地面积），项目用地未压覆生态保护红线、永久基本农田及城镇开发边界，符合《洪江市国土空间总体规划（2021-2035年）》的空间管控要求。本项目一期工程先行建设（本次评价内容），二期服务期满后将进行土地复绿、恢复为林地，对区域生态景观及城市景观影响总体可控。</w:t>
            </w:r>
          </w:p>
          <w:p w14:paraId="700A91BB">
            <w:pPr>
              <w:ind w:firstLine="480"/>
              <w:rPr>
                <w:rFonts w:hint="eastAsia"/>
                <w:color w:val="auto"/>
                <w:lang w:val="en-US" w:eastAsia="zh-CN"/>
              </w:rPr>
            </w:pPr>
            <w:r>
              <w:rPr>
                <w:rFonts w:hint="eastAsia"/>
                <w:color w:val="auto"/>
                <w:u w:val="single"/>
                <w:lang w:val="en-US" w:eastAsia="zh-CN"/>
              </w:rPr>
              <w:t>综上，从土地利用、规划衔接及环境敏感性等角度分析，本项目选址合理。</w:t>
            </w:r>
          </w:p>
          <w:p w14:paraId="5169B587">
            <w:pPr>
              <w:ind w:firstLine="480"/>
              <w:rPr>
                <w:rFonts w:hint="eastAsia"/>
                <w:color w:val="auto"/>
                <w:u w:val="single"/>
              </w:rPr>
            </w:pPr>
            <w:r>
              <w:rPr>
                <w:rFonts w:hint="eastAsia"/>
                <w:color w:val="auto"/>
                <w:u w:val="single"/>
              </w:rPr>
              <w:t>（2）地质及水文地质条件分析</w:t>
            </w:r>
          </w:p>
          <w:p w14:paraId="27EB28B6">
            <w:pPr>
              <w:ind w:firstLine="480"/>
              <w:rPr>
                <w:rFonts w:hint="eastAsia"/>
                <w:color w:val="auto"/>
                <w:u w:val="single"/>
                <w:lang w:val="en-US" w:eastAsia="zh-CN"/>
              </w:rPr>
            </w:pPr>
            <w:r>
              <w:rPr>
                <w:rFonts w:hint="eastAsia"/>
                <w:color w:val="auto"/>
                <w:u w:val="single"/>
                <w:lang w:val="en-US" w:eastAsia="zh-CN"/>
              </w:rPr>
              <w:t>本项目所在区域属丘陵地貌，堆填场厂址原为废弃采石场采坑，呈“U”型沟谷状，一期为废弃采石场矿坑（本次评价内容），二期为沟谷地形（另行评价），两侧山体稳定、天然围挡条件良好，有利于减少土方开挖及挡墙工程量，根据附件9：洪江市建筑垃圾安江堆填场项目建设场地地质灾害危险性评估报告可知，评估区内经现场调查，地质灾害不发育，评估区内现状无崩塌、滑坡、泥石流、地面沉降、地面塌陷、地裂缝、河流岸坡坍塌等地质灾害，属危险性小。</w:t>
            </w:r>
          </w:p>
          <w:p w14:paraId="7A770F53">
            <w:pPr>
              <w:ind w:firstLine="480"/>
              <w:rPr>
                <w:rFonts w:hint="eastAsia"/>
                <w:color w:val="auto"/>
                <w:u w:val="single"/>
                <w:lang w:val="en-US" w:eastAsia="zh-CN"/>
              </w:rPr>
            </w:pPr>
            <w:r>
              <w:rPr>
                <w:rFonts w:hint="eastAsia"/>
                <w:color w:val="auto"/>
                <w:u w:val="single"/>
                <w:lang w:val="en-US" w:eastAsia="zh-CN"/>
              </w:rPr>
              <w:t>经现场调查，项目所在地无地下水，周边居民均以自来水为饮用水源，评价范围内无集中式地下水取水点，地下水流向为向东北汇入洪溪，且项目地势较高，不处于集中式饮用水源保护区及其准保护区以外的补给径流区，不涉及地下水环境敏感区域。</w:t>
            </w:r>
          </w:p>
          <w:p w14:paraId="3CACD1E6">
            <w:pPr>
              <w:ind w:firstLine="480"/>
              <w:rPr>
                <w:rFonts w:hint="eastAsia"/>
                <w:color w:val="auto"/>
                <w:u w:val="single"/>
                <w:lang w:val="en-US" w:eastAsia="zh-CN"/>
              </w:rPr>
            </w:pPr>
            <w:r>
              <w:rPr>
                <w:rFonts w:hint="eastAsia"/>
                <w:color w:val="auto"/>
                <w:u w:val="single"/>
                <w:lang w:val="en-US" w:eastAsia="zh-CN"/>
              </w:rPr>
              <w:t>综上，本项目的工程地质与水文地质条件符合堆填场选址要求。</w:t>
            </w:r>
          </w:p>
          <w:p w14:paraId="5CE5E44B">
            <w:pPr>
              <w:bidi w:val="0"/>
              <w:rPr>
                <w:rFonts w:hint="eastAsia"/>
                <w:u w:val="single"/>
              </w:rPr>
            </w:pPr>
            <w:r>
              <w:rPr>
                <w:rFonts w:hint="eastAsia"/>
                <w:u w:val="single"/>
              </w:rPr>
              <w:t>（3）选址合理性分析</w:t>
            </w:r>
          </w:p>
          <w:p w14:paraId="139B344D">
            <w:pPr>
              <w:ind w:firstLine="480"/>
              <w:rPr>
                <w:rFonts w:hint="eastAsia"/>
                <w:color w:val="auto"/>
                <w:u w:val="single"/>
                <w:lang w:val="en-US" w:eastAsia="zh-CN"/>
              </w:rPr>
            </w:pPr>
            <w:r>
              <w:rPr>
                <w:rFonts w:hint="eastAsia"/>
                <w:color w:val="auto"/>
                <w:u w:val="single"/>
                <w:lang w:val="en-US" w:eastAsia="zh-CN"/>
              </w:rPr>
              <w:t>本项目一期工程利用历史遗留的采石矿坑进行建筑垃圾堆填作业，原矿坑较深存在安全隐患，通过堆填既能消纳建筑垃圾、减少环境影响，又能解决采矿遗留环境问题、降低区域安全风险。项目场址外环境关系简单，不侵占基本农田、生态红线和城镇开发边界，不涉及饮用水水源保护区、风景名胜区、自然保护区，无明显环境制约因素；与周边居民保持一定距离，工艺简单，选址建设符合《湖南省城市建筑垃圾管理实施细则》、《湖南省建筑垃圾源头控制及处理技术标准》、《建筑垃圾处理技术标准》（CJJ-T134-2019）、《建筑垃圾污染控制技术规范》（HJ 1462-2026）相关要求。</w:t>
            </w:r>
          </w:p>
          <w:p w14:paraId="49817E6B">
            <w:pPr>
              <w:ind w:firstLine="480"/>
              <w:rPr>
                <w:rFonts w:hint="eastAsia"/>
                <w:color w:val="auto"/>
                <w:u w:val="single"/>
                <w:lang w:val="en-US" w:eastAsia="zh-CN"/>
              </w:rPr>
            </w:pPr>
            <w:r>
              <w:rPr>
                <w:rFonts w:hint="eastAsia"/>
                <w:color w:val="auto"/>
                <w:u w:val="single"/>
                <w:lang w:val="en-US" w:eastAsia="zh-CN"/>
              </w:rPr>
              <w:t>项目区域属环境空气二类区、声环境2类区、地表水III类水域，无特殊保护的文物古迹及自然保护区。在落实报告提出的污染防治措施后，污染物可达标排放，对大气、地表水、声环境影响较小，不改变环境功能现状。综合选址敏感性、产业政策及环境影响可接受性分析，在严控污染物排放量的前提下，本项目选址及建设具有环境可行性。</w:t>
            </w:r>
          </w:p>
          <w:p w14:paraId="6B689EF2">
            <w:pPr>
              <w:ind w:firstLine="480"/>
              <w:rPr>
                <w:rFonts w:hint="eastAsia"/>
                <w:color w:val="auto"/>
                <w:u w:val="single"/>
              </w:rPr>
            </w:pPr>
            <w:r>
              <w:rPr>
                <w:rFonts w:hint="eastAsia"/>
                <w:color w:val="auto"/>
                <w:u w:val="single"/>
              </w:rPr>
              <w:t>（</w:t>
            </w:r>
            <w:r>
              <w:rPr>
                <w:rFonts w:hint="eastAsia"/>
                <w:color w:val="auto"/>
                <w:u w:val="single"/>
                <w:lang w:val="en-US" w:eastAsia="zh-CN"/>
              </w:rPr>
              <w:t>4</w:t>
            </w:r>
            <w:r>
              <w:rPr>
                <w:rFonts w:hint="eastAsia"/>
                <w:color w:val="auto"/>
                <w:u w:val="single"/>
              </w:rPr>
              <w:t>）周边环境相容性</w:t>
            </w:r>
          </w:p>
          <w:p w14:paraId="59B85565">
            <w:pPr>
              <w:bidi w:val="0"/>
              <w:rPr>
                <w:rFonts w:hint="eastAsia"/>
                <w:color w:val="auto"/>
                <w:u w:val="single"/>
              </w:rPr>
            </w:pPr>
            <w:r>
              <w:rPr>
                <w:rFonts w:hint="eastAsia"/>
                <w:color w:val="auto"/>
                <w:u w:val="single"/>
              </w:rPr>
              <w:t>经现场踏勘，本项目周边交通便利，区域内水、电、路等基础设施齐全；区域水、气、声环境质量现状均符合相应环境功能区要求。在严格落实设计与环评提出的治理措施后，废水、废气、噪声可实现达标排放，固体废物得到综合利用或妥善处置，对周围环境影响较小，对周边敏感区的影响处于可接受范围。项目建设符合洪江市城镇规划及准入条件，满足相关环保政策要求。</w:t>
            </w:r>
          </w:p>
          <w:p w14:paraId="53701476">
            <w:pPr>
              <w:bidi w:val="0"/>
              <w:rPr>
                <w:rFonts w:hint="eastAsia"/>
                <w:color w:val="auto"/>
                <w:u w:val="single"/>
              </w:rPr>
            </w:pPr>
            <w:r>
              <w:rPr>
                <w:rFonts w:hint="eastAsia"/>
                <w:color w:val="auto"/>
                <w:u w:val="single"/>
              </w:rPr>
              <w:t>综上，从环境影响角度分析，本项目选址合理、可行。</w:t>
            </w:r>
          </w:p>
          <w:p w14:paraId="1DB81E8D">
            <w:pPr>
              <w:pStyle w:val="4"/>
              <w:spacing w:before="0" w:after="0" w:line="360" w:lineRule="auto"/>
              <w:rPr>
                <w:rFonts w:hint="eastAsia"/>
                <w:color w:val="auto"/>
                <w:u w:val="single"/>
                <w:lang w:val="zh-CN"/>
              </w:rPr>
            </w:pPr>
            <w:r>
              <w:rPr>
                <w:rFonts w:hint="eastAsia"/>
                <w:color w:val="auto"/>
                <w:u w:val="single"/>
                <w:lang w:val="en-US" w:eastAsia="zh-CN"/>
              </w:rPr>
              <w:t>1.8</w:t>
            </w:r>
            <w:r>
              <w:rPr>
                <w:rFonts w:hint="eastAsia"/>
                <w:color w:val="auto"/>
                <w:u w:val="single"/>
                <w:lang w:val="zh-CN"/>
              </w:rPr>
              <w:t>平面布置合理性分析</w:t>
            </w:r>
          </w:p>
          <w:p w14:paraId="757DDEFC">
            <w:pPr>
              <w:bidi w:val="0"/>
              <w:rPr>
                <w:rFonts w:hint="eastAsia"/>
                <w:color w:val="auto"/>
                <w:u w:val="single"/>
                <w:lang w:val="zh-CN"/>
              </w:rPr>
            </w:pPr>
            <w:r>
              <w:rPr>
                <w:rFonts w:hint="eastAsia"/>
                <w:color w:val="auto"/>
                <w:u w:val="single"/>
                <w:lang w:val="zh-CN"/>
              </w:rPr>
              <w:t>本项目位于湖南省怀化市洪江市安江镇龙田村，依据《湖南省建筑垃圾源头控制及处理技术标准》，充分利用场址地形及全年主导风向（东北风），将辅助设施布置于场区东北侧的上风向，</w:t>
            </w:r>
            <w:r>
              <w:rPr>
                <w:rFonts w:hint="eastAsia"/>
                <w:color w:val="auto"/>
                <w:u w:val="single"/>
                <w:lang w:val="en-US" w:eastAsia="zh-CN"/>
              </w:rPr>
              <w:t>堆填场</w:t>
            </w:r>
            <w:r>
              <w:rPr>
                <w:rFonts w:hint="eastAsia"/>
                <w:color w:val="auto"/>
                <w:u w:val="single"/>
                <w:lang w:val="zh-CN"/>
              </w:rPr>
              <w:t>靠近外部道路（东北侧约184米为G320国道），便于物料运输与管理。场区功能分区清晰：入口设地磅、洗车</w:t>
            </w:r>
            <w:r>
              <w:rPr>
                <w:rFonts w:hint="eastAsia"/>
                <w:color w:val="auto"/>
                <w:u w:val="single"/>
                <w:lang w:val="en-US" w:eastAsia="zh-CN"/>
              </w:rPr>
              <w:t>平台</w:t>
            </w:r>
            <w:r>
              <w:rPr>
                <w:rFonts w:hint="eastAsia"/>
                <w:color w:val="auto"/>
                <w:u w:val="single"/>
                <w:lang w:val="zh-CN"/>
              </w:rPr>
              <w:t>、</w:t>
            </w:r>
            <w:r>
              <w:rPr>
                <w:rFonts w:hint="eastAsia"/>
                <w:color w:val="auto"/>
                <w:u w:val="single"/>
                <w:lang w:val="en-US" w:eastAsia="zh-CN"/>
              </w:rPr>
              <w:t>办公</w:t>
            </w:r>
            <w:r>
              <w:rPr>
                <w:rFonts w:hint="eastAsia"/>
                <w:color w:val="auto"/>
                <w:u w:val="single"/>
                <w:lang w:val="zh-CN"/>
              </w:rPr>
              <w:t>管理用房、一般固废暂存间、危废暂存间，分拣出的</w:t>
            </w:r>
            <w:r>
              <w:rPr>
                <w:rFonts w:hint="eastAsia"/>
                <w:color w:val="auto"/>
                <w:u w:val="single"/>
                <w:lang w:val="en-US" w:eastAsia="zh-CN"/>
              </w:rPr>
              <w:t>废金属、废塑料、废木头等可回收物</w:t>
            </w:r>
            <w:r>
              <w:rPr>
                <w:rFonts w:hint="eastAsia"/>
                <w:color w:val="auto"/>
                <w:u w:val="single"/>
                <w:lang w:val="zh-CN"/>
              </w:rPr>
              <w:t>与危险废物分类暂存处置，严禁混入堆填场；一期库区利用原有采石坑，面积6102.56</w:t>
            </w:r>
            <w:r>
              <w:rPr>
                <w:rFonts w:hint="eastAsia"/>
                <w:color w:val="auto"/>
                <w:u w:val="single"/>
                <w:lang w:val="en-US" w:eastAsia="zh-CN"/>
              </w:rPr>
              <w:t>m</w:t>
            </w:r>
            <w:r>
              <w:rPr>
                <w:rFonts w:hint="eastAsia"/>
                <w:color w:val="auto"/>
                <w:u w:val="single"/>
                <w:vertAlign w:val="superscript"/>
                <w:lang w:val="en-US" w:eastAsia="zh-CN"/>
              </w:rPr>
              <w:t>2</w:t>
            </w:r>
            <w:r>
              <w:rPr>
                <w:rFonts w:hint="eastAsia"/>
                <w:color w:val="auto"/>
                <w:u w:val="single"/>
                <w:lang w:val="zh-CN"/>
              </w:rPr>
              <w:t>、库容</w:t>
            </w:r>
            <w:r>
              <w:rPr>
                <w:rFonts w:hint="eastAsia"/>
                <w:color w:val="auto"/>
                <w:u w:val="single"/>
                <w:lang w:val="en-US" w:eastAsia="zh-CN"/>
              </w:rPr>
              <w:t>5</w:t>
            </w:r>
            <w:r>
              <w:rPr>
                <w:rFonts w:hint="eastAsia"/>
                <w:color w:val="auto"/>
                <w:u w:val="single"/>
                <w:lang w:val="zh-CN"/>
              </w:rPr>
              <w:t>万</w:t>
            </w:r>
            <w:r>
              <w:rPr>
                <w:rFonts w:hint="eastAsia"/>
                <w:color w:val="auto"/>
                <w:u w:val="single"/>
                <w:lang w:val="en-US" w:eastAsia="zh-CN"/>
              </w:rPr>
              <w:t>m</w:t>
            </w:r>
            <w:r>
              <w:rPr>
                <w:rFonts w:hint="eastAsia"/>
                <w:color w:val="auto"/>
                <w:u w:val="single"/>
                <w:vertAlign w:val="superscript"/>
                <w:lang w:val="en-US" w:eastAsia="zh-CN"/>
              </w:rPr>
              <w:t>3</w:t>
            </w:r>
            <w:r>
              <w:rPr>
                <w:rFonts w:hint="eastAsia"/>
                <w:color w:val="auto"/>
                <w:u w:val="single"/>
                <w:lang w:val="zh-CN"/>
              </w:rPr>
              <w:t>，按50年一遇洪水标准设置截排沟，淋滤水经潜污泵抽入</w:t>
            </w:r>
            <w:r>
              <w:rPr>
                <w:rFonts w:hint="eastAsia"/>
                <w:color w:val="auto"/>
                <w:u w:val="single"/>
                <w:lang w:val="en-US" w:eastAsia="zh-CN"/>
              </w:rPr>
              <w:t>淋滤水</w:t>
            </w:r>
            <w:r>
              <w:rPr>
                <w:rFonts w:hint="eastAsia"/>
                <w:color w:val="auto"/>
                <w:u w:val="single"/>
                <w:lang w:val="zh-CN"/>
              </w:rPr>
              <w:t>沉淀池处理</w:t>
            </w:r>
            <w:r>
              <w:rPr>
                <w:rFonts w:hint="eastAsia"/>
                <w:color w:val="auto"/>
                <w:u w:val="single"/>
                <w:lang w:val="en-US" w:eastAsia="zh-CN"/>
              </w:rPr>
              <w:t>后排入沟渠汇入洪溪</w:t>
            </w:r>
            <w:r>
              <w:rPr>
                <w:rFonts w:hint="eastAsia"/>
                <w:color w:val="auto"/>
                <w:u w:val="single"/>
                <w:lang w:val="zh-CN"/>
              </w:rPr>
              <w:t>，车辆冲洗废水经沉淀池收集回用；办公管理用房位于东北侧，分拣平台与作业区位于西南侧，压实机、水泵等高噪声设备依托山体隔声，确保厂界噪声达标。区域空气、地表水与声环境质量良好，有一定环境容量，周边200米范围内虽有海龙形居民点分布，但有山体阻隔，不涉及基本农田、生态红线、城镇开发边界及各类保护区，无明显环境制约因素。在落实环评提出的污染防治措施后，废水、废气、噪声可达标排放，固废得到妥善处置，对周边环境影响较小。</w:t>
            </w:r>
          </w:p>
          <w:p w14:paraId="19902C01">
            <w:pPr>
              <w:bidi w:val="0"/>
              <w:rPr>
                <w:rFonts w:hint="eastAsia"/>
                <w:u w:val="single"/>
                <w:lang w:val="zh-CN"/>
              </w:rPr>
            </w:pPr>
            <w:r>
              <w:rPr>
                <w:rFonts w:hint="eastAsia"/>
                <w:u w:val="single"/>
                <w:lang w:val="zh-CN"/>
              </w:rPr>
              <w:t>综上，项目与区域环境相容，总平面布局合理。</w:t>
            </w:r>
          </w:p>
          <w:p w14:paraId="0B375A1D">
            <w:pPr>
              <w:bidi w:val="0"/>
              <w:rPr>
                <w:rFonts w:hint="eastAsia"/>
                <w:lang w:val="zh-CN"/>
              </w:rPr>
            </w:pPr>
          </w:p>
          <w:bookmarkEnd w:id="12"/>
          <w:bookmarkEnd w:id="13"/>
          <w:bookmarkEnd w:id="14"/>
          <w:bookmarkEnd w:id="15"/>
          <w:bookmarkEnd w:id="16"/>
          <w:bookmarkEnd w:id="17"/>
          <w:p w14:paraId="459C3CDE">
            <w:pPr>
              <w:pStyle w:val="99"/>
              <w:ind w:firstLine="480"/>
              <w:rPr>
                <w:rFonts w:hint="eastAsia" w:eastAsia="宋体"/>
                <w:lang w:eastAsia="zh-CN"/>
              </w:rPr>
            </w:pPr>
          </w:p>
        </w:tc>
      </w:tr>
    </w:tbl>
    <w:p w14:paraId="53F7429D">
      <w:pPr>
        <w:numPr>
          <w:ilvl w:val="0"/>
          <w:numId w:val="2"/>
        </w:numPr>
        <w:ind w:firstLine="480"/>
        <w:sectPr>
          <w:footerReference r:id="rId13" w:type="default"/>
          <w:pgSz w:w="11906" w:h="16838"/>
          <w:pgMar w:top="1440" w:right="1080" w:bottom="1440" w:left="1080" w:header="851" w:footer="737" w:gutter="0"/>
          <w:pgNumType w:start="1"/>
          <w:cols w:space="720" w:num="1"/>
          <w:docGrid w:type="lines" w:linePitch="312" w:charSpace="0"/>
        </w:sectPr>
      </w:pPr>
    </w:p>
    <w:p w14:paraId="1A40C2D4">
      <w:pPr>
        <w:pStyle w:val="3"/>
      </w:pPr>
      <w:bookmarkStart w:id="18" w:name="_Toc4552"/>
      <w:bookmarkStart w:id="19" w:name="_Toc69978396"/>
      <w:bookmarkStart w:id="20" w:name="_Toc69979310"/>
      <w:bookmarkStart w:id="21" w:name="_Toc216"/>
      <w:bookmarkStart w:id="22" w:name="_Toc69978187"/>
      <w:bookmarkStart w:id="23" w:name="_Toc69978264"/>
      <w:bookmarkStart w:id="24" w:name="_Toc15209"/>
      <w:bookmarkStart w:id="25" w:name="_Toc30067"/>
      <w:bookmarkStart w:id="26" w:name="_Toc69979333"/>
      <w:r>
        <w:rPr>
          <w:rFonts w:hint="eastAsia"/>
        </w:rPr>
        <w:t>二</w:t>
      </w:r>
      <w:r>
        <w:t>、</w:t>
      </w:r>
      <w:r>
        <w:rPr>
          <w:rFonts w:hint="eastAsia"/>
        </w:rPr>
        <w:t>建设项目工程分析</w:t>
      </w:r>
      <w:bookmarkEnd w:id="18"/>
      <w:bookmarkEnd w:id="19"/>
      <w:bookmarkEnd w:id="20"/>
      <w:bookmarkEnd w:id="21"/>
      <w:bookmarkEnd w:id="22"/>
      <w:bookmarkEnd w:id="23"/>
      <w:bookmarkEnd w:id="24"/>
      <w:bookmarkEnd w:id="25"/>
      <w:bookmarkEnd w:id="26"/>
    </w:p>
    <w:tbl>
      <w:tblPr>
        <w:tblStyle w:val="38"/>
        <w:tblpPr w:leftFromText="180" w:rightFromText="180" w:vertAnchor="text" w:tblpXSpec="righ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715"/>
      </w:tblGrid>
      <w:tr w14:paraId="6B16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242" w:type="dxa"/>
            <w:vAlign w:val="center"/>
          </w:tcPr>
          <w:p w14:paraId="70C22FB8">
            <w:pPr>
              <w:ind w:firstLine="0" w:firstLineChars="0"/>
              <w:jc w:val="center"/>
            </w:pPr>
            <w:r>
              <w:rPr>
                <w:rFonts w:hint="eastAsia"/>
                <w:b/>
                <w:bCs/>
              </w:rPr>
              <w:t>建设内容</w:t>
            </w:r>
          </w:p>
        </w:tc>
        <w:tc>
          <w:tcPr>
            <w:tcW w:w="8715" w:type="dxa"/>
          </w:tcPr>
          <w:p w14:paraId="4F3577C0">
            <w:pPr>
              <w:pStyle w:val="4"/>
              <w:bidi w:val="0"/>
              <w:spacing w:line="360" w:lineRule="auto"/>
              <w:rPr>
                <w:rFonts w:hint="eastAsia"/>
                <w:lang w:val="en-US" w:eastAsia="zh-CN"/>
              </w:rPr>
            </w:pPr>
            <w:r>
              <w:rPr>
                <w:rFonts w:hint="eastAsia"/>
                <w:lang w:val="en-US" w:eastAsia="zh-CN"/>
              </w:rPr>
              <w:t>2.1项目背景及概况</w:t>
            </w:r>
          </w:p>
          <w:p w14:paraId="787F553F">
            <w:pPr>
              <w:pStyle w:val="5"/>
              <w:bidi w:val="0"/>
              <w:spacing w:line="360" w:lineRule="auto"/>
              <w:ind w:firstLine="482" w:firstLineChars="200"/>
              <w:rPr>
                <w:rFonts w:hint="eastAsia"/>
                <w:sz w:val="24"/>
              </w:rPr>
            </w:pPr>
            <w:r>
              <w:rPr>
                <w:rFonts w:hint="eastAsia"/>
                <w:sz w:val="24"/>
              </w:rPr>
              <w:t>2.1.1项目由来</w:t>
            </w:r>
          </w:p>
          <w:p w14:paraId="5D5A861D">
            <w:pPr>
              <w:spacing w:line="360" w:lineRule="auto"/>
              <w:ind w:firstLine="480" w:firstLineChars="200"/>
              <w:rPr>
                <w:rFonts w:hint="eastAsia"/>
                <w:u w:val="single"/>
              </w:rPr>
            </w:pPr>
            <w:r>
              <w:rPr>
                <w:rFonts w:hint="eastAsia"/>
                <w:u w:val="single"/>
              </w:rPr>
              <w:t>随着洪江市经济社会快速发展，城镇建设活动中产生的建筑垃圾数量急剧增加，而</w:t>
            </w:r>
            <w:r>
              <w:rPr>
                <w:rFonts w:hint="eastAsia"/>
                <w:u w:val="single"/>
                <w:lang w:val="en-US" w:eastAsia="zh-CN"/>
              </w:rPr>
              <w:t>洪江市</w:t>
            </w:r>
            <w:r>
              <w:rPr>
                <w:rFonts w:hint="eastAsia"/>
                <w:u w:val="single"/>
              </w:rPr>
              <w:t>现有建筑垃圾处理设施严重不足</w:t>
            </w:r>
            <w:r>
              <w:rPr>
                <w:rFonts w:hint="eastAsia"/>
                <w:u w:val="single"/>
                <w:lang w:eastAsia="zh-CN"/>
              </w:rPr>
              <w:t>，</w:t>
            </w:r>
            <w:r>
              <w:rPr>
                <w:rFonts w:hint="eastAsia"/>
                <w:u w:val="single"/>
                <w:lang w:val="en-US" w:eastAsia="zh-CN"/>
              </w:rPr>
              <w:t>其中洪江市的</w:t>
            </w:r>
            <w:r>
              <w:rPr>
                <w:rFonts w:hint="eastAsia"/>
                <w:u w:val="single"/>
              </w:rPr>
              <w:t>黔城百丈消纳场总库容约10万</w:t>
            </w:r>
            <w:r>
              <w:rPr>
                <w:rFonts w:hint="eastAsia"/>
                <w:u w:val="single"/>
                <w:lang w:val="en-US" w:eastAsia="zh-CN"/>
              </w:rPr>
              <w:t>m</w:t>
            </w:r>
            <w:r>
              <w:rPr>
                <w:rFonts w:hint="eastAsia"/>
                <w:u w:val="single"/>
                <w:vertAlign w:val="superscript"/>
                <w:lang w:val="en-US" w:eastAsia="zh-CN"/>
              </w:rPr>
              <w:t>3</w:t>
            </w:r>
            <w:r>
              <w:rPr>
                <w:rFonts w:hint="eastAsia"/>
                <w:u w:val="single"/>
              </w:rPr>
              <w:t>，目前已趋于饱和，无法满足消纳需求；</w:t>
            </w:r>
            <w:r>
              <w:rPr>
                <w:rFonts w:hint="eastAsia"/>
                <w:u w:val="single"/>
                <w:lang w:val="en-US" w:eastAsia="zh-CN"/>
              </w:rPr>
              <w:t>洪江市安江镇两路口弃土场占地21874m</w:t>
            </w:r>
            <w:r>
              <w:rPr>
                <w:rFonts w:hint="eastAsia"/>
                <w:u w:val="single"/>
                <w:vertAlign w:val="superscript"/>
                <w:lang w:val="en-US" w:eastAsia="zh-CN"/>
              </w:rPr>
              <w:t>2</w:t>
            </w:r>
            <w:r>
              <w:rPr>
                <w:rFonts w:hint="eastAsia"/>
                <w:u w:val="single"/>
                <w:lang w:val="en-US" w:eastAsia="zh-CN"/>
              </w:rPr>
              <w:t>，总库容约40万m</w:t>
            </w:r>
            <w:r>
              <w:rPr>
                <w:rFonts w:hint="eastAsia"/>
                <w:u w:val="single"/>
                <w:vertAlign w:val="superscript"/>
                <w:lang w:val="en-US" w:eastAsia="zh-CN"/>
              </w:rPr>
              <w:t>3</w:t>
            </w:r>
            <w:r>
              <w:rPr>
                <w:rFonts w:hint="eastAsia"/>
                <w:u w:val="single"/>
                <w:lang w:val="en-US" w:eastAsia="zh-CN"/>
              </w:rPr>
              <w:t>，目前</w:t>
            </w:r>
            <w:r>
              <w:rPr>
                <w:rFonts w:hint="eastAsia"/>
                <w:u w:val="single"/>
              </w:rPr>
              <w:t>已趋于饱和，无法满足消纳需求；同时，洪江市东西向行政区域跨度大，东片区缺乏建筑垃圾消纳场所，资源化利用场仍处于建设完善阶段，尚未投用，导致大量建筑垃圾无法及时清运，乱堆乱放现象频发，造成环境污染并影响市容，群众反映强烈。</w:t>
            </w:r>
          </w:p>
          <w:p w14:paraId="5CDA0FD5">
            <w:pPr>
              <w:spacing w:line="360" w:lineRule="auto"/>
              <w:ind w:firstLine="480" w:firstLineChars="200"/>
              <w:rPr>
                <w:rFonts w:hint="eastAsia"/>
                <w:u w:val="single"/>
              </w:rPr>
            </w:pPr>
            <w:r>
              <w:rPr>
                <w:rFonts w:hint="eastAsia"/>
                <w:u w:val="single"/>
              </w:rPr>
              <w:t>安江镇龙田村存在一处因历史非法开采砂石遗留的采矿坑，坑深积水、缺乏安全防护，存在较大安全隐患。为同时解决建筑垃圾消纳难题和矿坑安全隐患，建设单位拟利用该历史遗留矿坑建设建筑垃圾堆填场，根据《湖南省建筑垃圾源头控制及处理技术标准》，消纳场宜优先选用废弃采矿坑、滩涂造地等，因此本项目建设既可消纳城市建筑垃圾、减轻环境污染，又能治理历史遗留矿坑、消除区域安全隐患，实现环境效益与社会效益的统一。</w:t>
            </w:r>
          </w:p>
          <w:p w14:paraId="10C933D5">
            <w:pPr>
              <w:spacing w:line="360" w:lineRule="auto"/>
              <w:ind w:firstLine="480" w:firstLineChars="200"/>
              <w:rPr>
                <w:rFonts w:hint="default" w:eastAsia="宋体"/>
                <w:u w:val="single"/>
                <w:lang w:val="en-US" w:eastAsia="zh-CN"/>
              </w:rPr>
            </w:pPr>
            <w:r>
              <w:rPr>
                <w:rFonts w:hint="eastAsia"/>
                <w:u w:val="single"/>
              </w:rPr>
              <w:t>洪江市城市管理和综合执法局拟投资</w:t>
            </w:r>
            <w:r>
              <w:rPr>
                <w:rFonts w:hint="eastAsia"/>
                <w:u w:val="single"/>
                <w:lang w:val="en-US" w:eastAsia="zh-CN"/>
              </w:rPr>
              <w:t>236</w:t>
            </w:r>
            <w:r>
              <w:rPr>
                <w:rFonts w:hint="eastAsia"/>
                <w:u w:val="single"/>
              </w:rPr>
              <w:t>万元，在洪江市安江镇龙田村建设“洪江市安江建筑垃圾堆填场建设项目</w:t>
            </w:r>
            <w:r>
              <w:rPr>
                <w:rFonts w:hint="eastAsia"/>
                <w:u w:val="single"/>
                <w:lang w:eastAsia="zh-CN"/>
              </w:rPr>
              <w:t>（</w:t>
            </w:r>
            <w:r>
              <w:rPr>
                <w:rFonts w:hint="eastAsia"/>
                <w:u w:val="single"/>
                <w:lang w:val="en-US" w:eastAsia="zh-CN"/>
              </w:rPr>
              <w:t>一期</w:t>
            </w:r>
            <w:r>
              <w:rPr>
                <w:rFonts w:hint="eastAsia"/>
                <w:u w:val="single"/>
                <w:lang w:eastAsia="zh-CN"/>
              </w:rPr>
              <w:t>）</w:t>
            </w:r>
            <w:r>
              <w:rPr>
                <w:rFonts w:hint="eastAsia"/>
                <w:u w:val="single"/>
              </w:rPr>
              <w:t>”，主要用于消纳城市开发建设过程中产生的建筑垃圾。该项目于2025年3月在洪江市发展和改革局完成备案（项目代码：2503-431281-04-01-729480）</w:t>
            </w:r>
            <w:r>
              <w:rPr>
                <w:rFonts w:hint="eastAsia"/>
                <w:u w:val="single"/>
                <w:lang w:eastAsia="zh-CN"/>
              </w:rPr>
              <w:t>，</w:t>
            </w:r>
            <w:r>
              <w:rPr>
                <w:rFonts w:hint="eastAsia"/>
                <w:u w:val="single"/>
                <w:lang w:val="en-US" w:eastAsia="zh-CN"/>
              </w:rPr>
              <w:t>备案内容为</w:t>
            </w:r>
            <w:r>
              <w:rPr>
                <w:rFonts w:hint="eastAsia"/>
                <w:u w:val="single"/>
              </w:rPr>
              <w:t>项目总用地面积46.8亩，分两期建设。其中一期工程用地11.2亩，直接利用现有废弃矿坑进行堆填，设计库容</w:t>
            </w:r>
            <w:r>
              <w:rPr>
                <w:rFonts w:hint="eastAsia"/>
                <w:color w:val="auto"/>
                <w:u w:val="single"/>
              </w:rPr>
              <w:t>8万立方米；</w:t>
            </w:r>
            <w:r>
              <w:rPr>
                <w:rFonts w:hint="eastAsia"/>
                <w:u w:val="single"/>
              </w:rPr>
              <w:t>二期工程用地35.6亩，为相邻区域的新建堆填场，设计库容36万立方米。项目主要服务于</w:t>
            </w:r>
            <w:r>
              <w:rPr>
                <w:rFonts w:hint="eastAsia"/>
                <w:u w:val="single"/>
                <w:lang w:val="en-US" w:eastAsia="zh-CN"/>
              </w:rPr>
              <w:t>安江镇及周边</w:t>
            </w:r>
            <w:r>
              <w:rPr>
                <w:rFonts w:hint="eastAsia"/>
                <w:u w:val="single"/>
              </w:rPr>
              <w:t>区域建筑垃圾规范化处置需求</w:t>
            </w:r>
            <w:r>
              <w:rPr>
                <w:rFonts w:hint="eastAsia"/>
                <w:u w:val="single"/>
                <w:lang w:eastAsia="zh-CN"/>
              </w:rPr>
              <w:t>。</w:t>
            </w:r>
            <w:r>
              <w:rPr>
                <w:rFonts w:hint="eastAsia"/>
                <w:u w:val="single"/>
              </w:rPr>
              <w:t>洪江市城市管理和综合执法局已委托中晟恒昌设计集团有限公司，完成了堆填场的初步设计</w:t>
            </w:r>
            <w:r>
              <w:rPr>
                <w:rFonts w:hint="eastAsia"/>
                <w:u w:val="single"/>
                <w:lang w:eastAsia="zh-CN"/>
              </w:rPr>
              <w:t>（</w:t>
            </w:r>
            <w:r>
              <w:rPr>
                <w:rFonts w:hint="eastAsia"/>
                <w:u w:val="single"/>
                <w:lang w:val="en-US" w:eastAsia="zh-CN"/>
              </w:rPr>
              <w:t>设计图纸详见附图2</w:t>
            </w:r>
            <w:r>
              <w:rPr>
                <w:rFonts w:hint="eastAsia"/>
                <w:u w:val="single"/>
                <w:lang w:eastAsia="zh-CN"/>
              </w:rPr>
              <w:t>）</w:t>
            </w:r>
            <w:r>
              <w:rPr>
                <w:rFonts w:hint="eastAsia"/>
                <w:u w:val="single"/>
                <w:lang w:val="en-US" w:eastAsia="zh-CN"/>
              </w:rPr>
              <w:t>。</w:t>
            </w:r>
          </w:p>
          <w:p w14:paraId="4AB61ABC">
            <w:pPr>
              <w:spacing w:line="360" w:lineRule="auto"/>
              <w:ind w:firstLine="480" w:firstLineChars="200"/>
              <w:rPr>
                <w:rFonts w:hint="eastAsia"/>
                <w:u w:val="single"/>
              </w:rPr>
            </w:pPr>
            <w:r>
              <w:rPr>
                <w:rFonts w:hint="eastAsia"/>
                <w:u w:val="single"/>
              </w:rPr>
              <w:t>本次环境影响评价仅针对项目一期工程，</w:t>
            </w:r>
            <w:r>
              <w:rPr>
                <w:rFonts w:hint="eastAsia"/>
                <w:u w:val="single"/>
                <w:lang w:val="en-US" w:eastAsia="zh-CN"/>
              </w:rPr>
              <w:t>一期工程按场地实际情况设计库容为5万立方米，</w:t>
            </w:r>
            <w:r>
              <w:rPr>
                <w:rFonts w:hint="eastAsia"/>
                <w:u w:val="single"/>
              </w:rPr>
              <w:t>二期工程将另行环评。一期工程主要实施场地平整、边坡支护、进场道路、</w:t>
            </w:r>
            <w:r>
              <w:rPr>
                <w:rFonts w:hint="eastAsia"/>
                <w:u w:val="single"/>
                <w:lang w:val="en-US" w:eastAsia="zh-CN"/>
              </w:rPr>
              <w:t>分拣平台、</w:t>
            </w:r>
            <w:r>
              <w:rPr>
                <w:rFonts w:hint="eastAsia"/>
                <w:u w:val="single"/>
              </w:rPr>
              <w:t>排水防洪及地埋涵管等主体工程，配套建设管理用房、洗车台、地磅、场区围挡等设施，以及强弱电工程和国防光缆迁改工程。</w:t>
            </w:r>
          </w:p>
          <w:p w14:paraId="585F8D8C">
            <w:pPr>
              <w:spacing w:line="360" w:lineRule="auto"/>
              <w:ind w:firstLine="480" w:firstLineChars="200"/>
              <w:rPr>
                <w:rFonts w:hint="eastAsia"/>
                <w:lang w:eastAsia="zh-CN"/>
              </w:rPr>
            </w:pPr>
            <w:r>
              <w:rPr>
                <w:rFonts w:hint="eastAsia"/>
              </w:rPr>
              <w:t xml:space="preserve"> 根据《中华人民共和国环境影响评价法》等相关法律法规要求，本项目应进行环境影响评价。洪江市城市管理和综合执法局委托我公司承担该项目环评工作。接受委托后，我公司组织技术人员进行了现场踏勘和资料收集，并依据环境影响评价技术导则，编制完成了《洪江市安江建筑垃圾堆填场建设项目（一期）环境影响报告表》，现供建设单位上报审批。</w:t>
            </w:r>
          </w:p>
          <w:p w14:paraId="7C0CB22B">
            <w:pPr>
              <w:pStyle w:val="5"/>
              <w:bidi w:val="0"/>
              <w:spacing w:line="360" w:lineRule="auto"/>
              <w:ind w:firstLine="482" w:firstLineChars="200"/>
              <w:rPr>
                <w:rFonts w:hint="eastAsia"/>
                <w:sz w:val="24"/>
              </w:rPr>
            </w:pPr>
            <w:r>
              <w:rPr>
                <w:rFonts w:hint="eastAsia"/>
                <w:sz w:val="24"/>
              </w:rPr>
              <w:t>2.1.2类别判定</w:t>
            </w:r>
          </w:p>
          <w:p w14:paraId="7BC5914C">
            <w:pPr>
              <w:spacing w:line="360" w:lineRule="auto"/>
              <w:ind w:firstLine="480" w:firstLineChars="200"/>
              <w:rPr>
                <w:rFonts w:hint="eastAsia"/>
                <w:sz w:val="24"/>
              </w:rPr>
            </w:pPr>
            <w:r>
              <w:rPr>
                <w:rFonts w:hint="eastAsia"/>
                <w:sz w:val="24"/>
              </w:rPr>
              <w:t>本项目为</w:t>
            </w:r>
            <w:r>
              <w:rPr>
                <w:rFonts w:hint="eastAsia"/>
                <w:sz w:val="24"/>
                <w:lang w:val="en-US" w:eastAsia="zh-CN"/>
              </w:rPr>
              <w:t>建筑垃圾堆填场</w:t>
            </w:r>
            <w:r>
              <w:rPr>
                <w:rFonts w:hint="eastAsia"/>
                <w:sz w:val="24"/>
              </w:rPr>
              <w:t>，经查询《国民经济行业分类》（GB/T4757-2017），本项目属于“N7723 固体废物治理”。根据《中华人民共和国环境保护法》、《中华人民共和国环境影响评价法》、《建设项目环境保护管理条例》中有关规定，建设项目应开展环境影响评价工作。对照《建设项目环境</w:t>
            </w:r>
            <w:r>
              <w:rPr>
                <w:rFonts w:hint="eastAsia"/>
                <w:sz w:val="24"/>
                <w:lang w:val="en-US" w:eastAsia="zh-CN"/>
              </w:rPr>
              <w:t>影响评价</w:t>
            </w:r>
            <w:r>
              <w:rPr>
                <w:rFonts w:hint="eastAsia"/>
                <w:sz w:val="24"/>
              </w:rPr>
              <w:t>分类管理名录（2021版）》（2021年1月1日实施），属于“四十七、生态保护和环境治理业中的103 一般工业固体废物（含污水处理污泥）、建筑施工废弃物处置及综合利用”的其他类别，需编制环境影响报告表。</w:t>
            </w:r>
          </w:p>
          <w:p w14:paraId="53AC9403">
            <w:pPr>
              <w:spacing w:line="360" w:lineRule="auto"/>
              <w:ind w:firstLine="480" w:firstLineChars="200"/>
              <w:rPr>
                <w:rFonts w:hint="eastAsia"/>
                <w:sz w:val="24"/>
              </w:rPr>
            </w:pPr>
            <w:r>
              <w:rPr>
                <w:rFonts w:hint="eastAsia"/>
                <w:sz w:val="24"/>
              </w:rPr>
              <w:t>本项目环境影响评价类别判定情况见下表：</w:t>
            </w:r>
          </w:p>
          <w:p w14:paraId="4C772171">
            <w:pPr>
              <w:pStyle w:val="44"/>
              <w:bidi w:val="0"/>
              <w:rPr>
                <w:rFonts w:hint="eastAsia"/>
                <w:lang w:val="en-US" w:eastAsia="zh-CN"/>
              </w:rPr>
            </w:pPr>
            <w:r>
              <w:rPr>
                <w:rFonts w:hint="eastAsia"/>
                <w:lang w:val="en-US" w:eastAsia="zh-CN"/>
              </w:rPr>
              <w:t>表2.1-1：环境影响评价类别判定情况表（节选）</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2611"/>
              <w:gridCol w:w="3318"/>
              <w:gridCol w:w="890"/>
              <w:gridCol w:w="1000"/>
            </w:tblGrid>
            <w:tr w14:paraId="382E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933" w:type="pct"/>
                  <w:gridSpan w:val="2"/>
                  <w:tcBorders>
                    <w:top w:val="single" w:color="auto" w:sz="4" w:space="0"/>
                    <w:left w:val="single" w:color="auto" w:sz="4" w:space="0"/>
                    <w:bottom w:val="single" w:color="auto" w:sz="4" w:space="0"/>
                    <w:right w:val="single" w:color="auto" w:sz="4" w:space="0"/>
                    <w:tl2br w:val="single" w:color="auto" w:sz="4" w:space="0"/>
                  </w:tcBorders>
                  <w:noWrap w:val="0"/>
                  <w:vAlign w:val="center"/>
                </w:tcPr>
                <w:p w14:paraId="3A069BC5">
                  <w:pPr>
                    <w:pStyle w:val="115"/>
                    <w:bidi w:val="0"/>
                    <w:jc w:val="right"/>
                    <w:rPr>
                      <w:rFonts w:hint="default"/>
                      <w:b/>
                      <w:bCs/>
                      <w:lang w:val="en-US" w:eastAsia="zh-CN"/>
                    </w:rPr>
                  </w:pPr>
                  <w:bookmarkStart w:id="27" w:name="_Hlk103344003"/>
                  <w:r>
                    <w:rPr>
                      <w:rFonts w:hint="default"/>
                      <w:b/>
                      <w:bCs/>
                      <w:lang w:val="en-US" w:eastAsia="zh-CN"/>
                    </w:rPr>
                    <w:t>环评类别</w:t>
                  </w:r>
                </w:p>
                <w:p w14:paraId="6E382EFB">
                  <w:pPr>
                    <w:pStyle w:val="115"/>
                    <w:bidi w:val="0"/>
                    <w:jc w:val="left"/>
                    <w:rPr>
                      <w:rFonts w:hint="default"/>
                      <w:b/>
                      <w:bCs/>
                      <w:lang w:val="en-US" w:eastAsia="zh-CN"/>
                    </w:rPr>
                  </w:pPr>
                  <w:r>
                    <w:rPr>
                      <w:rFonts w:hint="default"/>
                      <w:b/>
                      <w:bCs/>
                      <w:lang w:val="en-US" w:eastAsia="zh-CN"/>
                    </w:rPr>
                    <w:t>项目类别</w:t>
                  </w:r>
                </w:p>
              </w:tc>
              <w:tc>
                <w:tcPr>
                  <w:tcW w:w="1954" w:type="pct"/>
                  <w:tcBorders>
                    <w:top w:val="single" w:color="auto" w:sz="4" w:space="0"/>
                    <w:left w:val="single" w:color="auto" w:sz="4" w:space="0"/>
                    <w:right w:val="single" w:color="auto" w:sz="4" w:space="0"/>
                  </w:tcBorders>
                  <w:noWrap w:val="0"/>
                  <w:vAlign w:val="center"/>
                </w:tcPr>
                <w:p w14:paraId="2D3357E4">
                  <w:pPr>
                    <w:pStyle w:val="115"/>
                    <w:bidi w:val="0"/>
                    <w:rPr>
                      <w:rFonts w:hint="default"/>
                      <w:b/>
                      <w:bCs/>
                      <w:lang w:val="en-US" w:eastAsia="zh-CN"/>
                    </w:rPr>
                  </w:pPr>
                  <w:r>
                    <w:rPr>
                      <w:rFonts w:hint="default"/>
                      <w:b/>
                      <w:bCs/>
                      <w:lang w:val="en-US" w:eastAsia="zh-CN"/>
                    </w:rPr>
                    <w:t>报告书</w:t>
                  </w:r>
                </w:p>
              </w:tc>
              <w:tc>
                <w:tcPr>
                  <w:tcW w:w="524" w:type="pct"/>
                  <w:tcBorders>
                    <w:top w:val="single" w:color="auto" w:sz="4" w:space="0"/>
                    <w:left w:val="single" w:color="auto" w:sz="4" w:space="0"/>
                    <w:right w:val="single" w:color="auto" w:sz="4" w:space="0"/>
                  </w:tcBorders>
                  <w:noWrap w:val="0"/>
                  <w:vAlign w:val="center"/>
                </w:tcPr>
                <w:p w14:paraId="6FC47233">
                  <w:pPr>
                    <w:pStyle w:val="115"/>
                    <w:bidi w:val="0"/>
                    <w:rPr>
                      <w:rFonts w:hint="default"/>
                      <w:b/>
                      <w:bCs/>
                      <w:lang w:val="en-US" w:eastAsia="zh-CN"/>
                    </w:rPr>
                  </w:pPr>
                  <w:r>
                    <w:rPr>
                      <w:rFonts w:hint="default"/>
                      <w:b/>
                      <w:bCs/>
                      <w:lang w:val="en-US" w:eastAsia="zh-CN"/>
                    </w:rPr>
                    <w:t>报告表</w:t>
                  </w:r>
                </w:p>
              </w:tc>
              <w:tc>
                <w:tcPr>
                  <w:tcW w:w="587" w:type="pct"/>
                  <w:tcBorders>
                    <w:top w:val="single" w:color="auto" w:sz="4" w:space="0"/>
                    <w:left w:val="single" w:color="auto" w:sz="4" w:space="0"/>
                    <w:right w:val="single" w:color="auto" w:sz="4" w:space="0"/>
                  </w:tcBorders>
                  <w:noWrap w:val="0"/>
                  <w:vAlign w:val="center"/>
                </w:tcPr>
                <w:p w14:paraId="06E0EB4A">
                  <w:pPr>
                    <w:pStyle w:val="115"/>
                    <w:bidi w:val="0"/>
                    <w:rPr>
                      <w:rFonts w:hint="default"/>
                      <w:b/>
                      <w:bCs/>
                      <w:lang w:val="en-US" w:eastAsia="zh-CN"/>
                    </w:rPr>
                  </w:pPr>
                  <w:r>
                    <w:rPr>
                      <w:rFonts w:hint="default"/>
                      <w:b/>
                      <w:bCs/>
                      <w:lang w:val="en-US" w:eastAsia="zh-CN"/>
                    </w:rPr>
                    <w:t>登记表</w:t>
                  </w:r>
                </w:p>
              </w:tc>
            </w:tr>
            <w:tr w14:paraId="0DBA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5E9F6CD6">
                  <w:pPr>
                    <w:pStyle w:val="115"/>
                    <w:bidi w:val="0"/>
                    <w:rPr>
                      <w:rFonts w:hint="default"/>
                      <w:lang w:val="en-US" w:eastAsia="zh-CN"/>
                    </w:rPr>
                  </w:pPr>
                  <w:r>
                    <w:rPr>
                      <w:rFonts w:hint="eastAsia"/>
                      <w:lang w:val="en-US" w:eastAsia="zh-CN"/>
                    </w:rPr>
                    <w:t>四十七、生态保护和环境治理业</w:t>
                  </w:r>
                </w:p>
              </w:tc>
            </w:tr>
            <w:tr w14:paraId="4EA4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395" w:type="pct"/>
                  <w:tcBorders>
                    <w:top w:val="single" w:color="auto" w:sz="4" w:space="0"/>
                    <w:left w:val="single" w:color="auto" w:sz="4" w:space="0"/>
                    <w:bottom w:val="single" w:color="auto" w:sz="4" w:space="0"/>
                    <w:right w:val="single" w:color="auto" w:sz="4" w:space="0"/>
                  </w:tcBorders>
                  <w:noWrap w:val="0"/>
                  <w:vAlign w:val="center"/>
                </w:tcPr>
                <w:p w14:paraId="78B07A94">
                  <w:pPr>
                    <w:pStyle w:val="115"/>
                    <w:bidi w:val="0"/>
                    <w:rPr>
                      <w:rFonts w:hint="default"/>
                      <w:lang w:val="en-US" w:eastAsia="zh-CN"/>
                    </w:rPr>
                  </w:pPr>
                  <w:r>
                    <w:rPr>
                      <w:rFonts w:hint="eastAsia"/>
                      <w:lang w:val="en-US" w:eastAsia="zh-CN"/>
                    </w:rPr>
                    <w:t>103</w:t>
                  </w:r>
                </w:p>
              </w:tc>
              <w:tc>
                <w:tcPr>
                  <w:tcW w:w="1537" w:type="pct"/>
                  <w:tcBorders>
                    <w:top w:val="single" w:color="auto" w:sz="4" w:space="0"/>
                    <w:left w:val="single" w:color="auto" w:sz="4" w:space="0"/>
                    <w:bottom w:val="single" w:color="auto" w:sz="4" w:space="0"/>
                    <w:right w:val="single" w:color="auto" w:sz="4" w:space="0"/>
                  </w:tcBorders>
                  <w:noWrap w:val="0"/>
                  <w:vAlign w:val="center"/>
                </w:tcPr>
                <w:p w14:paraId="0C29740F">
                  <w:pPr>
                    <w:pStyle w:val="115"/>
                    <w:bidi w:val="0"/>
                    <w:rPr>
                      <w:rFonts w:hint="eastAsia"/>
                      <w:lang w:val="en-US" w:eastAsia="zh-CN"/>
                    </w:rPr>
                  </w:pPr>
                  <w:r>
                    <w:rPr>
                      <w:rFonts w:hint="eastAsia"/>
                      <w:lang w:val="en-US" w:eastAsia="zh-CN"/>
                    </w:rPr>
                    <w:t>一般工业固体废物 （含污水处理污泥）、建筑施工废弃物处置 及综合利用</w:t>
                  </w:r>
                </w:p>
              </w:tc>
              <w:tc>
                <w:tcPr>
                  <w:tcW w:w="1954" w:type="pct"/>
                  <w:tcBorders>
                    <w:top w:val="single" w:color="auto" w:sz="4" w:space="0"/>
                    <w:left w:val="single" w:color="auto" w:sz="4" w:space="0"/>
                    <w:bottom w:val="single" w:color="auto" w:sz="4" w:space="0"/>
                    <w:right w:val="single" w:color="auto" w:sz="4" w:space="0"/>
                  </w:tcBorders>
                  <w:noWrap w:val="0"/>
                  <w:vAlign w:val="center"/>
                </w:tcPr>
                <w:p w14:paraId="15A281A0">
                  <w:pPr>
                    <w:pStyle w:val="115"/>
                    <w:bidi w:val="0"/>
                    <w:rPr>
                      <w:rFonts w:hint="eastAsia"/>
                      <w:lang w:val="en-US" w:eastAsia="zh-CN"/>
                    </w:rPr>
                  </w:pPr>
                  <w:r>
                    <w:rPr>
                      <w:rFonts w:hint="eastAsia"/>
                      <w:lang w:val="en-US" w:eastAsia="zh-CN"/>
                    </w:rPr>
                    <w:t>一般工业固体废物（含污水处理污泥）采取填埋、焚烧（水泥窑协同处置的改造项目除外）方式的</w:t>
                  </w:r>
                </w:p>
              </w:tc>
              <w:tc>
                <w:tcPr>
                  <w:tcW w:w="524" w:type="pct"/>
                  <w:tcBorders>
                    <w:top w:val="single" w:color="auto" w:sz="4" w:space="0"/>
                    <w:left w:val="single" w:color="auto" w:sz="4" w:space="0"/>
                    <w:bottom w:val="single" w:color="auto" w:sz="4" w:space="0"/>
                    <w:right w:val="single" w:color="auto" w:sz="4" w:space="0"/>
                  </w:tcBorders>
                  <w:noWrap w:val="0"/>
                  <w:vAlign w:val="center"/>
                </w:tcPr>
                <w:p w14:paraId="34A00EFF">
                  <w:pPr>
                    <w:pStyle w:val="115"/>
                    <w:bidi w:val="0"/>
                    <w:rPr>
                      <w:rFonts w:hint="eastAsia"/>
                      <w:lang w:val="en-US" w:eastAsia="zh-CN"/>
                    </w:rPr>
                  </w:pPr>
                  <w:r>
                    <w:rPr>
                      <w:rFonts w:hint="eastAsia"/>
                      <w:lang w:val="en-US" w:eastAsia="zh-CN"/>
                    </w:rPr>
                    <w:t>其他</w:t>
                  </w:r>
                </w:p>
              </w:tc>
              <w:tc>
                <w:tcPr>
                  <w:tcW w:w="587" w:type="pct"/>
                  <w:tcBorders>
                    <w:top w:val="single" w:color="auto" w:sz="4" w:space="0"/>
                    <w:left w:val="single" w:color="auto" w:sz="4" w:space="0"/>
                    <w:bottom w:val="single" w:color="auto" w:sz="4" w:space="0"/>
                    <w:right w:val="single" w:color="auto" w:sz="4" w:space="0"/>
                  </w:tcBorders>
                  <w:noWrap w:val="0"/>
                  <w:vAlign w:val="center"/>
                </w:tcPr>
                <w:p w14:paraId="40B9CD83">
                  <w:pPr>
                    <w:pStyle w:val="115"/>
                    <w:bidi w:val="0"/>
                    <w:rPr>
                      <w:rFonts w:hint="eastAsia"/>
                      <w:lang w:val="en-US" w:eastAsia="zh-CN"/>
                    </w:rPr>
                  </w:pPr>
                  <w:r>
                    <w:rPr>
                      <w:rFonts w:hint="eastAsia"/>
                      <w:lang w:val="en-US" w:eastAsia="zh-CN"/>
                    </w:rPr>
                    <w:t>/</w:t>
                  </w:r>
                </w:p>
              </w:tc>
            </w:tr>
            <w:bookmarkEnd w:id="27"/>
          </w:tbl>
          <w:p w14:paraId="7316DF5C">
            <w:pPr>
              <w:bidi w:val="0"/>
              <w:rPr>
                <w:rFonts w:hint="eastAsia"/>
              </w:rPr>
            </w:pPr>
            <w:bookmarkStart w:id="28" w:name="_Hlk103344231"/>
            <w:r>
              <w:rPr>
                <w:rFonts w:hint="eastAsia"/>
              </w:rPr>
              <w:t>本项目服务对象为城市垃圾范畴中的建筑垃圾，不属于工业固体废物范畴，因此不按一般工业固体废物管理，由上表可知，本项目为“四十七、生态保护和环境治理业”中的103一般工业固体废物 （含污水处理污泥）、建筑施工废弃物处置及综合利用”中的其他类型，属于报告表类别。</w:t>
            </w:r>
            <w:bookmarkEnd w:id="28"/>
          </w:p>
          <w:p w14:paraId="67021766">
            <w:pPr>
              <w:pStyle w:val="5"/>
              <w:bidi w:val="0"/>
              <w:spacing w:line="360" w:lineRule="auto"/>
              <w:ind w:firstLine="482" w:firstLineChars="200"/>
              <w:rPr>
                <w:rFonts w:hint="eastAsia"/>
                <w:sz w:val="24"/>
              </w:rPr>
            </w:pPr>
            <w:r>
              <w:rPr>
                <w:rFonts w:hint="eastAsia"/>
                <w:sz w:val="24"/>
              </w:rPr>
              <w:t>2.1.3项目概况</w:t>
            </w:r>
          </w:p>
          <w:p w14:paraId="21AC5364">
            <w:pPr>
              <w:pStyle w:val="192"/>
              <w:widowControl w:val="0"/>
              <w:ind w:firstLine="480"/>
            </w:pPr>
            <w:r>
              <w:t>项目名称：</w:t>
            </w:r>
            <w:r>
              <w:rPr>
                <w:rFonts w:hint="eastAsia"/>
              </w:rPr>
              <w:t>洪江市建筑垃圾安江堆填场建设项目（一期）</w:t>
            </w:r>
          </w:p>
          <w:p w14:paraId="2EC068FE">
            <w:pPr>
              <w:pStyle w:val="192"/>
              <w:widowControl w:val="0"/>
              <w:ind w:firstLine="480"/>
            </w:pPr>
            <w:r>
              <w:t>建设单位：</w:t>
            </w:r>
            <w:r>
              <w:rPr>
                <w:rFonts w:hint="eastAsia"/>
              </w:rPr>
              <w:t>洪江市城市管理和综合执法局</w:t>
            </w:r>
          </w:p>
          <w:p w14:paraId="2569357D">
            <w:pPr>
              <w:pStyle w:val="192"/>
              <w:widowControl w:val="0"/>
              <w:ind w:firstLine="480"/>
            </w:pPr>
            <w:r>
              <w:t>建设性质：</w:t>
            </w:r>
            <w:r>
              <w:rPr>
                <w:rFonts w:hint="eastAsia"/>
              </w:rPr>
              <w:t>新建</w:t>
            </w:r>
          </w:p>
          <w:p w14:paraId="39C20C2F">
            <w:pPr>
              <w:pStyle w:val="192"/>
              <w:widowControl w:val="0"/>
              <w:ind w:firstLine="480"/>
              <w:rPr>
                <w:rFonts w:hint="eastAsia"/>
              </w:rPr>
            </w:pPr>
            <w:r>
              <w:t>建设地点：</w:t>
            </w:r>
            <w:r>
              <w:rPr>
                <w:rFonts w:hint="eastAsia"/>
              </w:rPr>
              <w:t>湖南省怀化市洪江市安江镇龙田村</w:t>
            </w:r>
          </w:p>
          <w:p w14:paraId="04B4DC80">
            <w:pPr>
              <w:spacing w:line="360" w:lineRule="auto"/>
              <w:ind w:firstLine="480" w:firstLineChars="200"/>
              <w:rPr>
                <w:rFonts w:hint="eastAsia"/>
                <w:color w:val="auto"/>
                <w:sz w:val="24"/>
                <w:u w:val="single"/>
              </w:rPr>
            </w:pPr>
            <w:r>
              <w:rPr>
                <w:rFonts w:hint="eastAsia"/>
                <w:color w:val="auto"/>
                <w:sz w:val="24"/>
                <w:u w:val="single"/>
              </w:rPr>
              <w:t>项目规模：</w:t>
            </w:r>
            <w:r>
              <w:rPr>
                <w:rFonts w:hint="eastAsia"/>
                <w:color w:val="auto"/>
                <w:sz w:val="24"/>
                <w:u w:val="single"/>
                <w:lang w:val="en-US" w:eastAsia="zh-CN"/>
              </w:rPr>
              <w:t>一期工程总占地为11.2亩（7452.06m</w:t>
            </w:r>
            <w:r>
              <w:rPr>
                <w:rFonts w:hint="eastAsia"/>
                <w:color w:val="auto"/>
                <w:sz w:val="24"/>
                <w:u w:val="single"/>
                <w:vertAlign w:val="superscript"/>
                <w:lang w:val="en-US" w:eastAsia="zh-CN"/>
              </w:rPr>
              <w:t>2</w:t>
            </w:r>
            <w:r>
              <w:rPr>
                <w:rFonts w:hint="eastAsia"/>
                <w:color w:val="auto"/>
                <w:sz w:val="24"/>
                <w:u w:val="single"/>
                <w:lang w:val="en-US" w:eastAsia="zh-CN"/>
              </w:rPr>
              <w:t>）</w:t>
            </w:r>
            <w:r>
              <w:rPr>
                <w:rFonts w:hint="eastAsia"/>
                <w:color w:val="auto"/>
                <w:sz w:val="24"/>
                <w:u w:val="single"/>
              </w:rPr>
              <w:t>，设计总库容</w:t>
            </w:r>
            <w:r>
              <w:rPr>
                <w:rFonts w:hint="eastAsia"/>
                <w:color w:val="auto"/>
                <w:sz w:val="24"/>
                <w:u w:val="single"/>
                <w:lang w:val="en-US" w:eastAsia="zh-CN"/>
              </w:rPr>
              <w:t>5</w:t>
            </w:r>
            <w:r>
              <w:rPr>
                <w:rFonts w:hint="eastAsia"/>
                <w:color w:val="auto"/>
                <w:sz w:val="24"/>
                <w:u w:val="single"/>
              </w:rPr>
              <w:t>万m</w:t>
            </w:r>
            <w:r>
              <w:rPr>
                <w:rFonts w:hint="eastAsia"/>
                <w:color w:val="auto"/>
                <w:sz w:val="24"/>
                <w:u w:val="single"/>
                <w:vertAlign w:val="superscript"/>
              </w:rPr>
              <w:t>3</w:t>
            </w:r>
            <w:r>
              <w:rPr>
                <w:rFonts w:hint="eastAsia"/>
                <w:color w:val="auto"/>
                <w:sz w:val="24"/>
                <w:u w:val="single"/>
              </w:rPr>
              <w:t>。主要用于消纳</w:t>
            </w:r>
            <w:r>
              <w:rPr>
                <w:rFonts w:hint="eastAsia"/>
                <w:color w:val="auto"/>
                <w:sz w:val="24"/>
                <w:u w:val="single"/>
                <w:lang w:val="en-US" w:eastAsia="zh-CN"/>
              </w:rPr>
              <w:t>建筑垃圾</w:t>
            </w:r>
            <w:r>
              <w:rPr>
                <w:rFonts w:hint="eastAsia"/>
                <w:color w:val="auto"/>
                <w:sz w:val="24"/>
                <w:u w:val="single"/>
              </w:rPr>
              <w:t>。</w:t>
            </w:r>
          </w:p>
          <w:p w14:paraId="32F083A4">
            <w:pPr>
              <w:spacing w:line="360" w:lineRule="auto"/>
              <w:ind w:firstLine="480" w:firstLineChars="200"/>
              <w:rPr>
                <w:rFonts w:hint="eastAsia"/>
                <w:color w:val="auto"/>
                <w:sz w:val="24"/>
                <w:u w:val="single"/>
              </w:rPr>
            </w:pPr>
            <w:r>
              <w:rPr>
                <w:rFonts w:hint="eastAsia"/>
                <w:color w:val="auto"/>
                <w:sz w:val="24"/>
                <w:u w:val="single"/>
              </w:rPr>
              <w:t>项目投资：</w:t>
            </w:r>
            <w:r>
              <w:rPr>
                <w:rFonts w:hint="eastAsia"/>
                <w:color w:val="auto"/>
                <w:sz w:val="24"/>
                <w:u w:val="single"/>
                <w:lang w:val="en-US" w:eastAsia="zh-CN"/>
              </w:rPr>
              <w:t>一期工程总投资236万元，其中环保投资89.1万元</w:t>
            </w:r>
            <w:r>
              <w:rPr>
                <w:rFonts w:hint="eastAsia"/>
                <w:color w:val="auto"/>
                <w:sz w:val="24"/>
                <w:u w:val="single"/>
              </w:rPr>
              <w:t>，占投资额比例</w:t>
            </w:r>
            <w:r>
              <w:rPr>
                <w:rFonts w:hint="eastAsia"/>
                <w:color w:val="auto"/>
                <w:sz w:val="24"/>
                <w:u w:val="single"/>
                <w:lang w:val="en-US" w:eastAsia="zh-CN"/>
              </w:rPr>
              <w:t>37.75</w:t>
            </w:r>
            <w:r>
              <w:rPr>
                <w:rFonts w:hint="eastAsia"/>
                <w:color w:val="auto"/>
                <w:sz w:val="24"/>
                <w:u w:val="single"/>
              </w:rPr>
              <w:t>%。</w:t>
            </w:r>
          </w:p>
          <w:p w14:paraId="75FA81A6">
            <w:pPr>
              <w:spacing w:line="360" w:lineRule="auto"/>
              <w:ind w:firstLine="480" w:firstLineChars="200"/>
              <w:rPr>
                <w:rFonts w:hint="eastAsia"/>
                <w:color w:val="auto"/>
                <w:sz w:val="24"/>
                <w:u w:val="single"/>
              </w:rPr>
            </w:pPr>
            <w:r>
              <w:rPr>
                <w:rFonts w:hint="eastAsia"/>
                <w:color w:val="auto"/>
                <w:sz w:val="24"/>
                <w:u w:val="single"/>
              </w:rPr>
              <w:t>工作制度及人员：</w:t>
            </w:r>
            <w:r>
              <w:rPr>
                <w:rFonts w:hint="eastAsia"/>
                <w:color w:val="auto"/>
                <w:sz w:val="24"/>
                <w:u w:val="single"/>
                <w:lang w:val="en-US" w:eastAsia="zh-CN"/>
              </w:rPr>
              <w:t>365</w:t>
            </w:r>
            <w:r>
              <w:rPr>
                <w:rFonts w:hint="eastAsia"/>
                <w:color w:val="auto"/>
                <w:sz w:val="24"/>
                <w:u w:val="single"/>
              </w:rPr>
              <w:t>天，职工</w:t>
            </w:r>
            <w:r>
              <w:rPr>
                <w:rFonts w:hint="eastAsia"/>
                <w:color w:val="auto"/>
                <w:sz w:val="24"/>
                <w:u w:val="single"/>
                <w:lang w:val="en-US" w:eastAsia="zh-CN"/>
              </w:rPr>
              <w:t>10</w:t>
            </w:r>
            <w:r>
              <w:rPr>
                <w:rFonts w:hint="eastAsia"/>
                <w:color w:val="auto"/>
                <w:sz w:val="24"/>
                <w:u w:val="single"/>
              </w:rPr>
              <w:t>人，</w:t>
            </w:r>
            <w:r>
              <w:rPr>
                <w:rFonts w:hint="eastAsia"/>
                <w:color w:val="auto"/>
                <w:sz w:val="24"/>
                <w:u w:val="single"/>
                <w:lang w:val="en-US" w:eastAsia="zh-CN"/>
              </w:rPr>
              <w:t>8</w:t>
            </w:r>
            <w:r>
              <w:rPr>
                <w:rFonts w:hint="eastAsia"/>
                <w:color w:val="auto"/>
                <w:sz w:val="24"/>
                <w:u w:val="single"/>
              </w:rPr>
              <w:t>小时工作制。</w:t>
            </w:r>
          </w:p>
          <w:p w14:paraId="58131993">
            <w:pPr>
              <w:pStyle w:val="4"/>
              <w:bidi w:val="0"/>
              <w:spacing w:line="360" w:lineRule="auto"/>
              <w:rPr>
                <w:rFonts w:hint="eastAsia"/>
                <w:lang w:val="en-US" w:eastAsia="zh-CN"/>
              </w:rPr>
            </w:pPr>
            <w:r>
              <w:rPr>
                <w:rFonts w:hint="eastAsia"/>
                <w:lang w:val="en-US" w:eastAsia="zh-CN"/>
              </w:rPr>
              <w:t>2.2主要建设内容及规模</w:t>
            </w:r>
          </w:p>
          <w:p w14:paraId="52B91B5A">
            <w:pPr>
              <w:spacing w:line="360" w:lineRule="auto"/>
              <w:ind w:firstLine="480" w:firstLineChars="200"/>
              <w:rPr>
                <w:rFonts w:hint="eastAsia"/>
                <w:sz w:val="24"/>
                <w:u w:val="single"/>
              </w:rPr>
            </w:pPr>
            <w:r>
              <w:rPr>
                <w:rFonts w:hint="eastAsia"/>
                <w:sz w:val="24"/>
                <w:u w:val="single"/>
              </w:rPr>
              <w:t>本项目选址于湖南省怀化市洪江市安江镇龙田村，</w:t>
            </w:r>
            <w:r>
              <w:rPr>
                <w:rFonts w:hint="eastAsia"/>
                <w:sz w:val="24"/>
                <w:u w:val="single"/>
                <w:lang w:val="en-US" w:eastAsia="zh-CN"/>
              </w:rPr>
              <w:t>一期</w:t>
            </w:r>
            <w:r>
              <w:rPr>
                <w:rFonts w:hint="eastAsia"/>
                <w:sz w:val="24"/>
                <w:u w:val="single"/>
              </w:rPr>
              <w:t>总用地面积</w:t>
            </w:r>
            <w:r>
              <w:rPr>
                <w:rFonts w:hint="eastAsia"/>
                <w:sz w:val="24"/>
                <w:u w:val="single"/>
                <w:lang w:val="en-US" w:eastAsia="zh-CN"/>
              </w:rPr>
              <w:t>7452.06</w:t>
            </w:r>
            <w:r>
              <w:rPr>
                <w:rFonts w:hint="eastAsia"/>
                <w:sz w:val="24"/>
                <w:u w:val="single"/>
              </w:rPr>
              <w:t>m</w:t>
            </w:r>
            <w:r>
              <w:rPr>
                <w:rFonts w:hint="eastAsia"/>
                <w:sz w:val="24"/>
                <w:u w:val="single"/>
                <w:vertAlign w:val="superscript"/>
              </w:rPr>
              <w:t>2</w:t>
            </w:r>
            <w:r>
              <w:rPr>
                <w:rFonts w:hint="eastAsia"/>
                <w:sz w:val="24"/>
                <w:u w:val="single"/>
              </w:rPr>
              <w:t>，</w:t>
            </w:r>
            <w:r>
              <w:rPr>
                <w:rFonts w:hint="eastAsia"/>
                <w:sz w:val="24"/>
                <w:u w:val="single"/>
                <w:lang w:val="en-US" w:eastAsia="zh-CN"/>
              </w:rPr>
              <w:t>一期</w:t>
            </w:r>
            <w:r>
              <w:rPr>
                <w:rFonts w:hint="eastAsia"/>
                <w:sz w:val="24"/>
                <w:u w:val="single"/>
              </w:rPr>
              <w:t>总库容为</w:t>
            </w:r>
            <w:r>
              <w:rPr>
                <w:rFonts w:hint="eastAsia"/>
                <w:sz w:val="24"/>
                <w:u w:val="single"/>
                <w:lang w:val="en-US" w:eastAsia="zh-CN"/>
              </w:rPr>
              <w:t>5</w:t>
            </w:r>
            <w:r>
              <w:rPr>
                <w:rFonts w:hint="eastAsia"/>
                <w:sz w:val="24"/>
                <w:u w:val="single"/>
              </w:rPr>
              <w:t>万立方米，服务年限为</w:t>
            </w:r>
            <w:r>
              <w:rPr>
                <w:rFonts w:hint="eastAsia"/>
                <w:sz w:val="24"/>
                <w:u w:val="single"/>
                <w:lang w:val="en-US" w:eastAsia="zh-CN"/>
              </w:rPr>
              <w:t>3.81</w:t>
            </w:r>
            <w:r>
              <w:rPr>
                <w:rFonts w:hint="eastAsia"/>
                <w:sz w:val="24"/>
                <w:u w:val="single"/>
              </w:rPr>
              <w:t>年，</w:t>
            </w:r>
            <w:r>
              <w:rPr>
                <w:rFonts w:hint="eastAsia"/>
                <w:sz w:val="24"/>
                <w:u w:val="single"/>
                <w:lang w:val="en-US" w:eastAsia="zh-CN"/>
              </w:rPr>
              <w:t>一期主要</w:t>
            </w:r>
            <w:r>
              <w:rPr>
                <w:rFonts w:hint="eastAsia"/>
                <w:sz w:val="24"/>
                <w:u w:val="single"/>
              </w:rPr>
              <w:t>利用</w:t>
            </w:r>
            <w:r>
              <w:rPr>
                <w:rFonts w:hint="eastAsia"/>
                <w:sz w:val="24"/>
                <w:u w:val="single"/>
                <w:lang w:val="en-US" w:eastAsia="zh-CN"/>
              </w:rPr>
              <w:t>历史</w:t>
            </w:r>
            <w:r>
              <w:rPr>
                <w:rFonts w:hint="eastAsia"/>
                <w:sz w:val="24"/>
                <w:u w:val="single"/>
              </w:rPr>
              <w:t>开采砂石矿形成的矿坑进行建筑垃圾消纳场库区的建设，主要建设工程包括</w:t>
            </w:r>
            <w:r>
              <w:rPr>
                <w:rFonts w:hint="eastAsia"/>
                <w:sz w:val="24"/>
                <w:u w:val="single"/>
                <w:lang w:val="en-US" w:eastAsia="zh-CN"/>
              </w:rPr>
              <w:t>堆填场</w:t>
            </w:r>
            <w:r>
              <w:rPr>
                <w:rFonts w:hint="eastAsia"/>
                <w:sz w:val="24"/>
                <w:u w:val="single"/>
              </w:rPr>
              <w:t>库区、进场道路、</w:t>
            </w:r>
            <w:r>
              <w:rPr>
                <w:rFonts w:hint="eastAsia"/>
                <w:sz w:val="24"/>
                <w:u w:val="single"/>
                <w:lang w:val="en-US" w:eastAsia="zh-CN"/>
              </w:rPr>
              <w:t>分拣平台、</w:t>
            </w:r>
            <w:r>
              <w:rPr>
                <w:rFonts w:hint="eastAsia"/>
                <w:sz w:val="24"/>
                <w:u w:val="single"/>
              </w:rPr>
              <w:t>管理用房、洗车平台、沉淀池、排水沟等。项目主要建设内容见表</w:t>
            </w:r>
            <w:r>
              <w:rPr>
                <w:rFonts w:hint="eastAsia"/>
                <w:sz w:val="24"/>
                <w:u w:val="single"/>
                <w:lang w:val="en-US" w:eastAsia="zh-CN"/>
              </w:rPr>
              <w:t>2.2-1</w:t>
            </w:r>
            <w:r>
              <w:rPr>
                <w:rFonts w:hint="eastAsia"/>
                <w:sz w:val="24"/>
                <w:u w:val="single"/>
              </w:rPr>
              <w:t>。</w:t>
            </w:r>
          </w:p>
          <w:p w14:paraId="77B20596">
            <w:pPr>
              <w:pStyle w:val="44"/>
              <w:bidi w:val="0"/>
              <w:rPr>
                <w:rFonts w:hint="eastAsia"/>
                <w:u w:val="single"/>
                <w:lang w:val="en-US" w:eastAsia="zh-CN"/>
              </w:rPr>
            </w:pPr>
            <w:r>
              <w:rPr>
                <w:rFonts w:hint="eastAsia"/>
                <w:u w:val="single"/>
                <w:lang w:val="en-US" w:eastAsia="zh-CN"/>
              </w:rPr>
              <w:t>表2.2-1：项目主要建设内容一览表</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9"/>
              <w:gridCol w:w="1610"/>
              <w:gridCol w:w="4988"/>
              <w:gridCol w:w="1072"/>
            </w:tblGrid>
            <w:tr w14:paraId="5231C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noWrap w:val="0"/>
                  <w:vAlign w:val="center"/>
                </w:tcPr>
                <w:p w14:paraId="338F70BF">
                  <w:pPr>
                    <w:pStyle w:val="115"/>
                    <w:bidi w:val="0"/>
                    <w:rPr>
                      <w:b/>
                      <w:bCs/>
                      <w:u w:val="single"/>
                    </w:rPr>
                  </w:pPr>
                  <w:r>
                    <w:rPr>
                      <w:b/>
                      <w:bCs/>
                      <w:u w:val="single"/>
                    </w:rPr>
                    <w:t>工程类型</w:t>
                  </w:r>
                </w:p>
              </w:tc>
              <w:tc>
                <w:tcPr>
                  <w:tcW w:w="948" w:type="pct"/>
                  <w:noWrap w:val="0"/>
                  <w:vAlign w:val="center"/>
                </w:tcPr>
                <w:p w14:paraId="39F3CEFC">
                  <w:pPr>
                    <w:pStyle w:val="115"/>
                    <w:bidi w:val="0"/>
                    <w:rPr>
                      <w:b/>
                      <w:bCs/>
                      <w:u w:val="single"/>
                    </w:rPr>
                  </w:pPr>
                  <w:r>
                    <w:rPr>
                      <w:b/>
                      <w:bCs/>
                      <w:u w:val="single"/>
                    </w:rPr>
                    <w:t>工程名称</w:t>
                  </w:r>
                </w:p>
              </w:tc>
              <w:tc>
                <w:tcPr>
                  <w:tcW w:w="2937" w:type="pct"/>
                  <w:noWrap w:val="0"/>
                  <w:vAlign w:val="center"/>
                </w:tcPr>
                <w:p w14:paraId="44CCF098">
                  <w:pPr>
                    <w:pStyle w:val="115"/>
                    <w:bidi w:val="0"/>
                    <w:rPr>
                      <w:b/>
                      <w:bCs/>
                      <w:u w:val="single"/>
                    </w:rPr>
                  </w:pPr>
                  <w:r>
                    <w:rPr>
                      <w:b/>
                      <w:bCs/>
                      <w:u w:val="single"/>
                    </w:rPr>
                    <w:t>工程内容及规模</w:t>
                  </w:r>
                </w:p>
              </w:tc>
              <w:tc>
                <w:tcPr>
                  <w:tcW w:w="631" w:type="pct"/>
                  <w:noWrap w:val="0"/>
                  <w:vAlign w:val="center"/>
                </w:tcPr>
                <w:p w14:paraId="526406D1">
                  <w:pPr>
                    <w:pStyle w:val="115"/>
                    <w:bidi w:val="0"/>
                    <w:rPr>
                      <w:b/>
                      <w:bCs/>
                      <w:u w:val="single"/>
                    </w:rPr>
                  </w:pPr>
                  <w:r>
                    <w:rPr>
                      <w:b/>
                      <w:bCs/>
                      <w:u w:val="single"/>
                    </w:rPr>
                    <w:t>备注</w:t>
                  </w:r>
                </w:p>
              </w:tc>
            </w:tr>
            <w:tr w14:paraId="20BCE1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restart"/>
                  <w:noWrap w:val="0"/>
                  <w:vAlign w:val="center"/>
                </w:tcPr>
                <w:p w14:paraId="47CDB415">
                  <w:pPr>
                    <w:pStyle w:val="115"/>
                    <w:bidi w:val="0"/>
                    <w:rPr>
                      <w:u w:val="single"/>
                    </w:rPr>
                  </w:pPr>
                  <w:r>
                    <w:rPr>
                      <w:u w:val="single"/>
                    </w:rPr>
                    <w:t>主体工程</w:t>
                  </w:r>
                </w:p>
              </w:tc>
              <w:tc>
                <w:tcPr>
                  <w:tcW w:w="948" w:type="pct"/>
                  <w:noWrap w:val="0"/>
                  <w:vAlign w:val="center"/>
                </w:tcPr>
                <w:p w14:paraId="01457541">
                  <w:pPr>
                    <w:pStyle w:val="115"/>
                    <w:bidi w:val="0"/>
                    <w:rPr>
                      <w:rFonts w:hint="default" w:eastAsia="宋体"/>
                      <w:u w:val="single"/>
                      <w:lang w:val="en-US" w:eastAsia="zh-CN"/>
                    </w:rPr>
                  </w:pPr>
                  <w:r>
                    <w:rPr>
                      <w:rFonts w:hint="eastAsia"/>
                      <w:u w:val="single"/>
                      <w:lang w:val="en-US" w:eastAsia="zh-CN"/>
                    </w:rPr>
                    <w:t>堆填场库区</w:t>
                  </w:r>
                </w:p>
              </w:tc>
              <w:tc>
                <w:tcPr>
                  <w:tcW w:w="2937" w:type="pct"/>
                  <w:noWrap w:val="0"/>
                  <w:vAlign w:val="center"/>
                </w:tcPr>
                <w:p w14:paraId="4EE2042F">
                  <w:pPr>
                    <w:pStyle w:val="115"/>
                    <w:bidi w:val="0"/>
                    <w:rPr>
                      <w:rFonts w:hint="eastAsia" w:eastAsia="宋体"/>
                      <w:u w:val="single"/>
                      <w:lang w:eastAsia="zh-CN"/>
                    </w:rPr>
                  </w:pPr>
                  <w:r>
                    <w:rPr>
                      <w:rFonts w:hint="eastAsia"/>
                      <w:u w:val="single"/>
                      <w:lang w:val="en-US" w:eastAsia="zh-CN"/>
                    </w:rPr>
                    <w:t>一期工程</w:t>
                  </w:r>
                  <w:r>
                    <w:rPr>
                      <w:rFonts w:hint="eastAsia"/>
                      <w:u w:val="single"/>
                    </w:rPr>
                    <w:t>主要利用历史遗留矿坑进行建设，库区面积为</w:t>
                  </w:r>
                  <w:r>
                    <w:rPr>
                      <w:rFonts w:hint="eastAsia"/>
                      <w:u w:val="single"/>
                      <w:lang w:val="en-US" w:eastAsia="zh-CN"/>
                    </w:rPr>
                    <w:t>6056.56</w:t>
                  </w:r>
                  <w:r>
                    <w:rPr>
                      <w:rFonts w:hint="eastAsia"/>
                      <w:u w:val="single"/>
                    </w:rPr>
                    <w:t>m</w:t>
                  </w:r>
                  <w:r>
                    <w:rPr>
                      <w:rFonts w:hint="eastAsia"/>
                      <w:u w:val="single"/>
                      <w:vertAlign w:val="superscript"/>
                    </w:rPr>
                    <w:t>2</w:t>
                  </w:r>
                  <w:r>
                    <w:rPr>
                      <w:rFonts w:hint="eastAsia"/>
                      <w:u w:val="single"/>
                    </w:rPr>
                    <w:t>，</w:t>
                  </w:r>
                  <w:r>
                    <w:rPr>
                      <w:rFonts w:hint="eastAsia"/>
                      <w:u w:val="single"/>
                      <w:lang w:val="en-US" w:eastAsia="zh-CN"/>
                    </w:rPr>
                    <w:t>其中现有矿坑面积为2282m</w:t>
                  </w:r>
                  <w:r>
                    <w:rPr>
                      <w:rFonts w:hint="eastAsia"/>
                      <w:u w:val="single"/>
                      <w:vertAlign w:val="superscript"/>
                      <w:lang w:val="en-US" w:eastAsia="zh-CN"/>
                    </w:rPr>
                    <w:t>2</w:t>
                  </w:r>
                  <w:r>
                    <w:rPr>
                      <w:rFonts w:hint="eastAsia"/>
                      <w:u w:val="single"/>
                      <w:lang w:val="en-US" w:eastAsia="zh-CN"/>
                    </w:rPr>
                    <w:t>，深度为10m（可容纳22820m</w:t>
                  </w:r>
                  <w:r>
                    <w:rPr>
                      <w:rFonts w:hint="eastAsia"/>
                      <w:u w:val="single"/>
                      <w:vertAlign w:val="superscript"/>
                      <w:lang w:val="en-US" w:eastAsia="zh-CN"/>
                    </w:rPr>
                    <w:t>3</w:t>
                  </w:r>
                  <w:r>
                    <w:rPr>
                      <w:rFonts w:hint="eastAsia"/>
                      <w:u w:val="single"/>
                      <w:lang w:val="en-US" w:eastAsia="zh-CN"/>
                    </w:rPr>
                    <w:t>建筑垃圾），一期库区堆高5m（可容纳30282.8m</w:t>
                  </w:r>
                  <w:r>
                    <w:rPr>
                      <w:rFonts w:hint="eastAsia"/>
                      <w:u w:val="single"/>
                      <w:vertAlign w:val="superscript"/>
                      <w:lang w:val="en-US" w:eastAsia="zh-CN"/>
                    </w:rPr>
                    <w:t>3</w:t>
                  </w:r>
                  <w:r>
                    <w:rPr>
                      <w:rFonts w:hint="eastAsia"/>
                      <w:u w:val="single"/>
                      <w:lang w:val="en-US" w:eastAsia="zh-CN"/>
                    </w:rPr>
                    <w:t>建筑垃圾），设计</w:t>
                  </w:r>
                  <w:r>
                    <w:rPr>
                      <w:rFonts w:hint="eastAsia"/>
                      <w:u w:val="single"/>
                    </w:rPr>
                    <w:t>总库容</w:t>
                  </w:r>
                  <w:r>
                    <w:rPr>
                      <w:rFonts w:hint="eastAsia"/>
                      <w:u w:val="single"/>
                      <w:lang w:val="en-US" w:eastAsia="zh-CN"/>
                    </w:rPr>
                    <w:t>5</w:t>
                  </w:r>
                  <w:r>
                    <w:rPr>
                      <w:rFonts w:hint="eastAsia"/>
                      <w:u w:val="single"/>
                    </w:rPr>
                    <w:t>万立方米，包括库区周边的</w:t>
                  </w:r>
                  <w:r>
                    <w:rPr>
                      <w:rFonts w:hint="eastAsia"/>
                      <w:u w:val="single"/>
                      <w:lang w:val="en-US" w:eastAsia="zh-CN"/>
                    </w:rPr>
                    <w:t>洪水及</w:t>
                  </w:r>
                  <w:r>
                    <w:rPr>
                      <w:rFonts w:hint="eastAsia"/>
                      <w:u w:val="single"/>
                    </w:rPr>
                    <w:t>雨水导排系统、</w:t>
                  </w:r>
                  <w:r>
                    <w:rPr>
                      <w:rFonts w:hint="eastAsia"/>
                      <w:u w:val="single"/>
                      <w:lang w:val="en-US" w:eastAsia="zh-CN"/>
                    </w:rPr>
                    <w:t>堆填场</w:t>
                  </w:r>
                  <w:r>
                    <w:rPr>
                      <w:rFonts w:hint="eastAsia"/>
                      <w:u w:val="single"/>
                    </w:rPr>
                    <w:t>的抽排水设施及排水管道</w:t>
                  </w:r>
                  <w:r>
                    <w:rPr>
                      <w:rFonts w:hint="eastAsia"/>
                      <w:u w:val="single"/>
                      <w:lang w:eastAsia="zh-CN"/>
                    </w:rPr>
                    <w:t>。</w:t>
                  </w:r>
                </w:p>
              </w:tc>
              <w:tc>
                <w:tcPr>
                  <w:tcW w:w="631" w:type="pct"/>
                  <w:noWrap w:val="0"/>
                  <w:vAlign w:val="center"/>
                </w:tcPr>
                <w:p w14:paraId="106A56A2">
                  <w:pPr>
                    <w:pStyle w:val="115"/>
                    <w:bidi w:val="0"/>
                    <w:rPr>
                      <w:rFonts w:hint="eastAsia"/>
                      <w:u w:val="single"/>
                    </w:rPr>
                  </w:pPr>
                  <w:r>
                    <w:rPr>
                      <w:rFonts w:hint="eastAsia"/>
                      <w:u w:val="single"/>
                    </w:rPr>
                    <w:t>新建</w:t>
                  </w:r>
                </w:p>
              </w:tc>
            </w:tr>
            <w:tr w14:paraId="465DCF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2281BA6C">
                  <w:pPr>
                    <w:pStyle w:val="115"/>
                    <w:bidi w:val="0"/>
                    <w:rPr>
                      <w:u w:val="single"/>
                    </w:rPr>
                  </w:pPr>
                </w:p>
              </w:tc>
              <w:tc>
                <w:tcPr>
                  <w:tcW w:w="948" w:type="pct"/>
                  <w:noWrap w:val="0"/>
                  <w:vAlign w:val="center"/>
                </w:tcPr>
                <w:p w14:paraId="70DD5151">
                  <w:pPr>
                    <w:pStyle w:val="115"/>
                    <w:bidi w:val="0"/>
                    <w:rPr>
                      <w:u w:val="single"/>
                    </w:rPr>
                  </w:pPr>
                  <w:r>
                    <w:rPr>
                      <w:rFonts w:hint="eastAsia"/>
                      <w:u w:val="single"/>
                    </w:rPr>
                    <w:t>进场道路</w:t>
                  </w:r>
                </w:p>
              </w:tc>
              <w:tc>
                <w:tcPr>
                  <w:tcW w:w="2937" w:type="pct"/>
                  <w:noWrap w:val="0"/>
                  <w:vAlign w:val="center"/>
                </w:tcPr>
                <w:p w14:paraId="3D66B68B">
                  <w:pPr>
                    <w:pStyle w:val="115"/>
                    <w:bidi w:val="0"/>
                    <w:rPr>
                      <w:u w:val="single"/>
                    </w:rPr>
                  </w:pPr>
                  <w:r>
                    <w:rPr>
                      <w:rFonts w:hint="eastAsia"/>
                      <w:u w:val="single"/>
                    </w:rPr>
                    <w:t>总长度约</w:t>
                  </w:r>
                  <w:r>
                    <w:rPr>
                      <w:rFonts w:hint="eastAsia"/>
                      <w:u w:val="single"/>
                      <w:lang w:val="en-US" w:eastAsia="zh-CN"/>
                    </w:rPr>
                    <w:t>283</w:t>
                  </w:r>
                  <w:r>
                    <w:rPr>
                      <w:rFonts w:hint="eastAsia"/>
                      <w:u w:val="single"/>
                    </w:rPr>
                    <w:t>m，规划设计为</w:t>
                  </w:r>
                  <w:r>
                    <w:rPr>
                      <w:rFonts w:hint="eastAsia"/>
                      <w:u w:val="single"/>
                      <w:lang w:val="en-US" w:eastAsia="zh-CN"/>
                    </w:rPr>
                    <w:t>4.5</w:t>
                  </w:r>
                  <w:r>
                    <w:rPr>
                      <w:rFonts w:hint="eastAsia"/>
                      <w:u w:val="single"/>
                    </w:rPr>
                    <w:t>m宽，</w:t>
                  </w:r>
                  <w:r>
                    <w:rPr>
                      <w:rFonts w:hint="eastAsia"/>
                      <w:u w:val="single"/>
                      <w:lang w:val="en-US" w:eastAsia="zh-CN"/>
                    </w:rPr>
                    <w:t>其中水泥路面106m，碎石路面177m。</w:t>
                  </w:r>
                </w:p>
              </w:tc>
              <w:tc>
                <w:tcPr>
                  <w:tcW w:w="631" w:type="pct"/>
                  <w:noWrap w:val="0"/>
                  <w:vAlign w:val="center"/>
                </w:tcPr>
                <w:p w14:paraId="51E2C783">
                  <w:pPr>
                    <w:pStyle w:val="115"/>
                    <w:bidi w:val="0"/>
                    <w:rPr>
                      <w:u w:val="single"/>
                    </w:rPr>
                  </w:pPr>
                  <w:r>
                    <w:rPr>
                      <w:rFonts w:hint="eastAsia"/>
                      <w:u w:val="single"/>
                    </w:rPr>
                    <w:t>新建</w:t>
                  </w:r>
                </w:p>
              </w:tc>
            </w:tr>
            <w:tr w14:paraId="3B9080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4668A8D4">
                  <w:pPr>
                    <w:pStyle w:val="115"/>
                    <w:bidi w:val="0"/>
                    <w:rPr>
                      <w:u w:val="single"/>
                    </w:rPr>
                  </w:pPr>
                </w:p>
              </w:tc>
              <w:tc>
                <w:tcPr>
                  <w:tcW w:w="948" w:type="pct"/>
                  <w:noWrap w:val="0"/>
                  <w:vAlign w:val="center"/>
                </w:tcPr>
                <w:p w14:paraId="01B31D35">
                  <w:pPr>
                    <w:pStyle w:val="115"/>
                    <w:bidi w:val="0"/>
                    <w:rPr>
                      <w:u w:val="single"/>
                    </w:rPr>
                  </w:pPr>
                  <w:r>
                    <w:rPr>
                      <w:rFonts w:hint="eastAsia"/>
                      <w:u w:val="single"/>
                      <w:lang w:val="en-US" w:eastAsia="zh-CN"/>
                    </w:rPr>
                    <w:t>分拣</w:t>
                  </w:r>
                  <w:r>
                    <w:rPr>
                      <w:rFonts w:hint="eastAsia"/>
                      <w:u w:val="single"/>
                    </w:rPr>
                    <w:t>平台</w:t>
                  </w:r>
                </w:p>
              </w:tc>
              <w:tc>
                <w:tcPr>
                  <w:tcW w:w="2937" w:type="pct"/>
                  <w:noWrap w:val="0"/>
                  <w:vAlign w:val="center"/>
                </w:tcPr>
                <w:p w14:paraId="7E3FBB81">
                  <w:pPr>
                    <w:pStyle w:val="115"/>
                    <w:bidi w:val="0"/>
                    <w:rPr>
                      <w:rFonts w:hint="default"/>
                      <w:u w:val="single"/>
                      <w:lang w:val="en-US" w:eastAsia="zh-CN"/>
                    </w:rPr>
                  </w:pPr>
                  <w:r>
                    <w:rPr>
                      <w:rFonts w:hint="eastAsia"/>
                      <w:u w:val="single"/>
                      <w:lang w:val="en-US" w:eastAsia="zh-CN"/>
                    </w:rPr>
                    <w:t>1</w:t>
                  </w:r>
                  <w:r>
                    <w:rPr>
                      <w:rFonts w:hint="eastAsia"/>
                      <w:u w:val="single"/>
                    </w:rPr>
                    <w:t>个，</w:t>
                  </w:r>
                  <w:r>
                    <w:rPr>
                      <w:rFonts w:hint="eastAsia"/>
                      <w:u w:val="single"/>
                      <w:lang w:val="en-US" w:eastAsia="zh-CN"/>
                    </w:rPr>
                    <w:t>占地面积为56m</w:t>
                  </w:r>
                  <w:r>
                    <w:rPr>
                      <w:rFonts w:hint="eastAsia"/>
                      <w:u w:val="single"/>
                      <w:vertAlign w:val="superscript"/>
                      <w:lang w:val="en-US" w:eastAsia="zh-CN"/>
                    </w:rPr>
                    <w:t>2</w:t>
                  </w:r>
                  <w:r>
                    <w:rPr>
                      <w:rFonts w:hint="eastAsia"/>
                      <w:u w:val="single"/>
                      <w:lang w:val="en-US" w:eastAsia="zh-CN"/>
                    </w:rPr>
                    <w:t>，设置顶棚，</w:t>
                  </w:r>
                  <w:r>
                    <w:rPr>
                      <w:rFonts w:hint="eastAsia"/>
                      <w:u w:val="single"/>
                    </w:rPr>
                    <w:t>用于运输车辆</w:t>
                  </w:r>
                  <w:r>
                    <w:rPr>
                      <w:rFonts w:hint="eastAsia"/>
                      <w:u w:val="single"/>
                      <w:lang w:val="en-US" w:eastAsia="zh-CN"/>
                    </w:rPr>
                    <w:t>建设垃圾</w:t>
                  </w:r>
                  <w:r>
                    <w:rPr>
                      <w:rFonts w:hint="eastAsia"/>
                      <w:u w:val="single"/>
                    </w:rPr>
                    <w:t>的卸料</w:t>
                  </w:r>
                  <w:r>
                    <w:rPr>
                      <w:rFonts w:hint="eastAsia"/>
                      <w:u w:val="single"/>
                      <w:lang w:eastAsia="zh-CN"/>
                    </w:rPr>
                    <w:t>，</w:t>
                  </w:r>
                  <w:r>
                    <w:rPr>
                      <w:rFonts w:hint="eastAsia"/>
                      <w:u w:val="single"/>
                      <w:lang w:val="en-US" w:eastAsia="zh-CN"/>
                    </w:rPr>
                    <w:t>采用人工分拣。</w:t>
                  </w:r>
                </w:p>
              </w:tc>
              <w:tc>
                <w:tcPr>
                  <w:tcW w:w="631" w:type="pct"/>
                  <w:noWrap w:val="0"/>
                  <w:vAlign w:val="center"/>
                </w:tcPr>
                <w:p w14:paraId="5B60FAEF">
                  <w:pPr>
                    <w:pStyle w:val="115"/>
                    <w:bidi w:val="0"/>
                    <w:rPr>
                      <w:u w:val="single"/>
                    </w:rPr>
                  </w:pPr>
                  <w:r>
                    <w:rPr>
                      <w:rFonts w:hint="eastAsia"/>
                      <w:u w:val="single"/>
                    </w:rPr>
                    <w:t>新建</w:t>
                  </w:r>
                </w:p>
              </w:tc>
            </w:tr>
            <w:tr w14:paraId="1D1C09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restart"/>
                  <w:noWrap w:val="0"/>
                  <w:vAlign w:val="center"/>
                </w:tcPr>
                <w:p w14:paraId="40A265FB">
                  <w:pPr>
                    <w:pStyle w:val="115"/>
                    <w:bidi w:val="0"/>
                    <w:rPr>
                      <w:u w:val="single"/>
                    </w:rPr>
                  </w:pPr>
                  <w:r>
                    <w:rPr>
                      <w:u w:val="single"/>
                    </w:rPr>
                    <w:t>辅助工程</w:t>
                  </w:r>
                </w:p>
              </w:tc>
              <w:tc>
                <w:tcPr>
                  <w:tcW w:w="948" w:type="pct"/>
                  <w:noWrap w:val="0"/>
                  <w:vAlign w:val="center"/>
                </w:tcPr>
                <w:p w14:paraId="37810263">
                  <w:pPr>
                    <w:pStyle w:val="115"/>
                    <w:bidi w:val="0"/>
                    <w:rPr>
                      <w:rFonts w:hint="eastAsia"/>
                      <w:u w:val="single"/>
                    </w:rPr>
                  </w:pPr>
                  <w:r>
                    <w:rPr>
                      <w:rFonts w:hint="eastAsia"/>
                      <w:u w:val="single"/>
                    </w:rPr>
                    <w:t>管理用房</w:t>
                  </w:r>
                </w:p>
              </w:tc>
              <w:tc>
                <w:tcPr>
                  <w:tcW w:w="2937" w:type="pct"/>
                  <w:noWrap w:val="0"/>
                  <w:vAlign w:val="center"/>
                </w:tcPr>
                <w:p w14:paraId="39A0FB2D">
                  <w:pPr>
                    <w:pStyle w:val="115"/>
                    <w:bidi w:val="0"/>
                    <w:rPr>
                      <w:u w:val="single"/>
                    </w:rPr>
                  </w:pPr>
                  <w:r>
                    <w:rPr>
                      <w:rFonts w:hint="eastAsia"/>
                      <w:u w:val="single"/>
                    </w:rPr>
                    <w:t>1栋，占地面积</w:t>
                  </w:r>
                  <w:r>
                    <w:rPr>
                      <w:rFonts w:hint="eastAsia"/>
                      <w:u w:val="single"/>
                      <w:lang w:val="en-US" w:eastAsia="zh-CN"/>
                    </w:rPr>
                    <w:t>26</w:t>
                  </w:r>
                  <w:r>
                    <w:rPr>
                      <w:rFonts w:hint="eastAsia"/>
                      <w:u w:val="single"/>
                    </w:rPr>
                    <w:t>m</w:t>
                  </w:r>
                  <w:r>
                    <w:rPr>
                      <w:rFonts w:hint="eastAsia"/>
                      <w:u w:val="single"/>
                      <w:vertAlign w:val="superscript"/>
                    </w:rPr>
                    <w:t>2</w:t>
                  </w:r>
                  <w:r>
                    <w:rPr>
                      <w:rFonts w:hint="eastAsia"/>
                      <w:u w:val="single"/>
                    </w:rPr>
                    <w:t>，建筑面积</w:t>
                  </w:r>
                  <w:r>
                    <w:rPr>
                      <w:rFonts w:hint="eastAsia"/>
                      <w:u w:val="single"/>
                      <w:lang w:val="en-US" w:eastAsia="zh-CN"/>
                    </w:rPr>
                    <w:t>26</w:t>
                  </w:r>
                  <w:r>
                    <w:rPr>
                      <w:rFonts w:hint="eastAsia"/>
                      <w:u w:val="single"/>
                    </w:rPr>
                    <w:t>m</w:t>
                  </w:r>
                  <w:r>
                    <w:rPr>
                      <w:rFonts w:hint="eastAsia"/>
                      <w:u w:val="single"/>
                      <w:vertAlign w:val="superscript"/>
                    </w:rPr>
                    <w:t>2</w:t>
                  </w:r>
                  <w:r>
                    <w:rPr>
                      <w:rFonts w:hint="eastAsia"/>
                      <w:u w:val="single"/>
                    </w:rPr>
                    <w:t>，</w:t>
                  </w:r>
                  <w:r>
                    <w:rPr>
                      <w:rFonts w:hint="eastAsia"/>
                      <w:u w:val="single"/>
                      <w:lang w:val="en-US" w:eastAsia="zh-CN"/>
                    </w:rPr>
                    <w:t>板房</w:t>
                  </w:r>
                  <w:r>
                    <w:rPr>
                      <w:rFonts w:hint="eastAsia"/>
                      <w:u w:val="single"/>
                    </w:rPr>
                    <w:t>，主要用于办公、门卫及生活所需，在管理用房内结合布置积水供电通讯设施</w:t>
                  </w:r>
                </w:p>
              </w:tc>
              <w:tc>
                <w:tcPr>
                  <w:tcW w:w="631" w:type="pct"/>
                  <w:noWrap w:val="0"/>
                  <w:vAlign w:val="center"/>
                </w:tcPr>
                <w:p w14:paraId="5252DEA7">
                  <w:pPr>
                    <w:pStyle w:val="115"/>
                    <w:bidi w:val="0"/>
                    <w:rPr>
                      <w:u w:val="single"/>
                    </w:rPr>
                  </w:pPr>
                  <w:r>
                    <w:rPr>
                      <w:rFonts w:hint="eastAsia"/>
                      <w:u w:val="single"/>
                    </w:rPr>
                    <w:t>新建</w:t>
                  </w:r>
                </w:p>
              </w:tc>
            </w:tr>
            <w:tr w14:paraId="3532C9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56E84CBF">
                  <w:pPr>
                    <w:pStyle w:val="115"/>
                    <w:bidi w:val="0"/>
                    <w:rPr>
                      <w:u w:val="single"/>
                    </w:rPr>
                  </w:pPr>
                </w:p>
              </w:tc>
              <w:tc>
                <w:tcPr>
                  <w:tcW w:w="948" w:type="pct"/>
                  <w:noWrap w:val="0"/>
                  <w:vAlign w:val="center"/>
                </w:tcPr>
                <w:p w14:paraId="657F7F16">
                  <w:pPr>
                    <w:pStyle w:val="115"/>
                    <w:bidi w:val="0"/>
                    <w:rPr>
                      <w:rFonts w:hint="eastAsia"/>
                      <w:u w:val="single"/>
                    </w:rPr>
                  </w:pPr>
                  <w:r>
                    <w:rPr>
                      <w:rFonts w:hint="eastAsia"/>
                      <w:u w:val="single"/>
                    </w:rPr>
                    <w:t>计量平台、检查平台、冲洗平台</w:t>
                  </w:r>
                </w:p>
              </w:tc>
              <w:tc>
                <w:tcPr>
                  <w:tcW w:w="2937" w:type="pct"/>
                  <w:noWrap w:val="0"/>
                  <w:vAlign w:val="center"/>
                </w:tcPr>
                <w:p w14:paraId="0F1A7CC2">
                  <w:pPr>
                    <w:pStyle w:val="115"/>
                    <w:bidi w:val="0"/>
                    <w:rPr>
                      <w:u w:val="single"/>
                    </w:rPr>
                  </w:pPr>
                  <w:r>
                    <w:rPr>
                      <w:rFonts w:hint="eastAsia"/>
                      <w:u w:val="single"/>
                    </w:rPr>
                    <w:t>设置在场区进场处</w:t>
                  </w:r>
                  <w:r>
                    <w:rPr>
                      <w:rFonts w:hint="eastAsia"/>
                      <w:u w:val="single"/>
                      <w:lang w:val="en-US" w:eastAsia="zh-CN"/>
                    </w:rPr>
                    <w:t>道路处</w:t>
                  </w:r>
                  <w:r>
                    <w:rPr>
                      <w:rFonts w:hint="eastAsia"/>
                      <w:u w:val="single"/>
                    </w:rPr>
                    <w:t>，对出入场车辆进行检查和计量，出入口设置一个自动冲洗平台对车辆进行清洗</w:t>
                  </w:r>
                </w:p>
              </w:tc>
              <w:tc>
                <w:tcPr>
                  <w:tcW w:w="631" w:type="pct"/>
                  <w:noWrap w:val="0"/>
                  <w:vAlign w:val="center"/>
                </w:tcPr>
                <w:p w14:paraId="5736D8D3">
                  <w:pPr>
                    <w:pStyle w:val="115"/>
                    <w:bidi w:val="0"/>
                    <w:rPr>
                      <w:u w:val="single"/>
                    </w:rPr>
                  </w:pPr>
                  <w:r>
                    <w:rPr>
                      <w:rFonts w:hint="eastAsia"/>
                      <w:u w:val="single"/>
                    </w:rPr>
                    <w:t>新建</w:t>
                  </w:r>
                </w:p>
              </w:tc>
            </w:tr>
            <w:tr w14:paraId="19A5B2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3EE2FCF0">
                  <w:pPr>
                    <w:pStyle w:val="115"/>
                    <w:bidi w:val="0"/>
                    <w:rPr>
                      <w:u w:val="single"/>
                    </w:rPr>
                  </w:pPr>
                </w:p>
              </w:tc>
              <w:tc>
                <w:tcPr>
                  <w:tcW w:w="948" w:type="pct"/>
                  <w:noWrap w:val="0"/>
                  <w:vAlign w:val="center"/>
                </w:tcPr>
                <w:p w14:paraId="6048B0C1">
                  <w:pPr>
                    <w:pStyle w:val="115"/>
                    <w:bidi w:val="0"/>
                    <w:rPr>
                      <w:u w:val="single"/>
                    </w:rPr>
                  </w:pPr>
                  <w:r>
                    <w:rPr>
                      <w:rFonts w:hint="eastAsia"/>
                      <w:u w:val="single"/>
                    </w:rPr>
                    <w:t>防洪及雨水导排系统</w:t>
                  </w:r>
                </w:p>
              </w:tc>
              <w:tc>
                <w:tcPr>
                  <w:tcW w:w="2937" w:type="pct"/>
                  <w:noWrap w:val="0"/>
                  <w:vAlign w:val="center"/>
                </w:tcPr>
                <w:p w14:paraId="74860A31">
                  <w:pPr>
                    <w:pStyle w:val="115"/>
                    <w:bidi w:val="0"/>
                    <w:rPr>
                      <w:rFonts w:hint="eastAsia"/>
                      <w:u w:val="single"/>
                      <w:lang w:val="en-US" w:eastAsia="zh-CN"/>
                    </w:rPr>
                  </w:pPr>
                  <w:r>
                    <w:rPr>
                      <w:rFonts w:hint="eastAsia"/>
                      <w:u w:val="single"/>
                      <w:lang w:val="en-US" w:eastAsia="zh-CN"/>
                    </w:rPr>
                    <w:t>项目场地地势整体呈北高南低，西高东低，地表水导排系统沿西、南侧山脚设置混凝土截排沟，主要用于场地雨水的收集导排，有效实现分流，减少堆体内淋滤水的产生量。</w:t>
                  </w:r>
                </w:p>
                <w:p w14:paraId="4DF44D0B">
                  <w:pPr>
                    <w:pStyle w:val="115"/>
                    <w:bidi w:val="0"/>
                    <w:rPr>
                      <w:rFonts w:hint="default" w:eastAsia="宋体"/>
                      <w:u w:val="single"/>
                      <w:lang w:val="en-US" w:eastAsia="zh-CN"/>
                    </w:rPr>
                  </w:pPr>
                  <w:r>
                    <w:rPr>
                      <w:rFonts w:hint="eastAsia"/>
                      <w:u w:val="single"/>
                      <w:lang w:val="en-US" w:eastAsia="zh-CN"/>
                    </w:rPr>
                    <w:t>截排沟设计直径为1m，长度为125m，防洪沟设计按50年一遇设计，100年一遇校核。</w:t>
                  </w:r>
                </w:p>
              </w:tc>
              <w:tc>
                <w:tcPr>
                  <w:tcW w:w="631" w:type="pct"/>
                  <w:noWrap w:val="0"/>
                  <w:vAlign w:val="center"/>
                </w:tcPr>
                <w:p w14:paraId="4EF80399">
                  <w:pPr>
                    <w:pStyle w:val="115"/>
                    <w:bidi w:val="0"/>
                    <w:rPr>
                      <w:u w:val="single"/>
                    </w:rPr>
                  </w:pPr>
                  <w:r>
                    <w:rPr>
                      <w:rFonts w:hint="eastAsia"/>
                      <w:u w:val="single"/>
                    </w:rPr>
                    <w:t>新建</w:t>
                  </w:r>
                </w:p>
              </w:tc>
            </w:tr>
            <w:tr w14:paraId="2A76FC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5939332A">
                  <w:pPr>
                    <w:pStyle w:val="115"/>
                    <w:bidi w:val="0"/>
                    <w:rPr>
                      <w:u w:val="single"/>
                    </w:rPr>
                  </w:pPr>
                </w:p>
              </w:tc>
              <w:tc>
                <w:tcPr>
                  <w:tcW w:w="948" w:type="pct"/>
                  <w:vMerge w:val="restart"/>
                  <w:noWrap w:val="0"/>
                  <w:vAlign w:val="center"/>
                </w:tcPr>
                <w:p w14:paraId="5F8BC4FC">
                  <w:pPr>
                    <w:pStyle w:val="115"/>
                    <w:bidi w:val="0"/>
                    <w:rPr>
                      <w:rFonts w:hint="eastAsia" w:eastAsia="宋体"/>
                      <w:u w:val="single"/>
                      <w:lang w:val="en-US" w:eastAsia="zh-CN"/>
                    </w:rPr>
                  </w:pPr>
                  <w:r>
                    <w:rPr>
                      <w:rFonts w:hint="eastAsia"/>
                      <w:u w:val="single"/>
                      <w:lang w:val="en-US" w:eastAsia="zh-CN"/>
                    </w:rPr>
                    <w:t>围栏</w:t>
                  </w:r>
                </w:p>
              </w:tc>
              <w:tc>
                <w:tcPr>
                  <w:tcW w:w="2937" w:type="pct"/>
                  <w:noWrap w:val="0"/>
                  <w:vAlign w:val="center"/>
                </w:tcPr>
                <w:p w14:paraId="015D8DF0">
                  <w:pPr>
                    <w:pStyle w:val="115"/>
                    <w:bidi w:val="0"/>
                    <w:rPr>
                      <w:rFonts w:hint="default"/>
                      <w:u w:val="single"/>
                      <w:lang w:val="en-US" w:eastAsia="zh-CN"/>
                    </w:rPr>
                  </w:pPr>
                  <w:r>
                    <w:rPr>
                      <w:rFonts w:hint="eastAsia"/>
                      <w:u w:val="single"/>
                      <w:lang w:val="en-US" w:eastAsia="zh-CN"/>
                    </w:rPr>
                    <w:t>在堆填场区设置成品铁板围栏，长度30m，高度3m</w:t>
                  </w:r>
                </w:p>
              </w:tc>
              <w:tc>
                <w:tcPr>
                  <w:tcW w:w="631" w:type="pct"/>
                  <w:noWrap w:val="0"/>
                  <w:vAlign w:val="center"/>
                </w:tcPr>
                <w:p w14:paraId="6B399B74">
                  <w:pPr>
                    <w:pStyle w:val="115"/>
                    <w:bidi w:val="0"/>
                    <w:rPr>
                      <w:rFonts w:hint="eastAsia" w:eastAsia="宋体"/>
                      <w:u w:val="single"/>
                      <w:lang w:val="en-US" w:eastAsia="zh-CN"/>
                    </w:rPr>
                  </w:pPr>
                  <w:r>
                    <w:rPr>
                      <w:rFonts w:hint="eastAsia"/>
                      <w:u w:val="single"/>
                      <w:lang w:val="en-US" w:eastAsia="zh-CN"/>
                    </w:rPr>
                    <w:t>新建</w:t>
                  </w:r>
                </w:p>
              </w:tc>
            </w:tr>
            <w:tr w14:paraId="35D0E7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6D17901D">
                  <w:pPr>
                    <w:pStyle w:val="115"/>
                    <w:bidi w:val="0"/>
                    <w:rPr>
                      <w:u w:val="single"/>
                    </w:rPr>
                  </w:pPr>
                </w:p>
              </w:tc>
              <w:tc>
                <w:tcPr>
                  <w:tcW w:w="948" w:type="pct"/>
                  <w:vMerge w:val="continue"/>
                  <w:noWrap w:val="0"/>
                  <w:vAlign w:val="center"/>
                </w:tcPr>
                <w:p w14:paraId="66774319">
                  <w:pPr>
                    <w:pStyle w:val="115"/>
                    <w:bidi w:val="0"/>
                    <w:rPr>
                      <w:rFonts w:hint="eastAsia"/>
                      <w:u w:val="single"/>
                      <w:lang w:val="en-US" w:eastAsia="zh-CN"/>
                    </w:rPr>
                  </w:pPr>
                </w:p>
              </w:tc>
              <w:tc>
                <w:tcPr>
                  <w:tcW w:w="2937" w:type="pct"/>
                  <w:noWrap w:val="0"/>
                  <w:vAlign w:val="center"/>
                </w:tcPr>
                <w:p w14:paraId="0ED7310F">
                  <w:pPr>
                    <w:pStyle w:val="115"/>
                    <w:bidi w:val="0"/>
                    <w:rPr>
                      <w:rFonts w:hint="default"/>
                      <w:u w:val="single"/>
                      <w:lang w:val="en-US" w:eastAsia="zh-CN"/>
                    </w:rPr>
                  </w:pPr>
                  <w:r>
                    <w:rPr>
                      <w:rFonts w:hint="eastAsia"/>
                      <w:u w:val="single"/>
                      <w:lang w:val="en-US" w:eastAsia="zh-CN"/>
                    </w:rPr>
                    <w:t>在厂区进场出设置成品围栏，长度24m，高度3m</w:t>
                  </w:r>
                </w:p>
              </w:tc>
              <w:tc>
                <w:tcPr>
                  <w:tcW w:w="631" w:type="pct"/>
                  <w:noWrap w:val="0"/>
                  <w:vAlign w:val="center"/>
                </w:tcPr>
                <w:p w14:paraId="7119EDDF">
                  <w:pPr>
                    <w:pStyle w:val="115"/>
                    <w:bidi w:val="0"/>
                    <w:rPr>
                      <w:rFonts w:hint="default"/>
                      <w:u w:val="single"/>
                      <w:lang w:val="en-US" w:eastAsia="zh-CN"/>
                    </w:rPr>
                  </w:pPr>
                  <w:r>
                    <w:rPr>
                      <w:rFonts w:hint="eastAsia"/>
                      <w:u w:val="single"/>
                      <w:lang w:val="en-US" w:eastAsia="zh-CN"/>
                    </w:rPr>
                    <w:t>新建</w:t>
                  </w:r>
                </w:p>
              </w:tc>
            </w:tr>
            <w:tr w14:paraId="124A7C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7E8CC21E">
                  <w:pPr>
                    <w:pStyle w:val="115"/>
                    <w:bidi w:val="0"/>
                    <w:rPr>
                      <w:u w:val="single"/>
                    </w:rPr>
                  </w:pPr>
                </w:p>
              </w:tc>
              <w:tc>
                <w:tcPr>
                  <w:tcW w:w="948" w:type="pct"/>
                  <w:shd w:val="clear" w:color="auto" w:fill="auto"/>
                  <w:noWrap w:val="0"/>
                  <w:vAlign w:val="center"/>
                </w:tcPr>
                <w:p w14:paraId="60E6AC66">
                  <w:pPr>
                    <w:pStyle w:val="115"/>
                    <w:bidi w:val="0"/>
                    <w:rPr>
                      <w:rFonts w:hint="eastAsia" w:ascii="Times New Roman" w:hAnsi="Times New Roman" w:eastAsia="宋体" w:cs="Times New Roman"/>
                      <w:u w:val="single"/>
                      <w:lang w:val="en-US" w:eastAsia="zh-CN"/>
                    </w:rPr>
                  </w:pPr>
                  <w:r>
                    <w:rPr>
                      <w:rFonts w:hint="eastAsia" w:ascii="Times New Roman" w:hAnsi="Times New Roman" w:eastAsia="宋体" w:cs="Times New Roman"/>
                      <w:u w:val="single"/>
                      <w:lang w:eastAsia="zh-CN"/>
                    </w:rPr>
                    <w:t>淋滤液</w:t>
                  </w:r>
                  <w:r>
                    <w:rPr>
                      <w:rFonts w:hint="eastAsia" w:ascii="Times New Roman" w:hAnsi="Times New Roman" w:eastAsia="宋体" w:cs="Times New Roman"/>
                      <w:u w:val="single"/>
                    </w:rPr>
                    <w:t>收集系统</w:t>
                  </w:r>
                </w:p>
              </w:tc>
              <w:tc>
                <w:tcPr>
                  <w:tcW w:w="2937" w:type="pct"/>
                  <w:shd w:val="clear" w:color="auto" w:fill="auto"/>
                  <w:noWrap w:val="0"/>
                  <w:vAlign w:val="center"/>
                </w:tcPr>
                <w:p w14:paraId="14BC2120">
                  <w:pPr>
                    <w:pStyle w:val="115"/>
                    <w:bidi w:val="0"/>
                    <w:rPr>
                      <w:rFonts w:hint="eastAsia" w:ascii="Times New Roman" w:hAnsi="Times New Roman" w:eastAsia="宋体" w:cs="Times New Roman"/>
                      <w:u w:val="single"/>
                      <w:lang w:val="en-US" w:eastAsia="zh-CN"/>
                    </w:rPr>
                  </w:pPr>
                  <w:r>
                    <w:rPr>
                      <w:rFonts w:hint="eastAsia"/>
                      <w:u w:val="single"/>
                      <w:lang w:val="en-US" w:eastAsia="zh-CN"/>
                    </w:rPr>
                    <w:t>在堆填场东侧设置1个</w:t>
                  </w:r>
                  <w:r>
                    <w:rPr>
                      <w:rFonts w:hint="eastAsia"/>
                      <w:u w:val="single"/>
                    </w:rPr>
                    <w:t>淋溶水收集池</w:t>
                  </w:r>
                  <w:r>
                    <w:rPr>
                      <w:rFonts w:hint="eastAsia"/>
                      <w:u w:val="single"/>
                      <w:lang w:eastAsia="zh-CN"/>
                    </w:rPr>
                    <w:t>，</w:t>
                  </w:r>
                  <w:r>
                    <w:rPr>
                      <w:rFonts w:hint="eastAsia"/>
                      <w:u w:val="single"/>
                      <w:lang w:val="en-US" w:eastAsia="zh-CN"/>
                    </w:rPr>
                    <w:t>容积为30m</w:t>
                  </w:r>
                  <w:r>
                    <w:rPr>
                      <w:rFonts w:hint="eastAsia"/>
                      <w:u w:val="single"/>
                      <w:vertAlign w:val="superscript"/>
                      <w:lang w:val="en-US" w:eastAsia="zh-CN"/>
                    </w:rPr>
                    <w:t>3</w:t>
                  </w:r>
                  <w:r>
                    <w:rPr>
                      <w:rFonts w:hint="eastAsia"/>
                      <w:u w:val="single"/>
                      <w:lang w:val="en-US" w:eastAsia="zh-CN"/>
                    </w:rPr>
                    <w:t>，一般防渗；</w:t>
                  </w:r>
                </w:p>
              </w:tc>
              <w:tc>
                <w:tcPr>
                  <w:tcW w:w="631" w:type="pct"/>
                  <w:noWrap w:val="0"/>
                  <w:vAlign w:val="center"/>
                </w:tcPr>
                <w:p w14:paraId="5CD4165D">
                  <w:pPr>
                    <w:pStyle w:val="115"/>
                    <w:bidi w:val="0"/>
                    <w:rPr>
                      <w:rFonts w:hint="eastAsia" w:eastAsia="宋体"/>
                      <w:u w:val="single"/>
                      <w:lang w:val="en-US" w:eastAsia="zh-CN"/>
                    </w:rPr>
                  </w:pPr>
                  <w:r>
                    <w:rPr>
                      <w:rFonts w:hint="eastAsia"/>
                      <w:u w:val="single"/>
                      <w:lang w:val="en-US" w:eastAsia="zh-CN"/>
                    </w:rPr>
                    <w:t>新建</w:t>
                  </w:r>
                </w:p>
              </w:tc>
            </w:tr>
            <w:tr w14:paraId="327FB2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0BD63236">
                  <w:pPr>
                    <w:pStyle w:val="115"/>
                    <w:bidi w:val="0"/>
                    <w:rPr>
                      <w:u w:val="single"/>
                    </w:rPr>
                  </w:pPr>
                </w:p>
              </w:tc>
              <w:tc>
                <w:tcPr>
                  <w:tcW w:w="948" w:type="pct"/>
                  <w:noWrap w:val="0"/>
                  <w:vAlign w:val="center"/>
                </w:tcPr>
                <w:p w14:paraId="0F7E9752">
                  <w:pPr>
                    <w:pStyle w:val="115"/>
                    <w:bidi w:val="0"/>
                    <w:rPr>
                      <w:rFonts w:hint="default" w:eastAsia="宋体"/>
                      <w:u w:val="single"/>
                      <w:lang w:val="en-US" w:eastAsia="zh-CN"/>
                    </w:rPr>
                  </w:pPr>
                  <w:r>
                    <w:rPr>
                      <w:rFonts w:hint="eastAsia"/>
                      <w:u w:val="single"/>
                      <w:lang w:val="en-US" w:eastAsia="zh-CN"/>
                    </w:rPr>
                    <w:t>一般固废暂存间</w:t>
                  </w:r>
                </w:p>
              </w:tc>
              <w:tc>
                <w:tcPr>
                  <w:tcW w:w="2937" w:type="pct"/>
                  <w:noWrap w:val="0"/>
                  <w:vAlign w:val="center"/>
                </w:tcPr>
                <w:p w14:paraId="60CA2D0B">
                  <w:pPr>
                    <w:pStyle w:val="115"/>
                    <w:bidi w:val="0"/>
                    <w:rPr>
                      <w:rFonts w:hint="default" w:eastAsia="宋体"/>
                      <w:u w:val="single"/>
                      <w:lang w:val="en-US" w:eastAsia="zh-CN"/>
                    </w:rPr>
                  </w:pPr>
                  <w:r>
                    <w:rPr>
                      <w:rFonts w:hint="eastAsia"/>
                      <w:u w:val="single"/>
                      <w:lang w:val="en-US" w:eastAsia="zh-CN"/>
                    </w:rPr>
                    <w:t>在管理用房旁建设一个一般固废暂存间，占地面积为20m</w:t>
                  </w:r>
                  <w:r>
                    <w:rPr>
                      <w:rFonts w:hint="eastAsia"/>
                      <w:u w:val="single"/>
                      <w:vertAlign w:val="superscript"/>
                      <w:lang w:val="en-US" w:eastAsia="zh-CN"/>
                    </w:rPr>
                    <w:t>2</w:t>
                  </w:r>
                </w:p>
              </w:tc>
              <w:tc>
                <w:tcPr>
                  <w:tcW w:w="631" w:type="pct"/>
                  <w:noWrap w:val="0"/>
                  <w:vAlign w:val="center"/>
                </w:tcPr>
                <w:p w14:paraId="792D1316">
                  <w:pPr>
                    <w:pStyle w:val="115"/>
                    <w:bidi w:val="0"/>
                    <w:rPr>
                      <w:rFonts w:hint="eastAsia" w:eastAsia="宋体"/>
                      <w:u w:val="single"/>
                      <w:lang w:val="en-US" w:eastAsia="zh-CN"/>
                    </w:rPr>
                  </w:pPr>
                  <w:r>
                    <w:rPr>
                      <w:rFonts w:hint="eastAsia"/>
                      <w:u w:val="single"/>
                      <w:lang w:val="en-US" w:eastAsia="zh-CN"/>
                    </w:rPr>
                    <w:t>新建</w:t>
                  </w:r>
                </w:p>
              </w:tc>
            </w:tr>
            <w:tr w14:paraId="4F80F5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458FF3C2">
                  <w:pPr>
                    <w:pStyle w:val="115"/>
                    <w:bidi w:val="0"/>
                    <w:rPr>
                      <w:u w:val="single"/>
                    </w:rPr>
                  </w:pPr>
                </w:p>
              </w:tc>
              <w:tc>
                <w:tcPr>
                  <w:tcW w:w="948" w:type="pct"/>
                  <w:noWrap w:val="0"/>
                  <w:vAlign w:val="center"/>
                </w:tcPr>
                <w:p w14:paraId="61622691">
                  <w:pPr>
                    <w:pStyle w:val="115"/>
                    <w:bidi w:val="0"/>
                    <w:rPr>
                      <w:rFonts w:hint="default" w:eastAsia="宋体"/>
                      <w:u w:val="single"/>
                      <w:lang w:val="en-US" w:eastAsia="zh-CN"/>
                    </w:rPr>
                  </w:pPr>
                  <w:r>
                    <w:rPr>
                      <w:rFonts w:hint="eastAsia"/>
                      <w:u w:val="single"/>
                      <w:lang w:val="en-US" w:eastAsia="zh-CN"/>
                    </w:rPr>
                    <w:t>危废暂存间</w:t>
                  </w:r>
                </w:p>
              </w:tc>
              <w:tc>
                <w:tcPr>
                  <w:tcW w:w="2937" w:type="pct"/>
                  <w:noWrap w:val="0"/>
                  <w:vAlign w:val="center"/>
                </w:tcPr>
                <w:p w14:paraId="01B7AE5B">
                  <w:pPr>
                    <w:pStyle w:val="115"/>
                    <w:bidi w:val="0"/>
                    <w:rPr>
                      <w:rFonts w:hint="eastAsia"/>
                      <w:u w:val="single"/>
                    </w:rPr>
                  </w:pPr>
                  <w:r>
                    <w:rPr>
                      <w:rFonts w:hint="eastAsia"/>
                      <w:u w:val="single"/>
                      <w:lang w:val="en-US" w:eastAsia="zh-CN"/>
                    </w:rPr>
                    <w:t>在管理用房旁建设一个危废废暂存间，占地面积为10m</w:t>
                  </w:r>
                  <w:r>
                    <w:rPr>
                      <w:rFonts w:hint="eastAsia"/>
                      <w:u w:val="single"/>
                      <w:vertAlign w:val="superscript"/>
                      <w:lang w:val="en-US" w:eastAsia="zh-CN"/>
                    </w:rPr>
                    <w:t>2</w:t>
                  </w:r>
                </w:p>
              </w:tc>
              <w:tc>
                <w:tcPr>
                  <w:tcW w:w="631" w:type="pct"/>
                  <w:noWrap w:val="0"/>
                  <w:vAlign w:val="center"/>
                </w:tcPr>
                <w:p w14:paraId="76AAECCF">
                  <w:pPr>
                    <w:pStyle w:val="115"/>
                    <w:bidi w:val="0"/>
                    <w:rPr>
                      <w:rFonts w:hint="eastAsia" w:eastAsia="宋体"/>
                      <w:u w:val="single"/>
                      <w:lang w:val="en-US" w:eastAsia="zh-CN"/>
                    </w:rPr>
                  </w:pPr>
                  <w:r>
                    <w:rPr>
                      <w:rFonts w:hint="eastAsia"/>
                      <w:u w:val="single"/>
                      <w:lang w:val="en-US" w:eastAsia="zh-CN"/>
                    </w:rPr>
                    <w:t>新建</w:t>
                  </w:r>
                </w:p>
              </w:tc>
            </w:tr>
            <w:tr w14:paraId="203D87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restart"/>
                  <w:noWrap w:val="0"/>
                  <w:vAlign w:val="center"/>
                </w:tcPr>
                <w:p w14:paraId="7D2ADE65">
                  <w:pPr>
                    <w:pStyle w:val="115"/>
                    <w:bidi w:val="0"/>
                    <w:rPr>
                      <w:u w:val="single"/>
                    </w:rPr>
                  </w:pPr>
                  <w:r>
                    <w:rPr>
                      <w:u w:val="single"/>
                    </w:rPr>
                    <w:t>公用工程</w:t>
                  </w:r>
                </w:p>
              </w:tc>
              <w:tc>
                <w:tcPr>
                  <w:tcW w:w="948" w:type="pct"/>
                  <w:noWrap w:val="0"/>
                  <w:vAlign w:val="center"/>
                </w:tcPr>
                <w:p w14:paraId="3CA04BF5">
                  <w:pPr>
                    <w:pStyle w:val="115"/>
                    <w:bidi w:val="0"/>
                    <w:rPr>
                      <w:u w:val="single"/>
                    </w:rPr>
                  </w:pPr>
                  <w:r>
                    <w:rPr>
                      <w:u w:val="single"/>
                    </w:rPr>
                    <w:t>供电</w:t>
                  </w:r>
                </w:p>
              </w:tc>
              <w:tc>
                <w:tcPr>
                  <w:tcW w:w="2937" w:type="pct"/>
                  <w:noWrap w:val="0"/>
                  <w:vAlign w:val="center"/>
                </w:tcPr>
                <w:p w14:paraId="20FBADF4">
                  <w:pPr>
                    <w:pStyle w:val="115"/>
                    <w:bidi w:val="0"/>
                    <w:rPr>
                      <w:u w:val="single"/>
                    </w:rPr>
                  </w:pPr>
                  <w:r>
                    <w:rPr>
                      <w:rFonts w:hint="eastAsia"/>
                      <w:u w:val="single"/>
                    </w:rPr>
                    <w:t>由市政供电电网供给</w:t>
                  </w:r>
                </w:p>
              </w:tc>
              <w:tc>
                <w:tcPr>
                  <w:tcW w:w="631" w:type="pct"/>
                  <w:noWrap w:val="0"/>
                  <w:vAlign w:val="center"/>
                </w:tcPr>
                <w:p w14:paraId="5038E4A5">
                  <w:pPr>
                    <w:pStyle w:val="115"/>
                    <w:bidi w:val="0"/>
                    <w:rPr>
                      <w:rFonts w:hint="eastAsia" w:eastAsia="宋体"/>
                      <w:u w:val="single"/>
                      <w:lang w:val="en-US" w:eastAsia="zh-CN"/>
                    </w:rPr>
                  </w:pPr>
                  <w:r>
                    <w:rPr>
                      <w:rFonts w:hint="eastAsia"/>
                      <w:u w:val="single"/>
                      <w:lang w:val="en-US" w:eastAsia="zh-CN"/>
                    </w:rPr>
                    <w:t>新建</w:t>
                  </w:r>
                </w:p>
              </w:tc>
            </w:tr>
            <w:tr w14:paraId="71C189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0BD1F281">
                  <w:pPr>
                    <w:pStyle w:val="115"/>
                    <w:bidi w:val="0"/>
                    <w:rPr>
                      <w:u w:val="single"/>
                    </w:rPr>
                  </w:pPr>
                </w:p>
              </w:tc>
              <w:tc>
                <w:tcPr>
                  <w:tcW w:w="948" w:type="pct"/>
                  <w:noWrap w:val="0"/>
                  <w:vAlign w:val="center"/>
                </w:tcPr>
                <w:p w14:paraId="39D636CA">
                  <w:pPr>
                    <w:pStyle w:val="115"/>
                    <w:bidi w:val="0"/>
                    <w:rPr>
                      <w:u w:val="single"/>
                    </w:rPr>
                  </w:pPr>
                  <w:r>
                    <w:rPr>
                      <w:u w:val="single"/>
                    </w:rPr>
                    <w:t>给水</w:t>
                  </w:r>
                </w:p>
              </w:tc>
              <w:tc>
                <w:tcPr>
                  <w:tcW w:w="2937" w:type="pct"/>
                  <w:noWrap w:val="0"/>
                  <w:vAlign w:val="center"/>
                </w:tcPr>
                <w:p w14:paraId="45C00DCF">
                  <w:pPr>
                    <w:pStyle w:val="115"/>
                    <w:bidi w:val="0"/>
                    <w:rPr>
                      <w:rFonts w:hint="eastAsia" w:eastAsia="宋体"/>
                      <w:u w:val="single"/>
                      <w:lang w:val="en-US" w:eastAsia="zh-CN"/>
                    </w:rPr>
                  </w:pPr>
                  <w:r>
                    <w:rPr>
                      <w:rFonts w:hint="eastAsia"/>
                      <w:u w:val="single"/>
                    </w:rPr>
                    <w:t>生活用水由市政供水管网供给，生产用水来源于堆填场</w:t>
                  </w:r>
                  <w:r>
                    <w:rPr>
                      <w:rFonts w:hint="eastAsia"/>
                      <w:u w:val="single"/>
                      <w:lang w:eastAsia="zh-CN"/>
                    </w:rPr>
                    <w:t>矿坑积水（淋滤水）</w:t>
                  </w:r>
                </w:p>
              </w:tc>
              <w:tc>
                <w:tcPr>
                  <w:tcW w:w="631" w:type="pct"/>
                  <w:noWrap w:val="0"/>
                  <w:vAlign w:val="center"/>
                </w:tcPr>
                <w:p w14:paraId="27DEA2BE">
                  <w:pPr>
                    <w:pStyle w:val="115"/>
                    <w:bidi w:val="0"/>
                    <w:rPr>
                      <w:rFonts w:hint="eastAsia" w:eastAsia="宋体"/>
                      <w:u w:val="single"/>
                      <w:lang w:val="en-US" w:eastAsia="zh-CN"/>
                    </w:rPr>
                  </w:pPr>
                  <w:r>
                    <w:rPr>
                      <w:rFonts w:hint="eastAsia"/>
                      <w:u w:val="single"/>
                      <w:lang w:val="en-US" w:eastAsia="zh-CN"/>
                    </w:rPr>
                    <w:t>新建</w:t>
                  </w:r>
                </w:p>
              </w:tc>
            </w:tr>
            <w:tr w14:paraId="6921DE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080B085B">
                  <w:pPr>
                    <w:pStyle w:val="115"/>
                    <w:bidi w:val="0"/>
                    <w:rPr>
                      <w:u w:val="single"/>
                    </w:rPr>
                  </w:pPr>
                </w:p>
              </w:tc>
              <w:tc>
                <w:tcPr>
                  <w:tcW w:w="948" w:type="pct"/>
                  <w:noWrap w:val="0"/>
                  <w:vAlign w:val="center"/>
                </w:tcPr>
                <w:p w14:paraId="00C51A23">
                  <w:pPr>
                    <w:pStyle w:val="115"/>
                    <w:bidi w:val="0"/>
                    <w:rPr>
                      <w:u w:val="single"/>
                    </w:rPr>
                  </w:pPr>
                  <w:r>
                    <w:rPr>
                      <w:u w:val="single"/>
                    </w:rPr>
                    <w:t>排水</w:t>
                  </w:r>
                </w:p>
              </w:tc>
              <w:tc>
                <w:tcPr>
                  <w:tcW w:w="2937" w:type="pct"/>
                  <w:noWrap w:val="0"/>
                  <w:vAlign w:val="center"/>
                </w:tcPr>
                <w:p w14:paraId="10786CCC">
                  <w:pPr>
                    <w:pStyle w:val="115"/>
                    <w:bidi w:val="0"/>
                    <w:rPr>
                      <w:rFonts w:hint="eastAsia" w:eastAsia="宋体"/>
                      <w:u w:val="single"/>
                      <w:lang w:eastAsia="zh-CN"/>
                    </w:rPr>
                  </w:pPr>
                  <w:r>
                    <w:rPr>
                      <w:rFonts w:hint="eastAsia"/>
                      <w:u w:val="single"/>
                    </w:rPr>
                    <w:t>雨污分流，项目车辆冲洗废水经</w:t>
                  </w:r>
                  <w:r>
                    <w:rPr>
                      <w:rFonts w:hint="eastAsia"/>
                      <w:u w:val="single"/>
                      <w:lang w:val="en-US" w:eastAsia="zh-CN"/>
                    </w:rPr>
                    <w:t>洗车废水沉淀池</w:t>
                  </w:r>
                  <w:r>
                    <w:rPr>
                      <w:rFonts w:hint="eastAsia"/>
                      <w:u w:val="single"/>
                    </w:rPr>
                    <w:t>沉淀后回用，不外排</w:t>
                  </w:r>
                  <w:r>
                    <w:rPr>
                      <w:rFonts w:hint="eastAsia"/>
                      <w:u w:val="single"/>
                      <w:lang w:eastAsia="zh-CN"/>
                    </w:rPr>
                    <w:t>。</w:t>
                  </w:r>
                </w:p>
                <w:p w14:paraId="267241A4">
                  <w:pPr>
                    <w:pStyle w:val="115"/>
                    <w:bidi w:val="0"/>
                    <w:rPr>
                      <w:rFonts w:hint="default"/>
                      <w:u w:val="single"/>
                      <w:lang w:val="en-US"/>
                    </w:rPr>
                  </w:pPr>
                  <w:r>
                    <w:rPr>
                      <w:rFonts w:hint="eastAsia"/>
                      <w:u w:val="single"/>
                      <w:lang w:val="en-US" w:eastAsia="zh-CN"/>
                    </w:rPr>
                    <w:t>填埋区坑底设置抽水泵机排水管道，将堆填场</w:t>
                  </w:r>
                  <w:r>
                    <w:rPr>
                      <w:rFonts w:hint="eastAsia"/>
                      <w:u w:val="single"/>
                      <w:lang w:eastAsia="zh-CN"/>
                    </w:rPr>
                    <w:t>矿坑积水（淋滤水）</w:t>
                  </w:r>
                  <w:r>
                    <w:rPr>
                      <w:rFonts w:hint="eastAsia"/>
                      <w:u w:val="single"/>
                      <w:lang w:val="en-US" w:eastAsia="zh-CN"/>
                    </w:rPr>
                    <w:t>抽至淋溶水沉淀池沉淀后</w:t>
                  </w:r>
                  <w:r>
                    <w:rPr>
                      <w:rFonts w:hint="eastAsia"/>
                      <w:u w:val="single"/>
                    </w:rPr>
                    <w:t>排入项目厂区东北侧</w:t>
                  </w:r>
                  <w:r>
                    <w:rPr>
                      <w:rFonts w:hint="eastAsia"/>
                      <w:u w:val="single"/>
                      <w:lang w:val="en-US" w:eastAsia="zh-CN"/>
                    </w:rPr>
                    <w:t>沟渠内汇入洪溪。</w:t>
                  </w:r>
                </w:p>
              </w:tc>
              <w:tc>
                <w:tcPr>
                  <w:tcW w:w="631" w:type="pct"/>
                  <w:noWrap w:val="0"/>
                  <w:vAlign w:val="center"/>
                </w:tcPr>
                <w:p w14:paraId="52F836EF">
                  <w:pPr>
                    <w:pStyle w:val="115"/>
                    <w:bidi w:val="0"/>
                    <w:rPr>
                      <w:rFonts w:hint="eastAsia"/>
                      <w:u w:val="single"/>
                    </w:rPr>
                  </w:pPr>
                  <w:r>
                    <w:rPr>
                      <w:rFonts w:hint="eastAsia"/>
                      <w:u w:val="single"/>
                    </w:rPr>
                    <w:t>新建</w:t>
                  </w:r>
                </w:p>
              </w:tc>
            </w:tr>
            <w:tr w14:paraId="47A7D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restart"/>
                  <w:noWrap w:val="0"/>
                  <w:vAlign w:val="center"/>
                </w:tcPr>
                <w:p w14:paraId="61BBB4F8">
                  <w:pPr>
                    <w:pStyle w:val="115"/>
                    <w:bidi w:val="0"/>
                    <w:rPr>
                      <w:u w:val="single"/>
                    </w:rPr>
                  </w:pPr>
                  <w:r>
                    <w:rPr>
                      <w:u w:val="single"/>
                    </w:rPr>
                    <w:t>环保工程</w:t>
                  </w:r>
                </w:p>
              </w:tc>
              <w:tc>
                <w:tcPr>
                  <w:tcW w:w="948" w:type="pct"/>
                  <w:noWrap w:val="0"/>
                  <w:vAlign w:val="center"/>
                </w:tcPr>
                <w:p w14:paraId="1C9ECDF9">
                  <w:pPr>
                    <w:pStyle w:val="115"/>
                    <w:bidi w:val="0"/>
                    <w:rPr>
                      <w:u w:val="single"/>
                    </w:rPr>
                  </w:pPr>
                  <w:r>
                    <w:rPr>
                      <w:u w:val="single"/>
                    </w:rPr>
                    <w:t>废气治理设施</w:t>
                  </w:r>
                </w:p>
              </w:tc>
              <w:tc>
                <w:tcPr>
                  <w:tcW w:w="2937" w:type="pct"/>
                  <w:noWrap w:val="0"/>
                  <w:vAlign w:val="center"/>
                </w:tcPr>
                <w:p w14:paraId="0833F2CC">
                  <w:pPr>
                    <w:pStyle w:val="115"/>
                    <w:bidi w:val="0"/>
                    <w:rPr>
                      <w:rFonts w:hint="eastAsia" w:eastAsia="宋体"/>
                      <w:u w:val="single"/>
                      <w:lang w:eastAsia="zh-CN"/>
                    </w:rPr>
                  </w:pPr>
                  <w:r>
                    <w:rPr>
                      <w:u w:val="single"/>
                    </w:rPr>
                    <w:t>项目</w:t>
                  </w:r>
                  <w:r>
                    <w:rPr>
                      <w:rFonts w:hint="eastAsia"/>
                      <w:u w:val="single"/>
                    </w:rPr>
                    <w:t>建筑垃圾</w:t>
                  </w:r>
                  <w:r>
                    <w:rPr>
                      <w:u w:val="single"/>
                    </w:rPr>
                    <w:t>合理倾倒、及时压实</w:t>
                  </w:r>
                  <w:r>
                    <w:rPr>
                      <w:rFonts w:hint="eastAsia"/>
                      <w:u w:val="single"/>
                    </w:rPr>
                    <w:t>、道路洒水降尘</w:t>
                  </w:r>
                  <w:r>
                    <w:rPr>
                      <w:u w:val="single"/>
                    </w:rPr>
                    <w:t>，运输车辆加盖篷布</w:t>
                  </w:r>
                  <w:r>
                    <w:rPr>
                      <w:rFonts w:hint="eastAsia"/>
                      <w:u w:val="single"/>
                    </w:rPr>
                    <w:t>，场区内设置雾炮喷淋洒水抑尘</w:t>
                  </w:r>
                  <w:r>
                    <w:rPr>
                      <w:rFonts w:hint="eastAsia"/>
                      <w:u w:val="single"/>
                      <w:lang w:eastAsia="zh-CN"/>
                    </w:rPr>
                    <w:t>。</w:t>
                  </w:r>
                </w:p>
              </w:tc>
              <w:tc>
                <w:tcPr>
                  <w:tcW w:w="631" w:type="pct"/>
                  <w:noWrap w:val="0"/>
                  <w:vAlign w:val="center"/>
                </w:tcPr>
                <w:p w14:paraId="158976C1">
                  <w:pPr>
                    <w:pStyle w:val="115"/>
                    <w:bidi w:val="0"/>
                    <w:rPr>
                      <w:u w:val="single"/>
                    </w:rPr>
                  </w:pPr>
                  <w:r>
                    <w:rPr>
                      <w:u w:val="single"/>
                    </w:rPr>
                    <w:t>新建</w:t>
                  </w:r>
                </w:p>
              </w:tc>
            </w:tr>
            <w:tr w14:paraId="19368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482" w:type="pct"/>
                  <w:vMerge w:val="continue"/>
                  <w:noWrap w:val="0"/>
                  <w:vAlign w:val="center"/>
                </w:tcPr>
                <w:p w14:paraId="35A8CED3">
                  <w:pPr>
                    <w:pStyle w:val="115"/>
                    <w:bidi w:val="0"/>
                    <w:rPr>
                      <w:u w:val="single"/>
                    </w:rPr>
                  </w:pPr>
                </w:p>
              </w:tc>
              <w:tc>
                <w:tcPr>
                  <w:tcW w:w="948" w:type="pct"/>
                  <w:vMerge w:val="restart"/>
                  <w:noWrap w:val="0"/>
                  <w:vAlign w:val="center"/>
                </w:tcPr>
                <w:p w14:paraId="6810C2CE">
                  <w:pPr>
                    <w:pStyle w:val="115"/>
                    <w:bidi w:val="0"/>
                    <w:rPr>
                      <w:u w:val="single"/>
                    </w:rPr>
                  </w:pPr>
                  <w:r>
                    <w:rPr>
                      <w:u w:val="single"/>
                    </w:rPr>
                    <w:t>废水治理设施</w:t>
                  </w:r>
                </w:p>
              </w:tc>
              <w:tc>
                <w:tcPr>
                  <w:tcW w:w="2937" w:type="pct"/>
                  <w:noWrap w:val="0"/>
                  <w:vAlign w:val="center"/>
                </w:tcPr>
                <w:p w14:paraId="174B57C9">
                  <w:pPr>
                    <w:pStyle w:val="115"/>
                    <w:bidi w:val="0"/>
                    <w:rPr>
                      <w:rFonts w:hint="eastAsia" w:eastAsia="宋体"/>
                      <w:u w:val="single"/>
                      <w:lang w:eastAsia="zh-CN"/>
                    </w:rPr>
                  </w:pPr>
                  <w:r>
                    <w:rPr>
                      <w:rFonts w:hint="eastAsia"/>
                      <w:u w:val="single"/>
                    </w:rPr>
                    <w:t>生活污水经化粪池</w:t>
                  </w:r>
                  <w:r>
                    <w:rPr>
                      <w:rFonts w:hint="eastAsia"/>
                      <w:u w:val="single"/>
                      <w:lang w:eastAsia="zh-CN"/>
                    </w:rPr>
                    <w:t>（</w:t>
                  </w:r>
                  <w:r>
                    <w:rPr>
                      <w:rFonts w:hint="eastAsia"/>
                      <w:u w:val="single"/>
                      <w:lang w:val="en-US" w:eastAsia="zh-CN"/>
                    </w:rPr>
                    <w:t>容积10m</w:t>
                  </w:r>
                  <w:r>
                    <w:rPr>
                      <w:rFonts w:hint="eastAsia"/>
                      <w:u w:val="single"/>
                      <w:vertAlign w:val="superscript"/>
                      <w:lang w:val="en-US" w:eastAsia="zh-CN"/>
                    </w:rPr>
                    <w:t>3</w:t>
                  </w:r>
                  <w:r>
                    <w:rPr>
                      <w:rFonts w:hint="eastAsia"/>
                      <w:u w:val="single"/>
                      <w:lang w:eastAsia="zh-CN"/>
                    </w:rPr>
                    <w:t>）</w:t>
                  </w:r>
                  <w:r>
                    <w:rPr>
                      <w:rFonts w:hint="eastAsia"/>
                      <w:u w:val="single"/>
                    </w:rPr>
                    <w:t>处理后用于周边林地</w:t>
                  </w:r>
                  <w:r>
                    <w:rPr>
                      <w:rFonts w:hint="eastAsia"/>
                      <w:u w:val="single"/>
                      <w:lang w:val="en-US" w:eastAsia="zh-CN"/>
                    </w:rPr>
                    <w:t>做农肥</w:t>
                  </w:r>
                </w:p>
              </w:tc>
              <w:tc>
                <w:tcPr>
                  <w:tcW w:w="631" w:type="pct"/>
                  <w:vMerge w:val="restart"/>
                  <w:noWrap w:val="0"/>
                  <w:vAlign w:val="center"/>
                </w:tcPr>
                <w:p w14:paraId="7FC0EA0C">
                  <w:pPr>
                    <w:pStyle w:val="115"/>
                    <w:bidi w:val="0"/>
                    <w:rPr>
                      <w:rFonts w:hint="eastAsia"/>
                      <w:u w:val="single"/>
                    </w:rPr>
                  </w:pPr>
                  <w:r>
                    <w:rPr>
                      <w:rFonts w:hint="eastAsia"/>
                      <w:u w:val="single"/>
                    </w:rPr>
                    <w:t>新建</w:t>
                  </w:r>
                </w:p>
              </w:tc>
            </w:tr>
            <w:tr w14:paraId="1E8DED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482" w:type="pct"/>
                  <w:vMerge w:val="continue"/>
                  <w:noWrap w:val="0"/>
                  <w:vAlign w:val="center"/>
                </w:tcPr>
                <w:p w14:paraId="6397CBFF">
                  <w:pPr>
                    <w:pStyle w:val="115"/>
                    <w:bidi w:val="0"/>
                  </w:pPr>
                </w:p>
              </w:tc>
              <w:tc>
                <w:tcPr>
                  <w:tcW w:w="948" w:type="pct"/>
                  <w:vMerge w:val="continue"/>
                  <w:noWrap w:val="0"/>
                  <w:vAlign w:val="center"/>
                </w:tcPr>
                <w:p w14:paraId="762EEAF1">
                  <w:pPr>
                    <w:pStyle w:val="115"/>
                    <w:bidi w:val="0"/>
                  </w:pPr>
                </w:p>
              </w:tc>
              <w:tc>
                <w:tcPr>
                  <w:tcW w:w="2937" w:type="pct"/>
                  <w:noWrap w:val="0"/>
                  <w:vAlign w:val="center"/>
                </w:tcPr>
                <w:p w14:paraId="5C0BF63B">
                  <w:pPr>
                    <w:pStyle w:val="115"/>
                    <w:bidi w:val="0"/>
                    <w:rPr>
                      <w:rFonts w:hint="eastAsia"/>
                      <w:u w:val="single"/>
                    </w:rPr>
                  </w:pPr>
                  <w:r>
                    <w:rPr>
                      <w:rFonts w:hint="eastAsia"/>
                      <w:u w:val="single"/>
                    </w:rPr>
                    <w:t>车辆冲洗废水经</w:t>
                  </w:r>
                  <w:r>
                    <w:rPr>
                      <w:rFonts w:hint="eastAsia"/>
                      <w:u w:val="single"/>
                      <w:lang w:val="en-US" w:eastAsia="zh-CN"/>
                    </w:rPr>
                    <w:t>洗车废水</w:t>
                  </w:r>
                  <w:r>
                    <w:rPr>
                      <w:rFonts w:hint="eastAsia"/>
                      <w:u w:val="single"/>
                    </w:rPr>
                    <w:t>沉淀</w:t>
                  </w:r>
                  <w:r>
                    <w:rPr>
                      <w:rFonts w:hint="eastAsia"/>
                      <w:u w:val="single"/>
                      <w:lang w:val="en-US" w:eastAsia="zh-CN"/>
                    </w:rPr>
                    <w:t>池（二级沉淀池、容积10m</w:t>
                  </w:r>
                  <w:r>
                    <w:rPr>
                      <w:rFonts w:hint="eastAsia"/>
                      <w:u w:val="single"/>
                      <w:vertAlign w:val="superscript"/>
                      <w:lang w:val="en-US" w:eastAsia="zh-CN"/>
                    </w:rPr>
                    <w:t>3</w:t>
                  </w:r>
                  <w:r>
                    <w:rPr>
                      <w:rFonts w:hint="eastAsia"/>
                      <w:u w:val="single"/>
                      <w:lang w:val="en-US" w:eastAsia="zh-CN"/>
                    </w:rPr>
                    <w:t>）</w:t>
                  </w:r>
                  <w:r>
                    <w:rPr>
                      <w:rFonts w:hint="eastAsia"/>
                      <w:u w:val="single"/>
                    </w:rPr>
                    <w:t>处理后回用于车辆冲洗，不外排</w:t>
                  </w:r>
                </w:p>
              </w:tc>
              <w:tc>
                <w:tcPr>
                  <w:tcW w:w="631" w:type="pct"/>
                  <w:vMerge w:val="continue"/>
                  <w:noWrap w:val="0"/>
                  <w:vAlign w:val="center"/>
                </w:tcPr>
                <w:p w14:paraId="42104D73">
                  <w:pPr>
                    <w:pStyle w:val="115"/>
                    <w:bidi w:val="0"/>
                    <w:rPr>
                      <w:rFonts w:hint="eastAsia"/>
                      <w:u w:val="single"/>
                    </w:rPr>
                  </w:pPr>
                </w:p>
              </w:tc>
            </w:tr>
            <w:tr w14:paraId="1B837C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482" w:type="pct"/>
                  <w:vMerge w:val="continue"/>
                  <w:noWrap w:val="0"/>
                  <w:vAlign w:val="center"/>
                </w:tcPr>
                <w:p w14:paraId="57D66C3B">
                  <w:pPr>
                    <w:pStyle w:val="115"/>
                    <w:bidi w:val="0"/>
                    <w:rPr>
                      <w:rFonts w:hint="eastAsia"/>
                      <w:u w:val="single"/>
                    </w:rPr>
                  </w:pPr>
                </w:p>
              </w:tc>
              <w:tc>
                <w:tcPr>
                  <w:tcW w:w="948" w:type="pct"/>
                  <w:vMerge w:val="continue"/>
                  <w:noWrap w:val="0"/>
                  <w:vAlign w:val="center"/>
                </w:tcPr>
                <w:p w14:paraId="4F18D0EC">
                  <w:pPr>
                    <w:pStyle w:val="115"/>
                    <w:bidi w:val="0"/>
                    <w:rPr>
                      <w:rFonts w:hint="eastAsia"/>
                      <w:u w:val="single"/>
                    </w:rPr>
                  </w:pPr>
                </w:p>
              </w:tc>
              <w:tc>
                <w:tcPr>
                  <w:tcW w:w="2937" w:type="pct"/>
                  <w:noWrap w:val="0"/>
                  <w:vAlign w:val="center"/>
                </w:tcPr>
                <w:p w14:paraId="1A944DBF">
                  <w:pPr>
                    <w:pStyle w:val="115"/>
                    <w:bidi w:val="0"/>
                    <w:rPr>
                      <w:rFonts w:hint="eastAsia"/>
                      <w:u w:val="single"/>
                    </w:rPr>
                  </w:pPr>
                  <w:r>
                    <w:rPr>
                      <w:rFonts w:hint="eastAsia"/>
                      <w:u w:val="single"/>
                    </w:rPr>
                    <w:t>下雨导致</w:t>
                  </w:r>
                  <w:r>
                    <w:rPr>
                      <w:rFonts w:hint="eastAsia"/>
                      <w:u w:val="single"/>
                      <w:lang w:val="en-US" w:eastAsia="zh-CN"/>
                    </w:rPr>
                    <w:t>堆填场</w:t>
                  </w:r>
                  <w:r>
                    <w:rPr>
                      <w:rFonts w:hint="eastAsia"/>
                      <w:u w:val="single"/>
                    </w:rPr>
                    <w:t>坑底产生的积水经抽水泵</w:t>
                  </w:r>
                  <w:r>
                    <w:rPr>
                      <w:rFonts w:hint="eastAsia"/>
                      <w:u w:val="single"/>
                      <w:lang w:val="en-US" w:eastAsia="zh-CN"/>
                    </w:rPr>
                    <w:t>抽至淋溶水沉淀池（二级沉淀池、容积30m</w:t>
                  </w:r>
                  <w:r>
                    <w:rPr>
                      <w:rFonts w:hint="eastAsia"/>
                      <w:u w:val="single"/>
                      <w:vertAlign w:val="superscript"/>
                      <w:lang w:val="en-US" w:eastAsia="zh-CN"/>
                    </w:rPr>
                    <w:t>3</w:t>
                  </w:r>
                  <w:r>
                    <w:rPr>
                      <w:rFonts w:hint="eastAsia"/>
                      <w:u w:val="single"/>
                      <w:lang w:val="en-US" w:eastAsia="zh-CN"/>
                    </w:rPr>
                    <w:t>）沉淀后</w:t>
                  </w:r>
                  <w:r>
                    <w:rPr>
                      <w:rFonts w:hint="eastAsia"/>
                      <w:u w:val="single"/>
                    </w:rPr>
                    <w:t>排入项目厂区东北侧</w:t>
                  </w:r>
                  <w:r>
                    <w:rPr>
                      <w:rFonts w:hint="eastAsia"/>
                      <w:u w:val="single"/>
                      <w:lang w:val="en-US" w:eastAsia="zh-CN"/>
                    </w:rPr>
                    <w:t>沟渠</w:t>
                  </w:r>
                  <w:r>
                    <w:rPr>
                      <w:rFonts w:hint="eastAsia"/>
                      <w:u w:val="single"/>
                    </w:rPr>
                    <w:t>汇入洪溪</w:t>
                  </w:r>
                </w:p>
              </w:tc>
              <w:tc>
                <w:tcPr>
                  <w:tcW w:w="631" w:type="pct"/>
                  <w:vMerge w:val="continue"/>
                  <w:noWrap w:val="0"/>
                  <w:vAlign w:val="center"/>
                </w:tcPr>
                <w:p w14:paraId="5B9BBD64">
                  <w:pPr>
                    <w:pStyle w:val="115"/>
                    <w:bidi w:val="0"/>
                    <w:rPr>
                      <w:rFonts w:hint="eastAsia"/>
                      <w:u w:val="single"/>
                    </w:rPr>
                  </w:pPr>
                </w:p>
              </w:tc>
            </w:tr>
            <w:tr w14:paraId="343E5D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382BEE7E">
                  <w:pPr>
                    <w:pStyle w:val="115"/>
                    <w:bidi w:val="0"/>
                    <w:rPr>
                      <w:u w:val="single"/>
                    </w:rPr>
                  </w:pPr>
                </w:p>
              </w:tc>
              <w:tc>
                <w:tcPr>
                  <w:tcW w:w="948" w:type="pct"/>
                  <w:noWrap w:val="0"/>
                  <w:vAlign w:val="center"/>
                </w:tcPr>
                <w:p w14:paraId="477AB7A3">
                  <w:pPr>
                    <w:pStyle w:val="115"/>
                    <w:bidi w:val="0"/>
                    <w:rPr>
                      <w:u w:val="single"/>
                    </w:rPr>
                  </w:pPr>
                  <w:r>
                    <w:rPr>
                      <w:u w:val="single"/>
                    </w:rPr>
                    <w:t>噪声治理设施</w:t>
                  </w:r>
                </w:p>
              </w:tc>
              <w:tc>
                <w:tcPr>
                  <w:tcW w:w="2937" w:type="pct"/>
                  <w:noWrap w:val="0"/>
                  <w:vAlign w:val="center"/>
                </w:tcPr>
                <w:p w14:paraId="15D097B4">
                  <w:pPr>
                    <w:pStyle w:val="115"/>
                    <w:bidi w:val="0"/>
                    <w:rPr>
                      <w:u w:val="single"/>
                    </w:rPr>
                  </w:pPr>
                  <w:r>
                    <w:rPr>
                      <w:rFonts w:hint="eastAsia"/>
                      <w:u w:val="single"/>
                    </w:rPr>
                    <w:t>设置围挡、隔声减震、采用先进低噪声设备，车辆限速行驶，加强道路两侧绿化</w:t>
                  </w:r>
                </w:p>
              </w:tc>
              <w:tc>
                <w:tcPr>
                  <w:tcW w:w="631" w:type="pct"/>
                  <w:noWrap w:val="0"/>
                  <w:vAlign w:val="center"/>
                </w:tcPr>
                <w:p w14:paraId="7FD2E768">
                  <w:pPr>
                    <w:pStyle w:val="115"/>
                    <w:bidi w:val="0"/>
                    <w:rPr>
                      <w:u w:val="single"/>
                    </w:rPr>
                  </w:pPr>
                  <w:r>
                    <w:rPr>
                      <w:u w:val="single"/>
                    </w:rPr>
                    <w:t>新建</w:t>
                  </w:r>
                </w:p>
              </w:tc>
            </w:tr>
            <w:tr w14:paraId="091A76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652068B6">
                  <w:pPr>
                    <w:pStyle w:val="115"/>
                    <w:bidi w:val="0"/>
                    <w:rPr>
                      <w:u w:val="single"/>
                    </w:rPr>
                  </w:pPr>
                </w:p>
              </w:tc>
              <w:tc>
                <w:tcPr>
                  <w:tcW w:w="948" w:type="pct"/>
                  <w:vMerge w:val="restart"/>
                  <w:noWrap w:val="0"/>
                  <w:vAlign w:val="center"/>
                </w:tcPr>
                <w:p w14:paraId="19B0BC25">
                  <w:pPr>
                    <w:pStyle w:val="115"/>
                    <w:bidi w:val="0"/>
                    <w:rPr>
                      <w:u w:val="single"/>
                    </w:rPr>
                  </w:pPr>
                  <w:r>
                    <w:rPr>
                      <w:u w:val="single"/>
                    </w:rPr>
                    <w:t>固废治理设施</w:t>
                  </w:r>
                </w:p>
              </w:tc>
              <w:tc>
                <w:tcPr>
                  <w:tcW w:w="2937" w:type="pct"/>
                  <w:noWrap w:val="0"/>
                  <w:vAlign w:val="center"/>
                </w:tcPr>
                <w:p w14:paraId="5B74E1AF">
                  <w:pPr>
                    <w:pStyle w:val="115"/>
                    <w:bidi w:val="0"/>
                    <w:rPr>
                      <w:rFonts w:hint="eastAsia"/>
                      <w:u w:val="single"/>
                      <w:lang w:eastAsia="zh-CN"/>
                    </w:rPr>
                  </w:pPr>
                  <w:r>
                    <w:rPr>
                      <w:rFonts w:hint="eastAsia"/>
                      <w:u w:val="single"/>
                    </w:rPr>
                    <w:t>沉淀池沉渣定期清理直接运往建筑垃圾堆填场进行堆填处理，不在厂内暂存</w:t>
                  </w:r>
                  <w:r>
                    <w:rPr>
                      <w:rFonts w:hint="eastAsia"/>
                      <w:u w:val="single"/>
                      <w:lang w:eastAsia="zh-CN"/>
                    </w:rPr>
                    <w:t>；</w:t>
                  </w:r>
                </w:p>
                <w:p w14:paraId="41E2B15C">
                  <w:pPr>
                    <w:pStyle w:val="115"/>
                    <w:bidi w:val="0"/>
                    <w:rPr>
                      <w:rFonts w:hint="eastAsia" w:eastAsia="宋体"/>
                      <w:u w:val="single"/>
                      <w:lang w:eastAsia="zh-CN"/>
                    </w:rPr>
                  </w:pPr>
                  <w:r>
                    <w:rPr>
                      <w:rFonts w:hint="eastAsia"/>
                      <w:u w:val="single"/>
                    </w:rPr>
                    <w:t>废金属、</w:t>
                  </w:r>
                  <w:r>
                    <w:rPr>
                      <w:rFonts w:hint="eastAsia"/>
                      <w:u w:val="single"/>
                      <w:lang w:eastAsia="zh-CN"/>
                    </w:rPr>
                    <w:t>废塑料、废木</w:t>
                  </w:r>
                  <w:r>
                    <w:rPr>
                      <w:rFonts w:hint="eastAsia"/>
                      <w:u w:val="single"/>
                      <w:lang w:val="en-US" w:eastAsia="zh-CN"/>
                    </w:rPr>
                    <w:t>头</w:t>
                  </w:r>
                  <w:r>
                    <w:rPr>
                      <w:rFonts w:hint="eastAsia"/>
                      <w:u w:val="single"/>
                    </w:rPr>
                    <w:t>统一贮存一般工业固体废物暂存间，定期外售综合处理</w:t>
                  </w:r>
                  <w:r>
                    <w:rPr>
                      <w:rFonts w:hint="eastAsia"/>
                      <w:u w:val="single"/>
                      <w:lang w:eastAsia="zh-CN"/>
                    </w:rPr>
                    <w:t>；</w:t>
                  </w:r>
                </w:p>
              </w:tc>
              <w:tc>
                <w:tcPr>
                  <w:tcW w:w="631" w:type="pct"/>
                  <w:noWrap w:val="0"/>
                  <w:vAlign w:val="center"/>
                </w:tcPr>
                <w:p w14:paraId="5A73D7CD">
                  <w:pPr>
                    <w:pStyle w:val="115"/>
                    <w:bidi w:val="0"/>
                    <w:rPr>
                      <w:u w:val="single"/>
                    </w:rPr>
                  </w:pPr>
                  <w:r>
                    <w:rPr>
                      <w:u w:val="single"/>
                    </w:rPr>
                    <w:t>新建</w:t>
                  </w:r>
                </w:p>
              </w:tc>
            </w:tr>
            <w:tr w14:paraId="4940BB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150DA338">
                  <w:pPr>
                    <w:pStyle w:val="115"/>
                    <w:bidi w:val="0"/>
                    <w:rPr>
                      <w:u w:val="single"/>
                    </w:rPr>
                  </w:pPr>
                </w:p>
              </w:tc>
              <w:tc>
                <w:tcPr>
                  <w:tcW w:w="948" w:type="pct"/>
                  <w:vMerge w:val="continue"/>
                  <w:noWrap w:val="0"/>
                  <w:vAlign w:val="center"/>
                </w:tcPr>
                <w:p w14:paraId="7170E498">
                  <w:pPr>
                    <w:pStyle w:val="115"/>
                    <w:bidi w:val="0"/>
                    <w:rPr>
                      <w:u w:val="single"/>
                    </w:rPr>
                  </w:pPr>
                </w:p>
              </w:tc>
              <w:tc>
                <w:tcPr>
                  <w:tcW w:w="2937" w:type="pct"/>
                  <w:noWrap w:val="0"/>
                  <w:vAlign w:val="center"/>
                </w:tcPr>
                <w:p w14:paraId="0D4A0835">
                  <w:pPr>
                    <w:pStyle w:val="115"/>
                    <w:bidi w:val="0"/>
                    <w:rPr>
                      <w:u w:val="single"/>
                    </w:rPr>
                  </w:pPr>
                  <w:r>
                    <w:rPr>
                      <w:u w:val="single"/>
                    </w:rPr>
                    <w:t>生活垃圾箱</w:t>
                  </w:r>
                  <w:r>
                    <w:rPr>
                      <w:rFonts w:hint="eastAsia"/>
                      <w:u w:val="single"/>
                    </w:rPr>
                    <w:t>，经收集后由环卫部门统一处理</w:t>
                  </w:r>
                </w:p>
              </w:tc>
              <w:tc>
                <w:tcPr>
                  <w:tcW w:w="631" w:type="pct"/>
                  <w:noWrap w:val="0"/>
                  <w:vAlign w:val="center"/>
                </w:tcPr>
                <w:p w14:paraId="1F9D93FA">
                  <w:pPr>
                    <w:pStyle w:val="115"/>
                    <w:bidi w:val="0"/>
                    <w:rPr>
                      <w:u w:val="single"/>
                    </w:rPr>
                  </w:pPr>
                  <w:r>
                    <w:rPr>
                      <w:u w:val="single"/>
                    </w:rPr>
                    <w:t>新建</w:t>
                  </w:r>
                </w:p>
              </w:tc>
            </w:tr>
            <w:tr w14:paraId="201688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475DF336">
                  <w:pPr>
                    <w:pStyle w:val="115"/>
                    <w:bidi w:val="0"/>
                    <w:rPr>
                      <w:u w:val="single"/>
                    </w:rPr>
                  </w:pPr>
                </w:p>
              </w:tc>
              <w:tc>
                <w:tcPr>
                  <w:tcW w:w="948" w:type="pct"/>
                  <w:vMerge w:val="continue"/>
                  <w:noWrap w:val="0"/>
                  <w:vAlign w:val="center"/>
                </w:tcPr>
                <w:p w14:paraId="18B0D37D">
                  <w:pPr>
                    <w:pStyle w:val="115"/>
                    <w:bidi w:val="0"/>
                    <w:rPr>
                      <w:u w:val="single"/>
                    </w:rPr>
                  </w:pPr>
                </w:p>
              </w:tc>
              <w:tc>
                <w:tcPr>
                  <w:tcW w:w="2937" w:type="pct"/>
                  <w:noWrap w:val="0"/>
                  <w:vAlign w:val="center"/>
                </w:tcPr>
                <w:p w14:paraId="13F82615">
                  <w:pPr>
                    <w:pStyle w:val="115"/>
                    <w:bidi w:val="0"/>
                    <w:rPr>
                      <w:u w:val="single"/>
                    </w:rPr>
                  </w:pPr>
                  <w:r>
                    <w:rPr>
                      <w:rFonts w:hint="eastAsia"/>
                      <w:u w:val="single"/>
                    </w:rPr>
                    <w:t>危险废物</w:t>
                  </w:r>
                  <w:r>
                    <w:rPr>
                      <w:rFonts w:hint="eastAsia"/>
                      <w:u w:val="single"/>
                      <w:lang w:val="en-US" w:eastAsia="zh-CN"/>
                    </w:rPr>
                    <w:t>在危废暂存间暂存，</w:t>
                  </w:r>
                  <w:r>
                    <w:rPr>
                      <w:rFonts w:hint="eastAsia"/>
                      <w:u w:val="single"/>
                    </w:rPr>
                    <w:t>委托具有处理资质的单位处置</w:t>
                  </w:r>
                </w:p>
              </w:tc>
              <w:tc>
                <w:tcPr>
                  <w:tcW w:w="631" w:type="pct"/>
                  <w:noWrap w:val="0"/>
                  <w:vAlign w:val="center"/>
                </w:tcPr>
                <w:p w14:paraId="7DE4219F">
                  <w:pPr>
                    <w:pStyle w:val="115"/>
                    <w:bidi w:val="0"/>
                    <w:rPr>
                      <w:rFonts w:hint="eastAsia" w:eastAsia="宋体"/>
                      <w:u w:val="single"/>
                      <w:lang w:val="en-US" w:eastAsia="zh-CN"/>
                    </w:rPr>
                  </w:pPr>
                  <w:r>
                    <w:rPr>
                      <w:rFonts w:hint="eastAsia"/>
                      <w:u w:val="single"/>
                      <w:lang w:val="en-US" w:eastAsia="zh-CN"/>
                    </w:rPr>
                    <w:t>新建</w:t>
                  </w:r>
                </w:p>
              </w:tc>
            </w:tr>
            <w:tr w14:paraId="2E2FB6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1473FB48">
                  <w:pPr>
                    <w:pStyle w:val="115"/>
                    <w:bidi w:val="0"/>
                    <w:rPr>
                      <w:u w:val="single"/>
                    </w:rPr>
                  </w:pPr>
                </w:p>
              </w:tc>
              <w:tc>
                <w:tcPr>
                  <w:tcW w:w="948" w:type="pct"/>
                  <w:vMerge w:val="restart"/>
                  <w:noWrap w:val="0"/>
                  <w:vAlign w:val="center"/>
                </w:tcPr>
                <w:p w14:paraId="2CDFC7D4">
                  <w:pPr>
                    <w:pStyle w:val="115"/>
                    <w:bidi w:val="0"/>
                    <w:rPr>
                      <w:rFonts w:hint="eastAsia"/>
                      <w:u w:val="single"/>
                    </w:rPr>
                  </w:pPr>
                  <w:r>
                    <w:rPr>
                      <w:rFonts w:hint="eastAsia"/>
                      <w:u w:val="single"/>
                    </w:rPr>
                    <w:t>生态</w:t>
                  </w:r>
                </w:p>
              </w:tc>
              <w:tc>
                <w:tcPr>
                  <w:tcW w:w="2937" w:type="pct"/>
                  <w:noWrap w:val="0"/>
                  <w:vAlign w:val="center"/>
                </w:tcPr>
                <w:p w14:paraId="150B183D">
                  <w:pPr>
                    <w:pStyle w:val="115"/>
                    <w:bidi w:val="0"/>
                    <w:rPr>
                      <w:u w:val="single"/>
                    </w:rPr>
                  </w:pPr>
                  <w:r>
                    <w:rPr>
                      <w:rFonts w:hint="eastAsia"/>
                      <w:u w:val="single"/>
                    </w:rPr>
                    <w:t>按照相关规定在堆填前需进行地基处理与场地平整，根据本项目</w:t>
                  </w:r>
                  <w:r>
                    <w:rPr>
                      <w:rFonts w:hint="eastAsia"/>
                      <w:u w:val="single"/>
                      <w:lang w:val="en-US" w:eastAsia="zh-CN"/>
                    </w:rPr>
                    <w:t>堆场场</w:t>
                  </w:r>
                  <w:r>
                    <w:rPr>
                      <w:rFonts w:hint="eastAsia"/>
                      <w:u w:val="single"/>
                    </w:rPr>
                    <w:t>实际情况，在堆填前先排出矿坑积水，</w:t>
                  </w:r>
                  <w:r>
                    <w:rPr>
                      <w:rFonts w:hint="eastAsia"/>
                      <w:u w:val="single"/>
                      <w:lang w:val="en-US" w:eastAsia="zh-CN"/>
                    </w:rPr>
                    <w:t>在清除</w:t>
                  </w:r>
                  <w:r>
                    <w:rPr>
                      <w:rFonts w:hint="eastAsia"/>
                      <w:u w:val="single"/>
                    </w:rPr>
                    <w:t>基底的垃圾、树根等杂物，将基底压实后再进行堆填，保障场地的稳定性和承载能力</w:t>
                  </w:r>
                </w:p>
              </w:tc>
              <w:tc>
                <w:tcPr>
                  <w:tcW w:w="631" w:type="pct"/>
                  <w:noWrap w:val="0"/>
                  <w:vAlign w:val="center"/>
                </w:tcPr>
                <w:p w14:paraId="24F6688C">
                  <w:pPr>
                    <w:pStyle w:val="115"/>
                    <w:bidi w:val="0"/>
                    <w:rPr>
                      <w:u w:val="single"/>
                    </w:rPr>
                  </w:pPr>
                  <w:r>
                    <w:rPr>
                      <w:u w:val="single"/>
                    </w:rPr>
                    <w:t>新建</w:t>
                  </w:r>
                </w:p>
              </w:tc>
            </w:tr>
            <w:tr w14:paraId="55F575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5EEAE69B">
                  <w:pPr>
                    <w:pStyle w:val="115"/>
                    <w:bidi w:val="0"/>
                    <w:rPr>
                      <w:u w:val="single"/>
                    </w:rPr>
                  </w:pPr>
                </w:p>
              </w:tc>
              <w:tc>
                <w:tcPr>
                  <w:tcW w:w="948" w:type="pct"/>
                  <w:vMerge w:val="continue"/>
                  <w:noWrap w:val="0"/>
                  <w:vAlign w:val="center"/>
                </w:tcPr>
                <w:p w14:paraId="5D3E00D1">
                  <w:pPr>
                    <w:pStyle w:val="115"/>
                    <w:bidi w:val="0"/>
                    <w:rPr>
                      <w:rFonts w:hint="eastAsia"/>
                      <w:u w:val="single"/>
                    </w:rPr>
                  </w:pPr>
                </w:p>
              </w:tc>
              <w:tc>
                <w:tcPr>
                  <w:tcW w:w="2937" w:type="pct"/>
                  <w:noWrap w:val="0"/>
                  <w:vAlign w:val="center"/>
                </w:tcPr>
                <w:p w14:paraId="3AC4C648">
                  <w:pPr>
                    <w:pStyle w:val="115"/>
                    <w:bidi w:val="0"/>
                    <w:rPr>
                      <w:rFonts w:hint="default" w:eastAsia="宋体"/>
                      <w:u w:val="single"/>
                      <w:lang w:val="en-US" w:eastAsia="zh-CN"/>
                    </w:rPr>
                  </w:pPr>
                  <w:r>
                    <w:rPr>
                      <w:rFonts w:hint="eastAsia"/>
                      <w:u w:val="single"/>
                      <w:lang w:val="en-US" w:eastAsia="zh-CN"/>
                    </w:rPr>
                    <w:t>堆填场分为两期建设，本次仅评价一期工程，二期工程建设完成后进行</w:t>
                  </w:r>
                  <w:r>
                    <w:rPr>
                      <w:rFonts w:hint="eastAsia"/>
                      <w:u w:val="single"/>
                    </w:rPr>
                    <w:t>封场及复绿措施</w:t>
                  </w:r>
                  <w:r>
                    <w:rPr>
                      <w:rFonts w:hint="eastAsia"/>
                      <w:u w:val="single"/>
                      <w:lang w:eastAsia="zh-CN"/>
                    </w:rPr>
                    <w:t>，</w:t>
                  </w:r>
                  <w:r>
                    <w:rPr>
                      <w:rFonts w:hint="eastAsia"/>
                      <w:u w:val="single"/>
                      <w:lang w:val="en-US" w:eastAsia="zh-CN"/>
                    </w:rPr>
                    <w:t>本次不评价生态恢复工程</w:t>
                  </w:r>
                </w:p>
              </w:tc>
              <w:tc>
                <w:tcPr>
                  <w:tcW w:w="631" w:type="pct"/>
                  <w:noWrap w:val="0"/>
                  <w:vAlign w:val="center"/>
                </w:tcPr>
                <w:p w14:paraId="533979B5">
                  <w:pPr>
                    <w:pStyle w:val="115"/>
                    <w:bidi w:val="0"/>
                    <w:rPr>
                      <w:rFonts w:hint="default" w:eastAsia="宋体"/>
                      <w:u w:val="single"/>
                      <w:lang w:val="en-US" w:eastAsia="zh-CN"/>
                    </w:rPr>
                  </w:pPr>
                  <w:r>
                    <w:rPr>
                      <w:rFonts w:hint="eastAsia"/>
                      <w:u w:val="single"/>
                      <w:lang w:val="en-US" w:eastAsia="zh-CN"/>
                    </w:rPr>
                    <w:t>二期工程另行评价</w:t>
                  </w:r>
                </w:p>
              </w:tc>
            </w:tr>
          </w:tbl>
          <w:p w14:paraId="2C518E77">
            <w:pPr>
              <w:pStyle w:val="4"/>
              <w:bidi w:val="0"/>
              <w:spacing w:line="360" w:lineRule="auto"/>
              <w:rPr>
                <w:rFonts w:hint="eastAsia"/>
                <w:lang w:val="en-US" w:eastAsia="zh-CN"/>
              </w:rPr>
            </w:pPr>
            <w:r>
              <w:rPr>
                <w:rFonts w:hint="eastAsia"/>
                <w:lang w:val="en-US" w:eastAsia="zh-CN"/>
              </w:rPr>
              <w:t>2.3主要原辅材料</w:t>
            </w:r>
          </w:p>
          <w:p w14:paraId="7A9150C5">
            <w:pPr>
              <w:pStyle w:val="5"/>
              <w:bidi w:val="0"/>
              <w:spacing w:line="360" w:lineRule="auto"/>
              <w:ind w:firstLine="482" w:firstLineChars="200"/>
              <w:rPr>
                <w:rFonts w:hint="eastAsia"/>
                <w:sz w:val="24"/>
                <w:u w:val="single"/>
                <w:lang w:val="en-US" w:eastAsia="zh-CN"/>
              </w:rPr>
            </w:pPr>
            <w:r>
              <w:rPr>
                <w:rFonts w:hint="eastAsia"/>
                <w:sz w:val="24"/>
                <w:u w:val="single"/>
                <w:lang w:val="en-US" w:eastAsia="zh-CN"/>
              </w:rPr>
              <w:t>2.3.1主要原辅材料消耗及理化性质</w:t>
            </w:r>
          </w:p>
          <w:p w14:paraId="62862AEA">
            <w:pPr>
              <w:spacing w:line="360" w:lineRule="auto"/>
              <w:ind w:firstLine="480" w:firstLineChars="200"/>
              <w:rPr>
                <w:rFonts w:hint="default"/>
                <w:sz w:val="24"/>
                <w:u w:val="single"/>
              </w:rPr>
            </w:pPr>
            <w:r>
              <w:rPr>
                <w:rFonts w:hint="eastAsia"/>
                <w:sz w:val="24"/>
                <w:u w:val="single"/>
              </w:rPr>
              <w:t>本项目建筑垃圾消纳场一期设计库容5万立方米，设计建筑垃圾处置能力19710吨/年（54吨/天），进场前（松散状态）密度</w:t>
            </w:r>
            <w:r>
              <w:rPr>
                <w:rFonts w:hint="eastAsia"/>
                <w:sz w:val="24"/>
                <w:u w:val="single"/>
                <w:lang w:val="en-US" w:eastAsia="zh-CN"/>
              </w:rPr>
              <w:t>按</w:t>
            </w:r>
            <w:r>
              <w:rPr>
                <w:rFonts w:hint="eastAsia"/>
                <w:sz w:val="24"/>
                <w:u w:val="single"/>
              </w:rPr>
              <w:t>1.3吨/立方米</w:t>
            </w:r>
            <w:r>
              <w:rPr>
                <w:rFonts w:hint="eastAsia"/>
                <w:sz w:val="24"/>
                <w:u w:val="single"/>
                <w:lang w:val="en-US" w:eastAsia="zh-CN"/>
              </w:rPr>
              <w:t>计算</w:t>
            </w:r>
            <w:r>
              <w:rPr>
                <w:rFonts w:hint="eastAsia"/>
                <w:sz w:val="24"/>
                <w:u w:val="single"/>
              </w:rPr>
              <w:t>，压实后建筑垃圾密度按照1.5吨/立方米，按照压实后折合堆填13140方/年，服务年限为3.81年。</w:t>
            </w:r>
          </w:p>
          <w:p w14:paraId="63DD096A">
            <w:pPr>
              <w:pStyle w:val="44"/>
              <w:keepNext/>
              <w:keepLines w:val="0"/>
              <w:pageBreakBefore w:val="0"/>
              <w:widowControl/>
              <w:kinsoku/>
              <w:wordWrap w:val="0"/>
              <w:overflowPunct w:val="0"/>
              <w:topLinePunct w:val="0"/>
              <w:autoSpaceDE w:val="0"/>
              <w:autoSpaceDN w:val="0"/>
              <w:bidi w:val="0"/>
              <w:adjustRightInd w:val="0"/>
              <w:snapToGrid w:val="0"/>
              <w:textAlignment w:val="baseline"/>
              <w:rPr>
                <w:rFonts w:hint="default"/>
                <w:u w:val="single"/>
                <w:lang w:val="en-US" w:eastAsia="zh-CN"/>
              </w:rPr>
            </w:pPr>
            <w:r>
              <w:rPr>
                <w:rFonts w:hint="default"/>
                <w:u w:val="single"/>
                <w:lang w:val="en-US" w:eastAsia="zh-CN"/>
              </w:rPr>
              <w:t>表</w:t>
            </w:r>
            <w:r>
              <w:rPr>
                <w:rFonts w:hint="eastAsia"/>
                <w:u w:val="single"/>
                <w:lang w:val="en-US" w:eastAsia="zh-CN"/>
              </w:rPr>
              <w:t>2.3-1：</w:t>
            </w:r>
            <w:r>
              <w:rPr>
                <w:rFonts w:hint="default"/>
                <w:u w:val="single"/>
                <w:lang w:val="en-US" w:eastAsia="zh-CN"/>
              </w:rPr>
              <w:t>主要原辅材料消耗</w:t>
            </w:r>
          </w:p>
          <w:tbl>
            <w:tblPr>
              <w:tblStyle w:val="38"/>
              <w:tblW w:w="0" w:type="auto"/>
              <w:jc w:val="center"/>
              <w:tblBorders>
                <w:top w:val="single" w:color="auto" w:sz="6" w:space="0"/>
                <w:left w:val="single" w:color="auto" w:sz="6" w:space="0"/>
                <w:bottom w:val="single" w:color="auto" w:sz="6"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28"/>
              <w:gridCol w:w="804"/>
              <w:gridCol w:w="659"/>
              <w:gridCol w:w="1207"/>
              <w:gridCol w:w="1647"/>
              <w:gridCol w:w="1246"/>
              <w:gridCol w:w="1278"/>
              <w:gridCol w:w="917"/>
            </w:tblGrid>
            <w:tr w14:paraId="3E654F21">
              <w:tblPrEx>
                <w:tblBorders>
                  <w:top w:val="single" w:color="auto" w:sz="6" w:space="0"/>
                  <w:left w:val="single" w:color="auto" w:sz="6"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728" w:type="dxa"/>
                  <w:noWrap w:val="0"/>
                  <w:vAlign w:val="center"/>
                </w:tcPr>
                <w:p w14:paraId="1FB7C2B3">
                  <w:pPr>
                    <w:pStyle w:val="115"/>
                    <w:bidi w:val="0"/>
                    <w:rPr>
                      <w:rFonts w:hint="default"/>
                      <w:b/>
                      <w:bCs/>
                      <w:u w:val="single"/>
                    </w:rPr>
                  </w:pPr>
                  <w:r>
                    <w:rPr>
                      <w:rFonts w:hint="default"/>
                      <w:b/>
                      <w:bCs/>
                      <w:u w:val="single"/>
                    </w:rPr>
                    <w:t>序号</w:t>
                  </w:r>
                </w:p>
              </w:tc>
              <w:tc>
                <w:tcPr>
                  <w:tcW w:w="804" w:type="dxa"/>
                  <w:noWrap w:val="0"/>
                  <w:vAlign w:val="center"/>
                </w:tcPr>
                <w:p w14:paraId="154A0CA2">
                  <w:pPr>
                    <w:pStyle w:val="115"/>
                    <w:bidi w:val="0"/>
                    <w:rPr>
                      <w:rFonts w:hint="default"/>
                      <w:b/>
                      <w:bCs/>
                      <w:u w:val="single"/>
                    </w:rPr>
                  </w:pPr>
                  <w:r>
                    <w:rPr>
                      <w:rFonts w:hint="default"/>
                      <w:b/>
                      <w:bCs/>
                      <w:u w:val="single"/>
                    </w:rPr>
                    <w:t>项目</w:t>
                  </w:r>
                </w:p>
              </w:tc>
              <w:tc>
                <w:tcPr>
                  <w:tcW w:w="659" w:type="dxa"/>
                  <w:noWrap w:val="0"/>
                  <w:vAlign w:val="center"/>
                </w:tcPr>
                <w:p w14:paraId="309F7E4E">
                  <w:pPr>
                    <w:pStyle w:val="115"/>
                    <w:bidi w:val="0"/>
                    <w:rPr>
                      <w:rFonts w:hint="default"/>
                      <w:b/>
                      <w:bCs/>
                      <w:u w:val="single"/>
                    </w:rPr>
                  </w:pPr>
                  <w:r>
                    <w:rPr>
                      <w:rFonts w:hint="default"/>
                      <w:b/>
                      <w:bCs/>
                      <w:u w:val="single"/>
                    </w:rPr>
                    <w:t>形态</w:t>
                  </w:r>
                </w:p>
              </w:tc>
              <w:tc>
                <w:tcPr>
                  <w:tcW w:w="1207" w:type="dxa"/>
                  <w:noWrap w:val="0"/>
                  <w:vAlign w:val="center"/>
                </w:tcPr>
                <w:p w14:paraId="29A412B7">
                  <w:pPr>
                    <w:pStyle w:val="115"/>
                    <w:bidi w:val="0"/>
                    <w:rPr>
                      <w:rFonts w:hint="default"/>
                      <w:b/>
                      <w:bCs/>
                      <w:u w:val="single"/>
                    </w:rPr>
                  </w:pPr>
                  <w:r>
                    <w:rPr>
                      <w:rFonts w:hint="default"/>
                      <w:b/>
                      <w:bCs/>
                      <w:u w:val="single"/>
                    </w:rPr>
                    <w:t>包装方式</w:t>
                  </w:r>
                </w:p>
              </w:tc>
              <w:tc>
                <w:tcPr>
                  <w:tcW w:w="1647" w:type="dxa"/>
                  <w:noWrap w:val="0"/>
                  <w:vAlign w:val="center"/>
                </w:tcPr>
                <w:p w14:paraId="386FDE0B">
                  <w:pPr>
                    <w:pStyle w:val="115"/>
                    <w:bidi w:val="0"/>
                    <w:rPr>
                      <w:rFonts w:hint="eastAsia"/>
                      <w:b/>
                      <w:bCs/>
                      <w:u w:val="single"/>
                      <w:lang w:eastAsia="zh-CN"/>
                    </w:rPr>
                  </w:pPr>
                  <w:r>
                    <w:rPr>
                      <w:rFonts w:hint="default"/>
                      <w:b/>
                      <w:bCs/>
                      <w:u w:val="single"/>
                    </w:rPr>
                    <w:t>年消耗量</w:t>
                  </w:r>
                </w:p>
              </w:tc>
              <w:tc>
                <w:tcPr>
                  <w:tcW w:w="1246" w:type="dxa"/>
                  <w:noWrap w:val="0"/>
                  <w:vAlign w:val="center"/>
                </w:tcPr>
                <w:p w14:paraId="5D2B8235">
                  <w:pPr>
                    <w:pStyle w:val="115"/>
                    <w:bidi w:val="0"/>
                    <w:rPr>
                      <w:rFonts w:hint="default"/>
                      <w:b/>
                      <w:bCs/>
                      <w:u w:val="single"/>
                    </w:rPr>
                  </w:pPr>
                  <w:r>
                    <w:rPr>
                      <w:rFonts w:hint="default"/>
                      <w:b/>
                      <w:bCs/>
                      <w:u w:val="single"/>
                    </w:rPr>
                    <w:t>用途</w:t>
                  </w:r>
                </w:p>
              </w:tc>
              <w:tc>
                <w:tcPr>
                  <w:tcW w:w="1278" w:type="dxa"/>
                  <w:noWrap w:val="0"/>
                  <w:vAlign w:val="center"/>
                </w:tcPr>
                <w:p w14:paraId="28BE2396">
                  <w:pPr>
                    <w:pStyle w:val="115"/>
                    <w:bidi w:val="0"/>
                    <w:rPr>
                      <w:rFonts w:hint="default"/>
                      <w:b/>
                      <w:bCs/>
                      <w:u w:val="single"/>
                    </w:rPr>
                  </w:pPr>
                  <w:r>
                    <w:rPr>
                      <w:rFonts w:hint="default"/>
                      <w:b/>
                      <w:bCs/>
                      <w:u w:val="single"/>
                    </w:rPr>
                    <w:t>储存点</w:t>
                  </w:r>
                </w:p>
              </w:tc>
              <w:tc>
                <w:tcPr>
                  <w:tcW w:w="0" w:type="auto"/>
                  <w:noWrap w:val="0"/>
                  <w:vAlign w:val="center"/>
                </w:tcPr>
                <w:p w14:paraId="1F7CFA67">
                  <w:pPr>
                    <w:pStyle w:val="115"/>
                    <w:bidi w:val="0"/>
                    <w:rPr>
                      <w:rFonts w:hint="default"/>
                      <w:b/>
                      <w:bCs/>
                      <w:u w:val="single"/>
                    </w:rPr>
                  </w:pPr>
                  <w:r>
                    <w:rPr>
                      <w:rFonts w:hint="default"/>
                      <w:b/>
                      <w:bCs/>
                      <w:u w:val="single"/>
                    </w:rPr>
                    <w:t>最大储存量</w:t>
                  </w:r>
                </w:p>
              </w:tc>
            </w:tr>
            <w:tr w14:paraId="77CAFC30">
              <w:tblPrEx>
                <w:tblBorders>
                  <w:top w:val="single" w:color="auto" w:sz="6" w:space="0"/>
                  <w:left w:val="single" w:color="auto" w:sz="6"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728" w:type="dxa"/>
                  <w:noWrap w:val="0"/>
                  <w:vAlign w:val="center"/>
                </w:tcPr>
                <w:p w14:paraId="71695414">
                  <w:pPr>
                    <w:pStyle w:val="115"/>
                    <w:bidi w:val="0"/>
                    <w:rPr>
                      <w:rFonts w:hint="default"/>
                      <w:u w:val="single"/>
                    </w:rPr>
                  </w:pPr>
                  <w:r>
                    <w:rPr>
                      <w:rFonts w:hint="default"/>
                      <w:u w:val="single"/>
                    </w:rPr>
                    <w:t>1</w:t>
                  </w:r>
                </w:p>
              </w:tc>
              <w:tc>
                <w:tcPr>
                  <w:tcW w:w="804" w:type="dxa"/>
                  <w:noWrap w:val="0"/>
                  <w:vAlign w:val="center"/>
                </w:tcPr>
                <w:p w14:paraId="31243B80">
                  <w:pPr>
                    <w:pStyle w:val="115"/>
                    <w:bidi w:val="0"/>
                    <w:rPr>
                      <w:rFonts w:hint="default"/>
                      <w:u w:val="single"/>
                    </w:rPr>
                  </w:pPr>
                  <w:r>
                    <w:rPr>
                      <w:rFonts w:hint="eastAsia"/>
                      <w:u w:val="single"/>
                      <w:lang w:val="en-US" w:eastAsia="zh-CN"/>
                    </w:rPr>
                    <w:t>建筑垃圾</w:t>
                  </w:r>
                </w:p>
              </w:tc>
              <w:tc>
                <w:tcPr>
                  <w:tcW w:w="659" w:type="dxa"/>
                  <w:noWrap w:val="0"/>
                  <w:vAlign w:val="center"/>
                </w:tcPr>
                <w:p w14:paraId="52A1F9E7">
                  <w:pPr>
                    <w:pStyle w:val="115"/>
                    <w:bidi w:val="0"/>
                    <w:rPr>
                      <w:rFonts w:hint="default"/>
                      <w:u w:val="single"/>
                    </w:rPr>
                  </w:pPr>
                  <w:r>
                    <w:rPr>
                      <w:rFonts w:hint="default"/>
                      <w:u w:val="single"/>
                    </w:rPr>
                    <w:t>固态</w:t>
                  </w:r>
                </w:p>
              </w:tc>
              <w:tc>
                <w:tcPr>
                  <w:tcW w:w="1207" w:type="dxa"/>
                  <w:noWrap w:val="0"/>
                  <w:vAlign w:val="center"/>
                </w:tcPr>
                <w:p w14:paraId="24262266">
                  <w:pPr>
                    <w:pStyle w:val="115"/>
                    <w:bidi w:val="0"/>
                    <w:rPr>
                      <w:rFonts w:hint="eastAsia"/>
                      <w:u w:val="single"/>
                      <w:lang w:eastAsia="zh-CN"/>
                    </w:rPr>
                  </w:pPr>
                  <w:r>
                    <w:rPr>
                      <w:rFonts w:hint="eastAsia"/>
                      <w:u w:val="single"/>
                      <w:lang w:val="en-US" w:eastAsia="zh-CN"/>
                    </w:rPr>
                    <w:t>堆填</w:t>
                  </w:r>
                </w:p>
              </w:tc>
              <w:tc>
                <w:tcPr>
                  <w:tcW w:w="1647" w:type="dxa"/>
                  <w:noWrap w:val="0"/>
                  <w:vAlign w:val="center"/>
                </w:tcPr>
                <w:p w14:paraId="0EE8A613">
                  <w:pPr>
                    <w:pStyle w:val="115"/>
                    <w:bidi w:val="0"/>
                    <w:rPr>
                      <w:rFonts w:hint="default"/>
                      <w:u w:val="single"/>
                      <w:lang w:val="en-US"/>
                    </w:rPr>
                  </w:pPr>
                  <w:r>
                    <w:rPr>
                      <w:rFonts w:hint="eastAsia"/>
                      <w:u w:val="single"/>
                      <w:lang w:val="en-US" w:eastAsia="zh-CN"/>
                    </w:rPr>
                    <w:t>1.314万立方，约1.971万t</w:t>
                  </w:r>
                </w:p>
              </w:tc>
              <w:tc>
                <w:tcPr>
                  <w:tcW w:w="1246" w:type="dxa"/>
                  <w:noWrap w:val="0"/>
                  <w:vAlign w:val="center"/>
                </w:tcPr>
                <w:p w14:paraId="285418B2">
                  <w:pPr>
                    <w:pStyle w:val="115"/>
                    <w:bidi w:val="0"/>
                    <w:rPr>
                      <w:rFonts w:hint="default"/>
                      <w:u w:val="single"/>
                    </w:rPr>
                  </w:pPr>
                  <w:r>
                    <w:rPr>
                      <w:rFonts w:hint="eastAsia"/>
                      <w:u w:val="single"/>
                      <w:lang w:val="en-US" w:eastAsia="zh-CN"/>
                    </w:rPr>
                    <w:t>堆填处置</w:t>
                  </w:r>
                </w:p>
              </w:tc>
              <w:tc>
                <w:tcPr>
                  <w:tcW w:w="1278" w:type="dxa"/>
                  <w:noWrap w:val="0"/>
                  <w:vAlign w:val="center"/>
                </w:tcPr>
                <w:p w14:paraId="6AA5FD16">
                  <w:pPr>
                    <w:pStyle w:val="115"/>
                    <w:bidi w:val="0"/>
                    <w:rPr>
                      <w:rFonts w:hint="eastAsia"/>
                      <w:u w:val="single"/>
                      <w:lang w:val="en-US" w:eastAsia="zh-CN"/>
                    </w:rPr>
                  </w:pPr>
                  <w:r>
                    <w:rPr>
                      <w:rFonts w:hint="eastAsia"/>
                      <w:u w:val="single"/>
                      <w:lang w:val="en-US" w:eastAsia="zh-CN"/>
                    </w:rPr>
                    <w:t>建筑垃圾消纳场</w:t>
                  </w:r>
                </w:p>
              </w:tc>
              <w:tc>
                <w:tcPr>
                  <w:tcW w:w="0" w:type="auto"/>
                  <w:noWrap w:val="0"/>
                  <w:vAlign w:val="center"/>
                </w:tcPr>
                <w:p w14:paraId="1F3D53FC">
                  <w:pPr>
                    <w:pStyle w:val="115"/>
                    <w:bidi w:val="0"/>
                    <w:rPr>
                      <w:rFonts w:hint="default"/>
                      <w:u w:val="single"/>
                      <w:lang w:val="en-US" w:eastAsia="zh-CN"/>
                    </w:rPr>
                  </w:pPr>
                  <w:r>
                    <w:rPr>
                      <w:rFonts w:hint="eastAsia"/>
                      <w:u w:val="single"/>
                      <w:lang w:val="en-US" w:eastAsia="zh-CN"/>
                    </w:rPr>
                    <w:t>7.5万t</w:t>
                  </w:r>
                </w:p>
              </w:tc>
            </w:tr>
            <w:tr w14:paraId="4074C3F3">
              <w:tblPrEx>
                <w:tblBorders>
                  <w:top w:val="single" w:color="auto" w:sz="6" w:space="0"/>
                  <w:left w:val="single" w:color="auto" w:sz="6"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728" w:type="dxa"/>
                  <w:noWrap w:val="0"/>
                  <w:vAlign w:val="center"/>
                </w:tcPr>
                <w:p w14:paraId="5D86E0D1">
                  <w:pPr>
                    <w:pStyle w:val="115"/>
                    <w:bidi w:val="0"/>
                    <w:rPr>
                      <w:rFonts w:hint="default"/>
                      <w:u w:val="single"/>
                    </w:rPr>
                  </w:pPr>
                  <w:r>
                    <w:rPr>
                      <w:rFonts w:hint="default"/>
                      <w:u w:val="single"/>
                    </w:rPr>
                    <w:t>2</w:t>
                  </w:r>
                </w:p>
              </w:tc>
              <w:tc>
                <w:tcPr>
                  <w:tcW w:w="804" w:type="dxa"/>
                  <w:noWrap w:val="0"/>
                  <w:vAlign w:val="center"/>
                </w:tcPr>
                <w:p w14:paraId="584DC585">
                  <w:pPr>
                    <w:pStyle w:val="115"/>
                    <w:bidi w:val="0"/>
                    <w:rPr>
                      <w:rFonts w:hint="default"/>
                      <w:u w:val="single"/>
                    </w:rPr>
                  </w:pPr>
                  <w:r>
                    <w:rPr>
                      <w:rFonts w:hint="eastAsia"/>
                      <w:u w:val="single"/>
                      <w:lang w:val="en-US" w:eastAsia="zh-CN"/>
                    </w:rPr>
                    <w:t>水</w:t>
                  </w:r>
                </w:p>
              </w:tc>
              <w:tc>
                <w:tcPr>
                  <w:tcW w:w="659" w:type="dxa"/>
                  <w:noWrap w:val="0"/>
                  <w:vAlign w:val="center"/>
                </w:tcPr>
                <w:p w14:paraId="0F3430F1">
                  <w:pPr>
                    <w:pStyle w:val="115"/>
                    <w:bidi w:val="0"/>
                    <w:rPr>
                      <w:rFonts w:hint="default"/>
                      <w:u w:val="single"/>
                    </w:rPr>
                  </w:pPr>
                  <w:r>
                    <w:rPr>
                      <w:rFonts w:hint="eastAsia"/>
                      <w:u w:val="single"/>
                      <w:lang w:val="en-US" w:eastAsia="zh-CN"/>
                    </w:rPr>
                    <w:t>液态</w:t>
                  </w:r>
                </w:p>
              </w:tc>
              <w:tc>
                <w:tcPr>
                  <w:tcW w:w="1207" w:type="dxa"/>
                  <w:noWrap w:val="0"/>
                  <w:vAlign w:val="center"/>
                </w:tcPr>
                <w:p w14:paraId="2F03235E">
                  <w:pPr>
                    <w:pStyle w:val="115"/>
                    <w:bidi w:val="0"/>
                    <w:rPr>
                      <w:rFonts w:hint="default"/>
                      <w:u w:val="single"/>
                    </w:rPr>
                  </w:pPr>
                  <w:r>
                    <w:rPr>
                      <w:rFonts w:hint="eastAsia"/>
                      <w:u w:val="single"/>
                      <w:lang w:val="en-US" w:eastAsia="zh-CN"/>
                    </w:rPr>
                    <w:t>/</w:t>
                  </w:r>
                </w:p>
              </w:tc>
              <w:tc>
                <w:tcPr>
                  <w:tcW w:w="1647" w:type="dxa"/>
                  <w:noWrap w:val="0"/>
                  <w:vAlign w:val="center"/>
                </w:tcPr>
                <w:p w14:paraId="54F1BE0D">
                  <w:pPr>
                    <w:pStyle w:val="115"/>
                    <w:bidi w:val="0"/>
                    <w:rPr>
                      <w:rFonts w:hint="default"/>
                      <w:u w:val="single"/>
                      <w:lang w:val="en-US" w:eastAsia="zh-CN"/>
                    </w:rPr>
                  </w:pPr>
                  <w:r>
                    <w:rPr>
                      <w:rFonts w:hint="eastAsia"/>
                      <w:u w:val="single"/>
                      <w:lang w:val="en-US" w:eastAsia="zh-CN"/>
                    </w:rPr>
                    <w:t>380t</w:t>
                  </w:r>
                </w:p>
              </w:tc>
              <w:tc>
                <w:tcPr>
                  <w:tcW w:w="1246" w:type="dxa"/>
                  <w:noWrap w:val="0"/>
                  <w:vAlign w:val="center"/>
                </w:tcPr>
                <w:p w14:paraId="3E150697">
                  <w:pPr>
                    <w:pStyle w:val="115"/>
                    <w:bidi w:val="0"/>
                    <w:rPr>
                      <w:rFonts w:hint="default"/>
                      <w:u w:val="single"/>
                    </w:rPr>
                  </w:pPr>
                  <w:r>
                    <w:rPr>
                      <w:rFonts w:hint="eastAsia"/>
                      <w:u w:val="single"/>
                      <w:lang w:val="en-US" w:eastAsia="zh-CN"/>
                    </w:rPr>
                    <w:t>员工用水</w:t>
                  </w:r>
                </w:p>
              </w:tc>
              <w:tc>
                <w:tcPr>
                  <w:tcW w:w="1278" w:type="dxa"/>
                  <w:noWrap w:val="0"/>
                  <w:vAlign w:val="center"/>
                </w:tcPr>
                <w:p w14:paraId="027241E7">
                  <w:pPr>
                    <w:pStyle w:val="115"/>
                    <w:bidi w:val="0"/>
                    <w:rPr>
                      <w:rFonts w:hint="eastAsia"/>
                      <w:u w:val="single"/>
                      <w:lang w:val="en-US" w:eastAsia="zh-CN"/>
                    </w:rPr>
                  </w:pPr>
                  <w:r>
                    <w:rPr>
                      <w:rFonts w:hint="eastAsia"/>
                      <w:u w:val="single"/>
                      <w:lang w:val="en-US" w:eastAsia="zh-CN"/>
                    </w:rPr>
                    <w:t>/</w:t>
                  </w:r>
                </w:p>
              </w:tc>
              <w:tc>
                <w:tcPr>
                  <w:tcW w:w="0" w:type="auto"/>
                  <w:noWrap w:val="0"/>
                  <w:vAlign w:val="center"/>
                </w:tcPr>
                <w:p w14:paraId="221DF771">
                  <w:pPr>
                    <w:pStyle w:val="115"/>
                    <w:bidi w:val="0"/>
                    <w:rPr>
                      <w:rFonts w:hint="default"/>
                      <w:u w:val="single"/>
                    </w:rPr>
                  </w:pPr>
                  <w:r>
                    <w:rPr>
                      <w:rFonts w:hint="eastAsia"/>
                      <w:u w:val="single"/>
                      <w:lang w:val="en-US" w:eastAsia="zh-CN"/>
                    </w:rPr>
                    <w:t>/</w:t>
                  </w:r>
                </w:p>
              </w:tc>
            </w:tr>
            <w:tr w14:paraId="56994109">
              <w:tblPrEx>
                <w:tblBorders>
                  <w:top w:val="single" w:color="auto" w:sz="6" w:space="0"/>
                  <w:left w:val="single" w:color="auto" w:sz="6"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0" w:hRule="atLeast"/>
                <w:jc w:val="center"/>
              </w:trPr>
              <w:tc>
                <w:tcPr>
                  <w:tcW w:w="728" w:type="dxa"/>
                  <w:noWrap w:val="0"/>
                  <w:vAlign w:val="center"/>
                </w:tcPr>
                <w:p w14:paraId="19A9ECE6">
                  <w:pPr>
                    <w:pStyle w:val="115"/>
                    <w:bidi w:val="0"/>
                    <w:rPr>
                      <w:rFonts w:hint="eastAsia"/>
                      <w:u w:val="single"/>
                      <w:lang w:val="en-US" w:eastAsia="zh-CN"/>
                    </w:rPr>
                  </w:pPr>
                  <w:r>
                    <w:rPr>
                      <w:rFonts w:hint="eastAsia"/>
                      <w:u w:val="single"/>
                      <w:lang w:val="en-US" w:eastAsia="zh-CN"/>
                    </w:rPr>
                    <w:t>3</w:t>
                  </w:r>
                </w:p>
              </w:tc>
              <w:tc>
                <w:tcPr>
                  <w:tcW w:w="804" w:type="dxa"/>
                  <w:noWrap w:val="0"/>
                  <w:vAlign w:val="center"/>
                </w:tcPr>
                <w:p w14:paraId="34E7DEA1">
                  <w:pPr>
                    <w:pStyle w:val="115"/>
                    <w:bidi w:val="0"/>
                    <w:rPr>
                      <w:rFonts w:hint="default"/>
                      <w:u w:val="single"/>
                      <w:lang w:val="en-US" w:eastAsia="zh-CN"/>
                    </w:rPr>
                  </w:pPr>
                  <w:r>
                    <w:rPr>
                      <w:rFonts w:hint="eastAsia"/>
                      <w:u w:val="single"/>
                      <w:lang w:val="en-US" w:eastAsia="zh-CN"/>
                    </w:rPr>
                    <w:t>电</w:t>
                  </w:r>
                </w:p>
              </w:tc>
              <w:tc>
                <w:tcPr>
                  <w:tcW w:w="659" w:type="dxa"/>
                  <w:noWrap w:val="0"/>
                  <w:vAlign w:val="center"/>
                </w:tcPr>
                <w:p w14:paraId="2D6BBA85">
                  <w:pPr>
                    <w:pStyle w:val="115"/>
                    <w:bidi w:val="0"/>
                    <w:rPr>
                      <w:rFonts w:hint="eastAsia"/>
                      <w:u w:val="single"/>
                      <w:lang w:val="en-US" w:eastAsia="zh-CN"/>
                    </w:rPr>
                  </w:pPr>
                  <w:r>
                    <w:rPr>
                      <w:rFonts w:hint="eastAsia"/>
                      <w:u w:val="single"/>
                      <w:lang w:val="en-US" w:eastAsia="zh-CN"/>
                    </w:rPr>
                    <w:t>/</w:t>
                  </w:r>
                </w:p>
              </w:tc>
              <w:tc>
                <w:tcPr>
                  <w:tcW w:w="1207" w:type="dxa"/>
                  <w:noWrap w:val="0"/>
                  <w:vAlign w:val="center"/>
                </w:tcPr>
                <w:p w14:paraId="0F259692">
                  <w:pPr>
                    <w:pStyle w:val="115"/>
                    <w:bidi w:val="0"/>
                    <w:rPr>
                      <w:rFonts w:hint="eastAsia"/>
                      <w:u w:val="single"/>
                      <w:lang w:val="en-US" w:eastAsia="zh-CN"/>
                    </w:rPr>
                  </w:pPr>
                  <w:r>
                    <w:rPr>
                      <w:rFonts w:hint="eastAsia"/>
                      <w:u w:val="single"/>
                      <w:lang w:val="en-US" w:eastAsia="zh-CN"/>
                    </w:rPr>
                    <w:t>/</w:t>
                  </w:r>
                </w:p>
              </w:tc>
              <w:tc>
                <w:tcPr>
                  <w:tcW w:w="1647" w:type="dxa"/>
                  <w:noWrap w:val="0"/>
                  <w:vAlign w:val="center"/>
                </w:tcPr>
                <w:p w14:paraId="7B9FB2F0">
                  <w:pPr>
                    <w:pStyle w:val="115"/>
                    <w:bidi w:val="0"/>
                    <w:rPr>
                      <w:rFonts w:hint="default"/>
                      <w:u w:val="single"/>
                      <w:lang w:val="en-US" w:eastAsia="zh-CN"/>
                    </w:rPr>
                  </w:pPr>
                  <w:r>
                    <w:rPr>
                      <w:rFonts w:hint="eastAsia"/>
                      <w:u w:val="single"/>
                      <w:lang w:val="en-US" w:eastAsia="zh-CN"/>
                    </w:rPr>
                    <w:t>3.5</w:t>
                  </w:r>
                  <w:r>
                    <w:rPr>
                      <w:rFonts w:hint="eastAsia"/>
                      <w:u w:val="single"/>
                    </w:rPr>
                    <w:t>万kw·h/a</w:t>
                  </w:r>
                </w:p>
              </w:tc>
              <w:tc>
                <w:tcPr>
                  <w:tcW w:w="1246" w:type="dxa"/>
                  <w:noWrap w:val="0"/>
                  <w:vAlign w:val="center"/>
                </w:tcPr>
                <w:p w14:paraId="789BC4EA">
                  <w:pPr>
                    <w:pStyle w:val="115"/>
                    <w:bidi w:val="0"/>
                    <w:rPr>
                      <w:rFonts w:hint="default"/>
                      <w:u w:val="single"/>
                      <w:lang w:val="en-US" w:eastAsia="zh-CN"/>
                    </w:rPr>
                  </w:pPr>
                  <w:r>
                    <w:rPr>
                      <w:rFonts w:hint="eastAsia"/>
                      <w:u w:val="single"/>
                      <w:lang w:val="en-US" w:eastAsia="zh-CN"/>
                    </w:rPr>
                    <w:t>生产生活用电</w:t>
                  </w:r>
                </w:p>
              </w:tc>
              <w:tc>
                <w:tcPr>
                  <w:tcW w:w="1278" w:type="dxa"/>
                  <w:noWrap w:val="0"/>
                  <w:vAlign w:val="center"/>
                </w:tcPr>
                <w:p w14:paraId="6EA2BD81">
                  <w:pPr>
                    <w:pStyle w:val="115"/>
                    <w:bidi w:val="0"/>
                    <w:rPr>
                      <w:rFonts w:hint="eastAsia"/>
                      <w:u w:val="single"/>
                      <w:lang w:val="en-US" w:eastAsia="zh-CN"/>
                    </w:rPr>
                  </w:pPr>
                  <w:r>
                    <w:rPr>
                      <w:rFonts w:hint="eastAsia"/>
                      <w:u w:val="single"/>
                      <w:lang w:val="en-US" w:eastAsia="zh-CN"/>
                    </w:rPr>
                    <w:t>/</w:t>
                  </w:r>
                </w:p>
              </w:tc>
              <w:tc>
                <w:tcPr>
                  <w:tcW w:w="0" w:type="auto"/>
                  <w:noWrap w:val="0"/>
                  <w:vAlign w:val="center"/>
                </w:tcPr>
                <w:p w14:paraId="287610AC">
                  <w:pPr>
                    <w:pStyle w:val="115"/>
                    <w:bidi w:val="0"/>
                    <w:rPr>
                      <w:rFonts w:hint="eastAsia"/>
                      <w:u w:val="single"/>
                      <w:lang w:val="en-US" w:eastAsia="zh-CN"/>
                    </w:rPr>
                  </w:pPr>
                  <w:r>
                    <w:rPr>
                      <w:rFonts w:hint="eastAsia"/>
                      <w:u w:val="single"/>
                      <w:lang w:val="en-US" w:eastAsia="zh-CN"/>
                    </w:rPr>
                    <w:t>/</w:t>
                  </w:r>
                </w:p>
              </w:tc>
            </w:tr>
          </w:tbl>
          <w:p w14:paraId="2BE3ED77">
            <w:pPr>
              <w:pStyle w:val="5"/>
              <w:bidi w:val="0"/>
              <w:spacing w:line="360" w:lineRule="auto"/>
              <w:ind w:firstLine="482" w:firstLineChars="200"/>
              <w:rPr>
                <w:rFonts w:hint="default"/>
                <w:sz w:val="24"/>
                <w:lang w:val="en-US" w:eastAsia="zh-CN"/>
              </w:rPr>
            </w:pPr>
            <w:r>
              <w:rPr>
                <w:rFonts w:hint="eastAsia"/>
                <w:sz w:val="24"/>
                <w:lang w:val="en-US" w:eastAsia="zh-CN"/>
              </w:rPr>
              <w:t>2.3.2</w:t>
            </w:r>
            <w:r>
              <w:rPr>
                <w:rFonts w:hint="default"/>
                <w:sz w:val="24"/>
                <w:lang w:val="en-US" w:eastAsia="zh-CN"/>
              </w:rPr>
              <w:t>建筑垃圾来源</w:t>
            </w:r>
          </w:p>
          <w:p w14:paraId="1B83D45B">
            <w:pPr>
              <w:spacing w:line="360" w:lineRule="auto"/>
              <w:ind w:firstLine="480" w:firstLineChars="200"/>
              <w:rPr>
                <w:rFonts w:hint="default"/>
                <w:sz w:val="24"/>
                <w:u w:val="single"/>
                <w:lang w:val="en-US" w:eastAsia="zh-CN"/>
              </w:rPr>
            </w:pPr>
            <w:r>
              <w:rPr>
                <w:rFonts w:hint="eastAsia"/>
                <w:sz w:val="24"/>
                <w:u w:val="single"/>
                <w:lang w:val="en-US" w:eastAsia="zh-CN"/>
              </w:rPr>
              <w:t>1、建筑垃圾处理设施现状</w:t>
            </w:r>
          </w:p>
          <w:p w14:paraId="46851B75">
            <w:pPr>
              <w:spacing w:line="360" w:lineRule="auto"/>
              <w:ind w:firstLine="480" w:firstLineChars="200"/>
              <w:rPr>
                <w:rFonts w:hint="eastAsia"/>
                <w:sz w:val="24"/>
                <w:u w:val="single"/>
                <w:lang w:val="en-US" w:eastAsia="zh-CN"/>
              </w:rPr>
            </w:pPr>
            <w:r>
              <w:rPr>
                <w:rFonts w:hint="eastAsia"/>
                <w:sz w:val="24"/>
                <w:u w:val="single"/>
                <w:lang w:val="en-US" w:eastAsia="zh-CN"/>
              </w:rPr>
              <w:t>根据《洪江市建筑垃圾消纳处置和资源化利用设施布局国土空间专项规划（2021-2035 年）》，洪江市现状建筑垃圾处理设施主要为黔城百丈消纳场，位于黔城镇三江村，现状占地面积约1.20公顷，总库容约为10万立方米，现建筑垃圾堆放已趋于饱和，无法满足现状消纳处置需求。</w:t>
            </w:r>
          </w:p>
          <w:p w14:paraId="7F3E4A63">
            <w:pPr>
              <w:spacing w:line="360" w:lineRule="auto"/>
              <w:ind w:firstLine="480" w:firstLineChars="200"/>
              <w:rPr>
                <w:rFonts w:hint="default"/>
                <w:sz w:val="24"/>
                <w:u w:val="single"/>
                <w:lang w:val="en-US" w:eastAsia="zh-CN"/>
              </w:rPr>
            </w:pPr>
            <w:r>
              <w:rPr>
                <w:rFonts w:hint="eastAsia"/>
                <w:sz w:val="24"/>
                <w:u w:val="single"/>
                <w:lang w:val="en-US" w:eastAsia="zh-CN"/>
              </w:rPr>
              <w:t>安江镇现状建筑垃圾处理措施主要为安江镇两路口弃土场，位于安江镇三岩湾，现状占地面积为21874m</w:t>
            </w:r>
            <w:r>
              <w:rPr>
                <w:rFonts w:hint="eastAsia"/>
                <w:sz w:val="24"/>
                <w:u w:val="single"/>
                <w:vertAlign w:val="superscript"/>
                <w:lang w:val="en-US" w:eastAsia="zh-CN"/>
              </w:rPr>
              <w:t>2</w:t>
            </w:r>
            <w:r>
              <w:rPr>
                <w:rFonts w:hint="eastAsia"/>
                <w:sz w:val="24"/>
                <w:u w:val="single"/>
                <w:lang w:val="en-US" w:eastAsia="zh-CN"/>
              </w:rPr>
              <w:t>，总库容约为40万立方米，现弃土堆放已趋于饱和，无法满足现状消纳处置需求。</w:t>
            </w:r>
          </w:p>
          <w:p w14:paraId="5893C7E7">
            <w:pPr>
              <w:spacing w:line="360" w:lineRule="auto"/>
              <w:ind w:firstLine="480" w:firstLineChars="200"/>
              <w:rPr>
                <w:rFonts w:hint="default"/>
                <w:sz w:val="24"/>
                <w:u w:val="single"/>
                <w:lang w:val="en-US" w:eastAsia="zh-CN"/>
              </w:rPr>
            </w:pPr>
            <w:r>
              <w:rPr>
                <w:rFonts w:hint="eastAsia"/>
                <w:sz w:val="24"/>
                <w:u w:val="single"/>
                <w:lang w:val="en-US" w:eastAsia="zh-CN"/>
              </w:rPr>
              <w:t>2、建筑垃圾产生量预测</w:t>
            </w:r>
          </w:p>
          <w:p w14:paraId="4CE3E3DF">
            <w:pPr>
              <w:spacing w:line="360" w:lineRule="auto"/>
              <w:ind w:firstLine="480" w:firstLineChars="200"/>
              <w:rPr>
                <w:rFonts w:hint="eastAsia"/>
                <w:sz w:val="24"/>
                <w:u w:val="single"/>
                <w:lang w:val="en-US" w:eastAsia="zh-CN"/>
              </w:rPr>
            </w:pPr>
            <w:r>
              <w:rPr>
                <w:rFonts w:hint="eastAsia"/>
                <w:sz w:val="24"/>
                <w:u w:val="single"/>
                <w:lang w:val="en-US" w:eastAsia="zh-CN"/>
              </w:rPr>
              <w:t>本规划依据《建筑垃圾处理技术标准》（CJJT134-2019）、《湖南省建筑垃圾资源化利用发展规划（2020-2030）》，以建筑垃圾主管部门掌握的关于建筑垃圾的大数据为基准，并结合建筑施工面积、人口、经验参数等，按照工程渣土、工程泥浆、工程垃圾、拆除垃圾、装修垃圾五种类别，对洪江市域建筑垃圾产生量进行估算。按此方法测算，洪江市2025年建筑垃圾产生总量为42.12万吨，2030年建筑垃圾产生总量为38.79万吨，2035年建筑垃圾产生总量为35.75万吨。</w:t>
            </w:r>
          </w:p>
          <w:p w14:paraId="3E94722E">
            <w:pPr>
              <w:spacing w:line="360" w:lineRule="auto"/>
              <w:ind w:firstLine="480" w:firstLineChars="200"/>
              <w:rPr>
                <w:rFonts w:hint="default"/>
                <w:sz w:val="24"/>
                <w:u w:val="single"/>
                <w:lang w:val="en-US" w:eastAsia="zh-CN"/>
              </w:rPr>
            </w:pPr>
            <w:r>
              <w:rPr>
                <w:rFonts w:hint="eastAsia"/>
                <w:sz w:val="24"/>
                <w:u w:val="single"/>
                <w:lang w:val="en-US" w:eastAsia="zh-CN"/>
              </w:rPr>
              <w:t>根据洪江市城市管理和综合执法局统计资料可知，2025年安江镇建筑垃圾产生总量为16030吨/年，主要为工程渣土、工程泥浆、工程垃圾、拆除垃圾、装修垃圾。</w:t>
            </w:r>
          </w:p>
          <w:p w14:paraId="670C0606">
            <w:pPr>
              <w:spacing w:line="360" w:lineRule="auto"/>
              <w:ind w:firstLine="480" w:firstLineChars="200"/>
              <w:rPr>
                <w:rFonts w:hint="default"/>
                <w:sz w:val="24"/>
                <w:u w:val="single"/>
                <w:lang w:val="en-US" w:eastAsia="zh-CN"/>
              </w:rPr>
            </w:pPr>
            <w:r>
              <w:rPr>
                <w:rFonts w:hint="eastAsia"/>
                <w:sz w:val="24"/>
                <w:u w:val="single"/>
                <w:lang w:val="en-US" w:eastAsia="zh-CN"/>
              </w:rPr>
              <w:t>3、本项目建筑垃圾入场要求</w:t>
            </w:r>
          </w:p>
          <w:p w14:paraId="2F6E9239">
            <w:pPr>
              <w:spacing w:line="360" w:lineRule="auto"/>
              <w:ind w:firstLine="480" w:firstLineChars="200"/>
              <w:rPr>
                <w:rFonts w:hint="eastAsia"/>
                <w:sz w:val="24"/>
                <w:u w:val="single"/>
                <w:lang w:val="en-US" w:eastAsia="zh-CN"/>
              </w:rPr>
            </w:pPr>
            <w:r>
              <w:rPr>
                <w:rFonts w:hint="eastAsia"/>
                <w:sz w:val="24"/>
                <w:u w:val="single"/>
                <w:lang w:val="en-US" w:eastAsia="zh-CN"/>
              </w:rPr>
              <w:t>本项目入场建筑垃圾主要为工程渣土、工程垃圾、拆除垃圾、装修垃圾等类建筑垃圾，本项目不接受盾构土和受污染土方等有毒、有害渣土、生活垃圾、餐厨垃圾、医疗垃圾、危险废物和有毒有害废物入场。</w:t>
            </w:r>
          </w:p>
          <w:p w14:paraId="26BF5F4B">
            <w:pPr>
              <w:spacing w:line="360" w:lineRule="auto"/>
              <w:ind w:firstLine="480" w:firstLineChars="200"/>
              <w:rPr>
                <w:rFonts w:hint="eastAsia"/>
                <w:sz w:val="24"/>
                <w:u w:val="single"/>
                <w:lang w:val="en-US" w:eastAsia="zh-CN"/>
              </w:rPr>
            </w:pPr>
            <w:r>
              <w:rPr>
                <w:rFonts w:hint="eastAsia"/>
                <w:sz w:val="24"/>
                <w:u w:val="single"/>
                <w:lang w:val="en-US" w:eastAsia="zh-CN"/>
              </w:rPr>
              <w:t>结合洪江市建筑垃圾产生量预测表，其中工程渣土、工程垃圾、拆除垃圾、装修垃圾2025年度建筑消纳产生量为42.12万吨，安江镇建筑垃圾总量为16030吨/年，本项目一期堆填库容为5万m</w:t>
            </w:r>
            <w:r>
              <w:rPr>
                <w:rFonts w:hint="eastAsia"/>
                <w:sz w:val="24"/>
                <w:u w:val="single"/>
                <w:vertAlign w:val="superscript"/>
                <w:lang w:val="en-US" w:eastAsia="zh-CN"/>
              </w:rPr>
              <w:t>3</w:t>
            </w:r>
            <w:r>
              <w:rPr>
                <w:rFonts w:hint="eastAsia"/>
                <w:sz w:val="24"/>
                <w:u w:val="single"/>
                <w:lang w:val="en-US" w:eastAsia="zh-CN"/>
              </w:rPr>
              <w:t>，约7.5万吨，本项目可接纳安江镇内建筑垃圾，部分安江镇周边建筑垃圾，可有效消纳安江镇内工程渣土、拆除垃圾等主要建筑垃圾。</w:t>
            </w:r>
          </w:p>
          <w:p w14:paraId="4819FFF1">
            <w:pPr>
              <w:pStyle w:val="5"/>
              <w:bidi w:val="0"/>
              <w:spacing w:line="360" w:lineRule="auto"/>
              <w:ind w:firstLine="482" w:firstLineChars="200"/>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2.3.3建筑垃圾运输路线及环保要求</w:t>
            </w:r>
          </w:p>
          <w:p w14:paraId="45E7E541">
            <w:pPr>
              <w:spacing w:line="360" w:lineRule="auto"/>
              <w:ind w:firstLine="480" w:firstLineChars="200"/>
              <w:rPr>
                <w:rFonts w:hint="eastAsia"/>
                <w:sz w:val="24"/>
                <w:u w:val="single"/>
                <w:lang w:val="en-US" w:eastAsia="zh-CN"/>
              </w:rPr>
            </w:pPr>
            <w:r>
              <w:rPr>
                <w:rFonts w:hint="eastAsia"/>
                <w:sz w:val="24"/>
                <w:u w:val="single"/>
                <w:lang w:val="en-US" w:eastAsia="zh-CN"/>
              </w:rPr>
              <w:t>1、建筑垃圾运输路线：</w:t>
            </w:r>
          </w:p>
          <w:p w14:paraId="49423CDA">
            <w:pPr>
              <w:spacing w:line="360" w:lineRule="auto"/>
              <w:ind w:firstLine="480" w:firstLineChars="200"/>
              <w:rPr>
                <w:rFonts w:hint="eastAsia"/>
                <w:sz w:val="24"/>
                <w:u w:val="single"/>
                <w:lang w:val="en-US" w:eastAsia="zh-CN"/>
              </w:rPr>
            </w:pPr>
            <w:r>
              <w:rPr>
                <w:rFonts w:hint="eastAsia"/>
                <w:sz w:val="24"/>
                <w:u w:val="single"/>
                <w:lang w:val="en-US" w:eastAsia="zh-CN"/>
              </w:rPr>
              <w:t>本项目主要接受安江镇及周边区域建筑垃圾，湖南创建渣土运输服务有限责任公司利用载重汽车（按10t/车次）运输建设垃圾，经G320运输至本项目建筑垃圾堆填场，总运输距离约9.8km。该路线途径主要为安江镇居民区，环境敏感点较多，因此本项目要求限速30km/h及禁鸣标志”。本项目运输均要求采用环保渣土车，单车载重10t计，根据可研设计资料可知，日均最大运输车次6趟（按1.971万t/年，单车载重10t计。项目运营后，由本项目运营单位进行建筑垃圾的收运，运营单位已取得道路运输经营许可证，渣土运输车辆进出建筑垃圾消纳场应进行检查、登记、计量和清洗，运输车辆不在厂区进行维修。</w:t>
            </w:r>
          </w:p>
          <w:p w14:paraId="5846C237">
            <w:pPr>
              <w:spacing w:line="360" w:lineRule="auto"/>
              <w:ind w:firstLine="480" w:firstLineChars="200"/>
              <w:rPr>
                <w:rFonts w:hint="eastAsia"/>
                <w:sz w:val="24"/>
                <w:lang w:val="en-US" w:eastAsia="zh-CN"/>
              </w:rPr>
            </w:pPr>
            <w:r>
              <w:rPr>
                <w:rFonts w:hint="eastAsia"/>
                <w:sz w:val="24"/>
                <w:lang w:val="en-US" w:eastAsia="zh-CN"/>
              </w:rPr>
              <w:t>2、运输车辆的环保要求：</w:t>
            </w:r>
          </w:p>
          <w:p w14:paraId="0C344272">
            <w:pPr>
              <w:spacing w:line="360" w:lineRule="auto"/>
              <w:ind w:firstLine="480" w:firstLineChars="200"/>
              <w:rPr>
                <w:rFonts w:hint="eastAsia"/>
                <w:sz w:val="24"/>
                <w:lang w:val="en-US" w:eastAsia="zh-CN"/>
              </w:rPr>
            </w:pPr>
            <w:r>
              <w:rPr>
                <w:rFonts w:hint="eastAsia"/>
                <w:sz w:val="24"/>
                <w:lang w:val="en-US" w:eastAsia="zh-CN"/>
              </w:rPr>
              <w:t>①出场必须冲洗，严禁带泥上路：资源化利用加工厂设标准化冲洗平台和高压冲洗设备，执行“三不出门”原则：装载不规范、密闭不严、车身轮胎不洁均不得出场。</w:t>
            </w:r>
          </w:p>
          <w:p w14:paraId="6665107C">
            <w:pPr>
              <w:spacing w:line="360" w:lineRule="auto"/>
              <w:ind w:firstLine="480" w:firstLineChars="200"/>
              <w:rPr>
                <w:rFonts w:hint="eastAsia"/>
                <w:sz w:val="24"/>
                <w:lang w:val="en-US" w:eastAsia="zh-CN"/>
              </w:rPr>
            </w:pPr>
            <w:r>
              <w:rPr>
                <w:rFonts w:hint="eastAsia"/>
                <w:sz w:val="24"/>
                <w:lang w:val="en-US" w:eastAsia="zh-CN"/>
              </w:rPr>
              <w:t>②防止沿途遗撒、泄漏、扬尘：车厢顶部必须安装自动全密闭装置（如推拉式柔性篷布），确保运输过程“零遗撒”；车厢尾门需安装密封条，防止泥浆滴漏。</w:t>
            </w:r>
          </w:p>
          <w:p w14:paraId="5BAC23AE">
            <w:pPr>
              <w:spacing w:line="360" w:lineRule="auto"/>
              <w:ind w:firstLine="480" w:firstLineChars="200"/>
              <w:rPr>
                <w:rFonts w:hint="eastAsia"/>
                <w:sz w:val="24"/>
                <w:lang w:val="en-US" w:eastAsia="zh-CN"/>
              </w:rPr>
            </w:pPr>
            <w:r>
              <w:rPr>
                <w:rFonts w:hint="eastAsia"/>
                <w:sz w:val="24"/>
                <w:lang w:val="en-US" w:eastAsia="zh-CN"/>
              </w:rPr>
              <w:t>③全过程实时监控与追溯：车辆须安装北斗/GPS定位、车载影像记录系统； 推广使用电子三联单，对建筑垃圾从产生到处置的全过程进行闭环管理和追溯。</w:t>
            </w:r>
          </w:p>
          <w:p w14:paraId="494CC51D">
            <w:pPr>
              <w:spacing w:line="360" w:lineRule="auto"/>
              <w:ind w:firstLine="480" w:firstLineChars="200"/>
              <w:rPr>
                <w:rFonts w:hint="eastAsia"/>
                <w:sz w:val="24"/>
                <w:lang w:val="en-US" w:eastAsia="zh-CN"/>
              </w:rPr>
            </w:pPr>
            <w:r>
              <w:rPr>
                <w:rFonts w:hint="eastAsia"/>
                <w:sz w:val="24"/>
                <w:lang w:val="en-US" w:eastAsia="zh-CN"/>
              </w:rPr>
              <w:t>④明确鼓励运输企业更新使用纯电动、氢燃料电池等零排放或低排放车辆；传统燃油车必须符合国家最新的机动车大气污染物排放标准。</w:t>
            </w:r>
          </w:p>
          <w:p w14:paraId="3710F8F1">
            <w:pPr>
              <w:spacing w:line="360" w:lineRule="auto"/>
              <w:ind w:firstLine="480" w:firstLineChars="200"/>
              <w:rPr>
                <w:rFonts w:hint="eastAsia"/>
                <w:sz w:val="24"/>
                <w:lang w:val="en-US" w:eastAsia="zh-CN"/>
              </w:rPr>
            </w:pPr>
            <w:r>
              <w:rPr>
                <w:rFonts w:hint="eastAsia"/>
                <w:sz w:val="24"/>
                <w:lang w:val="en-US" w:eastAsia="zh-CN"/>
              </w:rPr>
              <w:t>⑤专车专用，按类清运：车辆需根据运输的建筑垃圾类型（工程渣土、工程泥浆）选用专用车型。</w:t>
            </w:r>
          </w:p>
          <w:p w14:paraId="5C57F956">
            <w:pPr>
              <w:pStyle w:val="5"/>
              <w:bidi w:val="0"/>
              <w:spacing w:line="360" w:lineRule="auto"/>
              <w:ind w:firstLine="482" w:firstLineChars="200"/>
              <w:rPr>
                <w:rFonts w:hint="eastAsia"/>
                <w:sz w:val="24"/>
                <w:u w:val="single"/>
                <w:lang w:val="en-US" w:eastAsia="zh-CN"/>
              </w:rPr>
            </w:pPr>
            <w:r>
              <w:rPr>
                <w:rFonts w:hint="eastAsia"/>
                <w:sz w:val="24"/>
                <w:u w:val="single"/>
                <w:lang w:val="en-US" w:eastAsia="zh-CN"/>
              </w:rPr>
              <w:t>2.3.4建筑垃圾入场要求</w:t>
            </w:r>
          </w:p>
          <w:p w14:paraId="6996FD59">
            <w:pPr>
              <w:spacing w:line="360" w:lineRule="auto"/>
              <w:ind w:firstLine="480" w:firstLineChars="200"/>
              <w:rPr>
                <w:rFonts w:hint="eastAsia"/>
                <w:sz w:val="24"/>
                <w:u w:val="single"/>
                <w:lang w:val="en-US" w:eastAsia="zh-CN"/>
              </w:rPr>
            </w:pPr>
            <w:r>
              <w:rPr>
                <w:rFonts w:hint="eastAsia"/>
                <w:sz w:val="24"/>
                <w:u w:val="single"/>
                <w:lang w:val="en-US" w:eastAsia="zh-CN"/>
              </w:rPr>
              <w:t>本项目建筑垃圾堆填场服务范围主要为安江镇及部分洪江市境内区的建筑垃圾，主要包括工程渣土、工程垃圾、拆除垃圾等。本项目只作为堆填消纳建筑垃圾使用，仅进行简易的人工分拣，不做综合利用，项目不涉及垃圾废物焚烧，不进行建筑垃圾的机械分拣、破碎、粉碎等产生噪声及粉尘工序作业。</w:t>
            </w:r>
          </w:p>
          <w:p w14:paraId="190002F2">
            <w:pPr>
              <w:spacing w:line="360" w:lineRule="auto"/>
              <w:ind w:firstLine="482" w:firstLineChars="200"/>
              <w:rPr>
                <w:rFonts w:hint="default"/>
                <w:b/>
                <w:bCs/>
                <w:sz w:val="24"/>
                <w:u w:val="single"/>
                <w:lang w:val="en-US" w:eastAsia="zh-CN"/>
              </w:rPr>
            </w:pPr>
            <w:r>
              <w:rPr>
                <w:rFonts w:hint="eastAsia"/>
                <w:b/>
                <w:bCs/>
                <w:sz w:val="24"/>
                <w:u w:val="single"/>
                <w:lang w:val="en-US" w:eastAsia="zh-CN"/>
              </w:rPr>
              <w:t>（1）进场要求</w:t>
            </w:r>
          </w:p>
          <w:p w14:paraId="0F828C1C">
            <w:pPr>
              <w:spacing w:line="360" w:lineRule="auto"/>
              <w:ind w:firstLine="480" w:firstLineChars="200"/>
              <w:rPr>
                <w:rFonts w:hint="eastAsia"/>
                <w:sz w:val="24"/>
                <w:u w:val="single"/>
                <w:lang w:val="en-US" w:eastAsia="zh-CN"/>
              </w:rPr>
            </w:pPr>
            <w:r>
              <w:rPr>
                <w:rFonts w:hint="eastAsia"/>
                <w:sz w:val="24"/>
                <w:u w:val="single"/>
                <w:lang w:val="en-US" w:eastAsia="zh-CN"/>
              </w:rPr>
              <w:t>根据《城市建筑垃圾管理规定》及《建筑垃圾处理技术标准》（CJJ/T134-2019）堆填处置一般规定的要求，对建筑垃圾堆填入场提出如下控制性要求：</w:t>
            </w:r>
          </w:p>
          <w:p w14:paraId="6C454562">
            <w:pPr>
              <w:spacing w:line="360" w:lineRule="auto"/>
              <w:ind w:firstLine="480" w:firstLineChars="200"/>
              <w:rPr>
                <w:rFonts w:hint="eastAsia"/>
                <w:sz w:val="24"/>
                <w:u w:val="single"/>
                <w:lang w:val="en-US" w:eastAsia="zh-CN"/>
              </w:rPr>
            </w:pPr>
            <w:r>
              <w:rPr>
                <w:rFonts w:hint="eastAsia"/>
                <w:sz w:val="24"/>
                <w:u w:val="single"/>
                <w:lang w:val="en-US" w:eastAsia="zh-CN"/>
              </w:rPr>
              <w:t>①堆填宜优先选择开挖工程渣土、工程泥浆、工程垃圾等；不得受纳工业垃圾、生活垃圾和有毒有害垃圾。</w:t>
            </w:r>
          </w:p>
          <w:p w14:paraId="407FC227">
            <w:pPr>
              <w:spacing w:line="360" w:lineRule="auto"/>
              <w:ind w:firstLine="480" w:firstLineChars="200"/>
              <w:rPr>
                <w:rFonts w:hint="eastAsia"/>
                <w:sz w:val="24"/>
                <w:u w:val="single"/>
                <w:lang w:val="en-US" w:eastAsia="zh-CN"/>
              </w:rPr>
            </w:pPr>
            <w:r>
              <w:rPr>
                <w:rFonts w:hint="eastAsia"/>
                <w:sz w:val="24"/>
                <w:u w:val="single"/>
                <w:lang w:val="en-US" w:eastAsia="zh-CN"/>
              </w:rPr>
              <w:t>②处置建筑垃圾的单位在运输建筑垃圾时，按洪江市有关部门规定的运输路线、时间运行，不得丢弃、遗撒建筑垃圾，不得超出核准范围承运建筑垃圾。</w:t>
            </w:r>
          </w:p>
          <w:p w14:paraId="285BCA8F">
            <w:pPr>
              <w:spacing w:line="360" w:lineRule="auto"/>
              <w:ind w:firstLine="480" w:firstLineChars="200"/>
              <w:rPr>
                <w:rFonts w:hint="eastAsia"/>
                <w:sz w:val="24"/>
                <w:u w:val="single"/>
                <w:lang w:val="en-US" w:eastAsia="zh-CN"/>
              </w:rPr>
            </w:pPr>
            <w:r>
              <w:rPr>
                <w:rFonts w:hint="eastAsia"/>
                <w:sz w:val="24"/>
                <w:u w:val="single"/>
                <w:lang w:val="en-US" w:eastAsia="zh-CN"/>
              </w:rPr>
              <w:t>③建设过程中土地开挖、道路开挖、旧建筑物拆除、建筑施工过程产生的渣土、碎石块、废砂浆、砖瓦碎块、混凝土块等可以进入堆填场，不包括生活垃圾、医疗垃圾、工业固废和危险废物。</w:t>
            </w:r>
          </w:p>
          <w:p w14:paraId="1C5F48AC">
            <w:pPr>
              <w:spacing w:line="360" w:lineRule="auto"/>
              <w:ind w:firstLine="480" w:firstLineChars="200"/>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④进场物料的工程渣土等含水率应小于40%。</w:t>
            </w:r>
          </w:p>
          <w:p w14:paraId="73795BFC">
            <w:pPr>
              <w:spacing w:line="360" w:lineRule="auto"/>
              <w:ind w:firstLine="480" w:firstLineChars="200"/>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⑤进场物料中废沥青、废旧管材、废旧木材、金属、橡（胶）塑（料）、竹木、纺织物等含量不大于5%时可进行堆填处理；</w:t>
            </w:r>
          </w:p>
          <w:p w14:paraId="65589CE2">
            <w:pPr>
              <w:spacing w:line="360" w:lineRule="auto"/>
              <w:ind w:firstLine="480" w:firstLineChars="200"/>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⑥根据《建筑垃圾处理技术规范》（CJJ/T134-2019）建筑垃圾在接收、处理全过程都不得混入生活垃圾、污泥以及工业垃圾和危险废物。严禁有毒、有害渣土、修复土壤、餐厨垃圾、高含水率的盾构泥等有毒有害物质入场，以避免产生有机成分的渗滤液、沼气和有毒有害物质造成二次污染。</w:t>
            </w:r>
          </w:p>
          <w:p w14:paraId="7F8FAE78">
            <w:pPr>
              <w:spacing w:line="360" w:lineRule="auto"/>
              <w:ind w:firstLine="480" w:firstLineChars="200"/>
              <w:rPr>
                <w:rFonts w:hint="eastAsia"/>
                <w:sz w:val="24"/>
                <w:u w:val="single"/>
                <w:lang w:val="en-US" w:eastAsia="zh-CN"/>
              </w:rPr>
            </w:pPr>
            <w:r>
              <w:rPr>
                <w:rFonts w:hint="eastAsia"/>
                <w:sz w:val="24"/>
                <w:u w:val="single"/>
                <w:lang w:val="en-US" w:eastAsia="zh-CN"/>
              </w:rPr>
              <w:t>⑦建筑垃圾尺寸大于0.3m的，应由其来源单位进行破碎后方可入场填埋，不在建设垃圾堆填场进行破碎；</w:t>
            </w:r>
          </w:p>
          <w:p w14:paraId="13A4E9C1">
            <w:pPr>
              <w:spacing w:line="360" w:lineRule="auto"/>
              <w:ind w:firstLine="480" w:firstLineChars="200"/>
              <w:rPr>
                <w:rFonts w:hint="eastAsia"/>
                <w:sz w:val="24"/>
                <w:u w:val="single"/>
                <w:lang w:val="en-US" w:eastAsia="zh-CN"/>
              </w:rPr>
            </w:pPr>
            <w:r>
              <w:rPr>
                <w:rFonts w:hint="eastAsia"/>
                <w:sz w:val="24"/>
                <w:u w:val="single"/>
                <w:lang w:val="en-US" w:eastAsia="zh-CN"/>
              </w:rPr>
              <w:t>⑧禁止所有工业固体废物入场。</w:t>
            </w:r>
          </w:p>
          <w:p w14:paraId="6C0CC2BF">
            <w:pPr>
              <w:pStyle w:val="5"/>
              <w:bidi w:val="0"/>
              <w:spacing w:line="360" w:lineRule="auto"/>
              <w:ind w:firstLine="482" w:firstLineChars="200"/>
              <w:rPr>
                <w:rFonts w:hint="default"/>
                <w:sz w:val="24"/>
                <w:u w:val="single"/>
                <w:lang w:val="en-US" w:eastAsia="zh-CN"/>
              </w:rPr>
            </w:pPr>
            <w:r>
              <w:rPr>
                <w:rFonts w:hint="eastAsia"/>
                <w:sz w:val="24"/>
                <w:u w:val="single"/>
                <w:lang w:val="en-US" w:eastAsia="zh-CN"/>
              </w:rPr>
              <w:t>（2）分拣、快检要求</w:t>
            </w:r>
          </w:p>
          <w:p w14:paraId="593ACCCC">
            <w:pPr>
              <w:bidi w:val="0"/>
              <w:rPr>
                <w:rFonts w:hint="eastAsia"/>
                <w:u w:val="single"/>
                <w:lang w:val="en-US" w:eastAsia="zh-CN"/>
              </w:rPr>
            </w:pPr>
            <w:r>
              <w:rPr>
                <w:rFonts w:hint="eastAsia"/>
                <w:u w:val="single"/>
                <w:lang w:val="en-US" w:eastAsia="zh-CN"/>
              </w:rPr>
              <w:t>设置“人工核验+人工分拣+现场快速检测 ”双重准入关口，具体流程如下：</w:t>
            </w:r>
          </w:p>
          <w:p w14:paraId="45A8411D">
            <w:pPr>
              <w:bidi w:val="0"/>
              <w:rPr>
                <w:rFonts w:hint="eastAsia"/>
                <w:u w:val="single"/>
                <w:lang w:val="en-US" w:eastAsia="zh-CN"/>
              </w:rPr>
            </w:pPr>
            <w:r>
              <w:rPr>
                <w:rFonts w:hint="eastAsia"/>
                <w:u w:val="single"/>
                <w:lang w:val="en-US" w:eastAsia="zh-CN"/>
              </w:rPr>
              <w:t xml:space="preserve">1）人工核验：查验运输车辆资质证书、建筑垃圾运输处置联单信息完整性与真实性，同步对建筑垃圾外观、成分进行感官辨识，重点排查是否夹带疑似危险废物、生活垃圾、工业废料等禁入物，核验信息全部录入场区管理系统存档。 </w:t>
            </w:r>
          </w:p>
          <w:p w14:paraId="3FDD24C3">
            <w:pPr>
              <w:bidi w:val="0"/>
              <w:rPr>
                <w:rFonts w:hint="eastAsia"/>
                <w:u w:val="single"/>
                <w:lang w:val="en-US" w:eastAsia="zh-CN"/>
              </w:rPr>
            </w:pPr>
            <w:r>
              <w:rPr>
                <w:rFonts w:hint="eastAsia"/>
                <w:u w:val="single"/>
                <w:lang w:val="en-US" w:eastAsia="zh-CN"/>
              </w:rPr>
              <w:t>2）人工分拣：安排3-4名分拣作业人员，手持分拣钳、铁锹等简易工具，对堆体表面的大块杂质进行人工识别与分拣。分拣重点为塑料薄膜、木材、金属等明显非惰性杂物，将其集中堆放至一般固废暂存间定期外售。遗漏的危险废物分拣出来运至危废暂存间，交由有资质单位处置。</w:t>
            </w:r>
          </w:p>
          <w:p w14:paraId="204CEE53">
            <w:pPr>
              <w:bidi w:val="0"/>
              <w:rPr>
                <w:rFonts w:hint="eastAsia"/>
                <w:u w:val="single"/>
                <w:lang w:val="en-US" w:eastAsia="zh-CN"/>
              </w:rPr>
            </w:pPr>
            <w:r>
              <w:rPr>
                <w:rFonts w:hint="eastAsia"/>
                <w:u w:val="single"/>
                <w:lang w:val="en-US" w:eastAsia="zh-CN"/>
              </w:rPr>
              <w:t>3）现场快速检测：采用手持X射线荧光（XRF）分析仪、光离子化检测仪（PID）两类快检设备。其中，手持XRF分析仪基于X射线荧光原理，通过激发样品原子释放特征X射线，实现镁（Mg）至铀（U）多元素的快速定性定量分析，具备便携高效、无损检测的优势，可用于建筑垃圾中重金属快速筛查；手持式PID检测仪为高灵敏度VOCs检测设备，可快速识别建筑垃圾中挥发性有机物污染隐患。</w:t>
            </w:r>
          </w:p>
          <w:p w14:paraId="49058548">
            <w:pPr>
              <w:pStyle w:val="5"/>
              <w:bidi w:val="0"/>
              <w:spacing w:line="360" w:lineRule="auto"/>
              <w:ind w:firstLine="482" w:firstLineChars="200"/>
              <w:rPr>
                <w:rFonts w:hint="default"/>
                <w:sz w:val="24"/>
                <w:lang w:val="en-US" w:eastAsia="zh-CN"/>
              </w:rPr>
            </w:pPr>
            <w:r>
              <w:rPr>
                <w:rFonts w:hint="eastAsia"/>
                <w:sz w:val="24"/>
                <w:lang w:val="en-US" w:eastAsia="zh-CN"/>
              </w:rPr>
              <w:t>2.3.5建筑垃圾消纳场工程设计</w:t>
            </w:r>
          </w:p>
          <w:p w14:paraId="02FE4336">
            <w:pPr>
              <w:spacing w:line="360" w:lineRule="auto"/>
              <w:ind w:firstLine="480" w:firstLineChars="200"/>
              <w:rPr>
                <w:rFonts w:hint="eastAsia"/>
                <w:sz w:val="24"/>
                <w:u w:val="single"/>
                <w:lang w:val="en-US" w:eastAsia="zh-CN"/>
              </w:rPr>
            </w:pPr>
            <w:r>
              <w:rPr>
                <w:rFonts w:hint="eastAsia"/>
                <w:sz w:val="24"/>
                <w:u w:val="single"/>
                <w:lang w:val="en-US" w:eastAsia="zh-CN"/>
              </w:rPr>
              <w:t>本项目一期工程利用历史遗留废弃矿坑进行建筑垃圾堆填，库区面积为6056.56m</w:t>
            </w:r>
            <w:r>
              <w:rPr>
                <w:rFonts w:hint="eastAsia"/>
                <w:sz w:val="24"/>
                <w:u w:val="single"/>
                <w:vertAlign w:val="superscript"/>
                <w:lang w:val="en-US" w:eastAsia="zh-CN"/>
              </w:rPr>
              <w:t>2</w:t>
            </w:r>
            <w:r>
              <w:rPr>
                <w:rFonts w:hint="eastAsia"/>
                <w:sz w:val="24"/>
                <w:u w:val="single"/>
                <w:lang w:val="en-US" w:eastAsia="zh-CN"/>
              </w:rPr>
              <w:t>，其中堆填场现有矿坑面积为2282m</w:t>
            </w:r>
            <w:r>
              <w:rPr>
                <w:rFonts w:hint="eastAsia"/>
                <w:sz w:val="24"/>
                <w:u w:val="single"/>
                <w:vertAlign w:val="superscript"/>
                <w:lang w:val="en-US" w:eastAsia="zh-CN"/>
              </w:rPr>
              <w:t>2</w:t>
            </w:r>
            <w:r>
              <w:rPr>
                <w:rFonts w:hint="eastAsia"/>
                <w:sz w:val="24"/>
                <w:u w:val="single"/>
                <w:lang w:val="en-US" w:eastAsia="zh-CN"/>
              </w:rPr>
              <w:t>，深度为10m，一期库区堆高5m，设计一期工程总库容5万立方米，因坑壁陡峭且高度较大，在坑底堆填至坑口标高前无法建设挡土墙，项目在堆填场区设置成品铁板围栏，长度30m，高度3m、在厂区进场出设置成品围栏，长度24m，高度3m。</w:t>
            </w:r>
          </w:p>
          <w:p w14:paraId="7B63D39F">
            <w:pPr>
              <w:spacing w:line="360" w:lineRule="auto"/>
              <w:ind w:firstLine="482" w:firstLineChars="200"/>
              <w:rPr>
                <w:rFonts w:hint="eastAsia" w:ascii="Times New Roman" w:hAnsi="Times New Roman" w:eastAsia="宋体" w:cs="Times New Roman"/>
                <w:b/>
                <w:bCs/>
                <w:sz w:val="24"/>
                <w:u w:val="single"/>
                <w:lang w:val="en-US" w:eastAsia="zh-CN"/>
              </w:rPr>
            </w:pPr>
            <w:r>
              <w:rPr>
                <w:rFonts w:hint="eastAsia" w:ascii="Times New Roman" w:hAnsi="Times New Roman" w:eastAsia="宋体" w:cs="Times New Roman"/>
                <w:b/>
                <w:bCs/>
                <w:sz w:val="24"/>
                <w:u w:val="single"/>
                <w:lang w:val="en-US" w:eastAsia="zh-CN"/>
              </w:rPr>
              <w:t>1、堆填设计</w:t>
            </w:r>
          </w:p>
          <w:p w14:paraId="799057CE">
            <w:pPr>
              <w:spacing w:line="360" w:lineRule="auto"/>
              <w:ind w:firstLine="480" w:firstLineChars="200"/>
              <w:rPr>
                <w:rFonts w:hint="default"/>
                <w:u w:val="single"/>
                <w:lang w:val="en-US" w:eastAsia="zh-CN"/>
              </w:rPr>
            </w:pPr>
            <w:r>
              <w:rPr>
                <w:rFonts w:hint="eastAsia" w:ascii="Times New Roman" w:hAnsi="Times New Roman" w:eastAsia="宋体" w:cs="Times New Roman"/>
                <w:b w:val="0"/>
                <w:bCs w:val="0"/>
                <w:sz w:val="24"/>
                <w:u w:val="single"/>
                <w:lang w:val="en-US" w:eastAsia="zh-CN"/>
              </w:rPr>
              <w:t>根据建设单位提供的资料，一期工程主要是利用原有矿山遗留采石坑建设建筑垃圾堆填场，对现有采石坑进行回填造地堆填场，堆填场因地形原因，无法建设边坡台阶等使运输车辆进入矿坑中，因此堆填严禁高处直接抛掷，主要为将建筑垃圾从矿坑边缘投入坑底，从场地低洼处向高处推进，进行分层堆填。</w:t>
            </w:r>
            <w:r>
              <w:rPr>
                <w:rFonts w:hint="eastAsia"/>
                <w:u w:val="single"/>
                <w:lang w:val="en-US" w:eastAsia="zh-CN"/>
              </w:rPr>
              <w:t>矿坑堆填平整后再一期库区由西北往东南侧往外进行堆填，一期库区最大堆高为5m。</w:t>
            </w:r>
          </w:p>
          <w:p w14:paraId="41FB0ED4">
            <w:pPr>
              <w:spacing w:line="360" w:lineRule="auto"/>
              <w:ind w:firstLine="482" w:firstLineChars="200"/>
              <w:rPr>
                <w:rFonts w:hint="default" w:ascii="Times New Roman" w:hAnsi="Times New Roman" w:eastAsia="宋体" w:cs="Times New Roman"/>
                <w:b/>
                <w:bCs/>
                <w:sz w:val="24"/>
                <w:u w:val="single"/>
                <w:lang w:val="en-US" w:eastAsia="zh-CN"/>
              </w:rPr>
            </w:pPr>
            <w:r>
              <w:rPr>
                <w:rFonts w:hint="default" w:ascii="Times New Roman" w:hAnsi="Times New Roman" w:eastAsia="宋体" w:cs="Times New Roman"/>
                <w:b/>
                <w:bCs/>
                <w:sz w:val="24"/>
                <w:u w:val="single"/>
                <w:lang w:val="en-US" w:eastAsia="zh-CN"/>
              </w:rPr>
              <w:t>2、地基处理要求</w:t>
            </w:r>
          </w:p>
          <w:p w14:paraId="354524D7">
            <w:pPr>
              <w:spacing w:line="360" w:lineRule="auto"/>
              <w:ind w:firstLine="480" w:firstLineChars="200"/>
              <w:rPr>
                <w:rFonts w:hint="default" w:ascii="Times New Roman" w:hAnsi="Times New Roman" w:eastAsia="宋体" w:cs="Times New Roman"/>
                <w:b w:val="0"/>
                <w:bCs w:val="0"/>
                <w:sz w:val="24"/>
                <w:u w:val="single"/>
                <w:lang w:val="en-US" w:eastAsia="zh-CN"/>
              </w:rPr>
            </w:pPr>
            <w:r>
              <w:rPr>
                <w:rFonts w:hint="default" w:ascii="Times New Roman" w:hAnsi="Times New Roman" w:eastAsia="宋体" w:cs="Times New Roman"/>
                <w:b w:val="0"/>
                <w:bCs w:val="0"/>
                <w:sz w:val="24"/>
                <w:u w:val="single"/>
                <w:lang w:val="en-US" w:eastAsia="zh-CN"/>
              </w:rPr>
              <w:t>①排水固结：在堆填前，将堆填场</w:t>
            </w:r>
            <w:r>
              <w:rPr>
                <w:rFonts w:hint="eastAsia" w:cs="Times New Roman"/>
                <w:b w:val="0"/>
                <w:bCs w:val="0"/>
                <w:sz w:val="24"/>
                <w:u w:val="single"/>
                <w:lang w:val="en-US" w:eastAsia="zh-CN"/>
              </w:rPr>
              <w:t>现有矿坑积水</w:t>
            </w:r>
            <w:r>
              <w:rPr>
                <w:rFonts w:hint="default" w:ascii="Times New Roman" w:hAnsi="Times New Roman" w:eastAsia="宋体" w:cs="Times New Roman"/>
                <w:b w:val="0"/>
                <w:bCs w:val="0"/>
                <w:sz w:val="24"/>
                <w:u w:val="single"/>
                <w:lang w:val="en-US" w:eastAsia="zh-CN"/>
              </w:rPr>
              <w:t>抽排干净，并保持坑底干燥至少7天；</w:t>
            </w:r>
          </w:p>
          <w:p w14:paraId="1AC5242B">
            <w:pPr>
              <w:spacing w:line="360" w:lineRule="auto"/>
              <w:ind w:firstLine="480" w:firstLineChars="200"/>
              <w:rPr>
                <w:rFonts w:hint="default" w:ascii="Times New Roman" w:hAnsi="Times New Roman" w:eastAsia="宋体" w:cs="Times New Roman"/>
                <w:b w:val="0"/>
                <w:bCs w:val="0"/>
                <w:sz w:val="24"/>
                <w:u w:val="single"/>
                <w:lang w:val="en-US" w:eastAsia="zh-CN"/>
              </w:rPr>
            </w:pPr>
            <w:r>
              <w:rPr>
                <w:rFonts w:hint="default" w:ascii="Times New Roman" w:hAnsi="Times New Roman" w:eastAsia="宋体" w:cs="Times New Roman"/>
                <w:b w:val="0"/>
                <w:bCs w:val="0"/>
                <w:sz w:val="24"/>
                <w:u w:val="single"/>
                <w:lang w:val="en-US" w:eastAsia="zh-CN"/>
              </w:rPr>
              <w:t>②清淤换填：清除坑底淤泥、腐殖土、树根等软弱土层，清淤深度不小于0.5m（视实际淤泥深度而定）；</w:t>
            </w:r>
          </w:p>
          <w:p w14:paraId="34AEF05C">
            <w:pPr>
              <w:spacing w:line="360" w:lineRule="auto"/>
              <w:ind w:firstLine="480" w:firstLineChars="200"/>
              <w:rPr>
                <w:rFonts w:hint="default" w:ascii="Times New Roman" w:hAnsi="Times New Roman" w:eastAsia="宋体" w:cs="Times New Roman"/>
                <w:b w:val="0"/>
                <w:bCs w:val="0"/>
                <w:sz w:val="24"/>
                <w:u w:val="single"/>
                <w:lang w:val="en-US" w:eastAsia="zh-CN"/>
              </w:rPr>
            </w:pPr>
            <w:r>
              <w:rPr>
                <w:rFonts w:hint="default" w:ascii="Times New Roman" w:hAnsi="Times New Roman" w:eastAsia="宋体" w:cs="Times New Roman"/>
                <w:b w:val="0"/>
                <w:bCs w:val="0"/>
                <w:sz w:val="24"/>
                <w:u w:val="single"/>
                <w:lang w:val="en-US" w:eastAsia="zh-CN"/>
              </w:rPr>
              <w:t>③基底压实：清淤后对基底进行振动碾压，压实度不小于93%；</w:t>
            </w:r>
          </w:p>
          <w:p w14:paraId="5856195B">
            <w:pPr>
              <w:spacing w:line="360" w:lineRule="auto"/>
              <w:ind w:firstLine="482" w:firstLineChars="200"/>
              <w:rPr>
                <w:rFonts w:hint="eastAsia" w:ascii="Times New Roman" w:hAnsi="Times New Roman" w:eastAsia="宋体" w:cs="Times New Roman"/>
                <w:b/>
                <w:bCs/>
                <w:sz w:val="24"/>
                <w:u w:val="single"/>
                <w:lang w:val="en-US" w:eastAsia="zh-CN"/>
              </w:rPr>
            </w:pPr>
            <w:r>
              <w:rPr>
                <w:rFonts w:hint="eastAsia" w:ascii="Times New Roman" w:hAnsi="Times New Roman" w:eastAsia="宋体" w:cs="Times New Roman"/>
                <w:b/>
                <w:bCs/>
                <w:sz w:val="24"/>
                <w:u w:val="single"/>
                <w:lang w:val="en-US" w:eastAsia="zh-CN"/>
              </w:rPr>
              <w:t>3、建筑垃圾消纳场容积</w:t>
            </w:r>
          </w:p>
          <w:p w14:paraId="446C1784">
            <w:pPr>
              <w:spacing w:line="360" w:lineRule="auto"/>
              <w:ind w:firstLine="480" w:firstLineChars="200"/>
              <w:rPr>
                <w:rFonts w:hint="eastAsia"/>
                <w:sz w:val="24"/>
                <w:u w:val="single"/>
                <w:lang w:val="en-US" w:eastAsia="zh-CN"/>
              </w:rPr>
            </w:pPr>
            <w:r>
              <w:rPr>
                <w:rFonts w:hint="eastAsia"/>
                <w:sz w:val="24"/>
                <w:u w:val="single"/>
                <w:lang w:val="en-US" w:eastAsia="zh-CN"/>
              </w:rPr>
              <w:t>根据《建筑垃圾处理技术标准》（CJJ/T134-2019）对建筑垃圾消纳场堆填库区占地面积宜为总面积的70%-90%，不小于60%的要求。本项目一期设计堆填库区的占地面积约为建筑垃圾消纳场一期总面积的82.3%，库区占地面积为6102.56m</w:t>
            </w:r>
            <w:r>
              <w:rPr>
                <w:rFonts w:hint="eastAsia"/>
                <w:sz w:val="24"/>
                <w:u w:val="single"/>
                <w:vertAlign w:val="superscript"/>
                <w:lang w:val="en-US" w:eastAsia="zh-CN"/>
              </w:rPr>
              <w:t>2</w:t>
            </w:r>
            <w:r>
              <w:rPr>
                <w:rFonts w:hint="eastAsia"/>
                <w:sz w:val="24"/>
                <w:u w:val="single"/>
                <w:lang w:val="en-US" w:eastAsia="zh-CN"/>
              </w:rPr>
              <w:t>，最大堆高为5m，现有矿坑面积为2282m</w:t>
            </w:r>
            <w:r>
              <w:rPr>
                <w:rFonts w:hint="eastAsia"/>
                <w:sz w:val="24"/>
                <w:u w:val="single"/>
                <w:vertAlign w:val="superscript"/>
                <w:lang w:val="en-US" w:eastAsia="zh-CN"/>
              </w:rPr>
              <w:t>2</w:t>
            </w:r>
            <w:r>
              <w:rPr>
                <w:rFonts w:hint="eastAsia"/>
                <w:sz w:val="24"/>
                <w:u w:val="single"/>
                <w:lang w:val="en-US" w:eastAsia="zh-CN"/>
              </w:rPr>
              <w:t>，深度为10m，一期工程最大可消纳建筑垃圾5万m</w:t>
            </w:r>
            <w:r>
              <w:rPr>
                <w:rFonts w:hint="eastAsia"/>
                <w:sz w:val="24"/>
                <w:u w:val="single"/>
                <w:vertAlign w:val="superscript"/>
                <w:lang w:val="en-US" w:eastAsia="zh-CN"/>
              </w:rPr>
              <w:t>3</w:t>
            </w:r>
            <w:r>
              <w:rPr>
                <w:rFonts w:hint="eastAsia"/>
                <w:sz w:val="24"/>
                <w:u w:val="single"/>
                <w:lang w:val="en-US" w:eastAsia="zh-CN"/>
              </w:rPr>
              <w:t>。</w:t>
            </w:r>
          </w:p>
          <w:p w14:paraId="18A9A23C">
            <w:pPr>
              <w:spacing w:line="360" w:lineRule="auto"/>
              <w:ind w:firstLine="482" w:firstLineChars="200"/>
              <w:rPr>
                <w:rFonts w:hint="eastAsia" w:ascii="Times New Roman" w:hAnsi="Times New Roman" w:eastAsia="宋体" w:cs="Times New Roman"/>
                <w:b/>
                <w:bCs/>
                <w:sz w:val="24"/>
                <w:u w:val="single"/>
                <w:lang w:val="en-US" w:eastAsia="zh-CN"/>
              </w:rPr>
            </w:pPr>
            <w:r>
              <w:rPr>
                <w:rFonts w:hint="eastAsia" w:ascii="Times New Roman" w:hAnsi="Times New Roman" w:eastAsia="宋体" w:cs="Times New Roman"/>
                <w:b/>
                <w:bCs/>
                <w:sz w:val="24"/>
                <w:u w:val="single"/>
                <w:lang w:val="en-US" w:eastAsia="zh-CN"/>
              </w:rPr>
              <w:t>4、服务范围和服务年限</w:t>
            </w:r>
          </w:p>
          <w:p w14:paraId="3E661C17">
            <w:pPr>
              <w:spacing w:line="360" w:lineRule="auto"/>
              <w:ind w:firstLine="480" w:firstLineChars="200"/>
              <w:rPr>
                <w:rFonts w:hint="default" w:cs="Times New Roman"/>
                <w:sz w:val="24"/>
                <w:u w:val="single"/>
                <w:lang w:val="en-US" w:eastAsia="zh-CN"/>
              </w:rPr>
            </w:pPr>
            <w:r>
              <w:rPr>
                <w:rFonts w:hint="eastAsia" w:cs="Times New Roman"/>
                <w:sz w:val="24"/>
                <w:u w:val="single"/>
                <w:lang w:val="en-US" w:eastAsia="zh-CN"/>
              </w:rPr>
              <w:t>服务范围：本项目堆填场建筑垃圾主要来源于安江镇及周边区域，目前建筑垃圾大部分为工程渣土、工程垃圾、拆除垃圾及装修垃圾。</w:t>
            </w:r>
          </w:p>
          <w:p w14:paraId="0C2C8E6D">
            <w:pPr>
              <w:spacing w:line="360" w:lineRule="auto"/>
              <w:ind w:firstLine="480" w:firstLineChars="200"/>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服务年限：服务年限：本项目总规划服务年限约14年（含二期工程），其中一期工程服务年限为3.81年。</w:t>
            </w:r>
          </w:p>
          <w:p w14:paraId="413556C3">
            <w:pPr>
              <w:spacing w:line="360" w:lineRule="auto"/>
              <w:ind w:firstLine="482" w:firstLineChars="200"/>
              <w:rPr>
                <w:rFonts w:hint="eastAsia"/>
                <w:b/>
                <w:bCs/>
                <w:sz w:val="24"/>
                <w:u w:val="single"/>
                <w:lang w:val="en-US" w:eastAsia="zh-CN"/>
              </w:rPr>
            </w:pPr>
            <w:r>
              <w:rPr>
                <w:rFonts w:hint="eastAsia"/>
                <w:b/>
                <w:bCs/>
                <w:sz w:val="24"/>
                <w:u w:val="single"/>
                <w:lang w:val="en-US" w:eastAsia="zh-CN"/>
              </w:rPr>
              <w:t>5、排水系统</w:t>
            </w:r>
          </w:p>
          <w:p w14:paraId="71B26E8E">
            <w:pPr>
              <w:spacing w:line="360" w:lineRule="auto"/>
              <w:ind w:firstLine="480" w:firstLineChars="200"/>
              <w:rPr>
                <w:rFonts w:hint="eastAsia"/>
                <w:sz w:val="24"/>
                <w:u w:val="single"/>
                <w:lang w:val="en-US" w:eastAsia="zh-CN"/>
              </w:rPr>
            </w:pPr>
            <w:r>
              <w:rPr>
                <w:rFonts w:hint="eastAsia"/>
                <w:sz w:val="24"/>
                <w:u w:val="single"/>
                <w:lang w:val="en-US" w:eastAsia="zh-CN"/>
              </w:rPr>
              <w:t>根据《建筑垃圾处理技术标准》（CJJ/T134-2019）要求，建筑垃圾消纳场设置了完整的排水系统，及时排除地表水和堆填渣土滞留水。</w:t>
            </w:r>
          </w:p>
          <w:p w14:paraId="4C525B45">
            <w:pPr>
              <w:spacing w:line="360" w:lineRule="auto"/>
              <w:ind w:firstLine="480" w:firstLineChars="200"/>
              <w:rPr>
                <w:rFonts w:hint="eastAsia"/>
                <w:sz w:val="24"/>
                <w:u w:val="single"/>
                <w:lang w:val="en-US" w:eastAsia="zh-CN"/>
              </w:rPr>
            </w:pPr>
            <w:r>
              <w:rPr>
                <w:rFonts w:hint="eastAsia"/>
                <w:sz w:val="24"/>
                <w:u w:val="single"/>
                <w:lang w:val="en-US" w:eastAsia="zh-CN"/>
              </w:rPr>
              <w:t>堆填场排水系统：地表水导排系统沿西、南侧山脚设置混凝土截排沟，直径为1m，长度为125m，</w:t>
            </w:r>
            <w:r>
              <w:rPr>
                <w:rFonts w:hint="eastAsia"/>
                <w:color w:val="auto"/>
                <w:sz w:val="24"/>
                <w:u w:val="single"/>
                <w:lang w:val="en-US" w:eastAsia="zh-CN"/>
              </w:rPr>
              <w:t>截洪沟引流周边雨水，将上游雨水导排至东北侧沟渠中汇入洪溪，</w:t>
            </w:r>
            <w:r>
              <w:rPr>
                <w:rFonts w:hint="eastAsia"/>
                <w:sz w:val="24"/>
                <w:u w:val="single"/>
                <w:lang w:val="en-US" w:eastAsia="zh-CN"/>
              </w:rPr>
              <w:t>截排沟防洪设计按50年一遇设计，100年一遇校核。</w:t>
            </w:r>
          </w:p>
          <w:p w14:paraId="11A599BA">
            <w:pPr>
              <w:spacing w:line="360" w:lineRule="auto"/>
              <w:ind w:firstLine="480" w:firstLineChars="200"/>
              <w:rPr>
                <w:rFonts w:hint="eastAsia"/>
                <w:u w:val="single"/>
              </w:rPr>
            </w:pPr>
            <w:r>
              <w:rPr>
                <w:rFonts w:hint="eastAsia"/>
                <w:sz w:val="24"/>
                <w:u w:val="single"/>
                <w:lang w:val="en-US" w:eastAsia="zh-CN"/>
              </w:rPr>
              <w:t>堆填场矿坑积水（淋滤水）处理：</w:t>
            </w:r>
            <w:r>
              <w:rPr>
                <w:rFonts w:hint="eastAsia"/>
                <w:u w:val="single"/>
              </w:rPr>
              <w:t>一期工程利用历史遗留矿坑进行建筑垃圾堆填。现场勘查表明，矿坑深度较大，且无法修建进坑道路。在堆填过程中，雨天坑底会产生积水。根据堆填作业要求，堆填物料的含水率不得高于40%，因此需及时排除坑内积水。为此，一期工程在堆填场内设置抽水泵及排水管道，将降雨形成的矿坑积水（淋滤水）抽出，排入</w:t>
            </w:r>
            <w:r>
              <w:rPr>
                <w:rFonts w:hint="eastAsia"/>
                <w:u w:val="single"/>
                <w:lang w:val="en-US" w:eastAsia="zh-CN"/>
              </w:rPr>
              <w:t>东北侧沟渠中</w:t>
            </w:r>
            <w:r>
              <w:rPr>
                <w:rFonts w:hint="eastAsia"/>
                <w:u w:val="single"/>
              </w:rPr>
              <w:t>最终汇入洪溪。</w:t>
            </w:r>
          </w:p>
          <w:p w14:paraId="5F76170A">
            <w:pPr>
              <w:spacing w:line="360" w:lineRule="auto"/>
              <w:ind w:firstLine="482" w:firstLineChars="200"/>
              <w:rPr>
                <w:rFonts w:hint="eastAsia"/>
                <w:b/>
                <w:bCs/>
                <w:sz w:val="24"/>
                <w:u w:val="single"/>
                <w:lang w:val="en-US" w:eastAsia="zh-CN"/>
              </w:rPr>
            </w:pPr>
            <w:r>
              <w:rPr>
                <w:rFonts w:hint="eastAsia"/>
                <w:b/>
                <w:bCs/>
                <w:sz w:val="24"/>
                <w:u w:val="single"/>
                <w:lang w:val="en-US" w:eastAsia="zh-CN"/>
              </w:rPr>
              <w:t>6、建筑垃圾消纳场作业方式</w:t>
            </w:r>
          </w:p>
          <w:p w14:paraId="2E4177AA">
            <w:pPr>
              <w:spacing w:line="360" w:lineRule="auto"/>
              <w:ind w:firstLine="480" w:firstLineChars="200"/>
              <w:rPr>
                <w:rFonts w:hint="eastAsia"/>
                <w:sz w:val="24"/>
                <w:u w:val="single"/>
                <w:lang w:val="en-US" w:eastAsia="zh-CN"/>
              </w:rPr>
            </w:pPr>
            <w:r>
              <w:rPr>
                <w:rFonts w:hint="eastAsia"/>
                <w:sz w:val="24"/>
                <w:u w:val="single"/>
                <w:lang w:val="en-US" w:eastAsia="zh-CN"/>
              </w:rPr>
              <w:t>①作业时段：根据洪江市渣土运输车辆运输时段要求，本项目填埋作业时段为早6：00~晚18：00；遇4级以上大风或重污染天气预警时，停止作业或采取覆盖、洒水等抑尘措施。夜间（18:00-次日6:00）禁止作业，减少对周边居民影响。</w:t>
            </w:r>
          </w:p>
          <w:p w14:paraId="54F3B840">
            <w:pPr>
              <w:spacing w:line="360" w:lineRule="auto"/>
              <w:ind w:firstLine="480" w:firstLineChars="200"/>
              <w:rPr>
                <w:rFonts w:hint="eastAsia"/>
                <w:sz w:val="24"/>
                <w:u w:val="single"/>
                <w:lang w:val="en-US" w:eastAsia="zh-CN"/>
              </w:rPr>
            </w:pPr>
            <w:r>
              <w:rPr>
                <w:rFonts w:hint="eastAsia"/>
                <w:sz w:val="24"/>
                <w:u w:val="single"/>
                <w:lang w:val="en-US" w:eastAsia="zh-CN"/>
              </w:rPr>
              <w:t>②堆存作业方式：本项目采用分层堆填方式，先将建筑垃圾消纳场表面进行清理。</w:t>
            </w:r>
          </w:p>
          <w:p w14:paraId="33A54FC2">
            <w:pPr>
              <w:spacing w:line="360" w:lineRule="auto"/>
              <w:ind w:firstLine="480" w:firstLineChars="200"/>
              <w:rPr>
                <w:rFonts w:hint="eastAsia" w:eastAsia="宋体"/>
                <w:sz w:val="24"/>
                <w:u w:val="single"/>
                <w:lang w:val="en-US" w:eastAsia="zh-CN"/>
              </w:rPr>
            </w:pPr>
            <w:r>
              <w:rPr>
                <w:rFonts w:hint="eastAsia"/>
                <w:u w:val="single"/>
                <w:lang w:val="en-US" w:eastAsia="zh-CN"/>
              </w:rPr>
              <w:t>③分层压实要求：</w:t>
            </w:r>
            <w:r>
              <w:rPr>
                <w:rFonts w:hint="eastAsia"/>
                <w:u w:val="single"/>
              </w:rPr>
              <w:t>每堆填厚度0.5~1.0m应进行压实，压实度不低于90%；遇雨季应减少作业面，及时覆盖</w:t>
            </w:r>
            <w:r>
              <w:rPr>
                <w:rFonts w:hint="eastAsia"/>
                <w:u w:val="single"/>
                <w:lang w:eastAsia="zh-CN"/>
              </w:rPr>
              <w:t>。</w:t>
            </w:r>
          </w:p>
          <w:p w14:paraId="480AE84D">
            <w:pPr>
              <w:spacing w:line="360" w:lineRule="auto"/>
              <w:ind w:firstLine="482" w:firstLineChars="200"/>
              <w:rPr>
                <w:rFonts w:hint="eastAsia"/>
                <w:b/>
                <w:bCs/>
                <w:sz w:val="24"/>
                <w:lang w:val="en-US" w:eastAsia="zh-CN"/>
              </w:rPr>
            </w:pPr>
            <w:r>
              <w:rPr>
                <w:rFonts w:hint="eastAsia"/>
                <w:b/>
                <w:bCs/>
                <w:sz w:val="24"/>
                <w:lang w:val="en-US" w:eastAsia="zh-CN"/>
              </w:rPr>
              <w:t>7、运输线路组织</w:t>
            </w:r>
          </w:p>
          <w:p w14:paraId="505178CE">
            <w:pPr>
              <w:spacing w:line="360" w:lineRule="auto"/>
              <w:ind w:firstLine="480" w:firstLineChars="200"/>
              <w:rPr>
                <w:rFonts w:hint="eastAsia"/>
                <w:sz w:val="24"/>
                <w:lang w:val="en-US" w:eastAsia="zh-CN"/>
              </w:rPr>
            </w:pPr>
            <w:r>
              <w:rPr>
                <w:rFonts w:hint="eastAsia"/>
                <w:sz w:val="24"/>
                <w:lang w:val="en-US" w:eastAsia="zh-CN"/>
              </w:rPr>
              <w:t>建筑渣土运输路线为洪江市区域路网—G320国道—建筑垃圾消纳场，本项目运输均要求采用环保渣土车，日均最大运输车次6趟（按1.971万t/年，单车载重10t计。项目运营后，由本项目运营单位进行建筑垃圾运输，运营单位已取得道路运输经营许可证，建筑垃圾运输车辆进出建筑垃圾消纳场应进行检查、登记、计量和清洗，运输车辆不在本厂区进行维修。</w:t>
            </w:r>
            <w:r>
              <w:rPr>
                <w:rFonts w:hint="eastAsia"/>
              </w:rPr>
              <w:t>所有运输车辆均在</w:t>
            </w:r>
            <w:r>
              <w:rPr>
                <w:rFonts w:hint="eastAsia"/>
                <w:lang w:val="en-US" w:eastAsia="zh-CN"/>
              </w:rPr>
              <w:t>分拣平台</w:t>
            </w:r>
            <w:r>
              <w:rPr>
                <w:rFonts w:hint="eastAsia"/>
              </w:rPr>
              <w:t>卸料，</w:t>
            </w:r>
            <w:r>
              <w:rPr>
                <w:rFonts w:hint="eastAsia"/>
                <w:lang w:val="en-US" w:eastAsia="zh-CN"/>
              </w:rPr>
              <w:t>分拣后的建筑垃圾</w:t>
            </w:r>
            <w:r>
              <w:rPr>
                <w:rFonts w:hint="eastAsia"/>
              </w:rPr>
              <w:t>由挖掘机或装载机将物料推入坑内，严禁</w:t>
            </w:r>
            <w:r>
              <w:rPr>
                <w:rFonts w:hint="eastAsia"/>
                <w:lang w:val="en-US" w:eastAsia="zh-CN"/>
              </w:rPr>
              <w:t>运输</w:t>
            </w:r>
            <w:r>
              <w:rPr>
                <w:rFonts w:hint="eastAsia"/>
              </w:rPr>
              <w:t>车辆直接进入坑底。</w:t>
            </w:r>
          </w:p>
          <w:p w14:paraId="3E00D04D">
            <w:pPr>
              <w:spacing w:line="360" w:lineRule="auto"/>
              <w:ind w:firstLine="482" w:firstLineChars="200"/>
              <w:rPr>
                <w:rFonts w:hint="eastAsia"/>
                <w:b/>
                <w:bCs/>
                <w:sz w:val="24"/>
                <w:u w:val="single"/>
                <w:lang w:val="en-US" w:eastAsia="zh-CN"/>
              </w:rPr>
            </w:pPr>
            <w:r>
              <w:rPr>
                <w:rFonts w:hint="eastAsia"/>
                <w:b/>
                <w:bCs/>
                <w:sz w:val="24"/>
                <w:u w:val="single"/>
                <w:lang w:val="en-US" w:eastAsia="zh-CN"/>
              </w:rPr>
              <w:t>8、道路工程</w:t>
            </w:r>
          </w:p>
          <w:p w14:paraId="307EB153">
            <w:pPr>
              <w:bidi w:val="0"/>
              <w:rPr>
                <w:rFonts w:hint="eastAsia"/>
                <w:u w:val="single"/>
                <w:lang w:val="en-US" w:eastAsia="zh-CN"/>
              </w:rPr>
            </w:pPr>
            <w:r>
              <w:rPr>
                <w:rFonts w:hint="eastAsia"/>
                <w:u w:val="single"/>
                <w:lang w:val="en-US" w:eastAsia="zh-CN"/>
              </w:rPr>
              <w:t>（1）外部道路运输</w:t>
            </w:r>
          </w:p>
          <w:p w14:paraId="609F0F3B">
            <w:pPr>
              <w:bidi w:val="0"/>
              <w:rPr>
                <w:rFonts w:hint="eastAsia"/>
                <w:u w:val="single"/>
                <w:lang w:val="en-US" w:eastAsia="zh-CN"/>
              </w:rPr>
            </w:pPr>
            <w:r>
              <w:rPr>
                <w:rFonts w:hint="eastAsia"/>
                <w:u w:val="single"/>
                <w:lang w:val="en-US" w:eastAsia="zh-CN"/>
              </w:rPr>
              <w:t>运输车辆依托现有道路，场址距离堆填场东北侧G320国道约184米左右，运输过程中覆盖篷布，密闭运输。</w:t>
            </w:r>
          </w:p>
          <w:p w14:paraId="1D749B84">
            <w:pPr>
              <w:bidi w:val="0"/>
              <w:rPr>
                <w:rFonts w:hint="eastAsia"/>
                <w:u w:val="single"/>
                <w:lang w:val="en-US" w:eastAsia="zh-CN"/>
              </w:rPr>
            </w:pPr>
            <w:r>
              <w:rPr>
                <w:rFonts w:hint="eastAsia"/>
                <w:u w:val="single"/>
                <w:lang w:val="en-US" w:eastAsia="zh-CN"/>
              </w:rPr>
              <w:t>（2）内部道路运输</w:t>
            </w:r>
          </w:p>
          <w:p w14:paraId="1C051AF1">
            <w:pPr>
              <w:spacing w:line="360" w:lineRule="auto"/>
              <w:ind w:firstLine="480" w:firstLineChars="200"/>
              <w:rPr>
                <w:rFonts w:hint="eastAsia"/>
                <w:sz w:val="24"/>
                <w:u w:val="single"/>
                <w:lang w:val="en-US" w:eastAsia="zh-CN"/>
              </w:rPr>
            </w:pPr>
            <w:r>
              <w:rPr>
                <w:rFonts w:hint="eastAsia"/>
                <w:u w:val="single"/>
                <w:lang w:val="en-US" w:eastAsia="zh-CN"/>
              </w:rPr>
              <w:t>进场道路总长度约283m，规划设计为4.5m宽，其中水泥路面106m，碎石路面177m</w:t>
            </w:r>
            <w:r>
              <w:rPr>
                <w:rFonts w:hint="eastAsia"/>
                <w:sz w:val="24"/>
                <w:u w:val="single"/>
                <w:lang w:val="en-US" w:eastAsia="zh-CN"/>
              </w:rPr>
              <w:t>，定期平整，雨天路面泥泞时，应采取铺设钢板、碎石或暂停运输，避免陷车；确需运输时，应对道路进行加固处理。</w:t>
            </w:r>
          </w:p>
          <w:p w14:paraId="6E062146">
            <w:pPr>
              <w:pStyle w:val="4"/>
              <w:bidi w:val="0"/>
              <w:spacing w:line="360" w:lineRule="auto"/>
              <w:rPr>
                <w:rFonts w:hint="default" w:ascii="Times New Roman" w:hAnsi="Times New Roman" w:eastAsia="宋体" w:cs="Times New Roman"/>
                <w:u w:val="single"/>
                <w:lang w:val="en-US" w:eastAsia="zh-CN"/>
              </w:rPr>
            </w:pPr>
            <w:r>
              <w:rPr>
                <w:rFonts w:hint="eastAsia" w:ascii="Times New Roman" w:hAnsi="Times New Roman" w:eastAsia="宋体" w:cs="Times New Roman"/>
                <w:u w:val="single"/>
                <w:lang w:val="en-US" w:eastAsia="zh-CN"/>
              </w:rPr>
              <w:t>2.4洪江市建筑垃圾安江堆填场项目建设场地建设场地地质灾害危险性评估报告节选</w:t>
            </w:r>
          </w:p>
          <w:p w14:paraId="4D853FCF">
            <w:pPr>
              <w:bidi w:val="0"/>
              <w:rPr>
                <w:rFonts w:hint="eastAsia"/>
                <w:u w:val="single"/>
                <w:lang w:val="en-US" w:eastAsia="zh-CN"/>
              </w:rPr>
            </w:pPr>
            <w:r>
              <w:rPr>
                <w:rFonts w:hint="eastAsia"/>
                <w:u w:val="single"/>
                <w:lang w:val="en-US" w:eastAsia="zh-CN"/>
              </w:rPr>
              <w:t>结论：1、本评估报告是根据国土资源部发布的《地质灾害危险性评估规范》（GB/T40112-2021）进行编写的。</w:t>
            </w:r>
          </w:p>
          <w:p w14:paraId="1504DD96">
            <w:pPr>
              <w:bidi w:val="0"/>
              <w:rPr>
                <w:rFonts w:hint="eastAsia"/>
                <w:u w:val="single"/>
                <w:lang w:val="en-US" w:eastAsia="zh-CN"/>
              </w:rPr>
            </w:pPr>
            <w:r>
              <w:rPr>
                <w:rFonts w:hint="eastAsia"/>
                <w:u w:val="single"/>
                <w:lang w:val="en-US" w:eastAsia="zh-CN"/>
              </w:rPr>
              <w:t>2、拟建建设项目属于一般建设项目，评估区的地质环境条件复杂程度为中等。本次地质灾害危险性评估工作级别为三级。评估工作范围包括了规划拟建区及其外周约60-100m的范围，确定评估区面积为0.049km</w:t>
            </w:r>
            <w:r>
              <w:rPr>
                <w:rFonts w:hint="eastAsia"/>
                <w:u w:val="single"/>
                <w:vertAlign w:val="superscript"/>
                <w:lang w:val="en-US" w:eastAsia="zh-CN"/>
              </w:rPr>
              <w:t>2</w:t>
            </w:r>
            <w:r>
              <w:rPr>
                <w:rFonts w:hint="eastAsia"/>
                <w:u w:val="single"/>
                <w:lang w:val="en-US" w:eastAsia="zh-CN"/>
              </w:rPr>
              <w:t>。</w:t>
            </w:r>
          </w:p>
          <w:p w14:paraId="2DCD959D">
            <w:pPr>
              <w:bidi w:val="0"/>
              <w:rPr>
                <w:rFonts w:hint="eastAsia"/>
                <w:u w:val="single"/>
                <w:lang w:val="en-US" w:eastAsia="zh-CN"/>
              </w:rPr>
            </w:pPr>
            <w:r>
              <w:rPr>
                <w:rFonts w:hint="eastAsia"/>
                <w:u w:val="single"/>
                <w:lang w:val="en-US" w:eastAsia="zh-CN"/>
              </w:rPr>
              <w:t>3、现状评估：评估区内经现场调查，地质灾害不发育，评估区内现状无崩塌、滑坡、泥石流、地面沉降、地面塌陷、地裂缝、河流岸坡坍塌等地质灾害，属危险性小。</w:t>
            </w:r>
          </w:p>
          <w:p w14:paraId="4AD224C2">
            <w:pPr>
              <w:bidi w:val="0"/>
              <w:rPr>
                <w:rFonts w:hint="eastAsia"/>
                <w:u w:val="single"/>
                <w:lang w:val="en-US" w:eastAsia="zh-CN"/>
              </w:rPr>
            </w:pPr>
            <w:r>
              <w:rPr>
                <w:rFonts w:hint="eastAsia"/>
                <w:u w:val="single"/>
                <w:lang w:val="en-US" w:eastAsia="zh-CN"/>
              </w:rPr>
              <w:t>4、预测评估：工程建设中、建设后引发、加剧地质灾害的危险性及建设工程自身遭受已存在地质灾害的危险性预测评估结果如下：</w:t>
            </w:r>
          </w:p>
          <w:p w14:paraId="38AC0053">
            <w:pPr>
              <w:bidi w:val="0"/>
              <w:rPr>
                <w:rFonts w:hint="eastAsia"/>
                <w:u w:val="single"/>
                <w:lang w:val="en-US" w:eastAsia="zh-CN"/>
              </w:rPr>
            </w:pPr>
            <w:r>
              <w:rPr>
                <w:rFonts w:hint="eastAsia"/>
                <w:u w:val="single"/>
                <w:lang w:val="en-US" w:eastAsia="zh-CN"/>
              </w:rPr>
              <w:t>（1）预测评估工程建设中、建设后引发、遭受滑坡地质灾害的可能性中等，危害程度小，危险性小；预测评估工程建设中、建设后引发、遭受泥石流、地面塌陷、地裂缝等地质灾害的可能性小，危害程度小，危险性小；其他工程建设引发滑坡、泥石流、地面塌陷、地裂缝、地面沉降的可能性小，危险性小。</w:t>
            </w:r>
          </w:p>
          <w:p w14:paraId="4ECB3B3E">
            <w:pPr>
              <w:bidi w:val="0"/>
              <w:rPr>
                <w:rFonts w:hint="eastAsia"/>
                <w:u w:val="single"/>
                <w:lang w:val="en-US" w:eastAsia="zh-CN"/>
              </w:rPr>
            </w:pPr>
            <w:r>
              <w:rPr>
                <w:rFonts w:hint="eastAsia"/>
                <w:u w:val="single"/>
                <w:lang w:val="en-US" w:eastAsia="zh-CN"/>
              </w:rPr>
              <w:t>（2）预测评估工程建设中、建设后加剧各类地质灾害可能性小，危险性小。</w:t>
            </w:r>
          </w:p>
          <w:p w14:paraId="1D98A3F2">
            <w:pPr>
              <w:bidi w:val="0"/>
              <w:rPr>
                <w:rFonts w:hint="eastAsia"/>
                <w:u w:val="single"/>
                <w:lang w:val="en-US" w:eastAsia="zh-CN"/>
              </w:rPr>
            </w:pPr>
            <w:r>
              <w:rPr>
                <w:rFonts w:hint="eastAsia"/>
                <w:u w:val="single"/>
                <w:lang w:val="en-US" w:eastAsia="zh-CN"/>
              </w:rPr>
              <w:t>（3）预测评估建设工程自身遭受已存在地质灾害的危险性小。</w:t>
            </w:r>
          </w:p>
          <w:p w14:paraId="429C82F6">
            <w:pPr>
              <w:pStyle w:val="2"/>
              <w:rPr>
                <w:rFonts w:hint="default"/>
                <w:u w:val="single"/>
                <w:lang w:val="en-US" w:eastAsia="zh-CN"/>
              </w:rPr>
            </w:pPr>
            <w:r>
              <w:rPr>
                <w:rFonts w:hint="eastAsia"/>
                <w:u w:val="single"/>
                <w:lang w:val="en-US" w:eastAsia="zh-CN"/>
              </w:rPr>
              <w:t>评估区现状无地质灾害发育，现状地质灾害危险性小，场地基础地质条件稳定工程建设及运营过程中，引发、加剧地质灾害的可能性小，自身遭受地质灾害的危险性也处于较低水平，项目选址可行。</w:t>
            </w:r>
          </w:p>
          <w:p w14:paraId="1C49D330">
            <w:pPr>
              <w:pStyle w:val="4"/>
              <w:bidi w:val="0"/>
              <w:spacing w:line="360" w:lineRule="auto"/>
              <w:rPr>
                <w:rFonts w:hint="eastAsia"/>
                <w:lang w:val="en-US" w:eastAsia="zh-CN"/>
              </w:rPr>
            </w:pPr>
            <w:r>
              <w:rPr>
                <w:rFonts w:hint="eastAsia"/>
                <w:lang w:val="en-US" w:eastAsia="zh-CN"/>
              </w:rPr>
              <w:t>2.5主要生产设备</w:t>
            </w:r>
          </w:p>
          <w:p w14:paraId="7F821B47">
            <w:pPr>
              <w:spacing w:line="360" w:lineRule="auto"/>
              <w:ind w:firstLine="480" w:firstLineChars="200"/>
              <w:rPr>
                <w:rFonts w:hint="eastAsia"/>
                <w:sz w:val="24"/>
                <w:lang w:val="en-US" w:eastAsia="zh-CN"/>
              </w:rPr>
            </w:pPr>
            <w:r>
              <w:rPr>
                <w:rFonts w:hint="eastAsia"/>
                <w:sz w:val="24"/>
                <w:lang w:val="en-US" w:eastAsia="zh-CN"/>
              </w:rPr>
              <w:t>本项目主要生产设备见表2.5-1。</w:t>
            </w:r>
          </w:p>
          <w:p w14:paraId="18FE9D65">
            <w:pPr>
              <w:pStyle w:val="44"/>
              <w:keepNext/>
              <w:keepLines w:val="0"/>
              <w:pageBreakBefore w:val="0"/>
              <w:widowControl/>
              <w:kinsoku/>
              <w:wordWrap w:val="0"/>
              <w:overflowPunct w:val="0"/>
              <w:topLinePunct w:val="0"/>
              <w:autoSpaceDE w:val="0"/>
              <w:autoSpaceDN w:val="0"/>
              <w:bidi w:val="0"/>
              <w:adjustRightInd w:val="0"/>
              <w:snapToGrid w:val="0"/>
              <w:textAlignment w:val="baseline"/>
              <w:rPr>
                <w:rFonts w:hint="eastAsia"/>
              </w:rPr>
            </w:pPr>
            <w:r>
              <w:rPr>
                <w:rFonts w:hint="eastAsia"/>
              </w:rPr>
              <w:t>表</w:t>
            </w:r>
            <w:r>
              <w:rPr>
                <w:rFonts w:hint="eastAsia"/>
                <w:lang w:val="en-US" w:eastAsia="zh-CN"/>
              </w:rPr>
              <w:t>2.5-1</w:t>
            </w:r>
            <w:r>
              <w:rPr>
                <w:rFonts w:hint="eastAsia"/>
                <w:lang w:eastAsia="zh-CN"/>
              </w:rPr>
              <w:t>：</w:t>
            </w:r>
            <w:r>
              <w:rPr>
                <w:rFonts w:hint="eastAsia"/>
              </w:rPr>
              <w:t>主要设备一览表</w:t>
            </w:r>
          </w:p>
          <w:tbl>
            <w:tblPr>
              <w:tblStyle w:val="3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392"/>
              <w:gridCol w:w="1205"/>
              <w:gridCol w:w="1540"/>
              <w:gridCol w:w="1799"/>
              <w:gridCol w:w="774"/>
            </w:tblGrid>
            <w:tr w14:paraId="2930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61292B92">
                  <w:pPr>
                    <w:pStyle w:val="115"/>
                    <w:bidi w:val="0"/>
                    <w:rPr>
                      <w:rFonts w:hint="eastAsia"/>
                      <w:b/>
                      <w:bCs/>
                    </w:rPr>
                  </w:pPr>
                  <w:r>
                    <w:rPr>
                      <w:rFonts w:hint="eastAsia"/>
                      <w:b/>
                      <w:bCs/>
                    </w:rPr>
                    <w:t>序号</w:t>
                  </w:r>
                </w:p>
              </w:tc>
              <w:tc>
                <w:tcPr>
                  <w:tcW w:w="1409" w:type="pct"/>
                  <w:shd w:val="clear" w:color="auto" w:fill="auto"/>
                  <w:noWrap w:val="0"/>
                  <w:vAlign w:val="center"/>
                </w:tcPr>
                <w:p w14:paraId="5133F97D">
                  <w:pPr>
                    <w:pStyle w:val="115"/>
                    <w:bidi w:val="0"/>
                    <w:rPr>
                      <w:rFonts w:hint="eastAsia"/>
                      <w:b/>
                      <w:bCs/>
                    </w:rPr>
                  </w:pPr>
                  <w:r>
                    <w:rPr>
                      <w:rFonts w:hint="eastAsia"/>
                      <w:b/>
                      <w:bCs/>
                    </w:rPr>
                    <w:t>设备</w:t>
                  </w:r>
                </w:p>
              </w:tc>
              <w:tc>
                <w:tcPr>
                  <w:tcW w:w="710" w:type="pct"/>
                  <w:shd w:val="clear" w:color="auto" w:fill="auto"/>
                  <w:noWrap w:val="0"/>
                  <w:vAlign w:val="center"/>
                </w:tcPr>
                <w:p w14:paraId="3B907940">
                  <w:pPr>
                    <w:pStyle w:val="115"/>
                    <w:bidi w:val="0"/>
                    <w:rPr>
                      <w:rFonts w:hint="eastAsia"/>
                      <w:b/>
                      <w:bCs/>
                    </w:rPr>
                  </w:pPr>
                  <w:r>
                    <w:rPr>
                      <w:rFonts w:hint="eastAsia"/>
                      <w:b/>
                      <w:bCs/>
                    </w:rPr>
                    <w:t>型号规格</w:t>
                  </w:r>
                </w:p>
              </w:tc>
              <w:tc>
                <w:tcPr>
                  <w:tcW w:w="907" w:type="pct"/>
                  <w:shd w:val="clear" w:color="auto" w:fill="auto"/>
                  <w:noWrap w:val="0"/>
                  <w:vAlign w:val="center"/>
                </w:tcPr>
                <w:p w14:paraId="23EE8D5C">
                  <w:pPr>
                    <w:pStyle w:val="115"/>
                    <w:bidi w:val="0"/>
                    <w:rPr>
                      <w:rFonts w:hint="eastAsia"/>
                      <w:b/>
                      <w:bCs/>
                    </w:rPr>
                  </w:pPr>
                  <w:r>
                    <w:rPr>
                      <w:rFonts w:hint="eastAsia"/>
                      <w:b/>
                      <w:bCs/>
                    </w:rPr>
                    <w:t>数量</w:t>
                  </w:r>
                </w:p>
              </w:tc>
              <w:tc>
                <w:tcPr>
                  <w:tcW w:w="1060" w:type="pct"/>
                  <w:shd w:val="clear" w:color="auto" w:fill="auto"/>
                  <w:noWrap w:val="0"/>
                  <w:vAlign w:val="center"/>
                </w:tcPr>
                <w:p w14:paraId="1D848E9F">
                  <w:pPr>
                    <w:pStyle w:val="115"/>
                    <w:bidi w:val="0"/>
                    <w:rPr>
                      <w:rFonts w:hint="eastAsia"/>
                      <w:b/>
                      <w:bCs/>
                    </w:rPr>
                  </w:pPr>
                  <w:r>
                    <w:rPr>
                      <w:rFonts w:hint="eastAsia"/>
                      <w:b/>
                      <w:bCs/>
                    </w:rPr>
                    <w:t>对应生产工序</w:t>
                  </w:r>
                </w:p>
              </w:tc>
              <w:tc>
                <w:tcPr>
                  <w:tcW w:w="456" w:type="pct"/>
                  <w:shd w:val="clear" w:color="auto" w:fill="auto"/>
                  <w:noWrap w:val="0"/>
                  <w:vAlign w:val="center"/>
                </w:tcPr>
                <w:p w14:paraId="1F156579">
                  <w:pPr>
                    <w:pStyle w:val="115"/>
                    <w:bidi w:val="0"/>
                    <w:rPr>
                      <w:rFonts w:hint="eastAsia"/>
                      <w:b/>
                      <w:bCs/>
                    </w:rPr>
                  </w:pPr>
                  <w:r>
                    <w:rPr>
                      <w:rFonts w:hint="eastAsia"/>
                      <w:b/>
                      <w:bCs/>
                    </w:rPr>
                    <w:t>备注</w:t>
                  </w:r>
                </w:p>
              </w:tc>
            </w:tr>
            <w:tr w14:paraId="5AD8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5207E736">
                  <w:pPr>
                    <w:pStyle w:val="115"/>
                    <w:bidi w:val="0"/>
                    <w:rPr>
                      <w:rFonts w:hint="eastAsia"/>
                    </w:rPr>
                  </w:pPr>
                  <w:r>
                    <w:rPr>
                      <w:rFonts w:hint="eastAsia"/>
                    </w:rPr>
                    <w:t>1</w:t>
                  </w:r>
                </w:p>
              </w:tc>
              <w:tc>
                <w:tcPr>
                  <w:tcW w:w="1409" w:type="pct"/>
                  <w:shd w:val="clear" w:color="auto" w:fill="auto"/>
                  <w:noWrap w:val="0"/>
                  <w:vAlign w:val="center"/>
                </w:tcPr>
                <w:p w14:paraId="7E213268">
                  <w:pPr>
                    <w:pStyle w:val="115"/>
                    <w:bidi w:val="0"/>
                    <w:rPr>
                      <w:rFonts w:hint="eastAsia"/>
                    </w:rPr>
                  </w:pPr>
                  <w:r>
                    <w:rPr>
                      <w:rFonts w:hint="eastAsia"/>
                    </w:rPr>
                    <w:t>压实机</w:t>
                  </w:r>
                </w:p>
              </w:tc>
              <w:tc>
                <w:tcPr>
                  <w:tcW w:w="710" w:type="pct"/>
                  <w:shd w:val="clear" w:color="auto" w:fill="auto"/>
                  <w:noWrap w:val="0"/>
                  <w:vAlign w:val="center"/>
                </w:tcPr>
                <w:p w14:paraId="33E398B1">
                  <w:pPr>
                    <w:pStyle w:val="115"/>
                    <w:bidi w:val="0"/>
                    <w:rPr>
                      <w:rFonts w:hint="eastAsia"/>
                    </w:rPr>
                  </w:pPr>
                  <w:r>
                    <w:rPr>
                      <w:rFonts w:hint="eastAsia"/>
                    </w:rPr>
                    <w:t>/</w:t>
                  </w:r>
                </w:p>
              </w:tc>
              <w:tc>
                <w:tcPr>
                  <w:tcW w:w="907" w:type="pct"/>
                  <w:shd w:val="clear" w:color="auto" w:fill="auto"/>
                  <w:noWrap w:val="0"/>
                  <w:vAlign w:val="center"/>
                </w:tcPr>
                <w:p w14:paraId="6A280DB6">
                  <w:pPr>
                    <w:pStyle w:val="115"/>
                    <w:bidi w:val="0"/>
                    <w:rPr>
                      <w:rFonts w:hint="eastAsia"/>
                    </w:rPr>
                  </w:pPr>
                  <w:r>
                    <w:rPr>
                      <w:rFonts w:hint="eastAsia"/>
                    </w:rPr>
                    <w:t>2台</w:t>
                  </w:r>
                </w:p>
              </w:tc>
              <w:tc>
                <w:tcPr>
                  <w:tcW w:w="1060" w:type="pct"/>
                  <w:shd w:val="clear" w:color="auto" w:fill="auto"/>
                  <w:noWrap w:val="0"/>
                  <w:vAlign w:val="center"/>
                </w:tcPr>
                <w:p w14:paraId="12F465FF">
                  <w:pPr>
                    <w:pStyle w:val="115"/>
                    <w:bidi w:val="0"/>
                    <w:rPr>
                      <w:rFonts w:hint="eastAsia" w:eastAsia="宋体"/>
                      <w:lang w:eastAsia="zh-CN"/>
                    </w:rPr>
                  </w:pPr>
                  <w:r>
                    <w:rPr>
                      <w:rFonts w:hint="eastAsia"/>
                      <w:lang w:val="en-US" w:eastAsia="zh-CN"/>
                    </w:rPr>
                    <w:t>压实</w:t>
                  </w:r>
                </w:p>
              </w:tc>
              <w:tc>
                <w:tcPr>
                  <w:tcW w:w="456" w:type="pct"/>
                  <w:shd w:val="clear" w:color="auto" w:fill="auto"/>
                  <w:noWrap w:val="0"/>
                  <w:vAlign w:val="center"/>
                </w:tcPr>
                <w:p w14:paraId="48DDDD39">
                  <w:pPr>
                    <w:pStyle w:val="115"/>
                    <w:bidi w:val="0"/>
                    <w:rPr>
                      <w:rFonts w:hint="eastAsia"/>
                    </w:rPr>
                  </w:pPr>
                  <w:r>
                    <w:rPr>
                      <w:rFonts w:hint="eastAsia"/>
                    </w:rPr>
                    <w:t>外购</w:t>
                  </w:r>
                </w:p>
              </w:tc>
            </w:tr>
            <w:tr w14:paraId="265C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0A61F9DD">
                  <w:pPr>
                    <w:pStyle w:val="115"/>
                    <w:bidi w:val="0"/>
                    <w:rPr>
                      <w:rFonts w:hint="eastAsia"/>
                    </w:rPr>
                  </w:pPr>
                  <w:r>
                    <w:rPr>
                      <w:rFonts w:hint="eastAsia"/>
                    </w:rPr>
                    <w:t>2</w:t>
                  </w:r>
                </w:p>
              </w:tc>
              <w:tc>
                <w:tcPr>
                  <w:tcW w:w="1409" w:type="pct"/>
                  <w:shd w:val="clear" w:color="auto" w:fill="auto"/>
                  <w:noWrap w:val="0"/>
                  <w:vAlign w:val="center"/>
                </w:tcPr>
                <w:p w14:paraId="7CFAB1B8">
                  <w:pPr>
                    <w:pStyle w:val="115"/>
                    <w:bidi w:val="0"/>
                    <w:rPr>
                      <w:rFonts w:hint="eastAsia"/>
                    </w:rPr>
                  </w:pPr>
                  <w:r>
                    <w:rPr>
                      <w:rFonts w:hint="eastAsia"/>
                    </w:rPr>
                    <w:t>运输车</w:t>
                  </w:r>
                </w:p>
              </w:tc>
              <w:tc>
                <w:tcPr>
                  <w:tcW w:w="710" w:type="pct"/>
                  <w:shd w:val="clear" w:color="auto" w:fill="auto"/>
                  <w:noWrap w:val="0"/>
                  <w:vAlign w:val="center"/>
                </w:tcPr>
                <w:p w14:paraId="07B55C38">
                  <w:pPr>
                    <w:pStyle w:val="115"/>
                    <w:bidi w:val="0"/>
                    <w:rPr>
                      <w:rFonts w:hint="eastAsia"/>
                    </w:rPr>
                  </w:pPr>
                  <w:r>
                    <w:rPr>
                      <w:rFonts w:hint="eastAsia"/>
                    </w:rPr>
                    <w:t>/</w:t>
                  </w:r>
                </w:p>
              </w:tc>
              <w:tc>
                <w:tcPr>
                  <w:tcW w:w="907" w:type="pct"/>
                  <w:shd w:val="clear" w:color="auto" w:fill="auto"/>
                  <w:noWrap w:val="0"/>
                  <w:vAlign w:val="center"/>
                </w:tcPr>
                <w:p w14:paraId="3C8B1951">
                  <w:pPr>
                    <w:pStyle w:val="115"/>
                    <w:bidi w:val="0"/>
                    <w:rPr>
                      <w:rFonts w:hint="eastAsia"/>
                    </w:rPr>
                  </w:pPr>
                  <w:r>
                    <w:rPr>
                      <w:rFonts w:hint="eastAsia"/>
                      <w:lang w:val="en-US" w:eastAsia="zh-CN"/>
                    </w:rPr>
                    <w:t>6</w:t>
                  </w:r>
                  <w:r>
                    <w:rPr>
                      <w:rFonts w:hint="eastAsia"/>
                    </w:rPr>
                    <w:t>辆</w:t>
                  </w:r>
                </w:p>
              </w:tc>
              <w:tc>
                <w:tcPr>
                  <w:tcW w:w="1060" w:type="pct"/>
                  <w:shd w:val="clear" w:color="auto" w:fill="auto"/>
                  <w:noWrap w:val="0"/>
                  <w:vAlign w:val="center"/>
                </w:tcPr>
                <w:p w14:paraId="4C9F85E8">
                  <w:pPr>
                    <w:pStyle w:val="115"/>
                    <w:bidi w:val="0"/>
                    <w:rPr>
                      <w:rFonts w:hint="eastAsia"/>
                    </w:rPr>
                  </w:pPr>
                  <w:r>
                    <w:rPr>
                      <w:rFonts w:hint="eastAsia"/>
                      <w:lang w:val="en-US" w:eastAsia="zh-CN"/>
                    </w:rPr>
                    <w:t>建筑垃圾</w:t>
                  </w:r>
                  <w:r>
                    <w:rPr>
                      <w:rFonts w:hint="eastAsia"/>
                    </w:rPr>
                    <w:t>运输</w:t>
                  </w:r>
                </w:p>
              </w:tc>
              <w:tc>
                <w:tcPr>
                  <w:tcW w:w="456" w:type="pct"/>
                  <w:shd w:val="clear" w:color="auto" w:fill="auto"/>
                  <w:noWrap w:val="0"/>
                  <w:vAlign w:val="center"/>
                </w:tcPr>
                <w:p w14:paraId="3CBFCF16">
                  <w:pPr>
                    <w:pStyle w:val="115"/>
                    <w:bidi w:val="0"/>
                    <w:rPr>
                      <w:rFonts w:hint="eastAsia"/>
                    </w:rPr>
                  </w:pPr>
                  <w:r>
                    <w:rPr>
                      <w:rFonts w:hint="eastAsia"/>
                    </w:rPr>
                    <w:t>外购</w:t>
                  </w:r>
                </w:p>
              </w:tc>
            </w:tr>
            <w:tr w14:paraId="48DF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6EA029B2">
                  <w:pPr>
                    <w:pStyle w:val="115"/>
                    <w:bidi w:val="0"/>
                    <w:rPr>
                      <w:rFonts w:hint="eastAsia"/>
                    </w:rPr>
                  </w:pPr>
                  <w:r>
                    <w:rPr>
                      <w:rFonts w:hint="eastAsia"/>
                    </w:rPr>
                    <w:t>3</w:t>
                  </w:r>
                </w:p>
              </w:tc>
              <w:tc>
                <w:tcPr>
                  <w:tcW w:w="1409" w:type="pct"/>
                  <w:shd w:val="clear" w:color="auto" w:fill="auto"/>
                  <w:noWrap w:val="0"/>
                  <w:vAlign w:val="center"/>
                </w:tcPr>
                <w:p w14:paraId="4C875DDC">
                  <w:pPr>
                    <w:pStyle w:val="115"/>
                    <w:bidi w:val="0"/>
                    <w:rPr>
                      <w:rFonts w:hint="eastAsia"/>
                    </w:rPr>
                  </w:pPr>
                  <w:r>
                    <w:t>洒水车</w:t>
                  </w:r>
                </w:p>
              </w:tc>
              <w:tc>
                <w:tcPr>
                  <w:tcW w:w="710" w:type="pct"/>
                  <w:shd w:val="clear" w:color="auto" w:fill="auto"/>
                  <w:noWrap w:val="0"/>
                  <w:vAlign w:val="center"/>
                </w:tcPr>
                <w:p w14:paraId="1C26708B">
                  <w:pPr>
                    <w:pStyle w:val="115"/>
                    <w:bidi w:val="0"/>
                    <w:rPr>
                      <w:rFonts w:hint="eastAsia"/>
                    </w:rPr>
                  </w:pPr>
                  <w:r>
                    <w:t>8000C /T</w:t>
                  </w:r>
                </w:p>
              </w:tc>
              <w:tc>
                <w:tcPr>
                  <w:tcW w:w="907" w:type="pct"/>
                  <w:shd w:val="clear" w:color="auto" w:fill="auto"/>
                  <w:noWrap w:val="0"/>
                  <w:vAlign w:val="center"/>
                </w:tcPr>
                <w:p w14:paraId="0E7BBE62">
                  <w:pPr>
                    <w:pStyle w:val="115"/>
                    <w:bidi w:val="0"/>
                    <w:rPr>
                      <w:rFonts w:hint="eastAsia"/>
                    </w:rPr>
                  </w:pPr>
                  <w:r>
                    <w:t>1</w:t>
                  </w:r>
                  <w:r>
                    <w:rPr>
                      <w:rFonts w:hint="eastAsia"/>
                    </w:rPr>
                    <w:t>辆</w:t>
                  </w:r>
                </w:p>
              </w:tc>
              <w:tc>
                <w:tcPr>
                  <w:tcW w:w="1060" w:type="pct"/>
                  <w:shd w:val="clear" w:color="auto" w:fill="auto"/>
                  <w:noWrap w:val="0"/>
                  <w:vAlign w:val="center"/>
                </w:tcPr>
                <w:p w14:paraId="3C94D646">
                  <w:pPr>
                    <w:pStyle w:val="115"/>
                    <w:bidi w:val="0"/>
                    <w:rPr>
                      <w:rFonts w:hint="eastAsia"/>
                    </w:rPr>
                  </w:pPr>
                  <w:r>
                    <w:t>降尘</w:t>
                  </w:r>
                </w:p>
              </w:tc>
              <w:tc>
                <w:tcPr>
                  <w:tcW w:w="456" w:type="pct"/>
                  <w:shd w:val="clear" w:color="auto" w:fill="auto"/>
                  <w:noWrap w:val="0"/>
                  <w:vAlign w:val="center"/>
                </w:tcPr>
                <w:p w14:paraId="5FF154AE">
                  <w:pPr>
                    <w:pStyle w:val="115"/>
                    <w:bidi w:val="0"/>
                    <w:rPr>
                      <w:rFonts w:hint="eastAsia"/>
                    </w:rPr>
                  </w:pPr>
                  <w:r>
                    <w:rPr>
                      <w:rFonts w:hint="eastAsia"/>
                    </w:rPr>
                    <w:t>外购</w:t>
                  </w:r>
                </w:p>
              </w:tc>
            </w:tr>
            <w:tr w14:paraId="402E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642A827A">
                  <w:pPr>
                    <w:pStyle w:val="115"/>
                    <w:bidi w:val="0"/>
                    <w:rPr>
                      <w:rFonts w:hint="eastAsia"/>
                    </w:rPr>
                  </w:pPr>
                  <w:r>
                    <w:rPr>
                      <w:rFonts w:hint="eastAsia"/>
                    </w:rPr>
                    <w:t>4</w:t>
                  </w:r>
                </w:p>
              </w:tc>
              <w:tc>
                <w:tcPr>
                  <w:tcW w:w="1409" w:type="pct"/>
                  <w:shd w:val="clear" w:color="auto" w:fill="auto"/>
                  <w:noWrap w:val="0"/>
                  <w:vAlign w:val="center"/>
                </w:tcPr>
                <w:p w14:paraId="12E3F8D9">
                  <w:pPr>
                    <w:pStyle w:val="115"/>
                    <w:bidi w:val="0"/>
                    <w:rPr>
                      <w:rFonts w:hint="eastAsia"/>
                    </w:rPr>
                  </w:pPr>
                  <w:r>
                    <w:rPr>
                      <w:rFonts w:hint="eastAsia"/>
                    </w:rPr>
                    <w:t>雾炮机</w:t>
                  </w:r>
                </w:p>
              </w:tc>
              <w:tc>
                <w:tcPr>
                  <w:tcW w:w="710" w:type="pct"/>
                  <w:shd w:val="clear" w:color="auto" w:fill="auto"/>
                  <w:noWrap w:val="0"/>
                  <w:vAlign w:val="center"/>
                </w:tcPr>
                <w:p w14:paraId="25A0E8A5">
                  <w:pPr>
                    <w:pStyle w:val="115"/>
                    <w:bidi w:val="0"/>
                    <w:rPr>
                      <w:rFonts w:hint="eastAsia"/>
                    </w:rPr>
                  </w:pPr>
                  <w:r>
                    <w:t>YY-60</w:t>
                  </w:r>
                </w:p>
              </w:tc>
              <w:tc>
                <w:tcPr>
                  <w:tcW w:w="907" w:type="pct"/>
                  <w:shd w:val="clear" w:color="auto" w:fill="auto"/>
                  <w:noWrap w:val="0"/>
                  <w:vAlign w:val="center"/>
                </w:tcPr>
                <w:p w14:paraId="7B5A8BDB">
                  <w:pPr>
                    <w:pStyle w:val="115"/>
                    <w:bidi w:val="0"/>
                    <w:rPr>
                      <w:rFonts w:hint="eastAsia"/>
                    </w:rPr>
                  </w:pPr>
                  <w:r>
                    <w:t>2</w:t>
                  </w:r>
                  <w:r>
                    <w:rPr>
                      <w:rFonts w:hint="eastAsia"/>
                    </w:rPr>
                    <w:t>台</w:t>
                  </w:r>
                </w:p>
              </w:tc>
              <w:tc>
                <w:tcPr>
                  <w:tcW w:w="1060" w:type="pct"/>
                  <w:shd w:val="clear" w:color="auto" w:fill="auto"/>
                  <w:noWrap w:val="0"/>
                  <w:vAlign w:val="center"/>
                </w:tcPr>
                <w:p w14:paraId="3DD079F2">
                  <w:pPr>
                    <w:pStyle w:val="115"/>
                    <w:bidi w:val="0"/>
                    <w:rPr>
                      <w:rFonts w:hint="eastAsia"/>
                    </w:rPr>
                  </w:pPr>
                  <w:r>
                    <w:t>降尘</w:t>
                  </w:r>
                </w:p>
              </w:tc>
              <w:tc>
                <w:tcPr>
                  <w:tcW w:w="456" w:type="pct"/>
                  <w:shd w:val="clear" w:color="auto" w:fill="auto"/>
                  <w:noWrap w:val="0"/>
                  <w:vAlign w:val="center"/>
                </w:tcPr>
                <w:p w14:paraId="3EB4A134">
                  <w:pPr>
                    <w:pStyle w:val="115"/>
                    <w:bidi w:val="0"/>
                    <w:rPr>
                      <w:rFonts w:hint="eastAsia"/>
                    </w:rPr>
                  </w:pPr>
                  <w:r>
                    <w:rPr>
                      <w:rFonts w:hint="eastAsia"/>
                    </w:rPr>
                    <w:t>外购</w:t>
                  </w:r>
                </w:p>
              </w:tc>
            </w:tr>
            <w:tr w14:paraId="7A87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37F5DC9E">
                  <w:pPr>
                    <w:pStyle w:val="115"/>
                    <w:bidi w:val="0"/>
                    <w:rPr>
                      <w:rFonts w:hint="eastAsia"/>
                    </w:rPr>
                  </w:pPr>
                  <w:r>
                    <w:rPr>
                      <w:rFonts w:hint="eastAsia"/>
                    </w:rPr>
                    <w:t>5</w:t>
                  </w:r>
                </w:p>
              </w:tc>
              <w:tc>
                <w:tcPr>
                  <w:tcW w:w="1409" w:type="pct"/>
                  <w:shd w:val="clear" w:color="auto" w:fill="auto"/>
                  <w:noWrap w:val="0"/>
                  <w:vAlign w:val="center"/>
                </w:tcPr>
                <w:p w14:paraId="7A5312F3">
                  <w:pPr>
                    <w:pStyle w:val="115"/>
                    <w:bidi w:val="0"/>
                    <w:rPr>
                      <w:rFonts w:hint="eastAsia"/>
                    </w:rPr>
                  </w:pPr>
                  <w:r>
                    <w:t>挖掘机</w:t>
                  </w:r>
                </w:p>
              </w:tc>
              <w:tc>
                <w:tcPr>
                  <w:tcW w:w="710" w:type="pct"/>
                  <w:shd w:val="clear" w:color="auto" w:fill="auto"/>
                  <w:noWrap w:val="0"/>
                  <w:vAlign w:val="center"/>
                </w:tcPr>
                <w:p w14:paraId="3149F6F5">
                  <w:pPr>
                    <w:pStyle w:val="115"/>
                    <w:bidi w:val="0"/>
                    <w:rPr>
                      <w:rFonts w:hint="eastAsia"/>
                    </w:rPr>
                  </w:pPr>
                  <w:r>
                    <w:rPr>
                      <w:rFonts w:hint="eastAsia"/>
                    </w:rPr>
                    <w:t>/</w:t>
                  </w:r>
                </w:p>
              </w:tc>
              <w:tc>
                <w:tcPr>
                  <w:tcW w:w="907" w:type="pct"/>
                  <w:shd w:val="clear" w:color="auto" w:fill="auto"/>
                  <w:noWrap w:val="0"/>
                  <w:vAlign w:val="center"/>
                </w:tcPr>
                <w:p w14:paraId="1AD30367">
                  <w:pPr>
                    <w:pStyle w:val="115"/>
                    <w:bidi w:val="0"/>
                    <w:rPr>
                      <w:rFonts w:hint="eastAsia"/>
                    </w:rPr>
                  </w:pPr>
                  <w:r>
                    <w:rPr>
                      <w:rFonts w:hint="eastAsia"/>
                    </w:rPr>
                    <w:t>2台</w:t>
                  </w:r>
                </w:p>
              </w:tc>
              <w:tc>
                <w:tcPr>
                  <w:tcW w:w="1060" w:type="pct"/>
                  <w:shd w:val="clear" w:color="auto" w:fill="auto"/>
                  <w:noWrap w:val="0"/>
                  <w:vAlign w:val="center"/>
                </w:tcPr>
                <w:p w14:paraId="6CA850C5">
                  <w:pPr>
                    <w:pStyle w:val="115"/>
                    <w:bidi w:val="0"/>
                    <w:rPr>
                      <w:rFonts w:hint="eastAsia"/>
                    </w:rPr>
                  </w:pPr>
                  <w:r>
                    <w:t>边坡整理</w:t>
                  </w:r>
                </w:p>
              </w:tc>
              <w:tc>
                <w:tcPr>
                  <w:tcW w:w="456" w:type="pct"/>
                  <w:shd w:val="clear" w:color="auto" w:fill="auto"/>
                  <w:noWrap w:val="0"/>
                  <w:vAlign w:val="center"/>
                </w:tcPr>
                <w:p w14:paraId="0A2EF3A3">
                  <w:pPr>
                    <w:pStyle w:val="115"/>
                    <w:bidi w:val="0"/>
                    <w:rPr>
                      <w:rFonts w:hint="eastAsia"/>
                    </w:rPr>
                  </w:pPr>
                  <w:r>
                    <w:rPr>
                      <w:rFonts w:hint="eastAsia"/>
                    </w:rPr>
                    <w:t>外购</w:t>
                  </w:r>
                </w:p>
              </w:tc>
            </w:tr>
            <w:tr w14:paraId="634E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0DD341D8">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6</w:t>
                  </w:r>
                </w:p>
              </w:tc>
              <w:tc>
                <w:tcPr>
                  <w:tcW w:w="1409" w:type="pct"/>
                  <w:shd w:val="clear" w:color="auto" w:fill="auto"/>
                  <w:noWrap w:val="0"/>
                  <w:vAlign w:val="center"/>
                </w:tcPr>
                <w:p w14:paraId="1D2FD13C">
                  <w:pPr>
                    <w:pStyle w:val="115"/>
                    <w:bidi w:val="0"/>
                    <w:rPr>
                      <w:rFonts w:hint="eastAsia" w:eastAsia="宋体"/>
                      <w:lang w:val="en-US" w:eastAsia="zh-CN"/>
                    </w:rPr>
                  </w:pPr>
                  <w:r>
                    <w:rPr>
                      <w:rFonts w:hint="eastAsia"/>
                      <w:lang w:val="en-US" w:eastAsia="zh-CN"/>
                    </w:rPr>
                    <w:t>推土机</w:t>
                  </w:r>
                </w:p>
              </w:tc>
              <w:tc>
                <w:tcPr>
                  <w:tcW w:w="710" w:type="pct"/>
                  <w:shd w:val="clear" w:color="auto" w:fill="auto"/>
                  <w:noWrap w:val="0"/>
                  <w:vAlign w:val="center"/>
                </w:tcPr>
                <w:p w14:paraId="6A52ACCB">
                  <w:pPr>
                    <w:pStyle w:val="115"/>
                    <w:bidi w:val="0"/>
                    <w:rPr>
                      <w:rFonts w:hint="eastAsia" w:eastAsia="宋体"/>
                      <w:lang w:val="en-US" w:eastAsia="zh-CN"/>
                    </w:rPr>
                  </w:pPr>
                  <w:r>
                    <w:rPr>
                      <w:rFonts w:hint="eastAsia"/>
                      <w:lang w:val="en-US" w:eastAsia="zh-CN"/>
                    </w:rPr>
                    <w:t>/</w:t>
                  </w:r>
                </w:p>
              </w:tc>
              <w:tc>
                <w:tcPr>
                  <w:tcW w:w="907" w:type="pct"/>
                  <w:shd w:val="clear" w:color="auto" w:fill="auto"/>
                  <w:noWrap w:val="0"/>
                  <w:vAlign w:val="center"/>
                </w:tcPr>
                <w:p w14:paraId="06069A24">
                  <w:pPr>
                    <w:pStyle w:val="115"/>
                    <w:bidi w:val="0"/>
                    <w:rPr>
                      <w:rFonts w:hint="default" w:eastAsia="宋体"/>
                      <w:lang w:val="en-US" w:eastAsia="zh-CN"/>
                    </w:rPr>
                  </w:pPr>
                  <w:r>
                    <w:rPr>
                      <w:rFonts w:hint="eastAsia"/>
                      <w:lang w:val="en-US" w:eastAsia="zh-CN"/>
                    </w:rPr>
                    <w:t>1台</w:t>
                  </w:r>
                </w:p>
              </w:tc>
              <w:tc>
                <w:tcPr>
                  <w:tcW w:w="1060" w:type="pct"/>
                  <w:shd w:val="clear" w:color="auto" w:fill="auto"/>
                  <w:noWrap w:val="0"/>
                  <w:vAlign w:val="center"/>
                </w:tcPr>
                <w:p w14:paraId="019F23BC">
                  <w:pPr>
                    <w:pStyle w:val="115"/>
                    <w:bidi w:val="0"/>
                    <w:rPr>
                      <w:rFonts w:hint="default" w:eastAsia="宋体"/>
                      <w:lang w:val="en-US" w:eastAsia="zh-CN"/>
                    </w:rPr>
                  </w:pPr>
                  <w:r>
                    <w:rPr>
                      <w:rFonts w:hint="eastAsia"/>
                      <w:lang w:val="en-US" w:eastAsia="zh-CN"/>
                    </w:rPr>
                    <w:t>边坡整理</w:t>
                  </w:r>
                </w:p>
              </w:tc>
              <w:tc>
                <w:tcPr>
                  <w:tcW w:w="456" w:type="pct"/>
                  <w:shd w:val="clear" w:color="auto" w:fill="auto"/>
                  <w:noWrap w:val="0"/>
                  <w:vAlign w:val="center"/>
                </w:tcPr>
                <w:p w14:paraId="09FEAFEC">
                  <w:pPr>
                    <w:pStyle w:val="115"/>
                    <w:bidi w:val="0"/>
                    <w:rPr>
                      <w:rFonts w:hint="eastAsia"/>
                    </w:rPr>
                  </w:pPr>
                  <w:r>
                    <w:rPr>
                      <w:rFonts w:hint="eastAsia"/>
                    </w:rPr>
                    <w:t>外购</w:t>
                  </w:r>
                </w:p>
              </w:tc>
            </w:tr>
            <w:tr w14:paraId="4454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2B341623">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7</w:t>
                  </w:r>
                </w:p>
              </w:tc>
              <w:tc>
                <w:tcPr>
                  <w:tcW w:w="1409" w:type="pct"/>
                  <w:shd w:val="clear" w:color="auto" w:fill="auto"/>
                  <w:noWrap w:val="0"/>
                  <w:vAlign w:val="center"/>
                </w:tcPr>
                <w:p w14:paraId="78CE1C6D">
                  <w:pPr>
                    <w:pStyle w:val="115"/>
                    <w:bidi w:val="0"/>
                    <w:rPr>
                      <w:rFonts w:hint="eastAsia"/>
                    </w:rPr>
                  </w:pPr>
                  <w:r>
                    <w:t>灯具</w:t>
                  </w:r>
                </w:p>
              </w:tc>
              <w:tc>
                <w:tcPr>
                  <w:tcW w:w="710" w:type="pct"/>
                  <w:shd w:val="clear" w:color="auto" w:fill="auto"/>
                  <w:noWrap w:val="0"/>
                  <w:vAlign w:val="center"/>
                </w:tcPr>
                <w:p w14:paraId="3455CC22">
                  <w:pPr>
                    <w:pStyle w:val="115"/>
                    <w:bidi w:val="0"/>
                    <w:rPr>
                      <w:rFonts w:hint="eastAsia"/>
                    </w:rPr>
                  </w:pPr>
                  <w:r>
                    <w:t>投光灯</w:t>
                  </w:r>
                </w:p>
              </w:tc>
              <w:tc>
                <w:tcPr>
                  <w:tcW w:w="907" w:type="pct"/>
                  <w:shd w:val="clear" w:color="auto" w:fill="auto"/>
                  <w:noWrap w:val="0"/>
                  <w:vAlign w:val="center"/>
                </w:tcPr>
                <w:p w14:paraId="2DFBF77C">
                  <w:pPr>
                    <w:pStyle w:val="115"/>
                    <w:bidi w:val="0"/>
                  </w:pPr>
                  <w:r>
                    <w:t>1</w:t>
                  </w:r>
                  <w:r>
                    <w:rPr>
                      <w:rFonts w:hint="eastAsia"/>
                    </w:rPr>
                    <w:t>台</w:t>
                  </w:r>
                </w:p>
              </w:tc>
              <w:tc>
                <w:tcPr>
                  <w:tcW w:w="1060" w:type="pct"/>
                  <w:shd w:val="clear" w:color="auto" w:fill="auto"/>
                  <w:noWrap w:val="0"/>
                  <w:vAlign w:val="center"/>
                </w:tcPr>
                <w:p w14:paraId="087CE0D3">
                  <w:pPr>
                    <w:pStyle w:val="115"/>
                    <w:bidi w:val="0"/>
                    <w:rPr>
                      <w:rFonts w:hint="eastAsia"/>
                    </w:rPr>
                  </w:pPr>
                  <w:r>
                    <w:t>场地夜间照明</w:t>
                  </w:r>
                </w:p>
              </w:tc>
              <w:tc>
                <w:tcPr>
                  <w:tcW w:w="456" w:type="pct"/>
                  <w:shd w:val="clear" w:color="auto" w:fill="auto"/>
                  <w:noWrap w:val="0"/>
                  <w:vAlign w:val="center"/>
                </w:tcPr>
                <w:p w14:paraId="41CB768D">
                  <w:pPr>
                    <w:pStyle w:val="115"/>
                    <w:bidi w:val="0"/>
                    <w:rPr>
                      <w:rFonts w:hint="eastAsia"/>
                    </w:rPr>
                  </w:pPr>
                  <w:r>
                    <w:rPr>
                      <w:rFonts w:hint="eastAsia"/>
                    </w:rPr>
                    <w:t>外购</w:t>
                  </w:r>
                </w:p>
              </w:tc>
            </w:tr>
            <w:tr w14:paraId="4FF5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7B6B8CB4">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8</w:t>
                  </w:r>
                </w:p>
              </w:tc>
              <w:tc>
                <w:tcPr>
                  <w:tcW w:w="1409" w:type="pct"/>
                  <w:shd w:val="clear" w:color="auto" w:fill="auto"/>
                  <w:noWrap w:val="0"/>
                  <w:vAlign w:val="center"/>
                </w:tcPr>
                <w:p w14:paraId="25F96A4F">
                  <w:pPr>
                    <w:pStyle w:val="115"/>
                    <w:bidi w:val="0"/>
                    <w:rPr>
                      <w:rFonts w:hint="eastAsia"/>
                    </w:rPr>
                  </w:pPr>
                  <w:r>
                    <w:t>经纬仪</w:t>
                  </w:r>
                </w:p>
              </w:tc>
              <w:tc>
                <w:tcPr>
                  <w:tcW w:w="710" w:type="pct"/>
                  <w:shd w:val="clear" w:color="auto" w:fill="auto"/>
                  <w:noWrap w:val="0"/>
                  <w:vAlign w:val="center"/>
                </w:tcPr>
                <w:p w14:paraId="155089A9">
                  <w:pPr>
                    <w:pStyle w:val="115"/>
                    <w:bidi w:val="0"/>
                    <w:rPr>
                      <w:rFonts w:hint="eastAsia"/>
                    </w:rPr>
                  </w:pPr>
                  <w:r>
                    <w:t>北关J2</w:t>
                  </w:r>
                </w:p>
              </w:tc>
              <w:tc>
                <w:tcPr>
                  <w:tcW w:w="907" w:type="pct"/>
                  <w:shd w:val="clear" w:color="auto" w:fill="auto"/>
                  <w:noWrap w:val="0"/>
                  <w:vAlign w:val="center"/>
                </w:tcPr>
                <w:p w14:paraId="29A3A9AA">
                  <w:pPr>
                    <w:pStyle w:val="115"/>
                    <w:bidi w:val="0"/>
                    <w:rPr>
                      <w:rFonts w:hint="eastAsia"/>
                    </w:rPr>
                  </w:pPr>
                  <w:r>
                    <w:t>2</w:t>
                  </w:r>
                  <w:r>
                    <w:rPr>
                      <w:rFonts w:hint="eastAsia"/>
                    </w:rPr>
                    <w:t>个</w:t>
                  </w:r>
                </w:p>
              </w:tc>
              <w:tc>
                <w:tcPr>
                  <w:tcW w:w="1060" w:type="pct"/>
                  <w:shd w:val="clear" w:color="auto" w:fill="auto"/>
                  <w:noWrap w:val="0"/>
                  <w:vAlign w:val="center"/>
                </w:tcPr>
                <w:p w14:paraId="60F526E3">
                  <w:pPr>
                    <w:pStyle w:val="115"/>
                    <w:bidi w:val="0"/>
                    <w:rPr>
                      <w:rFonts w:hint="eastAsia"/>
                    </w:rPr>
                  </w:pPr>
                  <w:r>
                    <w:t>施工放样</w:t>
                  </w:r>
                </w:p>
              </w:tc>
              <w:tc>
                <w:tcPr>
                  <w:tcW w:w="456" w:type="pct"/>
                  <w:shd w:val="clear" w:color="auto" w:fill="auto"/>
                  <w:noWrap w:val="0"/>
                  <w:vAlign w:val="center"/>
                </w:tcPr>
                <w:p w14:paraId="495E6F66">
                  <w:pPr>
                    <w:pStyle w:val="115"/>
                    <w:bidi w:val="0"/>
                    <w:rPr>
                      <w:rFonts w:hint="eastAsia"/>
                    </w:rPr>
                  </w:pPr>
                  <w:r>
                    <w:rPr>
                      <w:rFonts w:hint="eastAsia"/>
                    </w:rPr>
                    <w:t>外购</w:t>
                  </w:r>
                </w:p>
              </w:tc>
            </w:tr>
            <w:tr w14:paraId="02A2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6B6A4D0A">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9</w:t>
                  </w:r>
                </w:p>
              </w:tc>
              <w:tc>
                <w:tcPr>
                  <w:tcW w:w="1409" w:type="pct"/>
                  <w:shd w:val="clear" w:color="auto" w:fill="auto"/>
                  <w:noWrap w:val="0"/>
                  <w:vAlign w:val="center"/>
                </w:tcPr>
                <w:p w14:paraId="1008DA87">
                  <w:pPr>
                    <w:pStyle w:val="115"/>
                    <w:bidi w:val="0"/>
                    <w:rPr>
                      <w:rFonts w:hint="eastAsia"/>
                    </w:rPr>
                  </w:pPr>
                  <w:r>
                    <w:t>水准仪</w:t>
                  </w:r>
                </w:p>
              </w:tc>
              <w:tc>
                <w:tcPr>
                  <w:tcW w:w="710" w:type="pct"/>
                  <w:shd w:val="clear" w:color="auto" w:fill="auto"/>
                  <w:noWrap w:val="0"/>
                  <w:vAlign w:val="center"/>
                </w:tcPr>
                <w:p w14:paraId="79E3150C">
                  <w:pPr>
                    <w:pStyle w:val="115"/>
                    <w:bidi w:val="0"/>
                    <w:rPr>
                      <w:rFonts w:hint="eastAsia"/>
                    </w:rPr>
                  </w:pPr>
                  <w:r>
                    <w:t>DSJ2000</w:t>
                  </w:r>
                </w:p>
              </w:tc>
              <w:tc>
                <w:tcPr>
                  <w:tcW w:w="907" w:type="pct"/>
                  <w:shd w:val="clear" w:color="auto" w:fill="auto"/>
                  <w:noWrap w:val="0"/>
                  <w:vAlign w:val="center"/>
                </w:tcPr>
                <w:p w14:paraId="240BEF54">
                  <w:pPr>
                    <w:pStyle w:val="115"/>
                    <w:bidi w:val="0"/>
                    <w:rPr>
                      <w:rFonts w:hint="eastAsia"/>
                    </w:rPr>
                  </w:pPr>
                  <w:r>
                    <w:t>4</w:t>
                  </w:r>
                  <w:r>
                    <w:rPr>
                      <w:rFonts w:hint="eastAsia"/>
                    </w:rPr>
                    <w:t>个</w:t>
                  </w:r>
                </w:p>
              </w:tc>
              <w:tc>
                <w:tcPr>
                  <w:tcW w:w="1060" w:type="pct"/>
                  <w:shd w:val="clear" w:color="auto" w:fill="auto"/>
                  <w:noWrap w:val="0"/>
                  <w:vAlign w:val="center"/>
                </w:tcPr>
                <w:p w14:paraId="7D01EB66">
                  <w:pPr>
                    <w:pStyle w:val="115"/>
                    <w:bidi w:val="0"/>
                    <w:rPr>
                      <w:rFonts w:hint="eastAsia"/>
                    </w:rPr>
                  </w:pPr>
                  <w:r>
                    <w:t>测标高</w:t>
                  </w:r>
                </w:p>
              </w:tc>
              <w:tc>
                <w:tcPr>
                  <w:tcW w:w="456" w:type="pct"/>
                  <w:shd w:val="clear" w:color="auto" w:fill="auto"/>
                  <w:noWrap w:val="0"/>
                  <w:vAlign w:val="center"/>
                </w:tcPr>
                <w:p w14:paraId="0FF8CAD0">
                  <w:pPr>
                    <w:pStyle w:val="115"/>
                    <w:bidi w:val="0"/>
                    <w:rPr>
                      <w:rFonts w:hint="eastAsia"/>
                    </w:rPr>
                  </w:pPr>
                  <w:r>
                    <w:rPr>
                      <w:rFonts w:hint="eastAsia"/>
                    </w:rPr>
                    <w:t>外购</w:t>
                  </w:r>
                </w:p>
              </w:tc>
            </w:tr>
            <w:tr w14:paraId="6DEB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773CFB08">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10</w:t>
                  </w:r>
                </w:p>
              </w:tc>
              <w:tc>
                <w:tcPr>
                  <w:tcW w:w="1409" w:type="pct"/>
                  <w:shd w:val="clear" w:color="auto" w:fill="auto"/>
                  <w:noWrap w:val="0"/>
                  <w:vAlign w:val="center"/>
                </w:tcPr>
                <w:p w14:paraId="251D1008">
                  <w:pPr>
                    <w:pStyle w:val="115"/>
                    <w:bidi w:val="0"/>
                    <w:rPr>
                      <w:rFonts w:hint="eastAsia"/>
                    </w:rPr>
                  </w:pPr>
                  <w:r>
                    <w:t>平整度检测仪</w:t>
                  </w:r>
                </w:p>
              </w:tc>
              <w:tc>
                <w:tcPr>
                  <w:tcW w:w="710" w:type="pct"/>
                  <w:shd w:val="clear" w:color="auto" w:fill="auto"/>
                  <w:noWrap w:val="0"/>
                  <w:vAlign w:val="center"/>
                </w:tcPr>
                <w:p w14:paraId="5D09B915">
                  <w:pPr>
                    <w:pStyle w:val="115"/>
                    <w:bidi w:val="0"/>
                    <w:rPr>
                      <w:rFonts w:hint="eastAsia"/>
                    </w:rPr>
                  </w:pPr>
                  <w:r>
                    <w:t>YLPY</w:t>
                  </w:r>
                </w:p>
              </w:tc>
              <w:tc>
                <w:tcPr>
                  <w:tcW w:w="907" w:type="pct"/>
                  <w:shd w:val="clear" w:color="auto" w:fill="auto"/>
                  <w:noWrap w:val="0"/>
                  <w:vAlign w:val="center"/>
                </w:tcPr>
                <w:p w14:paraId="5838B76F">
                  <w:pPr>
                    <w:pStyle w:val="115"/>
                    <w:bidi w:val="0"/>
                    <w:rPr>
                      <w:rFonts w:hint="eastAsia"/>
                    </w:rPr>
                  </w:pPr>
                  <w:r>
                    <w:t>1</w:t>
                  </w:r>
                  <w:r>
                    <w:rPr>
                      <w:rFonts w:hint="eastAsia"/>
                    </w:rPr>
                    <w:t>个</w:t>
                  </w:r>
                </w:p>
              </w:tc>
              <w:tc>
                <w:tcPr>
                  <w:tcW w:w="1060" w:type="pct"/>
                  <w:shd w:val="clear" w:color="auto" w:fill="auto"/>
                  <w:noWrap w:val="0"/>
                  <w:vAlign w:val="center"/>
                </w:tcPr>
                <w:p w14:paraId="3392DAEA">
                  <w:pPr>
                    <w:pStyle w:val="115"/>
                    <w:bidi w:val="0"/>
                    <w:rPr>
                      <w:rFonts w:hint="eastAsia"/>
                    </w:rPr>
                  </w:pPr>
                  <w:r>
                    <w:t>检测</w:t>
                  </w:r>
                </w:p>
              </w:tc>
              <w:tc>
                <w:tcPr>
                  <w:tcW w:w="456" w:type="pct"/>
                  <w:shd w:val="clear" w:color="auto" w:fill="auto"/>
                  <w:noWrap w:val="0"/>
                  <w:vAlign w:val="center"/>
                </w:tcPr>
                <w:p w14:paraId="2625FACF">
                  <w:pPr>
                    <w:pStyle w:val="115"/>
                    <w:bidi w:val="0"/>
                    <w:rPr>
                      <w:rFonts w:hint="eastAsia"/>
                    </w:rPr>
                  </w:pPr>
                  <w:r>
                    <w:rPr>
                      <w:rFonts w:hint="eastAsia"/>
                    </w:rPr>
                    <w:t>外购</w:t>
                  </w:r>
                </w:p>
              </w:tc>
            </w:tr>
            <w:tr w14:paraId="3CF7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61AFB41C">
                  <w:pPr>
                    <w:pStyle w:val="115"/>
                    <w:bidi w:val="0"/>
                    <w:rPr>
                      <w:rFonts w:hint="default" w:eastAsia="宋体"/>
                      <w:lang w:val="en-US" w:eastAsia="zh-CN"/>
                    </w:rPr>
                  </w:pPr>
                  <w:r>
                    <w:rPr>
                      <w:rFonts w:hint="eastAsia"/>
                      <w:lang w:val="en-US" w:eastAsia="zh-CN"/>
                    </w:rPr>
                    <w:t>11</w:t>
                  </w:r>
                </w:p>
              </w:tc>
              <w:tc>
                <w:tcPr>
                  <w:tcW w:w="1409" w:type="pct"/>
                  <w:shd w:val="clear" w:color="auto" w:fill="auto"/>
                  <w:noWrap w:val="0"/>
                  <w:vAlign w:val="center"/>
                </w:tcPr>
                <w:p w14:paraId="13AECEC0">
                  <w:pPr>
                    <w:pStyle w:val="115"/>
                    <w:bidi w:val="0"/>
                    <w:rPr>
                      <w:rFonts w:hint="eastAsia"/>
                    </w:rPr>
                  </w:pPr>
                  <w:r>
                    <w:t>工程测量尺</w:t>
                  </w:r>
                </w:p>
              </w:tc>
              <w:tc>
                <w:tcPr>
                  <w:tcW w:w="710" w:type="pct"/>
                  <w:shd w:val="clear" w:color="auto" w:fill="auto"/>
                  <w:noWrap w:val="0"/>
                  <w:vAlign w:val="center"/>
                </w:tcPr>
                <w:p w14:paraId="7F32380C">
                  <w:pPr>
                    <w:pStyle w:val="115"/>
                    <w:bidi w:val="0"/>
                    <w:rPr>
                      <w:rFonts w:hint="eastAsia"/>
                    </w:rPr>
                  </w:pPr>
                  <w:r>
                    <w:t>5m</w:t>
                  </w:r>
                </w:p>
              </w:tc>
              <w:tc>
                <w:tcPr>
                  <w:tcW w:w="907" w:type="pct"/>
                  <w:shd w:val="clear" w:color="auto" w:fill="auto"/>
                  <w:noWrap w:val="0"/>
                  <w:vAlign w:val="center"/>
                </w:tcPr>
                <w:p w14:paraId="5A70EBA4">
                  <w:pPr>
                    <w:pStyle w:val="115"/>
                    <w:bidi w:val="0"/>
                    <w:rPr>
                      <w:rFonts w:hint="eastAsia"/>
                    </w:rPr>
                  </w:pPr>
                  <w:r>
                    <w:t>10</w:t>
                  </w:r>
                  <w:r>
                    <w:rPr>
                      <w:rFonts w:hint="eastAsia"/>
                    </w:rPr>
                    <w:t>把</w:t>
                  </w:r>
                </w:p>
              </w:tc>
              <w:tc>
                <w:tcPr>
                  <w:tcW w:w="1060" w:type="pct"/>
                  <w:shd w:val="clear" w:color="auto" w:fill="auto"/>
                  <w:noWrap w:val="0"/>
                  <w:vAlign w:val="center"/>
                </w:tcPr>
                <w:p w14:paraId="3C8AD128">
                  <w:pPr>
                    <w:pStyle w:val="115"/>
                    <w:bidi w:val="0"/>
                    <w:rPr>
                      <w:rFonts w:hint="eastAsia"/>
                    </w:rPr>
                  </w:pPr>
                  <w:r>
                    <w:t>测量</w:t>
                  </w:r>
                </w:p>
              </w:tc>
              <w:tc>
                <w:tcPr>
                  <w:tcW w:w="456" w:type="pct"/>
                  <w:shd w:val="clear" w:color="auto" w:fill="auto"/>
                  <w:noWrap w:val="0"/>
                  <w:vAlign w:val="center"/>
                </w:tcPr>
                <w:p w14:paraId="63F5F6E7">
                  <w:pPr>
                    <w:pStyle w:val="115"/>
                    <w:bidi w:val="0"/>
                    <w:rPr>
                      <w:rFonts w:hint="eastAsia"/>
                    </w:rPr>
                  </w:pPr>
                  <w:r>
                    <w:rPr>
                      <w:rFonts w:hint="eastAsia"/>
                    </w:rPr>
                    <w:t>外购</w:t>
                  </w:r>
                </w:p>
              </w:tc>
            </w:tr>
            <w:tr w14:paraId="1157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01104289">
                  <w:pPr>
                    <w:pStyle w:val="115"/>
                    <w:bidi w:val="0"/>
                    <w:rPr>
                      <w:rFonts w:hint="default"/>
                      <w:lang w:val="en-US" w:eastAsia="zh-CN"/>
                    </w:rPr>
                  </w:pPr>
                  <w:r>
                    <w:rPr>
                      <w:rFonts w:hint="eastAsia"/>
                      <w:lang w:val="en-US" w:eastAsia="zh-CN"/>
                    </w:rPr>
                    <w:t>12</w:t>
                  </w:r>
                </w:p>
              </w:tc>
              <w:tc>
                <w:tcPr>
                  <w:tcW w:w="1409" w:type="pct"/>
                  <w:shd w:val="clear" w:color="auto" w:fill="auto"/>
                  <w:noWrap w:val="0"/>
                  <w:vAlign w:val="center"/>
                </w:tcPr>
                <w:p w14:paraId="1957E412">
                  <w:pPr>
                    <w:pStyle w:val="115"/>
                    <w:bidi w:val="0"/>
                  </w:pPr>
                  <w:r>
                    <w:rPr>
                      <w:rFonts w:hint="eastAsia"/>
                    </w:rPr>
                    <w:t>地磅</w:t>
                  </w:r>
                </w:p>
              </w:tc>
              <w:tc>
                <w:tcPr>
                  <w:tcW w:w="710" w:type="pct"/>
                  <w:shd w:val="clear" w:color="auto" w:fill="auto"/>
                  <w:noWrap w:val="0"/>
                  <w:vAlign w:val="center"/>
                </w:tcPr>
                <w:p w14:paraId="761A9EC3">
                  <w:pPr>
                    <w:pStyle w:val="115"/>
                    <w:bidi w:val="0"/>
                    <w:rPr>
                      <w:rFonts w:hint="default" w:eastAsia="宋体"/>
                      <w:lang w:val="en-US" w:eastAsia="zh-CN"/>
                    </w:rPr>
                  </w:pPr>
                  <w:r>
                    <w:rPr>
                      <w:rFonts w:hint="default"/>
                      <w:lang w:val="en-US" w:eastAsia="zh-CN"/>
                    </w:rPr>
                    <w:t>/</w:t>
                  </w:r>
                </w:p>
              </w:tc>
              <w:tc>
                <w:tcPr>
                  <w:tcW w:w="907" w:type="pct"/>
                  <w:shd w:val="clear" w:color="auto" w:fill="auto"/>
                  <w:noWrap w:val="0"/>
                  <w:vAlign w:val="center"/>
                </w:tcPr>
                <w:p w14:paraId="796548B1">
                  <w:pPr>
                    <w:pStyle w:val="115"/>
                    <w:bidi w:val="0"/>
                    <w:rPr>
                      <w:rFonts w:hint="default" w:eastAsia="宋体"/>
                      <w:lang w:val="en-US" w:eastAsia="zh-CN"/>
                    </w:rPr>
                  </w:pPr>
                  <w:r>
                    <w:rPr>
                      <w:rFonts w:hint="default"/>
                      <w:lang w:val="en-US" w:eastAsia="zh-CN"/>
                    </w:rPr>
                    <w:t>1套</w:t>
                  </w:r>
                </w:p>
              </w:tc>
              <w:tc>
                <w:tcPr>
                  <w:tcW w:w="1060" w:type="pct"/>
                  <w:shd w:val="clear" w:color="auto" w:fill="auto"/>
                  <w:noWrap w:val="0"/>
                  <w:vAlign w:val="center"/>
                </w:tcPr>
                <w:p w14:paraId="04E3BB4A">
                  <w:pPr>
                    <w:pStyle w:val="115"/>
                    <w:rPr>
                      <w:rFonts w:ascii="Times New Roman" w:hAnsi="Times New Roman" w:eastAsia="宋体" w:cs="Times New Roman"/>
                      <w:iCs w:val="0"/>
                      <w:kern w:val="0"/>
                      <w:sz w:val="21"/>
                      <w:szCs w:val="24"/>
                      <w:lang w:val="en-US" w:eastAsia="zh-CN" w:bidi="ar-SA"/>
                    </w:rPr>
                  </w:pPr>
                  <w:r>
                    <w:rPr>
                      <w:rFonts w:hint="eastAsia"/>
                    </w:rPr>
                    <w:t>计量称重</w:t>
                  </w:r>
                </w:p>
              </w:tc>
              <w:tc>
                <w:tcPr>
                  <w:tcW w:w="456" w:type="pct"/>
                  <w:shd w:val="clear" w:color="auto" w:fill="auto"/>
                  <w:noWrap w:val="0"/>
                  <w:vAlign w:val="center"/>
                </w:tcPr>
                <w:p w14:paraId="5877CFE2">
                  <w:pPr>
                    <w:pStyle w:val="115"/>
                    <w:rPr>
                      <w:rFonts w:hint="default" w:ascii="Times New Roman" w:hAnsi="Times New Roman" w:eastAsia="宋体" w:cs="Times New Roman"/>
                      <w:iCs w:val="0"/>
                      <w:kern w:val="0"/>
                      <w:sz w:val="21"/>
                      <w:szCs w:val="24"/>
                      <w:lang w:val="en-US" w:eastAsia="zh-CN" w:bidi="ar-SA"/>
                    </w:rPr>
                  </w:pPr>
                  <w:r>
                    <w:rPr>
                      <w:rFonts w:hint="eastAsia"/>
                    </w:rPr>
                    <w:t>外购</w:t>
                  </w:r>
                </w:p>
              </w:tc>
            </w:tr>
            <w:tr w14:paraId="1BDC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7299C014">
                  <w:pPr>
                    <w:pStyle w:val="155"/>
                    <w:ind w:firstLine="0" w:firstLineChars="0"/>
                    <w:rPr>
                      <w:rFonts w:hint="default" w:ascii="Times New Roman" w:hAnsi="Times New Roman" w:eastAsia="宋体" w:cs="Times New Roman"/>
                      <w:iCs/>
                      <w:kern w:val="2"/>
                      <w:sz w:val="21"/>
                      <w:szCs w:val="21"/>
                      <w:lang w:val="en-US" w:eastAsia="zh-CN" w:bidi="ar-SA"/>
                    </w:rPr>
                  </w:pPr>
                  <w:r>
                    <w:rPr>
                      <w:rFonts w:hint="eastAsia"/>
                      <w:lang w:val="en-US" w:eastAsia="zh-CN"/>
                    </w:rPr>
                    <w:t>13</w:t>
                  </w:r>
                </w:p>
              </w:tc>
              <w:tc>
                <w:tcPr>
                  <w:tcW w:w="1409" w:type="pct"/>
                  <w:shd w:val="clear" w:color="auto" w:fill="auto"/>
                  <w:noWrap w:val="0"/>
                  <w:vAlign w:val="center"/>
                </w:tcPr>
                <w:p w14:paraId="405681FF">
                  <w:pPr>
                    <w:pStyle w:val="115"/>
                    <w:rPr>
                      <w:rFonts w:hint="default" w:ascii="Times New Roman" w:hAnsi="Times New Roman" w:eastAsia="宋体" w:cs="Times New Roman"/>
                      <w:iCs w:val="0"/>
                      <w:kern w:val="0"/>
                      <w:sz w:val="21"/>
                      <w:szCs w:val="24"/>
                      <w:lang w:val="en-US" w:eastAsia="zh-CN" w:bidi="ar-SA"/>
                    </w:rPr>
                  </w:pPr>
                  <w:r>
                    <w:rPr>
                      <w:rFonts w:hint="eastAsia"/>
                    </w:rPr>
                    <w:t>潜污泵</w:t>
                  </w:r>
                </w:p>
              </w:tc>
              <w:tc>
                <w:tcPr>
                  <w:tcW w:w="710" w:type="pct"/>
                  <w:shd w:val="clear" w:color="auto" w:fill="auto"/>
                  <w:noWrap w:val="0"/>
                  <w:vAlign w:val="center"/>
                </w:tcPr>
                <w:p w14:paraId="0814F457">
                  <w:pPr>
                    <w:pStyle w:val="115"/>
                    <w:rPr>
                      <w:rFonts w:hint="default" w:ascii="Times New Roman" w:hAnsi="Times New Roman" w:eastAsia="宋体" w:cs="Times New Roman"/>
                      <w:iCs w:val="0"/>
                      <w:kern w:val="0"/>
                      <w:sz w:val="21"/>
                      <w:szCs w:val="24"/>
                      <w:lang w:val="en-US" w:eastAsia="zh-CN" w:bidi="ar-SA"/>
                    </w:rPr>
                  </w:pPr>
                </w:p>
              </w:tc>
              <w:tc>
                <w:tcPr>
                  <w:tcW w:w="907" w:type="pct"/>
                  <w:shd w:val="clear" w:color="auto" w:fill="auto"/>
                  <w:noWrap w:val="0"/>
                  <w:vAlign w:val="center"/>
                </w:tcPr>
                <w:p w14:paraId="2F792BE2">
                  <w:pPr>
                    <w:pStyle w:val="115"/>
                    <w:rPr>
                      <w:rFonts w:hint="eastAsia"/>
                    </w:rPr>
                  </w:pPr>
                  <w:r>
                    <w:rPr>
                      <w:rFonts w:hint="eastAsia"/>
                    </w:rPr>
                    <w:t>2台</w:t>
                  </w:r>
                </w:p>
                <w:p w14:paraId="3AB88AF1">
                  <w:pPr>
                    <w:pStyle w:val="115"/>
                    <w:rPr>
                      <w:rFonts w:hint="default" w:ascii="Times New Roman" w:hAnsi="Times New Roman" w:eastAsia="宋体" w:cs="Times New Roman"/>
                      <w:iCs w:val="0"/>
                      <w:kern w:val="0"/>
                      <w:sz w:val="21"/>
                      <w:szCs w:val="24"/>
                      <w:lang w:val="en-US" w:eastAsia="zh-CN" w:bidi="ar-SA"/>
                    </w:rPr>
                  </w:pPr>
                  <w:r>
                    <w:rPr>
                      <w:rFonts w:hint="eastAsia"/>
                    </w:rPr>
                    <w:t>（一用一备）</w:t>
                  </w:r>
                </w:p>
              </w:tc>
              <w:tc>
                <w:tcPr>
                  <w:tcW w:w="1060" w:type="pct"/>
                  <w:shd w:val="clear" w:color="auto" w:fill="auto"/>
                  <w:noWrap w:val="0"/>
                  <w:vAlign w:val="center"/>
                </w:tcPr>
                <w:p w14:paraId="3FE27F65">
                  <w:pPr>
                    <w:pStyle w:val="115"/>
                    <w:rPr>
                      <w:rFonts w:hint="default" w:ascii="Times New Roman" w:hAnsi="Times New Roman" w:eastAsia="宋体" w:cs="Times New Roman"/>
                      <w:iCs w:val="0"/>
                      <w:kern w:val="0"/>
                      <w:sz w:val="21"/>
                      <w:szCs w:val="24"/>
                      <w:lang w:val="en-US" w:eastAsia="zh-CN" w:bidi="ar-SA"/>
                    </w:rPr>
                  </w:pPr>
                  <w:r>
                    <w:rPr>
                      <w:rFonts w:hint="eastAsia"/>
                    </w:rPr>
                    <w:t>淋滤水抽排、沉淀池清排</w:t>
                  </w:r>
                </w:p>
              </w:tc>
              <w:tc>
                <w:tcPr>
                  <w:tcW w:w="456" w:type="pct"/>
                  <w:shd w:val="clear" w:color="auto" w:fill="auto"/>
                  <w:noWrap w:val="0"/>
                  <w:vAlign w:val="center"/>
                </w:tcPr>
                <w:p w14:paraId="6C5F891B">
                  <w:pPr>
                    <w:pStyle w:val="115"/>
                    <w:rPr>
                      <w:rFonts w:hint="default" w:ascii="Times New Roman" w:hAnsi="Times New Roman" w:eastAsia="宋体" w:cs="Times New Roman"/>
                      <w:iCs w:val="0"/>
                      <w:kern w:val="0"/>
                      <w:sz w:val="21"/>
                      <w:szCs w:val="24"/>
                      <w:lang w:val="en-US" w:eastAsia="zh-CN" w:bidi="ar-SA"/>
                    </w:rPr>
                  </w:pPr>
                  <w:r>
                    <w:rPr>
                      <w:rFonts w:hint="eastAsia"/>
                    </w:rPr>
                    <w:t>外购</w:t>
                  </w:r>
                </w:p>
              </w:tc>
            </w:tr>
            <w:tr w14:paraId="6DAC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2DABD87A">
                  <w:pPr>
                    <w:pStyle w:val="155"/>
                    <w:ind w:firstLine="0" w:firstLineChars="0"/>
                    <w:rPr>
                      <w:rFonts w:hint="default" w:ascii="Times New Roman" w:hAnsi="Times New Roman" w:eastAsia="宋体" w:cs="Times New Roman"/>
                      <w:iCs/>
                      <w:kern w:val="2"/>
                      <w:sz w:val="21"/>
                      <w:szCs w:val="21"/>
                      <w:lang w:val="en-US" w:eastAsia="zh-CN" w:bidi="ar-SA"/>
                    </w:rPr>
                  </w:pPr>
                  <w:r>
                    <w:rPr>
                      <w:rFonts w:hint="eastAsia"/>
                      <w:lang w:val="en-US" w:eastAsia="zh-CN"/>
                    </w:rPr>
                    <w:t>14</w:t>
                  </w:r>
                </w:p>
              </w:tc>
              <w:tc>
                <w:tcPr>
                  <w:tcW w:w="1409" w:type="pct"/>
                  <w:shd w:val="clear" w:color="auto" w:fill="auto"/>
                  <w:noWrap w:val="0"/>
                  <w:vAlign w:val="center"/>
                </w:tcPr>
                <w:p w14:paraId="642BCF79">
                  <w:pPr>
                    <w:pStyle w:val="115"/>
                    <w:rPr>
                      <w:rFonts w:hint="default" w:ascii="Times New Roman" w:hAnsi="Times New Roman" w:eastAsia="宋体" w:cs="Times New Roman"/>
                      <w:iCs w:val="0"/>
                      <w:kern w:val="0"/>
                      <w:sz w:val="21"/>
                      <w:szCs w:val="24"/>
                      <w:lang w:val="en-US" w:eastAsia="zh-CN" w:bidi="ar-SA"/>
                    </w:rPr>
                  </w:pPr>
                  <w:r>
                    <w:rPr>
                      <w:rFonts w:hint="eastAsia"/>
                    </w:rPr>
                    <w:t>随车吊</w:t>
                  </w:r>
                </w:p>
              </w:tc>
              <w:tc>
                <w:tcPr>
                  <w:tcW w:w="710" w:type="pct"/>
                  <w:shd w:val="clear" w:color="auto" w:fill="auto"/>
                  <w:noWrap w:val="0"/>
                  <w:vAlign w:val="center"/>
                </w:tcPr>
                <w:p w14:paraId="670B0C84">
                  <w:pPr>
                    <w:pStyle w:val="115"/>
                    <w:rPr>
                      <w:rFonts w:hint="default" w:ascii="Times New Roman" w:hAnsi="Times New Roman" w:eastAsia="宋体" w:cs="Times New Roman"/>
                      <w:iCs w:val="0"/>
                      <w:kern w:val="0"/>
                      <w:sz w:val="21"/>
                      <w:szCs w:val="24"/>
                      <w:lang w:val="en-US" w:eastAsia="zh-CN" w:bidi="ar-SA"/>
                    </w:rPr>
                  </w:pPr>
                </w:p>
              </w:tc>
              <w:tc>
                <w:tcPr>
                  <w:tcW w:w="907" w:type="pct"/>
                  <w:shd w:val="clear" w:color="auto" w:fill="auto"/>
                  <w:noWrap w:val="0"/>
                  <w:vAlign w:val="center"/>
                </w:tcPr>
                <w:p w14:paraId="0E6136E6">
                  <w:pPr>
                    <w:pStyle w:val="115"/>
                    <w:rPr>
                      <w:rFonts w:hint="default" w:ascii="Times New Roman" w:hAnsi="Times New Roman" w:eastAsia="宋体" w:cs="Times New Roman"/>
                      <w:iCs w:val="0"/>
                      <w:kern w:val="0"/>
                      <w:sz w:val="21"/>
                      <w:szCs w:val="24"/>
                      <w:lang w:val="en-US" w:eastAsia="zh-CN" w:bidi="ar-SA"/>
                    </w:rPr>
                  </w:pPr>
                  <w:r>
                    <w:rPr>
                      <w:rFonts w:hint="eastAsia"/>
                    </w:rPr>
                    <w:t>1台</w:t>
                  </w:r>
                </w:p>
              </w:tc>
              <w:tc>
                <w:tcPr>
                  <w:tcW w:w="1060" w:type="pct"/>
                  <w:shd w:val="clear" w:color="auto" w:fill="auto"/>
                  <w:noWrap w:val="0"/>
                  <w:vAlign w:val="center"/>
                </w:tcPr>
                <w:p w14:paraId="485E7CFC">
                  <w:pPr>
                    <w:pStyle w:val="115"/>
                    <w:rPr>
                      <w:rFonts w:hint="default" w:ascii="Times New Roman" w:hAnsi="Times New Roman" w:eastAsia="宋体" w:cs="Times New Roman"/>
                      <w:iCs w:val="0"/>
                      <w:kern w:val="0"/>
                      <w:sz w:val="21"/>
                      <w:szCs w:val="24"/>
                      <w:lang w:val="en-US" w:eastAsia="zh-CN" w:bidi="ar-SA"/>
                    </w:rPr>
                  </w:pPr>
                  <w:r>
                    <w:rPr>
                      <w:rFonts w:hint="eastAsia"/>
                    </w:rPr>
                    <w:t>设备检修、大型分拣物吊装</w:t>
                  </w:r>
                </w:p>
              </w:tc>
              <w:tc>
                <w:tcPr>
                  <w:tcW w:w="456" w:type="pct"/>
                  <w:shd w:val="clear" w:color="auto" w:fill="auto"/>
                  <w:noWrap w:val="0"/>
                  <w:vAlign w:val="center"/>
                </w:tcPr>
                <w:p w14:paraId="6C9F7AEE">
                  <w:pPr>
                    <w:pStyle w:val="115"/>
                    <w:rPr>
                      <w:rFonts w:hint="default" w:ascii="Times New Roman" w:hAnsi="Times New Roman" w:eastAsia="宋体" w:cs="Times New Roman"/>
                      <w:iCs w:val="0"/>
                      <w:kern w:val="0"/>
                      <w:sz w:val="21"/>
                      <w:szCs w:val="24"/>
                      <w:lang w:val="en-US" w:eastAsia="zh-CN" w:bidi="ar-SA"/>
                    </w:rPr>
                  </w:pPr>
                  <w:r>
                    <w:rPr>
                      <w:rFonts w:hint="eastAsia"/>
                    </w:rPr>
                    <w:t>外购</w:t>
                  </w:r>
                </w:p>
              </w:tc>
            </w:tr>
            <w:tr w14:paraId="6AA0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269F9746">
                  <w:pPr>
                    <w:pStyle w:val="155"/>
                    <w:ind w:firstLine="0" w:firstLineChars="0"/>
                    <w:rPr>
                      <w:rFonts w:hint="default"/>
                      <w:lang w:val="en-US" w:eastAsia="zh-CN"/>
                    </w:rPr>
                  </w:pPr>
                  <w:r>
                    <w:rPr>
                      <w:rFonts w:hint="eastAsia"/>
                      <w:lang w:val="en-US" w:eastAsia="zh-CN"/>
                    </w:rPr>
                    <w:t>15</w:t>
                  </w:r>
                </w:p>
              </w:tc>
              <w:tc>
                <w:tcPr>
                  <w:tcW w:w="1409" w:type="pct"/>
                  <w:shd w:val="clear" w:color="auto" w:fill="auto"/>
                  <w:noWrap w:val="0"/>
                  <w:vAlign w:val="center"/>
                </w:tcPr>
                <w:p w14:paraId="11F9E665">
                  <w:pPr>
                    <w:pStyle w:val="115"/>
                    <w:rPr>
                      <w:rFonts w:hint="eastAsia"/>
                    </w:rPr>
                  </w:pPr>
                  <w:r>
                    <w:rPr>
                      <w:rFonts w:hint="eastAsia"/>
                    </w:rPr>
                    <w:t>手持 X 射线荧光（XRF）分析仪</w:t>
                  </w:r>
                </w:p>
              </w:tc>
              <w:tc>
                <w:tcPr>
                  <w:tcW w:w="710" w:type="pct"/>
                  <w:shd w:val="clear" w:color="auto" w:fill="auto"/>
                  <w:noWrap w:val="0"/>
                  <w:vAlign w:val="center"/>
                </w:tcPr>
                <w:p w14:paraId="649B07BC">
                  <w:pPr>
                    <w:pStyle w:val="115"/>
                    <w:rPr>
                      <w:rFonts w:hint="default" w:ascii="Times New Roman" w:hAnsi="Times New Roman" w:eastAsia="宋体" w:cs="Times New Roman"/>
                      <w:iCs w:val="0"/>
                      <w:kern w:val="0"/>
                      <w:sz w:val="21"/>
                      <w:szCs w:val="24"/>
                      <w:lang w:val="en-US" w:eastAsia="zh-CN" w:bidi="ar-SA"/>
                    </w:rPr>
                  </w:pPr>
                </w:p>
              </w:tc>
              <w:tc>
                <w:tcPr>
                  <w:tcW w:w="907" w:type="pct"/>
                  <w:shd w:val="clear" w:color="auto" w:fill="auto"/>
                  <w:noWrap w:val="0"/>
                  <w:vAlign w:val="center"/>
                </w:tcPr>
                <w:p w14:paraId="74332C86">
                  <w:pPr>
                    <w:pStyle w:val="115"/>
                    <w:rPr>
                      <w:rFonts w:hint="default" w:eastAsia="宋体"/>
                      <w:lang w:val="en-US" w:eastAsia="zh-CN"/>
                    </w:rPr>
                  </w:pPr>
                  <w:r>
                    <w:rPr>
                      <w:rFonts w:hint="eastAsia"/>
                      <w:lang w:val="en-US" w:eastAsia="zh-CN"/>
                    </w:rPr>
                    <w:t>1台</w:t>
                  </w:r>
                </w:p>
              </w:tc>
              <w:tc>
                <w:tcPr>
                  <w:tcW w:w="1060" w:type="pct"/>
                  <w:shd w:val="clear" w:color="auto" w:fill="auto"/>
                  <w:noWrap w:val="0"/>
                  <w:vAlign w:val="center"/>
                </w:tcPr>
                <w:p w14:paraId="080B25F9">
                  <w:pPr>
                    <w:pStyle w:val="115"/>
                    <w:rPr>
                      <w:rFonts w:hint="eastAsia" w:eastAsia="宋体"/>
                      <w:lang w:val="en-US" w:eastAsia="zh-CN"/>
                    </w:rPr>
                  </w:pPr>
                  <w:r>
                    <w:rPr>
                      <w:rFonts w:hint="eastAsia"/>
                      <w:lang w:val="en-US" w:eastAsia="zh-CN"/>
                    </w:rPr>
                    <w:t>分拣</w:t>
                  </w:r>
                </w:p>
              </w:tc>
              <w:tc>
                <w:tcPr>
                  <w:tcW w:w="456" w:type="pct"/>
                  <w:shd w:val="clear" w:color="auto" w:fill="auto"/>
                  <w:noWrap w:val="0"/>
                  <w:vAlign w:val="center"/>
                </w:tcPr>
                <w:p w14:paraId="195DE51C">
                  <w:pPr>
                    <w:pStyle w:val="115"/>
                    <w:rPr>
                      <w:rFonts w:hint="eastAsia" w:eastAsia="宋体"/>
                      <w:lang w:val="en-US" w:eastAsia="zh-CN"/>
                    </w:rPr>
                  </w:pPr>
                  <w:r>
                    <w:rPr>
                      <w:rFonts w:hint="eastAsia"/>
                      <w:lang w:val="en-US" w:eastAsia="zh-CN"/>
                    </w:rPr>
                    <w:t>外购</w:t>
                  </w:r>
                </w:p>
              </w:tc>
            </w:tr>
            <w:tr w14:paraId="05F1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6" w:type="pct"/>
                  <w:shd w:val="clear" w:color="auto" w:fill="auto"/>
                  <w:noWrap w:val="0"/>
                  <w:vAlign w:val="center"/>
                </w:tcPr>
                <w:p w14:paraId="09E386A7">
                  <w:pPr>
                    <w:pStyle w:val="155"/>
                    <w:ind w:firstLine="0" w:firstLineChars="0"/>
                    <w:rPr>
                      <w:rFonts w:hint="default"/>
                      <w:lang w:val="en-US" w:eastAsia="zh-CN"/>
                    </w:rPr>
                  </w:pPr>
                  <w:r>
                    <w:rPr>
                      <w:rFonts w:hint="eastAsia"/>
                      <w:lang w:val="en-US" w:eastAsia="zh-CN"/>
                    </w:rPr>
                    <w:t>16</w:t>
                  </w:r>
                </w:p>
              </w:tc>
              <w:tc>
                <w:tcPr>
                  <w:tcW w:w="1409" w:type="pct"/>
                  <w:shd w:val="clear" w:color="auto" w:fill="auto"/>
                  <w:noWrap w:val="0"/>
                  <w:vAlign w:val="center"/>
                </w:tcPr>
                <w:p w14:paraId="06ED425E">
                  <w:pPr>
                    <w:pStyle w:val="115"/>
                    <w:rPr>
                      <w:rFonts w:hint="eastAsia"/>
                    </w:rPr>
                  </w:pPr>
                  <w:r>
                    <w:rPr>
                      <w:rFonts w:hint="eastAsia"/>
                    </w:rPr>
                    <w:t>光离子化检测仪（PID）</w:t>
                  </w:r>
                </w:p>
              </w:tc>
              <w:tc>
                <w:tcPr>
                  <w:tcW w:w="710" w:type="pct"/>
                  <w:shd w:val="clear" w:color="auto" w:fill="auto"/>
                  <w:noWrap w:val="0"/>
                  <w:vAlign w:val="center"/>
                </w:tcPr>
                <w:p w14:paraId="2FA5E33E">
                  <w:pPr>
                    <w:pStyle w:val="115"/>
                    <w:rPr>
                      <w:rFonts w:hint="default" w:ascii="Times New Roman" w:hAnsi="Times New Roman" w:eastAsia="宋体" w:cs="Times New Roman"/>
                      <w:iCs w:val="0"/>
                      <w:kern w:val="0"/>
                      <w:sz w:val="21"/>
                      <w:szCs w:val="24"/>
                      <w:lang w:val="en-US" w:eastAsia="zh-CN" w:bidi="ar-SA"/>
                    </w:rPr>
                  </w:pPr>
                </w:p>
              </w:tc>
              <w:tc>
                <w:tcPr>
                  <w:tcW w:w="907" w:type="pct"/>
                  <w:shd w:val="clear" w:color="auto" w:fill="auto"/>
                  <w:noWrap w:val="0"/>
                  <w:vAlign w:val="center"/>
                </w:tcPr>
                <w:p w14:paraId="5EA4B1F0">
                  <w:pPr>
                    <w:pStyle w:val="115"/>
                    <w:rPr>
                      <w:rFonts w:hint="default" w:eastAsia="宋体"/>
                      <w:lang w:val="en-US" w:eastAsia="zh-CN"/>
                    </w:rPr>
                  </w:pPr>
                  <w:r>
                    <w:rPr>
                      <w:rFonts w:hint="eastAsia"/>
                      <w:lang w:val="en-US" w:eastAsia="zh-CN"/>
                    </w:rPr>
                    <w:t>1台</w:t>
                  </w:r>
                </w:p>
              </w:tc>
              <w:tc>
                <w:tcPr>
                  <w:tcW w:w="1060" w:type="pct"/>
                  <w:shd w:val="clear" w:color="auto" w:fill="auto"/>
                  <w:noWrap w:val="0"/>
                  <w:vAlign w:val="center"/>
                </w:tcPr>
                <w:p w14:paraId="02DF5B3A">
                  <w:pPr>
                    <w:pStyle w:val="115"/>
                    <w:rPr>
                      <w:rFonts w:hint="eastAsia" w:eastAsia="宋体"/>
                      <w:lang w:val="en-US" w:eastAsia="zh-CN"/>
                    </w:rPr>
                  </w:pPr>
                  <w:r>
                    <w:rPr>
                      <w:rFonts w:hint="eastAsia"/>
                      <w:lang w:val="en-US" w:eastAsia="zh-CN"/>
                    </w:rPr>
                    <w:t>分拣</w:t>
                  </w:r>
                </w:p>
              </w:tc>
              <w:tc>
                <w:tcPr>
                  <w:tcW w:w="456" w:type="pct"/>
                  <w:shd w:val="clear" w:color="auto" w:fill="auto"/>
                  <w:noWrap w:val="0"/>
                  <w:vAlign w:val="center"/>
                </w:tcPr>
                <w:p w14:paraId="3EA1C6AA">
                  <w:pPr>
                    <w:pStyle w:val="115"/>
                    <w:rPr>
                      <w:rFonts w:hint="eastAsia" w:eastAsia="宋体"/>
                      <w:lang w:val="en-US" w:eastAsia="zh-CN"/>
                    </w:rPr>
                  </w:pPr>
                  <w:r>
                    <w:rPr>
                      <w:rFonts w:hint="eastAsia"/>
                      <w:lang w:val="en-US" w:eastAsia="zh-CN"/>
                    </w:rPr>
                    <w:t>外购</w:t>
                  </w:r>
                </w:p>
              </w:tc>
            </w:tr>
          </w:tbl>
          <w:p w14:paraId="19204F15">
            <w:pPr>
              <w:spacing w:line="360" w:lineRule="auto"/>
              <w:ind w:firstLine="480" w:firstLineChars="200"/>
              <w:rPr>
                <w:rFonts w:hint="eastAsia"/>
                <w:sz w:val="24"/>
                <w:lang w:val="en-US" w:eastAsia="zh-CN"/>
              </w:rPr>
            </w:pPr>
            <w:r>
              <w:rPr>
                <w:rFonts w:hint="eastAsia"/>
              </w:rPr>
              <w:t>由《产业结构调整指导目录（2024年本）》和《部分工业行业淘汰落后生产工艺装备和产品指导目录（2010年本）》可知，项目所选设备均不属于国家淘汰和限制的产业类型</w:t>
            </w:r>
            <w:r>
              <w:rPr>
                <w:rFonts w:hint="eastAsia"/>
                <w:sz w:val="24"/>
                <w:lang w:val="en-US" w:eastAsia="zh-CN"/>
              </w:rPr>
              <w:t>。</w:t>
            </w:r>
          </w:p>
          <w:p w14:paraId="3DF886D5">
            <w:pPr>
              <w:pStyle w:val="4"/>
              <w:bidi w:val="0"/>
              <w:spacing w:line="360" w:lineRule="auto"/>
              <w:rPr>
                <w:rFonts w:hint="eastAsia"/>
                <w:lang w:val="en-US" w:eastAsia="zh-CN"/>
              </w:rPr>
            </w:pPr>
            <w:r>
              <w:rPr>
                <w:rFonts w:hint="eastAsia"/>
                <w:lang w:val="en-US" w:eastAsia="zh-CN"/>
              </w:rPr>
              <w:t>2.6公用工程</w:t>
            </w:r>
          </w:p>
          <w:p w14:paraId="40CCD507">
            <w:pPr>
              <w:spacing w:line="360" w:lineRule="auto"/>
              <w:ind w:firstLine="480" w:firstLineChars="200"/>
              <w:rPr>
                <w:rFonts w:hint="eastAsia"/>
                <w:sz w:val="24"/>
                <w:lang w:val="en-US" w:eastAsia="zh-CN"/>
              </w:rPr>
            </w:pPr>
            <w:r>
              <w:rPr>
                <w:rFonts w:hint="eastAsia"/>
                <w:sz w:val="24"/>
                <w:lang w:val="en-US" w:eastAsia="zh-CN"/>
              </w:rPr>
              <w:t>（1）供电</w:t>
            </w:r>
          </w:p>
          <w:p w14:paraId="78D525D0">
            <w:pPr>
              <w:spacing w:line="360" w:lineRule="auto"/>
              <w:ind w:firstLine="480" w:firstLineChars="200"/>
              <w:rPr>
                <w:rFonts w:hint="eastAsia"/>
                <w:sz w:val="24"/>
                <w:lang w:val="en-US" w:eastAsia="zh-CN"/>
              </w:rPr>
            </w:pPr>
            <w:r>
              <w:rPr>
                <w:rFonts w:hint="eastAsia"/>
                <w:sz w:val="24"/>
                <w:lang w:val="en-US" w:eastAsia="zh-CN"/>
              </w:rPr>
              <w:t>项目用电来源于洪江市安江镇龙田村内供电网络。</w:t>
            </w:r>
          </w:p>
          <w:p w14:paraId="3209E3C4">
            <w:pPr>
              <w:spacing w:line="360" w:lineRule="auto"/>
              <w:ind w:firstLine="480" w:firstLineChars="200"/>
              <w:rPr>
                <w:rFonts w:hint="eastAsia"/>
                <w:sz w:val="24"/>
                <w:lang w:val="en-US" w:eastAsia="zh-CN"/>
              </w:rPr>
            </w:pPr>
            <w:r>
              <w:rPr>
                <w:rFonts w:hint="eastAsia"/>
                <w:sz w:val="24"/>
                <w:lang w:val="en-US" w:eastAsia="zh-CN"/>
              </w:rPr>
              <w:t>（2）给水</w:t>
            </w:r>
          </w:p>
          <w:p w14:paraId="5631EAD7">
            <w:pPr>
              <w:spacing w:line="360" w:lineRule="auto"/>
              <w:ind w:firstLine="480" w:firstLineChars="200"/>
              <w:rPr>
                <w:rFonts w:hint="eastAsia"/>
                <w:sz w:val="24"/>
                <w:lang w:val="en-US" w:eastAsia="zh-CN"/>
              </w:rPr>
            </w:pPr>
            <w:r>
              <w:rPr>
                <w:rFonts w:hint="eastAsia"/>
                <w:sz w:val="24"/>
                <w:lang w:val="en-US" w:eastAsia="zh-CN"/>
              </w:rPr>
              <w:t>本项目生活用水由洪江市市政供水管网提供，项目用水主要为工作人员生活用水，生产用水来源于堆填场矿坑积水（淋滤水），主要用于项目车辆冲洗用水、道路降尘用水、堆填作业降尘用水等。</w:t>
            </w:r>
          </w:p>
          <w:p w14:paraId="79673B98">
            <w:pPr>
              <w:spacing w:line="360" w:lineRule="auto"/>
              <w:ind w:firstLine="480" w:firstLineChars="200"/>
              <w:rPr>
                <w:rFonts w:hint="eastAsia"/>
                <w:sz w:val="24"/>
                <w:lang w:val="en-US" w:eastAsia="zh-CN"/>
              </w:rPr>
            </w:pPr>
            <w:r>
              <w:rPr>
                <w:rFonts w:hint="eastAsia"/>
                <w:sz w:val="24"/>
                <w:lang w:val="en-US" w:eastAsia="zh-CN"/>
              </w:rPr>
              <w:t>①生活用水</w:t>
            </w:r>
          </w:p>
          <w:p w14:paraId="1BA4FDF1">
            <w:pPr>
              <w:spacing w:line="360" w:lineRule="auto"/>
              <w:ind w:firstLine="480" w:firstLineChars="200"/>
              <w:rPr>
                <w:rFonts w:hint="eastAsia"/>
                <w:sz w:val="24"/>
                <w:lang w:val="en-US" w:eastAsia="zh-CN"/>
              </w:rPr>
            </w:pPr>
            <w:r>
              <w:rPr>
                <w:rFonts w:hint="eastAsia"/>
                <w:sz w:val="24"/>
                <w:lang w:val="en-US" w:eastAsia="zh-CN"/>
              </w:rPr>
              <w:t>项目建筑垃圾消纳场运营期劳动定员为10人，均不在厂区住宿就餐，根据《建筑给水排水设计规范》（GB50015-2019）的有关规定，非食宿人员用水定额按38m</w:t>
            </w:r>
            <w:r>
              <w:rPr>
                <w:rFonts w:hint="eastAsia"/>
                <w:sz w:val="24"/>
                <w:vertAlign w:val="superscript"/>
                <w:lang w:val="en-US" w:eastAsia="zh-CN"/>
              </w:rPr>
              <w:t>3</w:t>
            </w:r>
            <w:r>
              <w:rPr>
                <w:rFonts w:hint="eastAsia"/>
                <w:sz w:val="24"/>
                <w:lang w:val="en-US" w:eastAsia="zh-CN"/>
              </w:rPr>
              <w:t>/人·a，因此建筑垃圾消纳场生活用水量为1.041m</w:t>
            </w:r>
            <w:r>
              <w:rPr>
                <w:rFonts w:hint="eastAsia"/>
                <w:sz w:val="24"/>
                <w:vertAlign w:val="superscript"/>
                <w:lang w:val="en-US" w:eastAsia="zh-CN"/>
              </w:rPr>
              <w:t>3</w:t>
            </w:r>
            <w:r>
              <w:rPr>
                <w:rFonts w:hint="eastAsia"/>
                <w:sz w:val="24"/>
                <w:lang w:val="en-US" w:eastAsia="zh-CN"/>
              </w:rPr>
              <w:t>/d（380m</w:t>
            </w:r>
            <w:r>
              <w:rPr>
                <w:rFonts w:hint="eastAsia"/>
                <w:sz w:val="24"/>
                <w:vertAlign w:val="superscript"/>
                <w:lang w:val="en-US" w:eastAsia="zh-CN"/>
              </w:rPr>
              <w:t>3</w:t>
            </w:r>
            <w:r>
              <w:rPr>
                <w:rFonts w:hint="eastAsia"/>
                <w:sz w:val="24"/>
                <w:lang w:val="en-US" w:eastAsia="zh-CN"/>
              </w:rPr>
              <w:t>/a）。</w:t>
            </w:r>
          </w:p>
          <w:p w14:paraId="2C41BBA2">
            <w:pPr>
              <w:spacing w:line="360" w:lineRule="auto"/>
              <w:ind w:firstLine="480" w:firstLineChars="200"/>
              <w:rPr>
                <w:rFonts w:hint="eastAsia"/>
                <w:sz w:val="24"/>
                <w:lang w:val="en-US" w:eastAsia="zh-CN"/>
              </w:rPr>
            </w:pPr>
            <w:r>
              <w:rPr>
                <w:rFonts w:hint="eastAsia"/>
                <w:sz w:val="24"/>
                <w:lang w:val="en-US" w:eastAsia="zh-CN"/>
              </w:rPr>
              <w:t>②车辆冲洗废水</w:t>
            </w:r>
          </w:p>
          <w:p w14:paraId="79EA61BD">
            <w:pPr>
              <w:spacing w:line="360" w:lineRule="auto"/>
              <w:ind w:firstLine="480" w:firstLineChars="200"/>
              <w:rPr>
                <w:rFonts w:hint="eastAsia"/>
                <w:sz w:val="24"/>
                <w:lang w:val="en-US" w:eastAsia="zh-CN"/>
              </w:rPr>
            </w:pPr>
            <w:r>
              <w:rPr>
                <w:rFonts w:hint="eastAsia"/>
                <w:sz w:val="24"/>
                <w:lang w:val="en-US" w:eastAsia="zh-CN"/>
              </w:rPr>
              <w:t>运输车辆和作业机械清洗会产生冲洗废水，本项目消纳场每天处理建筑垃圾规模约为54吨，根据建设单位提供的资料，项目一辆车的运输重量为10吨，预计运输车辆为6辆次/天（按照每天最大运输次数计算），根据《建筑给排水设计标准》（GB50015-2019）3.2.7 规定：载重汽车高压水枪冲洗最高日用水定额为80~120L/（辆·次），取车辆清洗耗水量100L/（辆·次），则本项目车辆冲洗用水量为0.6m</w:t>
            </w:r>
            <w:r>
              <w:rPr>
                <w:rFonts w:hint="eastAsia"/>
                <w:sz w:val="24"/>
                <w:vertAlign w:val="superscript"/>
                <w:lang w:val="en-US" w:eastAsia="zh-CN"/>
              </w:rPr>
              <w:t>3</w:t>
            </w:r>
            <w:r>
              <w:rPr>
                <w:rFonts w:hint="eastAsia"/>
                <w:sz w:val="24"/>
                <w:lang w:val="en-US" w:eastAsia="zh-CN"/>
              </w:rPr>
              <w:t>/d（219m</w:t>
            </w:r>
            <w:r>
              <w:rPr>
                <w:rFonts w:hint="eastAsia"/>
                <w:sz w:val="24"/>
                <w:vertAlign w:val="superscript"/>
                <w:lang w:val="en-US" w:eastAsia="zh-CN"/>
              </w:rPr>
              <w:t>3</w:t>
            </w:r>
            <w:r>
              <w:rPr>
                <w:rFonts w:hint="eastAsia"/>
                <w:sz w:val="24"/>
                <w:lang w:val="en-US" w:eastAsia="zh-CN"/>
              </w:rPr>
              <w:t>/a）。</w:t>
            </w:r>
          </w:p>
          <w:p w14:paraId="09811CF7">
            <w:pPr>
              <w:spacing w:line="360" w:lineRule="auto"/>
              <w:ind w:firstLine="480" w:firstLineChars="200"/>
              <w:rPr>
                <w:rFonts w:hint="eastAsia"/>
                <w:sz w:val="24"/>
                <w:lang w:val="en-US" w:eastAsia="zh-CN"/>
              </w:rPr>
            </w:pPr>
            <w:r>
              <w:rPr>
                <w:rFonts w:hint="eastAsia"/>
                <w:sz w:val="24"/>
                <w:lang w:val="en-US" w:eastAsia="zh-CN"/>
              </w:rPr>
              <w:t>③道路降尘用水</w:t>
            </w:r>
          </w:p>
          <w:p w14:paraId="5BBEE136">
            <w:pPr>
              <w:spacing w:line="360" w:lineRule="auto"/>
              <w:ind w:firstLine="480" w:firstLineChars="200"/>
              <w:rPr>
                <w:rFonts w:hint="eastAsia"/>
                <w:sz w:val="24"/>
                <w:lang w:val="en-US" w:eastAsia="zh-CN"/>
              </w:rPr>
            </w:pPr>
            <w:r>
              <w:rPr>
                <w:rFonts w:hint="eastAsia"/>
                <w:sz w:val="24"/>
                <w:lang w:val="en-US" w:eastAsia="zh-CN"/>
              </w:rPr>
              <w:t>为减少铲装、卸载和运输工作时的飞尘，采用对道路洒水措施降尘；根据《湖南省用水定额地方标准》（DB43/T388.3-2025），场地浇洒按2L/m</w:t>
            </w:r>
            <w:r>
              <w:rPr>
                <w:rFonts w:hint="eastAsia"/>
                <w:sz w:val="24"/>
                <w:vertAlign w:val="superscript"/>
                <w:lang w:val="en-US" w:eastAsia="zh-CN"/>
              </w:rPr>
              <w:t>2</w:t>
            </w:r>
            <w:r>
              <w:rPr>
                <w:rFonts w:hint="eastAsia"/>
                <w:sz w:val="24"/>
                <w:lang w:val="en-US" w:eastAsia="zh-CN"/>
              </w:rPr>
              <w:t>·d，项目进场道路及场内主干道总面积约占1273.5m</w:t>
            </w:r>
            <w:r>
              <w:rPr>
                <w:rFonts w:hint="eastAsia"/>
                <w:sz w:val="24"/>
                <w:vertAlign w:val="superscript"/>
                <w:lang w:val="en-US" w:eastAsia="zh-CN"/>
              </w:rPr>
              <w:t>2</w:t>
            </w:r>
            <w:r>
              <w:rPr>
                <w:rFonts w:hint="eastAsia"/>
                <w:sz w:val="24"/>
                <w:lang w:val="en-US" w:eastAsia="zh-CN"/>
              </w:rPr>
              <w:t>，则用水量约为2.547m</w:t>
            </w:r>
            <w:r>
              <w:rPr>
                <w:rFonts w:hint="eastAsia"/>
                <w:sz w:val="24"/>
                <w:vertAlign w:val="superscript"/>
                <w:lang w:val="en-US" w:eastAsia="zh-CN"/>
              </w:rPr>
              <w:t>3</w:t>
            </w:r>
            <w:r>
              <w:rPr>
                <w:rFonts w:hint="eastAsia"/>
                <w:sz w:val="24"/>
                <w:lang w:val="en-US" w:eastAsia="zh-CN"/>
              </w:rPr>
              <w:t>/d，全年非雨天按205d计算，则汽车运输道路抑尘用水量为522.135m</w:t>
            </w:r>
            <w:r>
              <w:rPr>
                <w:rFonts w:hint="eastAsia"/>
                <w:sz w:val="24"/>
                <w:vertAlign w:val="superscript"/>
                <w:lang w:val="en-US" w:eastAsia="zh-CN"/>
              </w:rPr>
              <w:t>3</w:t>
            </w:r>
            <w:r>
              <w:rPr>
                <w:rFonts w:hint="eastAsia"/>
                <w:sz w:val="24"/>
                <w:lang w:val="en-US" w:eastAsia="zh-CN"/>
              </w:rPr>
              <w:t>/a。这部分水将全部蒸发或渗透入道路中。</w:t>
            </w:r>
          </w:p>
          <w:p w14:paraId="7205F9C9">
            <w:pPr>
              <w:spacing w:line="360" w:lineRule="auto"/>
              <w:ind w:firstLine="480" w:firstLineChars="200"/>
              <w:rPr>
                <w:rFonts w:hint="eastAsia"/>
                <w:sz w:val="24"/>
                <w:lang w:val="en-US" w:eastAsia="zh-CN"/>
              </w:rPr>
            </w:pPr>
            <w:r>
              <w:rPr>
                <w:rFonts w:hint="eastAsia"/>
                <w:sz w:val="24"/>
                <w:lang w:val="en-US" w:eastAsia="zh-CN"/>
              </w:rPr>
              <w:t>④堆场作业降尘用水</w:t>
            </w:r>
          </w:p>
          <w:p w14:paraId="0139E837">
            <w:pPr>
              <w:spacing w:line="360" w:lineRule="auto"/>
              <w:ind w:firstLine="480" w:firstLineChars="200"/>
              <w:rPr>
                <w:rFonts w:hint="eastAsia"/>
                <w:sz w:val="24"/>
                <w:lang w:val="en-US" w:eastAsia="zh-CN"/>
              </w:rPr>
            </w:pPr>
            <w:r>
              <w:rPr>
                <w:rFonts w:hint="eastAsia"/>
                <w:sz w:val="24"/>
                <w:lang w:val="en-US" w:eastAsia="zh-CN"/>
              </w:rPr>
              <w:t>项目堆填场采用湿式作业方式，因项目倾倒弃土的方式较为简单，主要是倾倒弃土进矿坑内堆填，矿坑较深，故在建筑垃圾倾倒时需要对矿坑边作业区域进行洒水喷雾降尘，雾炮机水平射程不同水流量也不同，项目于建筑垃圾消纳场共设置2台移动式雾炮机喷洒抑尘，用水按2m</w:t>
            </w:r>
            <w:r>
              <w:rPr>
                <w:rFonts w:hint="eastAsia"/>
                <w:sz w:val="24"/>
                <w:vertAlign w:val="superscript"/>
                <w:lang w:val="en-US" w:eastAsia="zh-CN"/>
              </w:rPr>
              <w:t>3</w:t>
            </w:r>
            <w:r>
              <w:rPr>
                <w:rFonts w:hint="eastAsia"/>
                <w:sz w:val="24"/>
                <w:lang w:val="en-US" w:eastAsia="zh-CN"/>
              </w:rPr>
              <w:t>/d计，建筑垃圾消纳场年运行天数为365d，全年非雨天按205d计算，则建筑垃圾消纳场抑尘用水量为410m</w:t>
            </w:r>
            <w:r>
              <w:rPr>
                <w:rFonts w:hint="eastAsia"/>
                <w:sz w:val="24"/>
                <w:vertAlign w:val="superscript"/>
                <w:lang w:val="en-US" w:eastAsia="zh-CN"/>
              </w:rPr>
              <w:t>3</w:t>
            </w:r>
            <w:r>
              <w:rPr>
                <w:rFonts w:hint="eastAsia"/>
                <w:sz w:val="24"/>
                <w:lang w:val="en-US" w:eastAsia="zh-CN"/>
              </w:rPr>
              <w:t>/a。这部分水将全部蒸发或渗透。</w:t>
            </w:r>
          </w:p>
          <w:p w14:paraId="48C40426">
            <w:pPr>
              <w:spacing w:line="360" w:lineRule="auto"/>
              <w:ind w:firstLine="480" w:firstLineChars="200"/>
              <w:rPr>
                <w:rFonts w:hint="default"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⑤堆填场洒水抑尘用水</w:t>
            </w:r>
          </w:p>
          <w:p w14:paraId="4282147D">
            <w:pPr>
              <w:spacing w:line="360" w:lineRule="auto"/>
              <w:ind w:firstLine="480" w:firstLineChars="200"/>
              <w:rPr>
                <w:rFonts w:hint="eastAsia"/>
                <w:sz w:val="24"/>
                <w:u w:val="single"/>
                <w:lang w:val="en-US" w:eastAsia="zh-CN"/>
              </w:rPr>
            </w:pPr>
            <w:r>
              <w:rPr>
                <w:rFonts w:hint="eastAsia"/>
                <w:sz w:val="24"/>
                <w:u w:val="single"/>
                <w:lang w:val="en-US" w:eastAsia="zh-CN"/>
              </w:rPr>
              <w:t>结合项目特点，除对场区进场道路、卸料作业区域、堆场作业区域进行洒水降尘外，堆填场作业区也应定期洒水降尘，根据《湖南省用水定额地方标准》（DB43/T388.3-2025），场地浇洒按2L/m</w:t>
            </w:r>
            <w:r>
              <w:rPr>
                <w:rFonts w:hint="eastAsia"/>
                <w:sz w:val="24"/>
                <w:u w:val="single"/>
                <w:vertAlign w:val="superscript"/>
                <w:lang w:val="en-US" w:eastAsia="zh-CN"/>
              </w:rPr>
              <w:t>2</w:t>
            </w:r>
            <w:r>
              <w:rPr>
                <w:rFonts w:hint="eastAsia"/>
                <w:sz w:val="24"/>
                <w:u w:val="single"/>
                <w:lang w:val="en-US" w:eastAsia="zh-CN"/>
              </w:rPr>
              <w:t>·d，项目堆填场作业面积按1000m</w:t>
            </w:r>
            <w:r>
              <w:rPr>
                <w:rFonts w:hint="eastAsia"/>
                <w:sz w:val="24"/>
                <w:u w:val="single"/>
                <w:vertAlign w:val="superscript"/>
                <w:lang w:val="en-US" w:eastAsia="zh-CN"/>
              </w:rPr>
              <w:t>2</w:t>
            </w:r>
            <w:r>
              <w:rPr>
                <w:rFonts w:hint="eastAsia"/>
                <w:sz w:val="24"/>
                <w:u w:val="single"/>
                <w:vertAlign w:val="baseline"/>
                <w:lang w:val="en-US" w:eastAsia="zh-CN"/>
              </w:rPr>
              <w:t>计算</w:t>
            </w:r>
            <w:r>
              <w:rPr>
                <w:rFonts w:hint="eastAsia"/>
                <w:sz w:val="24"/>
                <w:u w:val="single"/>
                <w:lang w:val="en-US" w:eastAsia="zh-CN"/>
              </w:rPr>
              <w:t>，则用水量约为2m</w:t>
            </w:r>
            <w:r>
              <w:rPr>
                <w:rFonts w:hint="eastAsia"/>
                <w:sz w:val="24"/>
                <w:u w:val="single"/>
                <w:vertAlign w:val="superscript"/>
                <w:lang w:val="en-US" w:eastAsia="zh-CN"/>
              </w:rPr>
              <w:t>3</w:t>
            </w:r>
            <w:r>
              <w:rPr>
                <w:rFonts w:hint="eastAsia"/>
                <w:sz w:val="24"/>
                <w:u w:val="single"/>
                <w:lang w:val="en-US" w:eastAsia="zh-CN"/>
              </w:rPr>
              <w:t>/d，全年非雨天按205d计算，则汽车运输道路抑尘用水量为410m</w:t>
            </w:r>
            <w:r>
              <w:rPr>
                <w:rFonts w:hint="eastAsia"/>
                <w:sz w:val="24"/>
                <w:u w:val="single"/>
                <w:vertAlign w:val="superscript"/>
                <w:lang w:val="en-US" w:eastAsia="zh-CN"/>
              </w:rPr>
              <w:t>3</w:t>
            </w:r>
            <w:r>
              <w:rPr>
                <w:rFonts w:hint="eastAsia"/>
                <w:sz w:val="24"/>
                <w:u w:val="single"/>
                <w:lang w:val="en-US" w:eastAsia="zh-CN"/>
              </w:rPr>
              <w:t>/a。这部分水将全部蒸发或渗透。</w:t>
            </w:r>
          </w:p>
          <w:p w14:paraId="4A8BF1E4">
            <w:pPr>
              <w:spacing w:line="360" w:lineRule="auto"/>
              <w:ind w:firstLine="480" w:firstLineChars="200"/>
              <w:rPr>
                <w:rFonts w:hint="eastAsia"/>
                <w:sz w:val="24"/>
                <w:lang w:val="en-US" w:eastAsia="zh-CN"/>
              </w:rPr>
            </w:pPr>
            <w:r>
              <w:rPr>
                <w:rFonts w:hint="eastAsia"/>
                <w:sz w:val="24"/>
                <w:lang w:val="en-US" w:eastAsia="zh-CN"/>
              </w:rPr>
              <w:t>（3）排水</w:t>
            </w:r>
          </w:p>
          <w:p w14:paraId="6143720C">
            <w:pPr>
              <w:spacing w:line="360" w:lineRule="auto"/>
              <w:ind w:firstLine="480" w:firstLineChars="200"/>
              <w:rPr>
                <w:rFonts w:hint="eastAsia"/>
                <w:sz w:val="24"/>
                <w:lang w:val="en-US" w:eastAsia="zh-CN"/>
              </w:rPr>
            </w:pPr>
            <w:r>
              <w:rPr>
                <w:rFonts w:hint="eastAsia"/>
                <w:sz w:val="24"/>
                <w:lang w:val="en-US" w:eastAsia="zh-CN"/>
              </w:rPr>
              <w:t>①生活污水</w:t>
            </w:r>
          </w:p>
          <w:p w14:paraId="4DE71E2C">
            <w:pPr>
              <w:spacing w:line="360" w:lineRule="auto"/>
              <w:ind w:firstLine="480" w:firstLineChars="200"/>
              <w:rPr>
                <w:rFonts w:hint="eastAsia"/>
                <w:sz w:val="24"/>
                <w:lang w:val="en-US" w:eastAsia="zh-CN"/>
              </w:rPr>
            </w:pPr>
            <w:r>
              <w:rPr>
                <w:rFonts w:hint="eastAsia"/>
                <w:sz w:val="24"/>
                <w:lang w:val="en-US" w:eastAsia="zh-CN"/>
              </w:rPr>
              <w:t>本项目生活污水排放量按照用水量的85%计算，则生活污水排放量为323m</w:t>
            </w:r>
            <w:r>
              <w:rPr>
                <w:rFonts w:hint="eastAsia"/>
                <w:sz w:val="24"/>
                <w:vertAlign w:val="superscript"/>
                <w:lang w:val="en-US" w:eastAsia="zh-CN"/>
              </w:rPr>
              <w:t>3</w:t>
            </w:r>
            <w:r>
              <w:rPr>
                <w:rFonts w:hint="eastAsia"/>
                <w:sz w:val="24"/>
                <w:lang w:val="en-US" w:eastAsia="zh-CN"/>
              </w:rPr>
              <w:t>/a（0.885m</w:t>
            </w:r>
            <w:r>
              <w:rPr>
                <w:rFonts w:hint="eastAsia"/>
                <w:sz w:val="24"/>
                <w:vertAlign w:val="superscript"/>
                <w:lang w:val="en-US" w:eastAsia="zh-CN"/>
              </w:rPr>
              <w:t>3</w:t>
            </w:r>
            <w:r>
              <w:rPr>
                <w:rFonts w:hint="eastAsia"/>
                <w:sz w:val="24"/>
                <w:lang w:val="en-US" w:eastAsia="zh-CN"/>
              </w:rPr>
              <w:t>/d），建筑垃圾消纳场生活污水经化粪池收集后定期清掏用作周边林地作农肥，污水不外排。</w:t>
            </w:r>
          </w:p>
          <w:p w14:paraId="68ECA98B">
            <w:pPr>
              <w:spacing w:line="360" w:lineRule="auto"/>
              <w:ind w:firstLine="480" w:firstLineChars="200"/>
              <w:rPr>
                <w:rFonts w:hint="eastAsia"/>
                <w:sz w:val="24"/>
                <w:lang w:val="en-US" w:eastAsia="zh-CN"/>
              </w:rPr>
            </w:pPr>
            <w:r>
              <w:rPr>
                <w:rFonts w:hint="eastAsia"/>
                <w:sz w:val="24"/>
                <w:lang w:val="en-US" w:eastAsia="zh-CN"/>
              </w:rPr>
              <w:t>②车辆冲洗废水</w:t>
            </w:r>
          </w:p>
          <w:p w14:paraId="5910E017">
            <w:pPr>
              <w:spacing w:line="360" w:lineRule="auto"/>
              <w:ind w:firstLine="480" w:firstLineChars="200"/>
              <w:rPr>
                <w:rFonts w:hint="eastAsia"/>
                <w:sz w:val="24"/>
                <w:lang w:val="en-US" w:eastAsia="zh-CN"/>
              </w:rPr>
            </w:pPr>
            <w:r>
              <w:rPr>
                <w:rFonts w:hint="eastAsia"/>
                <w:sz w:val="24"/>
                <w:lang w:val="en-US" w:eastAsia="zh-CN"/>
              </w:rPr>
              <w:t>车辆冲洗废水产生量约为用水量85%，则车辆冲洗废水产生量约为0.51m</w:t>
            </w:r>
            <w:r>
              <w:rPr>
                <w:rFonts w:hint="eastAsia"/>
                <w:sz w:val="24"/>
                <w:vertAlign w:val="superscript"/>
                <w:lang w:val="en-US" w:eastAsia="zh-CN"/>
              </w:rPr>
              <w:t>3</w:t>
            </w:r>
            <w:r>
              <w:rPr>
                <w:rFonts w:hint="eastAsia"/>
                <w:sz w:val="24"/>
                <w:lang w:val="en-US" w:eastAsia="zh-CN"/>
              </w:rPr>
              <w:t xml:space="preserve"> /d（186.15m</w:t>
            </w:r>
            <w:r>
              <w:rPr>
                <w:rFonts w:hint="eastAsia"/>
                <w:sz w:val="24"/>
                <w:vertAlign w:val="superscript"/>
                <w:lang w:val="en-US" w:eastAsia="zh-CN"/>
              </w:rPr>
              <w:t>3</w:t>
            </w:r>
            <w:r>
              <w:rPr>
                <w:rFonts w:hint="eastAsia"/>
                <w:sz w:val="24"/>
                <w:lang w:val="en-US" w:eastAsia="zh-CN"/>
              </w:rPr>
              <w:t xml:space="preserve"> /a）。废水中主要污染物为SS，经车辆废水沉淀池沉淀处理后回用于车辆冲洗，不外排。</w:t>
            </w:r>
          </w:p>
          <w:p w14:paraId="4694705F">
            <w:pPr>
              <w:spacing w:line="360" w:lineRule="auto"/>
              <w:ind w:firstLine="480" w:firstLineChars="200"/>
              <w:rPr>
                <w:rFonts w:hint="eastAsia"/>
                <w:sz w:val="24"/>
                <w:u w:val="single"/>
                <w:lang w:val="en-US" w:eastAsia="zh-CN"/>
              </w:rPr>
            </w:pPr>
            <w:r>
              <w:rPr>
                <w:rFonts w:hint="eastAsia"/>
                <w:sz w:val="24"/>
                <w:u w:val="single"/>
                <w:lang w:val="en-US" w:eastAsia="zh-CN"/>
              </w:rPr>
              <w:t>③堆填场</w:t>
            </w:r>
            <w:r>
              <w:rPr>
                <w:rFonts w:hint="eastAsia"/>
                <w:u w:val="single"/>
              </w:rPr>
              <w:t>矿坑积水（</w:t>
            </w:r>
            <w:r>
              <w:rPr>
                <w:rFonts w:hint="eastAsia"/>
                <w:u w:val="single"/>
                <w:lang w:val="en-US" w:eastAsia="zh-CN"/>
              </w:rPr>
              <w:t>淋滤水</w:t>
            </w:r>
            <w:r>
              <w:rPr>
                <w:rFonts w:hint="eastAsia"/>
                <w:u w:val="single"/>
              </w:rPr>
              <w:t>）</w:t>
            </w:r>
          </w:p>
          <w:p w14:paraId="3613BB21">
            <w:pPr>
              <w:spacing w:line="360" w:lineRule="auto"/>
              <w:ind w:firstLine="480" w:firstLineChars="200"/>
              <w:rPr>
                <w:rFonts w:hint="eastAsia"/>
                <w:sz w:val="24"/>
                <w:u w:val="single"/>
                <w:lang w:val="en-US" w:eastAsia="zh-CN"/>
              </w:rPr>
            </w:pPr>
            <w:r>
              <w:rPr>
                <w:rFonts w:hint="eastAsia"/>
                <w:sz w:val="24"/>
                <w:u w:val="single"/>
                <w:lang w:val="en-US" w:eastAsia="zh-CN"/>
              </w:rPr>
              <w:t>本项目运营期间，若恰逢雨季，由于冲刷填埋区，使初期雨水中含有大量的污染物质，将产生淋溶水。由于本项目填方均为洪江市建筑垃圾，不涉及危险废物、工业污泥及生活垃圾，因此所产生的渗水不含有毒有害成分，主要为SS。</w:t>
            </w:r>
          </w:p>
          <w:p w14:paraId="73FF63B1">
            <w:pPr>
              <w:pStyle w:val="167"/>
              <w:spacing w:line="360" w:lineRule="auto"/>
              <w:ind w:firstLine="480"/>
              <w:jc w:val="left"/>
              <w:rPr>
                <w:rFonts w:hint="eastAsia"/>
                <w:u w:val="single"/>
              </w:rPr>
            </w:pPr>
            <w:r>
              <w:rPr>
                <w:rFonts w:hint="eastAsia"/>
                <w:u w:val="single"/>
              </w:rPr>
              <w:t>本项目雨水淋溶液产生量参照《建筑垃圾处理技术标准》（CJJ/T134-2019）</w:t>
            </w:r>
          </w:p>
          <w:p w14:paraId="59D5DFD4">
            <w:pPr>
              <w:pStyle w:val="167"/>
              <w:spacing w:line="360" w:lineRule="auto"/>
              <w:ind w:left="0" w:leftChars="0" w:firstLine="0" w:firstLineChars="0"/>
              <w:jc w:val="left"/>
              <w:rPr>
                <w:rFonts w:hint="eastAsia"/>
                <w:u w:val="single"/>
              </w:rPr>
            </w:pPr>
            <w:r>
              <w:rPr>
                <w:rFonts w:hint="eastAsia"/>
                <w:u w:val="single"/>
              </w:rPr>
              <w:t>附录 C 计算，采用如下公式计算：</w:t>
            </w:r>
          </w:p>
          <w:p w14:paraId="3D0424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u w:val="single"/>
              </w:rPr>
            </w:pPr>
            <w:r>
              <w:rPr>
                <w:rFonts w:hint="eastAsia"/>
                <w:u w:val="single"/>
              </w:rPr>
              <w:t>Q=Ix(C1A1+C2A2+C3A3+C4A4)/1000</w:t>
            </w:r>
          </w:p>
          <w:p w14:paraId="325E36AF">
            <w:pPr>
              <w:bidi w:val="0"/>
              <w:rPr>
                <w:rFonts w:hint="eastAsia"/>
                <w:u w:val="single"/>
              </w:rPr>
            </w:pPr>
            <w:r>
              <w:rPr>
                <w:rFonts w:hint="eastAsia"/>
                <w:u w:val="single"/>
              </w:rPr>
              <w:t>式中：</w:t>
            </w:r>
          </w:p>
          <w:p w14:paraId="53336BC5">
            <w:pPr>
              <w:bidi w:val="0"/>
              <w:rPr>
                <w:rFonts w:hint="eastAsia"/>
                <w:u w:val="single"/>
              </w:rPr>
            </w:pPr>
            <w:r>
              <w:rPr>
                <w:rFonts w:hint="eastAsia"/>
                <w:u w:val="single"/>
              </w:rPr>
              <w:t>Q 一雨水淋溶液产生量（m</w:t>
            </w:r>
            <w:r>
              <w:rPr>
                <w:rFonts w:hint="eastAsia"/>
                <w:u w:val="single"/>
                <w:vertAlign w:val="superscript"/>
              </w:rPr>
              <w:t>3</w:t>
            </w:r>
            <w:r>
              <w:rPr>
                <w:rFonts w:hint="eastAsia"/>
                <w:u w:val="single"/>
              </w:rPr>
              <w:t>/d）</w:t>
            </w:r>
          </w:p>
          <w:p w14:paraId="547FB5F7">
            <w:pPr>
              <w:bidi w:val="0"/>
              <w:rPr>
                <w:rFonts w:hint="eastAsia"/>
                <w:u w:val="single"/>
              </w:rPr>
            </w:pPr>
            <w:r>
              <w:rPr>
                <w:rFonts w:hint="eastAsia"/>
                <w:u w:val="single"/>
              </w:rPr>
              <w:t>I一降水量（mm/d）；</w:t>
            </w:r>
          </w:p>
          <w:p w14:paraId="790987A9">
            <w:pPr>
              <w:bidi w:val="0"/>
              <w:rPr>
                <w:rFonts w:hint="eastAsia"/>
                <w:u w:val="single"/>
              </w:rPr>
            </w:pPr>
            <w:r>
              <w:rPr>
                <w:rFonts w:hint="eastAsia"/>
                <w:u w:val="single"/>
              </w:rPr>
              <w:t>C1一正在作业单元浸出系数，一般宜取0.4-1.0之间，取0.4；</w:t>
            </w:r>
          </w:p>
          <w:p w14:paraId="098647AF">
            <w:pPr>
              <w:bidi w:val="0"/>
              <w:rPr>
                <w:rFonts w:hint="eastAsia"/>
                <w:u w:val="single"/>
              </w:rPr>
            </w:pPr>
            <w:r>
              <w:rPr>
                <w:rFonts w:hint="eastAsia"/>
                <w:u w:val="single"/>
              </w:rPr>
              <w:t>Al一正在作业单元汇水面积（m</w:t>
            </w:r>
            <w:r>
              <w:rPr>
                <w:rFonts w:hint="eastAsia"/>
                <w:u w:val="single"/>
                <w:vertAlign w:val="superscript"/>
              </w:rPr>
              <w:t>2</w:t>
            </w:r>
            <w:r>
              <w:rPr>
                <w:rFonts w:hint="eastAsia"/>
                <w:u w:val="single"/>
              </w:rPr>
              <w:t>），取</w:t>
            </w:r>
            <w:r>
              <w:rPr>
                <w:rFonts w:hint="eastAsia"/>
                <w:u w:val="single"/>
                <w:lang w:val="en-US" w:eastAsia="zh-CN"/>
              </w:rPr>
              <w:t>1000</w:t>
            </w:r>
            <w:r>
              <w:rPr>
                <w:rFonts w:hint="eastAsia"/>
                <w:u w:val="single"/>
              </w:rPr>
              <w:t>；</w:t>
            </w:r>
          </w:p>
          <w:p w14:paraId="0D6F7C1E">
            <w:pPr>
              <w:bidi w:val="0"/>
              <w:rPr>
                <w:rFonts w:hint="eastAsia"/>
                <w:u w:val="single"/>
              </w:rPr>
            </w:pPr>
            <w:r>
              <w:rPr>
                <w:rFonts w:hint="eastAsia"/>
                <w:u w:val="single"/>
              </w:rPr>
              <w:t>C2一已中间覆盖渗出系数，当采用土覆盖时宜取（0.4-0.6）C1之间，取0.4C1，即0.16；</w:t>
            </w:r>
          </w:p>
          <w:p w14:paraId="39D7EEE3">
            <w:pPr>
              <w:bidi w:val="0"/>
              <w:rPr>
                <w:rFonts w:hint="eastAsia"/>
                <w:u w:val="single"/>
              </w:rPr>
            </w:pPr>
            <w:r>
              <w:rPr>
                <w:rFonts w:hint="eastAsia"/>
                <w:u w:val="single"/>
              </w:rPr>
              <w:t>A2一已中间覆盖单元汇水面积（m</w:t>
            </w:r>
            <w:r>
              <w:rPr>
                <w:rFonts w:hint="eastAsia"/>
                <w:u w:val="single"/>
                <w:vertAlign w:val="superscript"/>
              </w:rPr>
              <w:t>2</w:t>
            </w:r>
            <w:r>
              <w:rPr>
                <w:rFonts w:hint="eastAsia"/>
                <w:u w:val="single"/>
              </w:rPr>
              <w:t>），取</w:t>
            </w:r>
            <w:r>
              <w:rPr>
                <w:rFonts w:hint="eastAsia"/>
                <w:u w:val="single"/>
                <w:lang w:val="en-US" w:eastAsia="zh-CN"/>
              </w:rPr>
              <w:t>1</w:t>
            </w:r>
            <w:r>
              <w:rPr>
                <w:rFonts w:hint="eastAsia"/>
                <w:u w:val="single"/>
              </w:rPr>
              <w:t>000</w:t>
            </w:r>
            <w:r>
              <w:rPr>
                <w:rFonts w:hint="eastAsia"/>
                <w:u w:val="single"/>
                <w:lang w:val="en-US" w:eastAsia="zh-CN"/>
              </w:rPr>
              <w:t>m</w:t>
            </w:r>
            <w:r>
              <w:rPr>
                <w:rFonts w:hint="eastAsia"/>
                <w:u w:val="single"/>
                <w:vertAlign w:val="superscript"/>
                <w:lang w:val="en-US" w:eastAsia="zh-CN"/>
              </w:rPr>
              <w:t>2</w:t>
            </w:r>
            <w:r>
              <w:rPr>
                <w:rFonts w:hint="eastAsia"/>
                <w:u w:val="single"/>
              </w:rPr>
              <w:t>；</w:t>
            </w:r>
          </w:p>
          <w:p w14:paraId="632C6294">
            <w:pPr>
              <w:bidi w:val="0"/>
              <w:rPr>
                <w:rFonts w:hint="eastAsia"/>
                <w:u w:val="single"/>
              </w:rPr>
            </w:pPr>
            <w:r>
              <w:rPr>
                <w:rFonts w:hint="eastAsia"/>
                <w:u w:val="single"/>
              </w:rPr>
              <w:t>C3一终场覆盖单元渗出系数，一般取0.1-0.2，取0.1；</w:t>
            </w:r>
          </w:p>
          <w:p w14:paraId="031B186A">
            <w:pPr>
              <w:bidi w:val="0"/>
              <w:rPr>
                <w:rFonts w:hint="eastAsia"/>
                <w:u w:val="single"/>
              </w:rPr>
            </w:pPr>
            <w:r>
              <w:rPr>
                <w:rFonts w:hint="eastAsia"/>
                <w:u w:val="single"/>
              </w:rPr>
              <w:t>A3一已终场覆盖单元汇水面积（m</w:t>
            </w:r>
            <w:r>
              <w:rPr>
                <w:rFonts w:hint="eastAsia"/>
                <w:u w:val="single"/>
                <w:vertAlign w:val="superscript"/>
              </w:rPr>
              <w:t>2</w:t>
            </w:r>
            <w:r>
              <w:rPr>
                <w:rFonts w:hint="eastAsia"/>
                <w:u w:val="single"/>
              </w:rPr>
              <w:t>），取6102.56</w:t>
            </w:r>
            <w:r>
              <w:rPr>
                <w:rFonts w:hint="eastAsia"/>
                <w:u w:val="single"/>
                <w:lang w:val="en-US" w:eastAsia="zh-CN"/>
              </w:rPr>
              <w:t>m</w:t>
            </w:r>
            <w:r>
              <w:rPr>
                <w:rFonts w:hint="eastAsia"/>
                <w:u w:val="single"/>
                <w:vertAlign w:val="superscript"/>
                <w:lang w:val="en-US" w:eastAsia="zh-CN"/>
              </w:rPr>
              <w:t>2</w:t>
            </w:r>
            <w:r>
              <w:rPr>
                <w:rFonts w:hint="eastAsia"/>
                <w:u w:val="single"/>
              </w:rPr>
              <w:t>；</w:t>
            </w:r>
          </w:p>
          <w:p w14:paraId="65E277AD">
            <w:pPr>
              <w:bidi w:val="0"/>
              <w:rPr>
                <w:rFonts w:hint="eastAsia"/>
                <w:u w:val="single"/>
              </w:rPr>
            </w:pPr>
            <w:r>
              <w:rPr>
                <w:rFonts w:hint="eastAsia"/>
                <w:u w:val="single"/>
              </w:rPr>
              <w:t>C4一渗出系数，取0或1（若调节池设置有覆盖系统取0，若调节池未设置覆盖系统取1.0），本工程有覆盖系统取0；</w:t>
            </w:r>
          </w:p>
          <w:p w14:paraId="46BB4ADF">
            <w:pPr>
              <w:bidi w:val="0"/>
              <w:rPr>
                <w:rFonts w:hint="eastAsia"/>
                <w:u w:val="single"/>
              </w:rPr>
            </w:pPr>
            <w:r>
              <w:rPr>
                <w:rFonts w:hint="eastAsia"/>
                <w:u w:val="single"/>
              </w:rPr>
              <w:t>A4一调节池汇水面积（m</w:t>
            </w:r>
            <w:r>
              <w:rPr>
                <w:rFonts w:hint="eastAsia"/>
                <w:u w:val="single"/>
                <w:vertAlign w:val="superscript"/>
                <w:lang w:val="en-US" w:eastAsia="zh-CN"/>
              </w:rPr>
              <w:t>2</w:t>
            </w:r>
            <w:r>
              <w:rPr>
                <w:rFonts w:hint="eastAsia"/>
                <w:u w:val="single"/>
              </w:rPr>
              <w:t>）。</w:t>
            </w:r>
          </w:p>
          <w:p w14:paraId="5F53177C">
            <w:pPr>
              <w:bidi w:val="0"/>
              <w:rPr>
                <w:rFonts w:hint="eastAsia"/>
                <w:u w:val="single"/>
              </w:rPr>
            </w:pPr>
            <w:r>
              <w:rPr>
                <w:rFonts w:hint="eastAsia"/>
                <w:u w:val="single"/>
              </w:rPr>
              <w:t>据</w:t>
            </w:r>
            <w:r>
              <w:rPr>
                <w:rFonts w:hint="eastAsia"/>
                <w:u w:val="single"/>
                <w:lang w:val="en-US" w:eastAsia="zh-CN"/>
              </w:rPr>
              <w:t>洪江市</w:t>
            </w:r>
            <w:r>
              <w:rPr>
                <w:rFonts w:hint="eastAsia"/>
                <w:u w:val="single"/>
              </w:rPr>
              <w:t>气象资料，多年平均降水量</w:t>
            </w:r>
            <w:r>
              <w:rPr>
                <w:rFonts w:hint="eastAsia"/>
                <w:u w:val="single"/>
                <w:lang w:val="en-US" w:eastAsia="zh-CN"/>
              </w:rPr>
              <w:t>1494</w:t>
            </w:r>
            <w:r>
              <w:rPr>
                <w:rFonts w:hint="eastAsia"/>
                <w:u w:val="single"/>
              </w:rPr>
              <w:t>mm，日最大暴雨量</w:t>
            </w:r>
            <w:r>
              <w:rPr>
                <w:rFonts w:hint="eastAsia"/>
                <w:u w:val="single"/>
                <w:lang w:val="en-US" w:eastAsia="zh-CN"/>
              </w:rPr>
              <w:t>161.5</w:t>
            </w:r>
            <w:r>
              <w:rPr>
                <w:rFonts w:hint="eastAsia"/>
                <w:u w:val="single"/>
              </w:rPr>
              <w:t>mm</w:t>
            </w:r>
            <w:r>
              <w:rPr>
                <w:rFonts w:hint="eastAsia"/>
                <w:u w:val="single"/>
                <w:lang w:eastAsia="zh-CN"/>
              </w:rPr>
              <w:t>。</w:t>
            </w:r>
            <w:r>
              <w:rPr>
                <w:rFonts w:hint="eastAsia"/>
                <w:u w:val="single"/>
              </w:rPr>
              <w:t>经计算本项目雨水淋溶液日平最大产生量为</w:t>
            </w:r>
            <w:r>
              <w:rPr>
                <w:rFonts w:hint="eastAsia"/>
                <w:u w:val="single"/>
                <w:lang w:val="en-US" w:eastAsia="zh-CN"/>
              </w:rPr>
              <w:t>188.99</w:t>
            </w:r>
            <w:r>
              <w:rPr>
                <w:rFonts w:hint="eastAsia"/>
                <w:u w:val="single"/>
              </w:rPr>
              <w:t>m</w:t>
            </w:r>
            <w:r>
              <w:rPr>
                <w:rFonts w:hint="eastAsia"/>
                <w:u w:val="single"/>
                <w:vertAlign w:val="superscript"/>
              </w:rPr>
              <w:t>3</w:t>
            </w:r>
            <w:r>
              <w:rPr>
                <w:rFonts w:hint="eastAsia"/>
                <w:u w:val="single"/>
              </w:rPr>
              <w:t>，年产生量为</w:t>
            </w:r>
            <w:r>
              <w:rPr>
                <w:rFonts w:hint="eastAsia"/>
                <w:u w:val="single"/>
                <w:lang w:val="en-US" w:eastAsia="zh-CN"/>
              </w:rPr>
              <w:t>30238.4</w:t>
            </w:r>
            <w:r>
              <w:rPr>
                <w:rFonts w:hint="eastAsia"/>
                <w:u w:val="single"/>
              </w:rPr>
              <w:t>m</w:t>
            </w:r>
            <w:r>
              <w:rPr>
                <w:rFonts w:hint="eastAsia"/>
                <w:u w:val="single"/>
                <w:vertAlign w:val="superscript"/>
              </w:rPr>
              <w:t>3</w:t>
            </w:r>
            <w:r>
              <w:rPr>
                <w:rFonts w:hint="eastAsia"/>
                <w:u w:val="single"/>
              </w:rPr>
              <w:t>/a</w:t>
            </w:r>
            <w:r>
              <w:rPr>
                <w:rFonts w:hint="eastAsia"/>
                <w:u w:val="single"/>
                <w:lang w:eastAsia="zh-CN"/>
              </w:rPr>
              <w:t>（</w:t>
            </w:r>
            <w:r>
              <w:rPr>
                <w:rFonts w:hint="eastAsia"/>
                <w:u w:val="single"/>
                <w:lang w:val="en-US" w:eastAsia="zh-CN"/>
              </w:rPr>
              <w:t>年降雨天数按照160天计算</w:t>
            </w:r>
            <w:r>
              <w:rPr>
                <w:rFonts w:hint="eastAsia"/>
                <w:u w:val="single"/>
                <w:lang w:eastAsia="zh-CN"/>
              </w:rPr>
              <w:t>），产生的积水优先用于车辆冲洗、堆填场洒水降尘等。</w:t>
            </w:r>
          </w:p>
          <w:p w14:paraId="4D038BBD">
            <w:pPr>
              <w:bidi w:val="0"/>
              <w:rPr>
                <w:rFonts w:hint="eastAsia"/>
                <w:u w:val="single"/>
                <w:lang w:val="en-US" w:eastAsia="zh-CN"/>
              </w:rPr>
            </w:pPr>
            <w:r>
              <w:rPr>
                <w:rFonts w:hint="eastAsia"/>
                <w:u w:val="single"/>
                <w:lang w:val="en-US" w:eastAsia="zh-CN"/>
              </w:rPr>
              <w:t>本项目一期工程主要是利用历史遗留矿坑进行建筑垃圾堆填，根据现场勘查，矿坑较深且无法修建进坑道路，一期工程通过在地面修建截排水沟减少汇入堆填场坑底形成积水，并在坑底置抽水泵及排水管道，及时将下雨产生的矿坑积水（淋滤水）排出淋溶水沉淀水池（年降雨天数按照160天计算，设置容积为30m</w:t>
            </w:r>
            <w:r>
              <w:rPr>
                <w:rFonts w:hint="eastAsia"/>
                <w:u w:val="single"/>
                <w:vertAlign w:val="superscript"/>
                <w:lang w:val="en-US" w:eastAsia="zh-CN"/>
              </w:rPr>
              <w:t>3</w:t>
            </w:r>
            <w:r>
              <w:rPr>
                <w:rFonts w:hint="eastAsia"/>
                <w:u w:val="single"/>
                <w:lang w:val="en-US" w:eastAsia="zh-CN"/>
              </w:rPr>
              <w:t>）内进行沉淀处理。</w:t>
            </w:r>
          </w:p>
          <w:p w14:paraId="33E46D4D">
            <w:pPr>
              <w:pStyle w:val="167"/>
              <w:spacing w:line="360" w:lineRule="auto"/>
              <w:ind w:firstLine="480"/>
              <w:jc w:val="left"/>
              <w:rPr>
                <w:rFonts w:hint="eastAsia"/>
                <w:u w:val="single"/>
              </w:rPr>
            </w:pPr>
            <w:r>
              <w:rPr>
                <w:rFonts w:hint="eastAsia"/>
                <w:u w:val="single"/>
              </w:rPr>
              <w:t>（4）水平衡</w:t>
            </w:r>
          </w:p>
          <w:p w14:paraId="5B093A1D">
            <w:pPr>
              <w:pStyle w:val="167"/>
              <w:spacing w:line="360" w:lineRule="auto"/>
              <w:ind w:firstLine="480"/>
              <w:jc w:val="left"/>
              <w:rPr>
                <w:rFonts w:ascii="Times New Roman Regular" w:hAnsi="Times New Roman Regular" w:cs="Times New Roman Regular"/>
                <w:b/>
                <w:bCs/>
                <w:spacing w:val="-1"/>
                <w:sz w:val="21"/>
                <w:szCs w:val="21"/>
                <w:u w:val="single"/>
              </w:rPr>
            </w:pPr>
            <w:r>
              <w:rPr>
                <w:rFonts w:hint="eastAsia"/>
                <w:u w:val="single"/>
              </w:rPr>
              <w:t>项目给排水情况详见表</w:t>
            </w:r>
            <w:r>
              <w:rPr>
                <w:rFonts w:hint="eastAsia"/>
                <w:u w:val="single"/>
                <w:lang w:val="en-US" w:eastAsia="zh-CN"/>
              </w:rPr>
              <w:t>2.6-1</w:t>
            </w:r>
            <w:r>
              <w:rPr>
                <w:rFonts w:hint="eastAsia"/>
                <w:u w:val="single"/>
              </w:rPr>
              <w:t>。</w:t>
            </w:r>
          </w:p>
          <w:p w14:paraId="34403C8C">
            <w:pPr>
              <w:pStyle w:val="44"/>
              <w:bidi w:val="0"/>
              <w:rPr>
                <w:rFonts w:hint="default"/>
                <w:u w:val="single"/>
              </w:rPr>
            </w:pPr>
            <w:r>
              <w:rPr>
                <w:u w:val="single"/>
              </w:rPr>
              <w:t>表</w:t>
            </w:r>
            <w:r>
              <w:rPr>
                <w:rFonts w:hint="eastAsia"/>
                <w:u w:val="single"/>
                <w:lang w:val="en-US" w:eastAsia="zh-CN"/>
              </w:rPr>
              <w:t>2.6-1</w:t>
            </w:r>
            <w:r>
              <w:rPr>
                <w:rFonts w:hint="eastAsia"/>
                <w:u w:val="single"/>
                <w:lang w:eastAsia="zh-CN"/>
              </w:rPr>
              <w:t>：</w:t>
            </w:r>
            <w:r>
              <w:rPr>
                <w:u w:val="single"/>
              </w:rPr>
              <w:t>项目运营期生产生活给排水平衡表一览表</w:t>
            </w:r>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103"/>
              <w:gridCol w:w="1412"/>
              <w:gridCol w:w="1050"/>
              <w:gridCol w:w="1107"/>
              <w:gridCol w:w="1057"/>
              <w:gridCol w:w="819"/>
              <w:gridCol w:w="1275"/>
            </w:tblGrid>
            <w:tr w14:paraId="17139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68" w:type="dxa"/>
                  <w:vMerge w:val="restart"/>
                  <w:noWrap w:val="0"/>
                  <w:vAlign w:val="center"/>
                </w:tcPr>
                <w:p w14:paraId="33315089">
                  <w:pPr>
                    <w:pStyle w:val="115"/>
                    <w:bidi w:val="0"/>
                    <w:rPr>
                      <w:rFonts w:hint="default"/>
                      <w:b/>
                      <w:bCs/>
                      <w:u w:val="single"/>
                    </w:rPr>
                  </w:pPr>
                  <w:r>
                    <w:rPr>
                      <w:rFonts w:hint="default"/>
                      <w:b/>
                      <w:bCs/>
                      <w:u w:val="single"/>
                    </w:rPr>
                    <w:t>序号</w:t>
                  </w:r>
                </w:p>
              </w:tc>
              <w:tc>
                <w:tcPr>
                  <w:tcW w:w="1103" w:type="dxa"/>
                  <w:vMerge w:val="restart"/>
                  <w:noWrap w:val="0"/>
                  <w:vAlign w:val="center"/>
                </w:tcPr>
                <w:p w14:paraId="075A61F3">
                  <w:pPr>
                    <w:pStyle w:val="115"/>
                    <w:bidi w:val="0"/>
                    <w:rPr>
                      <w:rFonts w:hint="default"/>
                      <w:b/>
                      <w:bCs/>
                      <w:u w:val="single"/>
                    </w:rPr>
                  </w:pPr>
                  <w:r>
                    <w:rPr>
                      <w:rFonts w:hint="default"/>
                      <w:b/>
                      <w:bCs/>
                      <w:u w:val="single"/>
                    </w:rPr>
                    <w:t>用水单位</w:t>
                  </w:r>
                </w:p>
              </w:tc>
              <w:tc>
                <w:tcPr>
                  <w:tcW w:w="3569" w:type="dxa"/>
                  <w:gridSpan w:val="3"/>
                  <w:noWrap w:val="0"/>
                  <w:vAlign w:val="center"/>
                </w:tcPr>
                <w:p w14:paraId="40B5E7AF">
                  <w:pPr>
                    <w:pStyle w:val="115"/>
                    <w:bidi w:val="0"/>
                    <w:rPr>
                      <w:rFonts w:hint="default"/>
                      <w:b/>
                      <w:bCs/>
                      <w:u w:val="single"/>
                    </w:rPr>
                  </w:pPr>
                  <w:r>
                    <w:rPr>
                      <w:rFonts w:hint="default"/>
                      <w:b/>
                      <w:bCs/>
                      <w:u w:val="single"/>
                    </w:rPr>
                    <w:t>用水量t/a</w:t>
                  </w:r>
                </w:p>
              </w:tc>
              <w:tc>
                <w:tcPr>
                  <w:tcW w:w="1057" w:type="dxa"/>
                  <w:vMerge w:val="restart"/>
                  <w:noWrap w:val="0"/>
                  <w:vAlign w:val="center"/>
                </w:tcPr>
                <w:p w14:paraId="68ED3AF9">
                  <w:pPr>
                    <w:pStyle w:val="115"/>
                    <w:bidi w:val="0"/>
                    <w:rPr>
                      <w:rFonts w:hint="default"/>
                      <w:b/>
                      <w:bCs/>
                      <w:u w:val="single"/>
                    </w:rPr>
                  </w:pPr>
                  <w:r>
                    <w:rPr>
                      <w:rFonts w:hint="default"/>
                      <w:b/>
                      <w:bCs/>
                      <w:u w:val="single"/>
                    </w:rPr>
                    <w:t>损耗t/a</w:t>
                  </w:r>
                </w:p>
              </w:tc>
              <w:tc>
                <w:tcPr>
                  <w:tcW w:w="819" w:type="dxa"/>
                  <w:vMerge w:val="restart"/>
                  <w:noWrap w:val="0"/>
                  <w:vAlign w:val="center"/>
                </w:tcPr>
                <w:p w14:paraId="658406C3">
                  <w:pPr>
                    <w:pStyle w:val="115"/>
                    <w:bidi w:val="0"/>
                    <w:rPr>
                      <w:rFonts w:hint="default"/>
                      <w:b/>
                      <w:bCs/>
                      <w:u w:val="single"/>
                    </w:rPr>
                  </w:pPr>
                  <w:r>
                    <w:rPr>
                      <w:rFonts w:hint="default"/>
                      <w:b/>
                      <w:bCs/>
                      <w:u w:val="single"/>
                    </w:rPr>
                    <w:t>废水产生量t/a</w:t>
                  </w:r>
                </w:p>
              </w:tc>
              <w:tc>
                <w:tcPr>
                  <w:tcW w:w="1275" w:type="dxa"/>
                  <w:vMerge w:val="restart"/>
                  <w:noWrap w:val="0"/>
                  <w:vAlign w:val="center"/>
                </w:tcPr>
                <w:p w14:paraId="507BC417">
                  <w:pPr>
                    <w:pStyle w:val="115"/>
                    <w:bidi w:val="0"/>
                    <w:rPr>
                      <w:rFonts w:hint="default"/>
                      <w:b/>
                      <w:bCs/>
                      <w:u w:val="single"/>
                    </w:rPr>
                  </w:pPr>
                  <w:r>
                    <w:rPr>
                      <w:rFonts w:hint="default"/>
                      <w:b/>
                      <w:bCs/>
                      <w:u w:val="single"/>
                    </w:rPr>
                    <w:t>排水去向</w:t>
                  </w:r>
                </w:p>
              </w:tc>
            </w:tr>
            <w:tr w14:paraId="1FC0EC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68" w:type="dxa"/>
                  <w:vMerge w:val="continue"/>
                  <w:noWrap w:val="0"/>
                  <w:vAlign w:val="center"/>
                </w:tcPr>
                <w:p w14:paraId="11A6056C">
                  <w:pPr>
                    <w:pStyle w:val="115"/>
                    <w:bidi w:val="0"/>
                    <w:rPr>
                      <w:rFonts w:hint="default"/>
                      <w:b/>
                      <w:bCs/>
                      <w:u w:val="single"/>
                    </w:rPr>
                  </w:pPr>
                </w:p>
              </w:tc>
              <w:tc>
                <w:tcPr>
                  <w:tcW w:w="1103" w:type="dxa"/>
                  <w:vMerge w:val="continue"/>
                  <w:noWrap w:val="0"/>
                  <w:vAlign w:val="center"/>
                </w:tcPr>
                <w:p w14:paraId="017F5865">
                  <w:pPr>
                    <w:pStyle w:val="115"/>
                    <w:bidi w:val="0"/>
                    <w:rPr>
                      <w:rFonts w:hint="default"/>
                      <w:b/>
                      <w:bCs/>
                      <w:u w:val="single"/>
                    </w:rPr>
                  </w:pPr>
                </w:p>
              </w:tc>
              <w:tc>
                <w:tcPr>
                  <w:tcW w:w="1412" w:type="dxa"/>
                  <w:noWrap w:val="0"/>
                  <w:vAlign w:val="center"/>
                </w:tcPr>
                <w:p w14:paraId="6FB10983">
                  <w:pPr>
                    <w:pStyle w:val="115"/>
                    <w:bidi w:val="0"/>
                    <w:rPr>
                      <w:rFonts w:hint="default"/>
                      <w:b/>
                      <w:bCs/>
                      <w:u w:val="single"/>
                    </w:rPr>
                  </w:pPr>
                  <w:r>
                    <w:rPr>
                      <w:rFonts w:hint="default"/>
                      <w:b/>
                      <w:bCs/>
                      <w:u w:val="single"/>
                    </w:rPr>
                    <w:t>总用水量</w:t>
                  </w:r>
                </w:p>
              </w:tc>
              <w:tc>
                <w:tcPr>
                  <w:tcW w:w="1050" w:type="dxa"/>
                  <w:noWrap w:val="0"/>
                  <w:vAlign w:val="center"/>
                </w:tcPr>
                <w:p w14:paraId="034FD207">
                  <w:pPr>
                    <w:pStyle w:val="115"/>
                    <w:bidi w:val="0"/>
                    <w:rPr>
                      <w:rFonts w:hint="default"/>
                      <w:b/>
                      <w:bCs/>
                      <w:u w:val="single"/>
                    </w:rPr>
                  </w:pPr>
                  <w:r>
                    <w:rPr>
                      <w:rFonts w:hint="default"/>
                      <w:b/>
                      <w:bCs/>
                      <w:u w:val="single"/>
                    </w:rPr>
                    <w:t>新水</w:t>
                  </w:r>
                </w:p>
              </w:tc>
              <w:tc>
                <w:tcPr>
                  <w:tcW w:w="1107" w:type="dxa"/>
                  <w:noWrap w:val="0"/>
                  <w:vAlign w:val="center"/>
                </w:tcPr>
                <w:p w14:paraId="538F04FC">
                  <w:pPr>
                    <w:pStyle w:val="115"/>
                    <w:bidi w:val="0"/>
                    <w:rPr>
                      <w:rFonts w:hint="default"/>
                      <w:b/>
                      <w:bCs/>
                      <w:u w:val="single"/>
                    </w:rPr>
                  </w:pPr>
                  <w:r>
                    <w:rPr>
                      <w:rFonts w:hint="default"/>
                      <w:b/>
                      <w:bCs/>
                      <w:u w:val="single"/>
                    </w:rPr>
                    <w:t>循环水</w:t>
                  </w:r>
                </w:p>
              </w:tc>
              <w:tc>
                <w:tcPr>
                  <w:tcW w:w="1057" w:type="dxa"/>
                  <w:vMerge w:val="continue"/>
                  <w:noWrap w:val="0"/>
                  <w:vAlign w:val="center"/>
                </w:tcPr>
                <w:p w14:paraId="1F77E136">
                  <w:pPr>
                    <w:pStyle w:val="115"/>
                    <w:bidi w:val="0"/>
                    <w:rPr>
                      <w:rFonts w:hint="default"/>
                      <w:u w:val="single"/>
                    </w:rPr>
                  </w:pPr>
                </w:p>
              </w:tc>
              <w:tc>
                <w:tcPr>
                  <w:tcW w:w="819" w:type="dxa"/>
                  <w:vMerge w:val="continue"/>
                  <w:noWrap w:val="0"/>
                  <w:vAlign w:val="center"/>
                </w:tcPr>
                <w:p w14:paraId="70201369">
                  <w:pPr>
                    <w:pStyle w:val="115"/>
                    <w:bidi w:val="0"/>
                    <w:rPr>
                      <w:rFonts w:hint="default"/>
                      <w:u w:val="single"/>
                    </w:rPr>
                  </w:pPr>
                </w:p>
              </w:tc>
              <w:tc>
                <w:tcPr>
                  <w:tcW w:w="1275" w:type="dxa"/>
                  <w:vMerge w:val="continue"/>
                  <w:noWrap w:val="0"/>
                  <w:vAlign w:val="center"/>
                </w:tcPr>
                <w:p w14:paraId="0802F8C6">
                  <w:pPr>
                    <w:pStyle w:val="115"/>
                    <w:bidi w:val="0"/>
                    <w:rPr>
                      <w:rFonts w:hint="default"/>
                      <w:u w:val="single"/>
                    </w:rPr>
                  </w:pPr>
                </w:p>
              </w:tc>
            </w:tr>
            <w:tr w14:paraId="4F480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1316CC2B">
                  <w:pPr>
                    <w:pStyle w:val="115"/>
                    <w:bidi w:val="0"/>
                    <w:rPr>
                      <w:rFonts w:hint="default"/>
                      <w:u w:val="single"/>
                    </w:rPr>
                  </w:pPr>
                  <w:r>
                    <w:rPr>
                      <w:rFonts w:hint="default"/>
                      <w:u w:val="single"/>
                    </w:rPr>
                    <w:t>1</w:t>
                  </w:r>
                </w:p>
              </w:tc>
              <w:tc>
                <w:tcPr>
                  <w:tcW w:w="1103" w:type="dxa"/>
                  <w:noWrap w:val="0"/>
                  <w:vAlign w:val="center"/>
                </w:tcPr>
                <w:p w14:paraId="4AD682D8">
                  <w:pPr>
                    <w:pStyle w:val="115"/>
                    <w:bidi w:val="0"/>
                    <w:rPr>
                      <w:rFonts w:hint="default"/>
                      <w:u w:val="single"/>
                    </w:rPr>
                  </w:pPr>
                  <w:r>
                    <w:rPr>
                      <w:u w:val="single"/>
                    </w:rPr>
                    <w:t>生活用水</w:t>
                  </w:r>
                </w:p>
              </w:tc>
              <w:tc>
                <w:tcPr>
                  <w:tcW w:w="1412" w:type="dxa"/>
                  <w:noWrap w:val="0"/>
                  <w:vAlign w:val="center"/>
                </w:tcPr>
                <w:p w14:paraId="4DF45418">
                  <w:pPr>
                    <w:pStyle w:val="115"/>
                    <w:bidi w:val="0"/>
                    <w:rPr>
                      <w:rFonts w:hint="default"/>
                      <w:u w:val="single"/>
                      <w:lang w:val="en-US" w:eastAsia="zh-CN"/>
                    </w:rPr>
                  </w:pPr>
                  <w:r>
                    <w:rPr>
                      <w:rFonts w:hint="default"/>
                      <w:u w:val="single"/>
                      <w:lang w:val="en-US" w:eastAsia="zh-CN"/>
                    </w:rPr>
                    <w:t>380</w:t>
                  </w:r>
                </w:p>
              </w:tc>
              <w:tc>
                <w:tcPr>
                  <w:tcW w:w="1050" w:type="dxa"/>
                  <w:noWrap w:val="0"/>
                  <w:vAlign w:val="center"/>
                </w:tcPr>
                <w:p w14:paraId="18D3787F">
                  <w:pPr>
                    <w:pStyle w:val="115"/>
                    <w:bidi w:val="0"/>
                    <w:rPr>
                      <w:rFonts w:hint="default"/>
                      <w:u w:val="single"/>
                      <w:lang w:val="en-US" w:eastAsia="zh-CN"/>
                    </w:rPr>
                  </w:pPr>
                  <w:r>
                    <w:rPr>
                      <w:rFonts w:hint="default"/>
                      <w:u w:val="single"/>
                      <w:lang w:val="en-US" w:eastAsia="zh-CN"/>
                    </w:rPr>
                    <w:t>380</w:t>
                  </w:r>
                </w:p>
              </w:tc>
              <w:tc>
                <w:tcPr>
                  <w:tcW w:w="1107" w:type="dxa"/>
                  <w:noWrap w:val="0"/>
                  <w:vAlign w:val="center"/>
                </w:tcPr>
                <w:p w14:paraId="668C4F06">
                  <w:pPr>
                    <w:pStyle w:val="115"/>
                    <w:bidi w:val="0"/>
                    <w:rPr>
                      <w:rFonts w:hint="default"/>
                      <w:u w:val="single"/>
                    </w:rPr>
                  </w:pPr>
                  <w:r>
                    <w:rPr>
                      <w:rFonts w:hint="default"/>
                      <w:u w:val="single"/>
                      <w:lang w:val="en-US" w:eastAsia="zh-CN"/>
                    </w:rPr>
                    <w:t>0</w:t>
                  </w:r>
                </w:p>
              </w:tc>
              <w:tc>
                <w:tcPr>
                  <w:tcW w:w="1057" w:type="dxa"/>
                  <w:noWrap w:val="0"/>
                  <w:vAlign w:val="center"/>
                </w:tcPr>
                <w:p w14:paraId="5FB4FE0D">
                  <w:pPr>
                    <w:pStyle w:val="115"/>
                    <w:bidi w:val="0"/>
                    <w:rPr>
                      <w:rFonts w:hint="default"/>
                      <w:u w:val="single"/>
                      <w:lang w:val="en-US" w:eastAsia="zh-CN"/>
                    </w:rPr>
                  </w:pPr>
                  <w:r>
                    <w:rPr>
                      <w:rFonts w:hint="default"/>
                      <w:u w:val="single"/>
                      <w:lang w:val="en-US" w:eastAsia="zh-CN"/>
                    </w:rPr>
                    <w:t>57</w:t>
                  </w:r>
                </w:p>
              </w:tc>
              <w:tc>
                <w:tcPr>
                  <w:tcW w:w="819" w:type="dxa"/>
                  <w:noWrap w:val="0"/>
                  <w:vAlign w:val="center"/>
                </w:tcPr>
                <w:p w14:paraId="1EDD4DC9">
                  <w:pPr>
                    <w:pStyle w:val="115"/>
                    <w:bidi w:val="0"/>
                    <w:rPr>
                      <w:rFonts w:hint="default"/>
                      <w:u w:val="single"/>
                      <w:lang w:val="en-US" w:eastAsia="zh-CN"/>
                    </w:rPr>
                  </w:pPr>
                  <w:r>
                    <w:rPr>
                      <w:rFonts w:hint="default"/>
                      <w:u w:val="single"/>
                      <w:lang w:val="en-US" w:eastAsia="zh-CN"/>
                    </w:rPr>
                    <w:t>323</w:t>
                  </w:r>
                </w:p>
              </w:tc>
              <w:tc>
                <w:tcPr>
                  <w:tcW w:w="1275" w:type="dxa"/>
                  <w:noWrap w:val="0"/>
                  <w:vAlign w:val="center"/>
                </w:tcPr>
                <w:p w14:paraId="6A21CEFA">
                  <w:pPr>
                    <w:pStyle w:val="115"/>
                    <w:bidi w:val="0"/>
                    <w:rPr>
                      <w:rFonts w:hint="default"/>
                      <w:u w:val="single"/>
                    </w:rPr>
                  </w:pPr>
                  <w:r>
                    <w:rPr>
                      <w:rFonts w:hint="eastAsia"/>
                      <w:u w:val="single"/>
                      <w:lang w:val="en-US" w:eastAsia="zh-CN"/>
                    </w:rPr>
                    <w:t>化粪池</w:t>
                  </w:r>
                </w:p>
              </w:tc>
            </w:tr>
            <w:tr w14:paraId="2D4502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74543B24">
                  <w:pPr>
                    <w:pStyle w:val="115"/>
                    <w:bidi w:val="0"/>
                    <w:rPr>
                      <w:rFonts w:hint="eastAsia"/>
                      <w:u w:val="single"/>
                      <w:lang w:val="en-US" w:eastAsia="zh-CN"/>
                    </w:rPr>
                  </w:pPr>
                  <w:r>
                    <w:rPr>
                      <w:rFonts w:hint="eastAsia"/>
                      <w:u w:val="single"/>
                      <w:lang w:val="en-US" w:eastAsia="zh-CN"/>
                    </w:rPr>
                    <w:t>2</w:t>
                  </w:r>
                </w:p>
              </w:tc>
              <w:tc>
                <w:tcPr>
                  <w:tcW w:w="1103" w:type="dxa"/>
                  <w:noWrap w:val="0"/>
                  <w:vAlign w:val="center"/>
                </w:tcPr>
                <w:p w14:paraId="5B34B74D">
                  <w:pPr>
                    <w:pStyle w:val="115"/>
                    <w:bidi w:val="0"/>
                    <w:rPr>
                      <w:rFonts w:hint="default"/>
                      <w:u w:val="single"/>
                    </w:rPr>
                  </w:pPr>
                  <w:r>
                    <w:rPr>
                      <w:u w:val="single"/>
                    </w:rPr>
                    <w:t>道路抑尘</w:t>
                  </w:r>
                  <w:r>
                    <w:rPr>
                      <w:rFonts w:hint="eastAsia"/>
                      <w:u w:val="single"/>
                    </w:rPr>
                    <w:t>用水</w:t>
                  </w:r>
                </w:p>
              </w:tc>
              <w:tc>
                <w:tcPr>
                  <w:tcW w:w="1412" w:type="dxa"/>
                  <w:noWrap w:val="0"/>
                  <w:vAlign w:val="center"/>
                </w:tcPr>
                <w:p w14:paraId="50409A6C">
                  <w:pPr>
                    <w:pStyle w:val="115"/>
                    <w:bidi w:val="0"/>
                    <w:rPr>
                      <w:rFonts w:hint="default"/>
                      <w:u w:val="single"/>
                      <w:lang w:val="en-US" w:eastAsia="zh-CN"/>
                    </w:rPr>
                  </w:pPr>
                  <w:r>
                    <w:rPr>
                      <w:rFonts w:hint="default"/>
                      <w:u w:val="single"/>
                      <w:lang w:val="en-US" w:eastAsia="zh-CN"/>
                    </w:rPr>
                    <w:t>522.135</w:t>
                  </w:r>
                </w:p>
              </w:tc>
              <w:tc>
                <w:tcPr>
                  <w:tcW w:w="1050" w:type="dxa"/>
                  <w:noWrap w:val="0"/>
                  <w:vAlign w:val="center"/>
                </w:tcPr>
                <w:p w14:paraId="77F60CC9">
                  <w:pPr>
                    <w:pStyle w:val="115"/>
                    <w:bidi w:val="0"/>
                    <w:rPr>
                      <w:rFonts w:hint="default"/>
                      <w:u w:val="single"/>
                      <w:lang w:val="en-US" w:eastAsia="zh-CN"/>
                    </w:rPr>
                  </w:pPr>
                  <w:r>
                    <w:rPr>
                      <w:rFonts w:hint="default"/>
                      <w:u w:val="single"/>
                      <w:lang w:val="en-US" w:eastAsia="zh-CN"/>
                    </w:rPr>
                    <w:t>522.135</w:t>
                  </w:r>
                </w:p>
              </w:tc>
              <w:tc>
                <w:tcPr>
                  <w:tcW w:w="1107" w:type="dxa"/>
                  <w:noWrap w:val="0"/>
                  <w:vAlign w:val="center"/>
                </w:tcPr>
                <w:p w14:paraId="4ABA2A6D">
                  <w:pPr>
                    <w:pStyle w:val="115"/>
                    <w:bidi w:val="0"/>
                    <w:rPr>
                      <w:rFonts w:hint="default"/>
                      <w:u w:val="single"/>
                      <w:lang w:val="en-US" w:eastAsia="zh-CN"/>
                    </w:rPr>
                  </w:pPr>
                  <w:r>
                    <w:rPr>
                      <w:rFonts w:hint="default"/>
                      <w:u w:val="single"/>
                      <w:lang w:val="en-US" w:eastAsia="zh-CN"/>
                    </w:rPr>
                    <w:t>0</w:t>
                  </w:r>
                </w:p>
              </w:tc>
              <w:tc>
                <w:tcPr>
                  <w:tcW w:w="1057" w:type="dxa"/>
                  <w:noWrap w:val="0"/>
                  <w:vAlign w:val="center"/>
                </w:tcPr>
                <w:p w14:paraId="24099288">
                  <w:pPr>
                    <w:pStyle w:val="115"/>
                    <w:bidi w:val="0"/>
                    <w:rPr>
                      <w:rFonts w:hint="default"/>
                      <w:u w:val="single"/>
                      <w:lang w:val="en-US" w:eastAsia="zh-CN"/>
                    </w:rPr>
                  </w:pPr>
                  <w:r>
                    <w:rPr>
                      <w:rFonts w:hint="default"/>
                      <w:u w:val="single"/>
                      <w:lang w:val="en-US" w:eastAsia="zh-CN"/>
                    </w:rPr>
                    <w:t>522.135</w:t>
                  </w:r>
                </w:p>
              </w:tc>
              <w:tc>
                <w:tcPr>
                  <w:tcW w:w="819" w:type="dxa"/>
                  <w:noWrap w:val="0"/>
                  <w:vAlign w:val="center"/>
                </w:tcPr>
                <w:p w14:paraId="2F0AE2C2">
                  <w:pPr>
                    <w:pStyle w:val="115"/>
                    <w:bidi w:val="0"/>
                    <w:rPr>
                      <w:rFonts w:hint="default"/>
                      <w:u w:val="single"/>
                      <w:lang w:val="en-US" w:eastAsia="zh-CN"/>
                    </w:rPr>
                  </w:pPr>
                  <w:r>
                    <w:rPr>
                      <w:rFonts w:hint="default"/>
                      <w:u w:val="single"/>
                      <w:lang w:val="en-US" w:eastAsia="zh-CN"/>
                    </w:rPr>
                    <w:t>0</w:t>
                  </w:r>
                </w:p>
              </w:tc>
              <w:tc>
                <w:tcPr>
                  <w:tcW w:w="1275" w:type="dxa"/>
                  <w:noWrap w:val="0"/>
                  <w:vAlign w:val="center"/>
                </w:tcPr>
                <w:p w14:paraId="68D5C498">
                  <w:pPr>
                    <w:pStyle w:val="115"/>
                    <w:bidi w:val="0"/>
                    <w:rPr>
                      <w:rFonts w:hint="eastAsia"/>
                      <w:u w:val="single"/>
                      <w:lang w:val="en-US" w:eastAsia="zh-CN"/>
                    </w:rPr>
                  </w:pPr>
                  <w:r>
                    <w:rPr>
                      <w:rFonts w:hint="eastAsia"/>
                      <w:u w:val="single"/>
                      <w:lang w:val="en-US" w:eastAsia="zh-CN"/>
                    </w:rPr>
                    <w:t>无废水产生</w:t>
                  </w:r>
                </w:p>
              </w:tc>
            </w:tr>
            <w:tr w14:paraId="37F97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17FA9921">
                  <w:pPr>
                    <w:pStyle w:val="115"/>
                    <w:bidi w:val="0"/>
                    <w:rPr>
                      <w:rFonts w:hint="eastAsia"/>
                      <w:u w:val="single"/>
                      <w:lang w:val="en-US" w:eastAsia="zh-CN"/>
                    </w:rPr>
                  </w:pPr>
                  <w:r>
                    <w:rPr>
                      <w:rFonts w:hint="eastAsia"/>
                      <w:u w:val="single"/>
                      <w:lang w:val="en-US" w:eastAsia="zh-CN"/>
                    </w:rPr>
                    <w:t>3</w:t>
                  </w:r>
                </w:p>
              </w:tc>
              <w:tc>
                <w:tcPr>
                  <w:tcW w:w="1103" w:type="dxa"/>
                  <w:noWrap w:val="0"/>
                  <w:vAlign w:val="center"/>
                </w:tcPr>
                <w:p w14:paraId="69AD8F25">
                  <w:pPr>
                    <w:pStyle w:val="115"/>
                    <w:bidi w:val="0"/>
                    <w:rPr>
                      <w:rFonts w:hint="default"/>
                      <w:u w:val="single"/>
                    </w:rPr>
                  </w:pPr>
                  <w:r>
                    <w:rPr>
                      <w:rFonts w:hint="eastAsia"/>
                      <w:u w:val="single"/>
                    </w:rPr>
                    <w:t>车辆冲洗用水</w:t>
                  </w:r>
                </w:p>
              </w:tc>
              <w:tc>
                <w:tcPr>
                  <w:tcW w:w="1412" w:type="dxa"/>
                  <w:noWrap w:val="0"/>
                  <w:vAlign w:val="center"/>
                </w:tcPr>
                <w:p w14:paraId="0D031679">
                  <w:pPr>
                    <w:pStyle w:val="115"/>
                    <w:bidi w:val="0"/>
                    <w:rPr>
                      <w:rFonts w:hint="default"/>
                      <w:u w:val="single"/>
                      <w:lang w:val="en-US" w:eastAsia="zh-CN"/>
                    </w:rPr>
                  </w:pPr>
                  <w:r>
                    <w:rPr>
                      <w:rFonts w:hint="default"/>
                      <w:u w:val="single"/>
                      <w:lang w:val="en-US" w:eastAsia="zh-CN"/>
                    </w:rPr>
                    <w:t>219</w:t>
                  </w:r>
                </w:p>
              </w:tc>
              <w:tc>
                <w:tcPr>
                  <w:tcW w:w="1050" w:type="dxa"/>
                  <w:noWrap w:val="0"/>
                  <w:vAlign w:val="center"/>
                </w:tcPr>
                <w:p w14:paraId="0B9CBF64">
                  <w:pPr>
                    <w:pStyle w:val="115"/>
                    <w:bidi w:val="0"/>
                    <w:rPr>
                      <w:rFonts w:hint="default"/>
                      <w:u w:val="single"/>
                      <w:lang w:val="en-US" w:eastAsia="zh-CN"/>
                    </w:rPr>
                  </w:pPr>
                  <w:r>
                    <w:rPr>
                      <w:rFonts w:hint="default"/>
                      <w:u w:val="single"/>
                      <w:lang w:val="en-US" w:eastAsia="zh-CN"/>
                    </w:rPr>
                    <w:t>32.85</w:t>
                  </w:r>
                </w:p>
              </w:tc>
              <w:tc>
                <w:tcPr>
                  <w:tcW w:w="1107" w:type="dxa"/>
                  <w:noWrap w:val="0"/>
                  <w:vAlign w:val="center"/>
                </w:tcPr>
                <w:p w14:paraId="79A87506">
                  <w:pPr>
                    <w:pStyle w:val="115"/>
                    <w:bidi w:val="0"/>
                    <w:rPr>
                      <w:rFonts w:hint="default"/>
                      <w:u w:val="single"/>
                      <w:lang w:val="en-US" w:eastAsia="zh-CN"/>
                    </w:rPr>
                  </w:pPr>
                  <w:r>
                    <w:rPr>
                      <w:rFonts w:hint="default"/>
                      <w:u w:val="single"/>
                      <w:lang w:val="en-US" w:eastAsia="zh-CN"/>
                    </w:rPr>
                    <w:t>186.15</w:t>
                  </w:r>
                </w:p>
              </w:tc>
              <w:tc>
                <w:tcPr>
                  <w:tcW w:w="1057" w:type="dxa"/>
                  <w:noWrap w:val="0"/>
                  <w:vAlign w:val="center"/>
                </w:tcPr>
                <w:p w14:paraId="3C0432E1">
                  <w:pPr>
                    <w:pStyle w:val="115"/>
                    <w:bidi w:val="0"/>
                    <w:rPr>
                      <w:rFonts w:hint="default"/>
                      <w:u w:val="single"/>
                      <w:lang w:val="en-US" w:eastAsia="zh-CN"/>
                    </w:rPr>
                  </w:pPr>
                  <w:r>
                    <w:rPr>
                      <w:rFonts w:hint="default"/>
                      <w:u w:val="single"/>
                      <w:lang w:val="en-US" w:eastAsia="zh-CN"/>
                    </w:rPr>
                    <w:t>32.85</w:t>
                  </w:r>
                </w:p>
              </w:tc>
              <w:tc>
                <w:tcPr>
                  <w:tcW w:w="819" w:type="dxa"/>
                  <w:noWrap w:val="0"/>
                  <w:vAlign w:val="center"/>
                </w:tcPr>
                <w:p w14:paraId="4670430D">
                  <w:pPr>
                    <w:pStyle w:val="115"/>
                    <w:bidi w:val="0"/>
                    <w:rPr>
                      <w:rFonts w:hint="default"/>
                      <w:u w:val="single"/>
                      <w:lang w:val="en-US" w:eastAsia="zh-CN"/>
                    </w:rPr>
                  </w:pPr>
                  <w:r>
                    <w:rPr>
                      <w:rFonts w:hint="default"/>
                      <w:u w:val="single"/>
                      <w:lang w:val="en-US" w:eastAsia="zh-CN"/>
                    </w:rPr>
                    <w:t>0</w:t>
                  </w:r>
                </w:p>
              </w:tc>
              <w:tc>
                <w:tcPr>
                  <w:tcW w:w="1275" w:type="dxa"/>
                  <w:noWrap w:val="0"/>
                  <w:vAlign w:val="center"/>
                </w:tcPr>
                <w:p w14:paraId="346F79C3">
                  <w:pPr>
                    <w:pStyle w:val="115"/>
                    <w:bidi w:val="0"/>
                    <w:rPr>
                      <w:rFonts w:hint="default"/>
                      <w:u w:val="single"/>
                      <w:lang w:val="en-US" w:eastAsia="zh-CN"/>
                    </w:rPr>
                  </w:pPr>
                  <w:r>
                    <w:rPr>
                      <w:rFonts w:hint="eastAsia"/>
                      <w:u w:val="single"/>
                      <w:lang w:val="en-US" w:eastAsia="zh-CN"/>
                    </w:rPr>
                    <w:t>沉淀后循环使用</w:t>
                  </w:r>
                </w:p>
              </w:tc>
            </w:tr>
            <w:tr w14:paraId="548914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5C83BE67">
                  <w:pPr>
                    <w:pStyle w:val="115"/>
                    <w:bidi w:val="0"/>
                    <w:rPr>
                      <w:rFonts w:hint="eastAsia"/>
                      <w:u w:val="single"/>
                      <w:lang w:val="en-US" w:eastAsia="zh-CN"/>
                    </w:rPr>
                  </w:pPr>
                  <w:r>
                    <w:rPr>
                      <w:rFonts w:hint="eastAsia"/>
                      <w:u w:val="single"/>
                      <w:lang w:val="en-US" w:eastAsia="zh-CN"/>
                    </w:rPr>
                    <w:t>4</w:t>
                  </w:r>
                </w:p>
              </w:tc>
              <w:tc>
                <w:tcPr>
                  <w:tcW w:w="1103" w:type="dxa"/>
                  <w:noWrap w:val="0"/>
                  <w:vAlign w:val="center"/>
                </w:tcPr>
                <w:p w14:paraId="3BF08B50">
                  <w:pPr>
                    <w:pStyle w:val="115"/>
                    <w:bidi w:val="0"/>
                    <w:rPr>
                      <w:rFonts w:hint="default"/>
                      <w:u w:val="single"/>
                    </w:rPr>
                  </w:pPr>
                  <w:r>
                    <w:rPr>
                      <w:rFonts w:hint="eastAsia"/>
                      <w:u w:val="single"/>
                      <w:lang w:val="en-US" w:eastAsia="zh-CN"/>
                    </w:rPr>
                    <w:t>堆填作业</w:t>
                  </w:r>
                  <w:r>
                    <w:rPr>
                      <w:u w:val="single"/>
                    </w:rPr>
                    <w:t>抑尘用水</w:t>
                  </w:r>
                </w:p>
              </w:tc>
              <w:tc>
                <w:tcPr>
                  <w:tcW w:w="1412" w:type="dxa"/>
                  <w:noWrap w:val="0"/>
                  <w:vAlign w:val="center"/>
                </w:tcPr>
                <w:p w14:paraId="21314ECA">
                  <w:pPr>
                    <w:pStyle w:val="115"/>
                    <w:bidi w:val="0"/>
                    <w:rPr>
                      <w:rFonts w:hint="default"/>
                      <w:u w:val="single"/>
                      <w:lang w:val="en-US" w:eastAsia="zh-CN"/>
                    </w:rPr>
                  </w:pPr>
                  <w:r>
                    <w:rPr>
                      <w:rFonts w:hint="eastAsia"/>
                      <w:u w:val="single"/>
                      <w:lang w:val="en-US" w:eastAsia="zh-CN"/>
                    </w:rPr>
                    <w:t>410</w:t>
                  </w:r>
                </w:p>
              </w:tc>
              <w:tc>
                <w:tcPr>
                  <w:tcW w:w="1050" w:type="dxa"/>
                  <w:noWrap w:val="0"/>
                  <w:vAlign w:val="center"/>
                </w:tcPr>
                <w:p w14:paraId="2C91E0A6">
                  <w:pPr>
                    <w:pStyle w:val="115"/>
                    <w:bidi w:val="0"/>
                    <w:rPr>
                      <w:rFonts w:hint="default"/>
                      <w:u w:val="single"/>
                      <w:lang w:val="en-US" w:eastAsia="zh-CN"/>
                    </w:rPr>
                  </w:pPr>
                  <w:r>
                    <w:rPr>
                      <w:rFonts w:hint="eastAsia"/>
                      <w:u w:val="single"/>
                      <w:lang w:val="en-US" w:eastAsia="zh-CN"/>
                    </w:rPr>
                    <w:t>410</w:t>
                  </w:r>
                </w:p>
              </w:tc>
              <w:tc>
                <w:tcPr>
                  <w:tcW w:w="1107" w:type="dxa"/>
                  <w:noWrap w:val="0"/>
                  <w:vAlign w:val="center"/>
                </w:tcPr>
                <w:p w14:paraId="6CB194DF">
                  <w:pPr>
                    <w:pStyle w:val="115"/>
                    <w:bidi w:val="0"/>
                    <w:rPr>
                      <w:rFonts w:hint="default"/>
                      <w:u w:val="single"/>
                      <w:lang w:val="en-US" w:eastAsia="zh-CN"/>
                    </w:rPr>
                  </w:pPr>
                  <w:r>
                    <w:rPr>
                      <w:rFonts w:hint="default"/>
                      <w:u w:val="single"/>
                      <w:lang w:val="en-US" w:eastAsia="zh-CN"/>
                    </w:rPr>
                    <w:t>0</w:t>
                  </w:r>
                </w:p>
              </w:tc>
              <w:tc>
                <w:tcPr>
                  <w:tcW w:w="1057" w:type="dxa"/>
                  <w:noWrap w:val="0"/>
                  <w:vAlign w:val="center"/>
                </w:tcPr>
                <w:p w14:paraId="5F8F1235">
                  <w:pPr>
                    <w:pStyle w:val="115"/>
                    <w:bidi w:val="0"/>
                    <w:rPr>
                      <w:rFonts w:hint="default"/>
                      <w:u w:val="single"/>
                      <w:lang w:val="en-US" w:eastAsia="zh-CN"/>
                    </w:rPr>
                  </w:pPr>
                  <w:r>
                    <w:rPr>
                      <w:rFonts w:hint="eastAsia"/>
                      <w:u w:val="single"/>
                      <w:lang w:val="en-US" w:eastAsia="zh-CN"/>
                    </w:rPr>
                    <w:t>410</w:t>
                  </w:r>
                </w:p>
              </w:tc>
              <w:tc>
                <w:tcPr>
                  <w:tcW w:w="819" w:type="dxa"/>
                  <w:noWrap w:val="0"/>
                  <w:vAlign w:val="center"/>
                </w:tcPr>
                <w:p w14:paraId="7841BB76">
                  <w:pPr>
                    <w:pStyle w:val="115"/>
                    <w:bidi w:val="0"/>
                    <w:rPr>
                      <w:rFonts w:hint="default"/>
                      <w:u w:val="single"/>
                      <w:lang w:val="en-US" w:eastAsia="zh-CN"/>
                    </w:rPr>
                  </w:pPr>
                  <w:r>
                    <w:rPr>
                      <w:rFonts w:hint="default"/>
                      <w:u w:val="single"/>
                      <w:lang w:val="en-US" w:eastAsia="zh-CN"/>
                    </w:rPr>
                    <w:t>0</w:t>
                  </w:r>
                </w:p>
              </w:tc>
              <w:tc>
                <w:tcPr>
                  <w:tcW w:w="1275" w:type="dxa"/>
                  <w:noWrap w:val="0"/>
                  <w:vAlign w:val="center"/>
                </w:tcPr>
                <w:p w14:paraId="7F4308C3">
                  <w:pPr>
                    <w:pStyle w:val="115"/>
                    <w:bidi w:val="0"/>
                    <w:rPr>
                      <w:rFonts w:hint="default"/>
                      <w:u w:val="single"/>
                    </w:rPr>
                  </w:pPr>
                  <w:r>
                    <w:rPr>
                      <w:rFonts w:hint="eastAsia"/>
                      <w:u w:val="single"/>
                      <w:lang w:val="en-US" w:eastAsia="zh-CN"/>
                    </w:rPr>
                    <w:t>无废水产生</w:t>
                  </w:r>
                </w:p>
              </w:tc>
            </w:tr>
            <w:tr w14:paraId="293CA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471ADD16">
                  <w:pPr>
                    <w:pStyle w:val="115"/>
                    <w:bidi w:val="0"/>
                    <w:rPr>
                      <w:rFonts w:hint="default"/>
                      <w:u w:val="single"/>
                      <w:lang w:val="en-US" w:eastAsia="zh-CN"/>
                    </w:rPr>
                  </w:pPr>
                  <w:r>
                    <w:rPr>
                      <w:rFonts w:hint="eastAsia"/>
                      <w:u w:val="single"/>
                      <w:lang w:val="en-US" w:eastAsia="zh-CN"/>
                    </w:rPr>
                    <w:t>5</w:t>
                  </w:r>
                </w:p>
              </w:tc>
              <w:tc>
                <w:tcPr>
                  <w:tcW w:w="1103" w:type="dxa"/>
                  <w:noWrap w:val="0"/>
                  <w:vAlign w:val="center"/>
                </w:tcPr>
                <w:p w14:paraId="1406060A">
                  <w:pPr>
                    <w:pStyle w:val="115"/>
                    <w:bidi w:val="0"/>
                    <w:rPr>
                      <w:rFonts w:hint="default"/>
                      <w:u w:val="single"/>
                      <w:lang w:val="en-US" w:eastAsia="zh-CN"/>
                    </w:rPr>
                  </w:pPr>
                  <w:r>
                    <w:rPr>
                      <w:rFonts w:hint="eastAsia"/>
                      <w:u w:val="single"/>
                    </w:rPr>
                    <w:t>堆填场</w:t>
                  </w:r>
                  <w:r>
                    <w:rPr>
                      <w:u w:val="single"/>
                    </w:rPr>
                    <w:t>抑尘用水</w:t>
                  </w:r>
                </w:p>
              </w:tc>
              <w:tc>
                <w:tcPr>
                  <w:tcW w:w="1412" w:type="dxa"/>
                  <w:noWrap w:val="0"/>
                  <w:vAlign w:val="center"/>
                </w:tcPr>
                <w:p w14:paraId="182568EE">
                  <w:pPr>
                    <w:pStyle w:val="115"/>
                    <w:bidi w:val="0"/>
                    <w:rPr>
                      <w:rFonts w:hint="default"/>
                      <w:u w:val="single"/>
                      <w:lang w:val="en-US" w:eastAsia="zh-CN"/>
                    </w:rPr>
                  </w:pPr>
                  <w:r>
                    <w:rPr>
                      <w:rFonts w:hint="eastAsia"/>
                      <w:u w:val="single"/>
                      <w:lang w:val="en-US" w:eastAsia="zh-CN"/>
                    </w:rPr>
                    <w:t>410</w:t>
                  </w:r>
                </w:p>
              </w:tc>
              <w:tc>
                <w:tcPr>
                  <w:tcW w:w="1050" w:type="dxa"/>
                  <w:noWrap w:val="0"/>
                  <w:vAlign w:val="center"/>
                </w:tcPr>
                <w:p w14:paraId="4A43BEC5">
                  <w:pPr>
                    <w:pStyle w:val="115"/>
                    <w:bidi w:val="0"/>
                    <w:rPr>
                      <w:rFonts w:hint="default"/>
                      <w:u w:val="single"/>
                      <w:lang w:val="en-US" w:eastAsia="zh-CN"/>
                    </w:rPr>
                  </w:pPr>
                  <w:r>
                    <w:rPr>
                      <w:rFonts w:hint="eastAsia"/>
                      <w:u w:val="single"/>
                      <w:lang w:val="en-US" w:eastAsia="zh-CN"/>
                    </w:rPr>
                    <w:t>410</w:t>
                  </w:r>
                </w:p>
              </w:tc>
              <w:tc>
                <w:tcPr>
                  <w:tcW w:w="1107" w:type="dxa"/>
                  <w:noWrap w:val="0"/>
                  <w:vAlign w:val="center"/>
                </w:tcPr>
                <w:p w14:paraId="5C171714">
                  <w:pPr>
                    <w:pStyle w:val="115"/>
                    <w:bidi w:val="0"/>
                    <w:rPr>
                      <w:rFonts w:hint="default"/>
                      <w:u w:val="single"/>
                      <w:lang w:val="en-US" w:eastAsia="zh-CN"/>
                    </w:rPr>
                  </w:pPr>
                  <w:r>
                    <w:rPr>
                      <w:rFonts w:hint="eastAsia"/>
                      <w:u w:val="single"/>
                      <w:lang w:val="en-US" w:eastAsia="zh-CN"/>
                    </w:rPr>
                    <w:t>0</w:t>
                  </w:r>
                </w:p>
              </w:tc>
              <w:tc>
                <w:tcPr>
                  <w:tcW w:w="1057" w:type="dxa"/>
                  <w:noWrap w:val="0"/>
                  <w:vAlign w:val="center"/>
                </w:tcPr>
                <w:p w14:paraId="607AFDAD">
                  <w:pPr>
                    <w:pStyle w:val="115"/>
                    <w:bidi w:val="0"/>
                    <w:rPr>
                      <w:rFonts w:hint="default"/>
                      <w:u w:val="single"/>
                      <w:lang w:val="en-US" w:eastAsia="zh-CN"/>
                    </w:rPr>
                  </w:pPr>
                  <w:r>
                    <w:rPr>
                      <w:rFonts w:hint="eastAsia"/>
                      <w:u w:val="single"/>
                      <w:lang w:val="en-US" w:eastAsia="zh-CN"/>
                    </w:rPr>
                    <w:t>410</w:t>
                  </w:r>
                </w:p>
              </w:tc>
              <w:tc>
                <w:tcPr>
                  <w:tcW w:w="819" w:type="dxa"/>
                  <w:noWrap w:val="0"/>
                  <w:vAlign w:val="center"/>
                </w:tcPr>
                <w:p w14:paraId="62E757D5">
                  <w:pPr>
                    <w:pStyle w:val="115"/>
                    <w:bidi w:val="0"/>
                    <w:rPr>
                      <w:rFonts w:hint="default"/>
                      <w:u w:val="single"/>
                      <w:lang w:val="en-US" w:eastAsia="zh-CN"/>
                    </w:rPr>
                  </w:pPr>
                  <w:r>
                    <w:rPr>
                      <w:rFonts w:hint="eastAsia"/>
                      <w:u w:val="single"/>
                      <w:lang w:val="en-US" w:eastAsia="zh-CN"/>
                    </w:rPr>
                    <w:t>0</w:t>
                  </w:r>
                </w:p>
              </w:tc>
              <w:tc>
                <w:tcPr>
                  <w:tcW w:w="1275" w:type="dxa"/>
                  <w:noWrap w:val="0"/>
                  <w:vAlign w:val="center"/>
                </w:tcPr>
                <w:p w14:paraId="7F5ED0CB">
                  <w:pPr>
                    <w:pStyle w:val="115"/>
                    <w:bidi w:val="0"/>
                    <w:rPr>
                      <w:rFonts w:hint="default"/>
                      <w:u w:val="single"/>
                      <w:lang w:val="en-US" w:eastAsia="zh-CN"/>
                    </w:rPr>
                  </w:pPr>
                  <w:r>
                    <w:rPr>
                      <w:rFonts w:hint="eastAsia"/>
                      <w:u w:val="single"/>
                      <w:lang w:val="en-US" w:eastAsia="zh-CN"/>
                    </w:rPr>
                    <w:t>无废水产生</w:t>
                  </w:r>
                </w:p>
              </w:tc>
            </w:tr>
            <w:tr w14:paraId="137E98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0E0ABC22">
                  <w:pPr>
                    <w:pStyle w:val="115"/>
                    <w:bidi w:val="0"/>
                    <w:rPr>
                      <w:rFonts w:hint="default"/>
                      <w:u w:val="single"/>
                      <w:lang w:val="en-US" w:eastAsia="zh-CN"/>
                    </w:rPr>
                  </w:pPr>
                  <w:r>
                    <w:rPr>
                      <w:rFonts w:hint="eastAsia"/>
                      <w:u w:val="single"/>
                      <w:lang w:val="en-US" w:eastAsia="zh-CN"/>
                    </w:rPr>
                    <w:t>5</w:t>
                  </w:r>
                </w:p>
              </w:tc>
              <w:tc>
                <w:tcPr>
                  <w:tcW w:w="1103" w:type="dxa"/>
                  <w:noWrap w:val="0"/>
                  <w:vAlign w:val="center"/>
                </w:tcPr>
                <w:p w14:paraId="44C2138A">
                  <w:pPr>
                    <w:pStyle w:val="115"/>
                    <w:bidi w:val="0"/>
                    <w:rPr>
                      <w:rFonts w:hint="default" w:ascii="Times New Roman" w:hAnsi="Times New Roman" w:eastAsia="宋体" w:cs="Times New Roman"/>
                      <w:u w:val="single"/>
                      <w:lang w:val="en-US" w:eastAsia="zh-CN"/>
                    </w:rPr>
                  </w:pPr>
                  <w:r>
                    <w:rPr>
                      <w:rFonts w:hint="eastAsia" w:ascii="Times New Roman" w:hAnsi="Times New Roman" w:eastAsia="宋体" w:cs="Times New Roman"/>
                      <w:u w:val="single"/>
                      <w:lang w:val="en-US" w:eastAsia="zh-CN"/>
                    </w:rPr>
                    <w:t>合计</w:t>
                  </w:r>
                </w:p>
              </w:tc>
              <w:tc>
                <w:tcPr>
                  <w:tcW w:w="1412" w:type="dxa"/>
                  <w:noWrap w:val="0"/>
                  <w:vAlign w:val="center"/>
                </w:tcPr>
                <w:p w14:paraId="51CC1FD9">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1941.135</w:t>
                  </w:r>
                </w:p>
              </w:tc>
              <w:tc>
                <w:tcPr>
                  <w:tcW w:w="1050" w:type="dxa"/>
                  <w:noWrap w:val="0"/>
                  <w:vAlign w:val="center"/>
                </w:tcPr>
                <w:p w14:paraId="6F3E08E8">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1754.985</w:t>
                  </w:r>
                </w:p>
              </w:tc>
              <w:tc>
                <w:tcPr>
                  <w:tcW w:w="1107" w:type="dxa"/>
                  <w:noWrap w:val="0"/>
                  <w:vAlign w:val="center"/>
                </w:tcPr>
                <w:p w14:paraId="29DDB102">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186.15</w:t>
                  </w:r>
                </w:p>
              </w:tc>
              <w:tc>
                <w:tcPr>
                  <w:tcW w:w="1057" w:type="dxa"/>
                  <w:noWrap w:val="0"/>
                  <w:vAlign w:val="center"/>
                </w:tcPr>
                <w:p w14:paraId="12F8FD78">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1431.985</w:t>
                  </w:r>
                </w:p>
              </w:tc>
              <w:tc>
                <w:tcPr>
                  <w:tcW w:w="819" w:type="dxa"/>
                  <w:noWrap w:val="0"/>
                  <w:vAlign w:val="center"/>
                </w:tcPr>
                <w:p w14:paraId="61A42E65">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323</w:t>
                  </w:r>
                </w:p>
              </w:tc>
              <w:tc>
                <w:tcPr>
                  <w:tcW w:w="1275" w:type="dxa"/>
                  <w:noWrap w:val="0"/>
                  <w:vAlign w:val="center"/>
                </w:tcPr>
                <w:p w14:paraId="0D61D757">
                  <w:pPr>
                    <w:pStyle w:val="115"/>
                    <w:bidi w:val="0"/>
                    <w:rPr>
                      <w:rFonts w:hint="default" w:ascii="Times New Roman" w:hAnsi="Times New Roman" w:eastAsia="宋体" w:cs="Times New Roman"/>
                      <w:u w:val="single"/>
                      <w:lang w:val="en-US" w:eastAsia="zh-CN"/>
                    </w:rPr>
                  </w:pPr>
                  <w:r>
                    <w:rPr>
                      <w:rFonts w:hint="default" w:ascii="Times New Roman" w:hAnsi="Times New Roman" w:eastAsia="宋体" w:cs="Times New Roman"/>
                      <w:u w:val="single"/>
                      <w:lang w:val="en-US" w:eastAsia="zh-CN"/>
                    </w:rPr>
                    <w:t>/</w:t>
                  </w:r>
                </w:p>
              </w:tc>
            </w:tr>
            <w:tr w14:paraId="0EF3C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8" w:type="dxa"/>
                  <w:noWrap w:val="0"/>
                  <w:vAlign w:val="center"/>
                </w:tcPr>
                <w:p w14:paraId="25804B71">
                  <w:pPr>
                    <w:pStyle w:val="115"/>
                    <w:bidi w:val="0"/>
                    <w:rPr>
                      <w:rFonts w:hint="default"/>
                      <w:u w:val="single"/>
                      <w:lang w:val="en-US" w:eastAsia="zh-CN"/>
                    </w:rPr>
                  </w:pPr>
                  <w:r>
                    <w:rPr>
                      <w:rFonts w:hint="eastAsia"/>
                      <w:u w:val="single"/>
                      <w:lang w:val="en-US" w:eastAsia="zh-CN"/>
                    </w:rPr>
                    <w:t>6</w:t>
                  </w:r>
                </w:p>
              </w:tc>
              <w:tc>
                <w:tcPr>
                  <w:tcW w:w="1103" w:type="dxa"/>
                  <w:noWrap w:val="0"/>
                  <w:vAlign w:val="center"/>
                </w:tcPr>
                <w:p w14:paraId="7F48498F">
                  <w:pPr>
                    <w:pStyle w:val="115"/>
                    <w:bidi w:val="0"/>
                    <w:rPr>
                      <w:rFonts w:hint="eastAsia"/>
                      <w:u w:val="single"/>
                      <w:lang w:val="en-US" w:eastAsia="zh-CN"/>
                    </w:rPr>
                  </w:pPr>
                  <w:r>
                    <w:rPr>
                      <w:rFonts w:hint="eastAsia"/>
                      <w:u w:val="single"/>
                      <w:lang w:val="en-US" w:eastAsia="zh-CN"/>
                    </w:rPr>
                    <w:t>矿坑积水（淋滤水）</w:t>
                  </w:r>
                </w:p>
              </w:tc>
              <w:tc>
                <w:tcPr>
                  <w:tcW w:w="6720" w:type="dxa"/>
                  <w:gridSpan w:val="6"/>
                  <w:noWrap w:val="0"/>
                  <w:vAlign w:val="center"/>
                </w:tcPr>
                <w:p w14:paraId="428F16BF">
                  <w:pPr>
                    <w:pStyle w:val="115"/>
                    <w:bidi w:val="0"/>
                    <w:rPr>
                      <w:rFonts w:hint="default"/>
                      <w:u w:val="single"/>
                      <w:lang w:val="en-US" w:eastAsia="zh-CN"/>
                    </w:rPr>
                  </w:pPr>
                  <w:r>
                    <w:rPr>
                      <w:rFonts w:hint="default"/>
                      <w:u w:val="single"/>
                      <w:lang w:val="en-US" w:eastAsia="zh-CN"/>
                    </w:rPr>
                    <w:t>下雨时才会形成积水，在坑底置抽水泵及排水管道，及时将下雨产生的矿坑积水</w:t>
                  </w:r>
                  <w:r>
                    <w:rPr>
                      <w:rFonts w:hint="eastAsia"/>
                      <w:u w:val="single"/>
                      <w:lang w:val="en-US" w:eastAsia="zh-CN"/>
                    </w:rPr>
                    <w:t>排入淋滤水</w:t>
                  </w:r>
                  <w:r>
                    <w:rPr>
                      <w:rFonts w:hint="default"/>
                      <w:u w:val="single"/>
                      <w:lang w:val="en-US" w:eastAsia="zh-CN"/>
                    </w:rPr>
                    <w:t>沉淀池（30m</w:t>
                  </w:r>
                  <w:r>
                    <w:rPr>
                      <w:rFonts w:hint="default"/>
                      <w:u w:val="single"/>
                      <w:vertAlign w:val="superscript"/>
                      <w:lang w:val="en-US" w:eastAsia="zh-CN"/>
                    </w:rPr>
                    <w:t>3</w:t>
                  </w:r>
                  <w:r>
                    <w:rPr>
                      <w:rFonts w:hint="default"/>
                      <w:u w:val="single"/>
                      <w:lang w:val="en-US" w:eastAsia="zh-CN"/>
                    </w:rPr>
                    <w:t>）内进行沉淀处理沉淀</w:t>
                  </w:r>
                  <w:r>
                    <w:rPr>
                      <w:rFonts w:hint="eastAsia"/>
                      <w:u w:val="single"/>
                      <w:lang w:val="en-US" w:eastAsia="zh-CN"/>
                    </w:rPr>
                    <w:t>，</w:t>
                  </w:r>
                  <w:r>
                    <w:rPr>
                      <w:rFonts w:hint="default"/>
                      <w:u w:val="single"/>
                      <w:lang w:val="en-US" w:eastAsia="zh-CN"/>
                    </w:rPr>
                    <w:t>处理后部分用于厂内生产，部分外排至洪溪</w:t>
                  </w:r>
                </w:p>
              </w:tc>
            </w:tr>
          </w:tbl>
          <w:p w14:paraId="20D9C847">
            <w:pPr>
              <w:spacing w:line="360" w:lineRule="auto"/>
              <w:ind w:firstLine="480" w:firstLineChars="200"/>
              <w:rPr>
                <w:rFonts w:hint="eastAsia"/>
                <w:sz w:val="24"/>
                <w:u w:val="single"/>
                <w:lang w:val="en-US" w:eastAsia="zh-CN"/>
              </w:rPr>
            </w:pPr>
            <w:r>
              <w:rPr>
                <w:rFonts w:hint="eastAsia"/>
                <w:sz w:val="24"/>
                <w:u w:val="single"/>
                <w:lang w:val="en-US" w:eastAsia="zh-CN"/>
              </w:rPr>
              <w:t>本项目水平衡图见下图2.5-1。</w:t>
            </w:r>
          </w:p>
          <w:p w14:paraId="2F261DDC">
            <w:pPr>
              <w:pStyle w:val="167"/>
              <w:spacing w:line="360" w:lineRule="auto"/>
              <w:ind w:firstLine="0" w:firstLineChars="0"/>
              <w:jc w:val="center"/>
              <w:rPr>
                <w:rFonts w:hint="eastAsia"/>
                <w:kern w:val="0"/>
                <w:sz w:val="21"/>
                <w:szCs w:val="21"/>
              </w:rPr>
            </w:pPr>
            <w:r>
              <w:rPr>
                <w:rFonts w:hint="eastAsia"/>
                <w:kern w:val="0"/>
                <w:sz w:val="21"/>
                <w:szCs w:val="21"/>
              </w:rPr>
              <w:object>
                <v:shape id="_x0000_i1025" o:spt="75" type="#_x0000_t75" style="height:332.25pt;width:398.45pt;" o:ole="t" filled="f" o:preferrelative="t" stroked="f" coordsize="21600,21600">
                  <v:path/>
                  <v:fill on="f" focussize="0,0"/>
                  <v:stroke on="f"/>
                  <v:imagedata r:id="rId21" cropbottom="3353f" o:title=""/>
                  <o:lock v:ext="edit" aspectratio="f"/>
                  <w10:wrap type="none"/>
                  <w10:anchorlock/>
                </v:shape>
                <o:OLEObject Type="Embed" ProgID="Visio.Drawing.15" ShapeID="_x0000_i1025" DrawAspect="Content" ObjectID="_1468075725" r:id="rId20">
                  <o:LockedField>false</o:LockedField>
                </o:OLEObject>
              </w:object>
            </w:r>
          </w:p>
          <w:p w14:paraId="64D21B32">
            <w:pPr>
              <w:pStyle w:val="44"/>
              <w:bidi w:val="0"/>
              <w:rPr>
                <w:rFonts w:hint="eastAsia"/>
              </w:rPr>
            </w:pPr>
            <w:r>
              <w:rPr>
                <w:rFonts w:hint="eastAsia"/>
              </w:rPr>
              <w:t>图</w:t>
            </w:r>
            <w:r>
              <w:rPr>
                <w:rFonts w:hint="eastAsia"/>
                <w:lang w:val="en-US" w:eastAsia="zh-CN"/>
              </w:rPr>
              <w:t>2.6-1：</w:t>
            </w:r>
            <w:r>
              <w:rPr>
                <w:rFonts w:hint="eastAsia"/>
              </w:rPr>
              <w:t>项目水平衡图（t/a）</w:t>
            </w:r>
          </w:p>
          <w:p w14:paraId="52CA358A">
            <w:pPr>
              <w:pStyle w:val="4"/>
              <w:bidi w:val="0"/>
              <w:spacing w:line="360" w:lineRule="auto"/>
              <w:rPr>
                <w:rFonts w:hint="eastAsia"/>
                <w:lang w:val="en-US" w:eastAsia="zh-CN"/>
              </w:rPr>
            </w:pPr>
            <w:r>
              <w:rPr>
                <w:rFonts w:hint="eastAsia"/>
                <w:lang w:val="en-US" w:eastAsia="zh-CN"/>
              </w:rPr>
              <w:t>2.7劳动动员及工作制度</w:t>
            </w:r>
          </w:p>
          <w:p w14:paraId="3C9C3E5E">
            <w:pPr>
              <w:spacing w:line="360" w:lineRule="auto"/>
              <w:ind w:firstLine="480" w:firstLineChars="200"/>
              <w:rPr>
                <w:rFonts w:hint="eastAsia"/>
                <w:sz w:val="24"/>
                <w:lang w:val="en-US" w:eastAsia="zh-CN"/>
              </w:rPr>
            </w:pPr>
            <w:r>
              <w:rPr>
                <w:rFonts w:hint="eastAsia"/>
                <w:sz w:val="24"/>
                <w:lang w:val="en-US" w:eastAsia="zh-CN"/>
              </w:rPr>
              <w:t>（1）劳动定员</w:t>
            </w:r>
          </w:p>
          <w:p w14:paraId="3BF2AAAA">
            <w:pPr>
              <w:spacing w:line="360" w:lineRule="auto"/>
              <w:ind w:firstLine="480" w:firstLineChars="200"/>
              <w:rPr>
                <w:rFonts w:hint="eastAsia"/>
                <w:sz w:val="24"/>
                <w:lang w:val="en-US" w:eastAsia="zh-CN"/>
              </w:rPr>
            </w:pPr>
            <w:r>
              <w:rPr>
                <w:rFonts w:hint="eastAsia"/>
                <w:sz w:val="24"/>
                <w:lang w:val="en-US" w:eastAsia="zh-CN"/>
              </w:rPr>
              <w:t>根据企业生产经营的实际需求，项目劳动定员为10人。</w:t>
            </w:r>
          </w:p>
          <w:p w14:paraId="500AAD57">
            <w:pPr>
              <w:spacing w:line="360" w:lineRule="auto"/>
              <w:ind w:firstLine="480" w:firstLineChars="200"/>
              <w:rPr>
                <w:rFonts w:hint="eastAsia"/>
                <w:sz w:val="24"/>
                <w:lang w:val="en-US" w:eastAsia="zh-CN"/>
              </w:rPr>
            </w:pPr>
            <w:r>
              <w:rPr>
                <w:rFonts w:hint="eastAsia"/>
                <w:sz w:val="24"/>
                <w:lang w:val="en-US" w:eastAsia="zh-CN"/>
              </w:rPr>
              <w:t>（2）工作制度</w:t>
            </w:r>
          </w:p>
          <w:p w14:paraId="46DA8CFA">
            <w:pPr>
              <w:spacing w:line="360" w:lineRule="auto"/>
              <w:ind w:firstLine="480" w:firstLineChars="200"/>
              <w:rPr>
                <w:rFonts w:hint="eastAsia"/>
                <w:sz w:val="24"/>
                <w:lang w:val="en-US" w:eastAsia="zh-CN"/>
              </w:rPr>
            </w:pPr>
            <w:r>
              <w:rPr>
                <w:rFonts w:hint="eastAsia"/>
                <w:sz w:val="24"/>
                <w:lang w:val="en-US" w:eastAsia="zh-CN"/>
              </w:rPr>
              <w:t>项目年工作365天，8小时工作制，项目场区内仅设值班和办公房，不在场内食宿。</w:t>
            </w:r>
          </w:p>
          <w:p w14:paraId="76D839ED">
            <w:pPr>
              <w:pStyle w:val="4"/>
              <w:bidi w:val="0"/>
              <w:spacing w:line="360" w:lineRule="auto"/>
              <w:rPr>
                <w:rFonts w:hint="eastAsia"/>
                <w:lang w:val="en-US" w:eastAsia="zh-CN"/>
              </w:rPr>
            </w:pPr>
            <w:r>
              <w:rPr>
                <w:rFonts w:hint="eastAsia"/>
                <w:lang w:val="en-US" w:eastAsia="zh-CN"/>
              </w:rPr>
              <w:t>2.8厂区平面布置</w:t>
            </w:r>
          </w:p>
          <w:p w14:paraId="6E2832A3">
            <w:pPr>
              <w:spacing w:line="360" w:lineRule="auto"/>
              <w:ind w:firstLine="480" w:firstLineChars="200"/>
              <w:rPr>
                <w:rFonts w:hint="eastAsia"/>
                <w:lang w:val="en-US" w:eastAsia="zh-CN"/>
              </w:rPr>
            </w:pPr>
            <w:r>
              <w:rPr>
                <w:rFonts w:hint="eastAsia"/>
                <w:lang w:val="en-US" w:eastAsia="zh-CN"/>
              </w:rPr>
              <w:t>本项目所在区域全年主导风向为东北风，辅助设施布置在主导风向上风向，同时综合考虑到运输道路位置、物料运输的连通性、减少主体设施和辅助设施在场区内的二次转运等因素，将辅助设施设置在项目厂区范围的东北侧、靠近外部道路且平坦空地较大的区域内，便于项目运营期间的生产作业。</w:t>
            </w:r>
          </w:p>
          <w:p w14:paraId="3F76CEF0">
            <w:pPr>
              <w:rPr>
                <w:rFonts w:hint="eastAsia"/>
              </w:rPr>
            </w:pPr>
            <w:r>
              <w:rPr>
                <w:rFonts w:hint="eastAsia"/>
              </w:rPr>
              <w:t>场区入口位于场区东北侧，从平面布置来看，项目场地平面布置分为作业区和办公区，一期工程主要是利用原有矿山遗留采石坑建设建筑垃圾消纳场，对现有采石坑进行回填造地堆填场，库区面积为库区面积为6102.56m</w:t>
            </w:r>
            <w:r>
              <w:rPr>
                <w:rFonts w:hint="eastAsia"/>
                <w:vertAlign w:val="superscript"/>
              </w:rPr>
              <w:t>2</w:t>
            </w:r>
            <w:r>
              <w:rPr>
                <w:rFonts w:hint="eastAsia"/>
              </w:rPr>
              <w:t>，总库容</w:t>
            </w:r>
            <w:r>
              <w:rPr>
                <w:rFonts w:hint="eastAsia"/>
                <w:lang w:val="en-US" w:eastAsia="zh-CN"/>
              </w:rPr>
              <w:t>5</w:t>
            </w:r>
            <w:r>
              <w:rPr>
                <w:rFonts w:hint="eastAsia"/>
              </w:rPr>
              <w:t>万立方米，考虑场地主体设施、辅助设施位置以及外部道路与场区道路的连接，进（出）场区、管理用房布置在项目区东北侧。进场区设有地磅及洗车池，建筑垃圾堆填场截洪沟沿库区西侧、南侧山脚布置，将上游雨水导排至场外</w:t>
            </w:r>
            <w:r>
              <w:rPr>
                <w:rFonts w:hint="eastAsia"/>
                <w:lang w:val="en-US" w:eastAsia="zh-CN"/>
              </w:rPr>
              <w:t>沟渠</w:t>
            </w:r>
            <w:r>
              <w:rPr>
                <w:rFonts w:hint="eastAsia"/>
              </w:rPr>
              <w:t>；库区内淋滤水经坑底集水坑由潜污泵</w:t>
            </w:r>
            <w:r>
              <w:rPr>
                <w:rFonts w:hint="eastAsia"/>
                <w:lang w:eastAsia="zh-CN"/>
              </w:rPr>
              <w:t>、</w:t>
            </w:r>
            <w:r>
              <w:rPr>
                <w:rFonts w:hint="eastAsia"/>
                <w:lang w:val="en-US" w:eastAsia="zh-CN"/>
              </w:rPr>
              <w:t>排水沟</w:t>
            </w:r>
            <w:r>
              <w:rPr>
                <w:rFonts w:hint="eastAsia"/>
              </w:rPr>
              <w:t>抽至淋滤水沉淀池</w:t>
            </w:r>
            <w:r>
              <w:rPr>
                <w:rFonts w:hint="eastAsia"/>
                <w:lang w:eastAsia="zh-CN"/>
              </w:rPr>
              <w:t>，</w:t>
            </w:r>
            <w:r>
              <w:rPr>
                <w:rFonts w:hint="eastAsia"/>
                <w:lang w:val="en-US" w:eastAsia="zh-CN"/>
              </w:rPr>
              <w:t>经沉淀后排至沟渠汇入洪溪</w:t>
            </w:r>
            <w:r>
              <w:rPr>
                <w:rFonts w:hint="eastAsia"/>
              </w:rPr>
              <w:t>，有进场道路连通至</w:t>
            </w:r>
            <w:r>
              <w:rPr>
                <w:rFonts w:hint="eastAsia"/>
                <w:lang w:val="en-US" w:eastAsia="zh-CN"/>
              </w:rPr>
              <w:t>堆填场</w:t>
            </w:r>
            <w:r>
              <w:rPr>
                <w:rFonts w:hint="eastAsia"/>
              </w:rPr>
              <w:t>，</w:t>
            </w:r>
            <w:r>
              <w:rPr>
                <w:rFonts w:hint="eastAsia"/>
                <w:lang w:val="en-US" w:eastAsia="zh-CN"/>
              </w:rPr>
              <w:t>堆填场</w:t>
            </w:r>
            <w:r>
              <w:rPr>
                <w:rFonts w:hint="eastAsia"/>
              </w:rPr>
              <w:t>进口处设置分拣平台，分拣后的建筑垃圾进入堆填场，分拣出的废金属、</w:t>
            </w:r>
            <w:r>
              <w:rPr>
                <w:rFonts w:hint="eastAsia"/>
                <w:lang w:eastAsia="zh-CN"/>
              </w:rPr>
              <w:t>废塑料、废木块</w:t>
            </w:r>
            <w:r>
              <w:rPr>
                <w:rFonts w:hint="eastAsia"/>
                <w:lang w:val="en-US" w:eastAsia="zh-CN"/>
              </w:rPr>
              <w:t>等一般固废</w:t>
            </w:r>
            <w:r>
              <w:rPr>
                <w:rFonts w:hint="eastAsia"/>
              </w:rPr>
              <w:t>在一般固废暂存间暂存后外售回收处置；分拣出的危险废物在危废暂存间暂存后交有资质单位处置，严禁混入堆填场处置。</w:t>
            </w:r>
          </w:p>
          <w:p w14:paraId="257EB4AA">
            <w:pPr>
              <w:rPr>
                <w:rFonts w:hint="eastAsia"/>
              </w:rPr>
            </w:pPr>
            <w:r>
              <w:rPr>
                <w:rFonts w:hint="eastAsia"/>
              </w:rPr>
              <w:t>建筑垃圾堆填期间，项目需与堆填场各平台有效衔接。建筑垃圾运输车辆经进场道路、通过办公区后，进入堆填场内进行作业，便于垃圾的有序堆填。场区整体地势西高东低，在进场口设置车辆冲洗平台及车辆废水沉淀池，用于收集车辆冲洗废水。项目各区域功能明确，物料运输顺畅，管理便捷。</w:t>
            </w:r>
          </w:p>
          <w:p w14:paraId="4D97C570">
            <w:pPr>
              <w:rPr>
                <w:rFonts w:hint="eastAsia"/>
                <w:lang w:val="en-US" w:eastAsia="zh-CN"/>
              </w:rPr>
            </w:pPr>
            <w:r>
              <w:rPr>
                <w:rFonts w:hint="eastAsia"/>
              </w:rPr>
              <w:t>根据平面布置图（详见附图2），场区功能分区清晰，总平面布置做到了节约用地。各环节根据建筑垃圾堆填的实际需要分区布设，使生产作业呈流线型布局，实现了物流顺畅、人流短捷，满足工艺流程要求</w:t>
            </w:r>
            <w:r>
              <w:t>。</w:t>
            </w:r>
          </w:p>
        </w:tc>
      </w:tr>
      <w:tr w14:paraId="0BB3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5" w:hRule="atLeast"/>
        </w:trPr>
        <w:tc>
          <w:tcPr>
            <w:tcW w:w="1242" w:type="dxa"/>
            <w:vAlign w:val="center"/>
          </w:tcPr>
          <w:p w14:paraId="62C5C0E8">
            <w:pPr>
              <w:ind w:firstLine="0" w:firstLineChars="0"/>
              <w:jc w:val="center"/>
            </w:pPr>
            <w:r>
              <w:rPr>
                <w:rFonts w:hint="eastAsia"/>
                <w:b/>
                <w:bCs/>
              </w:rPr>
              <w:t>工艺流程和产排污环节</w:t>
            </w:r>
          </w:p>
        </w:tc>
        <w:tc>
          <w:tcPr>
            <w:tcW w:w="8715" w:type="dxa"/>
          </w:tcPr>
          <w:p w14:paraId="52D77F12">
            <w:pPr>
              <w:pStyle w:val="4"/>
              <w:bidi w:val="0"/>
              <w:spacing w:line="360" w:lineRule="auto"/>
              <w:rPr>
                <w:rFonts w:hint="eastAsia"/>
                <w:lang w:val="en-US" w:eastAsia="zh-CN"/>
              </w:rPr>
            </w:pPr>
            <w:bookmarkStart w:id="29" w:name="_Toc8551"/>
            <w:bookmarkStart w:id="30" w:name="_Toc21851"/>
            <w:bookmarkStart w:id="31" w:name="_Toc3514"/>
            <w:r>
              <w:rPr>
                <w:rFonts w:hint="eastAsia"/>
                <w:lang w:val="en-US" w:eastAsia="zh-CN"/>
              </w:rPr>
              <w:t>2.9生产工艺及产污节点图</w:t>
            </w:r>
          </w:p>
          <w:p w14:paraId="3EAAB866">
            <w:pPr>
              <w:pStyle w:val="5"/>
              <w:bidi w:val="0"/>
              <w:spacing w:line="360" w:lineRule="auto"/>
              <w:ind w:firstLine="482" w:firstLineChars="200"/>
              <w:rPr>
                <w:rFonts w:hint="default"/>
                <w:sz w:val="24"/>
                <w:lang w:val="en-US" w:eastAsia="zh-CN"/>
              </w:rPr>
            </w:pPr>
            <w:r>
              <w:rPr>
                <w:rFonts w:hint="eastAsia"/>
                <w:sz w:val="24"/>
                <w:lang w:val="en-US" w:eastAsia="zh-CN"/>
              </w:rPr>
              <w:t>2.9.1施工期</w:t>
            </w:r>
          </w:p>
          <w:p w14:paraId="4337C6AC">
            <w:pPr>
              <w:spacing w:line="360" w:lineRule="auto"/>
              <w:ind w:firstLine="480" w:firstLineChars="200"/>
              <w:rPr>
                <w:rFonts w:hint="eastAsia"/>
                <w:sz w:val="24"/>
                <w:lang w:val="en-US" w:eastAsia="zh-CN"/>
              </w:rPr>
            </w:pPr>
            <w:r>
              <w:rPr>
                <w:rFonts w:hint="eastAsia"/>
                <w:sz w:val="24"/>
                <w:lang w:val="en-US" w:eastAsia="zh-CN"/>
              </w:rPr>
              <w:t>依据初步设计，本次环评为一期工程，一期工程将利用原有矿山开采砂石矿遗留的矿坑进行堆填场建设，本项目施工期主要工艺流程及产污环节见图2.9-1。</w:t>
            </w:r>
          </w:p>
          <w:p w14:paraId="6EF3A9F2">
            <w:pPr>
              <w:pStyle w:val="167"/>
              <w:spacing w:line="360" w:lineRule="auto"/>
              <w:ind w:firstLine="0" w:firstLineChars="0"/>
              <w:jc w:val="center"/>
              <w:rPr>
                <w:bCs/>
              </w:rPr>
            </w:pPr>
            <w:r>
              <w:object>
                <v:shape id="_x0000_i1026" o:spt="75" type="#_x0000_t75" style="height:234.3pt;width:397.35pt;" o:ole="t" filled="f" o:preferrelative="t" stroked="f" coordsize="21600,21600">
                  <v:path/>
                  <v:fill on="f" focussize="0,0"/>
                  <v:stroke on="f"/>
                  <v:imagedata r:id="rId23" o:title=""/>
                  <o:lock v:ext="edit" aspectratio="f"/>
                  <w10:wrap type="none"/>
                  <w10:anchorlock/>
                </v:shape>
                <o:OLEObject Type="Embed" ProgID="Visio.Drawing.15" ShapeID="_x0000_i1026" DrawAspect="Content" ObjectID="_1468075726" r:id="rId22">
                  <o:LockedField>false</o:LockedField>
                </o:OLEObject>
              </w:object>
            </w:r>
          </w:p>
          <w:p w14:paraId="78F1ED60">
            <w:pPr>
              <w:pStyle w:val="44"/>
              <w:bidi w:val="0"/>
            </w:pPr>
            <w:r>
              <w:t>图</w:t>
            </w:r>
            <w:r>
              <w:rPr>
                <w:rFonts w:hint="eastAsia"/>
                <w:lang w:val="en-US" w:eastAsia="zh-CN"/>
              </w:rPr>
              <w:t>2.9-1</w:t>
            </w:r>
            <w:r>
              <w:rPr>
                <w:rFonts w:hint="eastAsia"/>
                <w:lang w:eastAsia="zh-CN"/>
              </w:rPr>
              <w:t>：</w:t>
            </w:r>
            <w:r>
              <w:t>施工期工艺流程及产污环节示意图</w:t>
            </w:r>
          </w:p>
          <w:p w14:paraId="133C9A97">
            <w:pPr>
              <w:bidi w:val="0"/>
              <w:rPr>
                <w:rFonts w:hint="eastAsia"/>
              </w:rPr>
            </w:pPr>
            <w:r>
              <w:rPr>
                <w:rFonts w:hint="eastAsia"/>
              </w:rPr>
              <w:t>项目建设主要包括以下几个阶段：</w:t>
            </w:r>
          </w:p>
          <w:p w14:paraId="04B9D038">
            <w:pPr>
              <w:bidi w:val="0"/>
              <w:rPr>
                <w:rFonts w:hint="eastAsia"/>
                <w:lang w:eastAsia="zh-CN"/>
              </w:rPr>
            </w:pPr>
            <w:r>
              <w:rPr>
                <w:rFonts w:hint="eastAsia"/>
                <w:lang w:val="en-US" w:eastAsia="zh-CN"/>
              </w:rPr>
              <w:t>（1）</w:t>
            </w:r>
            <w:r>
              <w:rPr>
                <w:rFonts w:hint="eastAsia"/>
              </w:rPr>
              <w:t>场地清理：将场地内的杂草、塑料瓶、农作物根系、杂物等进行清除</w:t>
            </w:r>
            <w:r>
              <w:rPr>
                <w:rFonts w:hint="eastAsia"/>
                <w:lang w:eastAsia="zh-CN"/>
              </w:rPr>
              <w:t>。</w:t>
            </w:r>
          </w:p>
          <w:p w14:paraId="275C1E4A">
            <w:pPr>
              <w:bidi w:val="0"/>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场地平整：</w:t>
            </w:r>
            <w:r>
              <w:rPr>
                <w:rFonts w:hint="eastAsia"/>
                <w:lang w:val="en-US" w:eastAsia="zh-CN"/>
              </w:rPr>
              <w:t>建筑垃圾堆填场进场道路、堆填场地</w:t>
            </w:r>
            <w:r>
              <w:rPr>
                <w:rFonts w:hint="eastAsia"/>
              </w:rPr>
              <w:t>清理后可直接平整，不再挖深；</w:t>
            </w:r>
          </w:p>
          <w:p w14:paraId="6768577B">
            <w:pPr>
              <w:bidi w:val="0"/>
              <w:rPr>
                <w:rFonts w:hint="eastAsia"/>
              </w:rPr>
            </w:pPr>
            <w:r>
              <w:rPr>
                <w:rFonts w:hint="eastAsia"/>
              </w:rPr>
              <w:t>（3）场地压实：</w:t>
            </w:r>
            <w:r>
              <w:rPr>
                <w:rFonts w:hint="eastAsia"/>
                <w:lang w:val="en-US" w:eastAsia="zh-CN"/>
              </w:rPr>
              <w:t>建筑垃圾堆填场</w:t>
            </w:r>
            <w:r>
              <w:rPr>
                <w:rFonts w:hint="eastAsia"/>
              </w:rPr>
              <w:t>基础为土方层填筑，机械碾压平整。</w:t>
            </w:r>
          </w:p>
          <w:p w14:paraId="72E0643A">
            <w:pPr>
              <w:bidi w:val="0"/>
              <w:rPr>
                <w:rFonts w:hint="eastAsia"/>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辅助工程建设：进行辅助工程建设（包括管理用房、进场道路、车辆冲洗平台等），其中进场道路在已有外部道路的基础上修建场内道路。</w:t>
            </w:r>
          </w:p>
          <w:p w14:paraId="31FB2536">
            <w:pPr>
              <w:bidi w:val="0"/>
              <w:rPr>
                <w:rFonts w:hint="default"/>
                <w:u w:val="single"/>
                <w:lang w:val="en-US" w:eastAsia="zh-CN"/>
              </w:rPr>
            </w:pPr>
            <w:r>
              <w:rPr>
                <w:rFonts w:hint="eastAsia"/>
                <w:u w:val="single"/>
                <w:lang w:val="en-US" w:eastAsia="zh-CN"/>
              </w:rPr>
              <w:t>（5）主体工程建设：施工期先设置抽排水装置及排水管道将矿坑积水抽排至东北侧沟渠内汇入洪溪中，其次对矿坑底部的区域进行清理、压实，在库区进场内设置分拣平台。根据洪江市城市管理和综合执法局委托</w:t>
            </w:r>
            <w:r>
              <w:rPr>
                <w:rFonts w:hint="eastAsia"/>
                <w:u w:val="single"/>
              </w:rPr>
              <w:t>湖南怀德检测技术有限公司</w:t>
            </w:r>
            <w:r>
              <w:rPr>
                <w:rFonts w:hint="eastAsia"/>
                <w:u w:val="single"/>
                <w:lang w:val="en-US" w:eastAsia="zh-CN"/>
              </w:rPr>
              <w:t>对现矿坑积水进行监测，根据监测可知矿坑积水满足地表水三类标准限值要求，施工期要求现有矿坑积水达到《污水综合排放标准》（GB8978-1996）一级标准后排入沟渠汇入洪溪。</w:t>
            </w:r>
          </w:p>
          <w:p w14:paraId="3B74A211">
            <w:pPr>
              <w:bidi w:val="0"/>
              <w:rPr>
                <w:rFonts w:hint="eastAsia"/>
                <w:u w:val="single"/>
                <w:lang w:val="en-US" w:eastAsia="zh-CN"/>
              </w:rPr>
            </w:pPr>
            <w:r>
              <w:rPr>
                <w:rFonts w:hint="eastAsia"/>
                <w:u w:val="single"/>
                <w:lang w:val="en-US" w:eastAsia="zh-CN"/>
              </w:rPr>
              <w:t>（6）环保工程建设：根据实际需求修建堆填场周边的排水设施、场区化粪池、车辆清洗平台、洗车废水沉淀池、淋滤水沉淀池等。</w:t>
            </w:r>
          </w:p>
          <w:p w14:paraId="338ED0D3">
            <w:pPr>
              <w:spacing w:line="360" w:lineRule="auto"/>
              <w:ind w:firstLine="482" w:firstLineChars="200"/>
              <w:rPr>
                <w:rFonts w:hint="eastAsia"/>
                <w:b/>
                <w:bCs/>
                <w:sz w:val="24"/>
                <w:u w:val="single"/>
                <w:lang w:val="en-US" w:eastAsia="zh-CN"/>
              </w:rPr>
            </w:pPr>
            <w:r>
              <w:rPr>
                <w:rFonts w:hint="eastAsia"/>
                <w:b/>
                <w:bCs/>
                <w:sz w:val="24"/>
                <w:u w:val="single"/>
                <w:lang w:val="en-US" w:eastAsia="zh-CN"/>
              </w:rPr>
              <w:t>截排水工程：</w:t>
            </w:r>
          </w:p>
          <w:p w14:paraId="56AF0B01">
            <w:pPr>
              <w:spacing w:line="360" w:lineRule="auto"/>
              <w:ind w:firstLine="482" w:firstLineChars="200"/>
              <w:rPr>
                <w:rFonts w:hint="eastAsia"/>
                <w:b/>
                <w:bCs/>
                <w:color w:val="auto"/>
                <w:sz w:val="24"/>
                <w:u w:val="single"/>
                <w:lang w:val="en-US" w:eastAsia="zh-CN"/>
              </w:rPr>
            </w:pPr>
            <w:r>
              <w:rPr>
                <w:rFonts w:hint="eastAsia"/>
                <w:b/>
                <w:bCs/>
                <w:color w:val="auto"/>
                <w:sz w:val="24"/>
                <w:u w:val="single"/>
                <w:lang w:val="en-US" w:eastAsia="zh-CN"/>
              </w:rPr>
              <w:t>①场外截排水</w:t>
            </w:r>
          </w:p>
          <w:p w14:paraId="264C000B">
            <w:pPr>
              <w:spacing w:line="360" w:lineRule="auto"/>
              <w:ind w:firstLine="480" w:firstLineChars="200"/>
              <w:rPr>
                <w:rFonts w:hint="eastAsia"/>
                <w:color w:val="auto"/>
                <w:sz w:val="24"/>
                <w:u w:val="single"/>
                <w:lang w:val="en-US" w:eastAsia="zh-CN"/>
              </w:rPr>
            </w:pPr>
            <w:r>
              <w:rPr>
                <w:rFonts w:hint="eastAsia"/>
                <w:color w:val="auto"/>
                <w:sz w:val="24"/>
                <w:u w:val="single"/>
                <w:lang w:val="en-US" w:eastAsia="zh-CN"/>
              </w:rPr>
              <w:t>本项目所在区域属丘陵地貌，堆填场厂址原为废弃采石场采坑，呈“U”型沟谷状，一期为废弃采石场矿坑（本次评价内容），堆填场两侧山体稳定、天然围挡条件良好，有利于减少土方开挖及挡墙工程量。在建筑垃圾堆填场运营过程中，进入建筑垃圾堆填场的地表水形成地表径流，对建筑垃圾堆填场运营不利。因此，为尽可能减少地表径流量，首先沿建筑垃圾堆填场按50年一遇洪水标准沿西、南侧山脚设置截排沟（125m），截洪沟主要作用是切断从上游汇水面来的地表径流，阻止径流流入场区内。</w:t>
            </w:r>
          </w:p>
          <w:p w14:paraId="7B327F7E">
            <w:pPr>
              <w:spacing w:line="360" w:lineRule="auto"/>
              <w:ind w:firstLine="480" w:firstLineChars="200"/>
              <w:rPr>
                <w:rFonts w:hint="eastAsia"/>
                <w:color w:val="auto"/>
                <w:sz w:val="24"/>
                <w:u w:val="single"/>
                <w:lang w:val="en-US" w:eastAsia="zh-CN"/>
              </w:rPr>
            </w:pPr>
            <w:r>
              <w:rPr>
                <w:rFonts w:hint="eastAsia"/>
                <w:color w:val="auto"/>
                <w:sz w:val="24"/>
                <w:u w:val="single"/>
                <w:lang w:val="en-US" w:eastAsia="zh-CN"/>
              </w:rPr>
              <w:t>截洪沟按50年一遇暴雨强度设计，可控制场外地表水不进入建筑垃圾消纳场，以维护作业安全并减少水土流失。</w:t>
            </w:r>
          </w:p>
          <w:p w14:paraId="62870A62">
            <w:pPr>
              <w:spacing w:line="360" w:lineRule="auto"/>
              <w:ind w:firstLine="482" w:firstLineChars="200"/>
              <w:rPr>
                <w:rFonts w:hint="eastAsia"/>
                <w:b/>
                <w:bCs/>
                <w:sz w:val="24"/>
                <w:u w:val="single"/>
                <w:lang w:val="en-US" w:eastAsia="zh-CN"/>
              </w:rPr>
            </w:pPr>
            <w:r>
              <w:rPr>
                <w:rFonts w:hint="eastAsia"/>
                <w:b/>
                <w:bCs/>
                <w:sz w:val="24"/>
                <w:u w:val="single"/>
                <w:lang w:val="en-US" w:eastAsia="zh-CN"/>
              </w:rPr>
              <w:t>②场内截排水</w:t>
            </w:r>
          </w:p>
          <w:p w14:paraId="3B9D3A57">
            <w:pPr>
              <w:spacing w:line="360" w:lineRule="auto"/>
              <w:ind w:firstLine="480" w:firstLineChars="200"/>
              <w:rPr>
                <w:rFonts w:hint="eastAsia"/>
                <w:sz w:val="24"/>
                <w:u w:val="single"/>
                <w:lang w:val="en-US" w:eastAsia="zh-CN"/>
              </w:rPr>
            </w:pPr>
            <w:r>
              <w:rPr>
                <w:rFonts w:hint="eastAsia"/>
                <w:sz w:val="24"/>
                <w:u w:val="single"/>
                <w:lang w:val="en-US" w:eastAsia="zh-CN"/>
              </w:rPr>
              <w:t>因项目一期工程是利用历史遗留矿坑建设堆填场，矿坑较深且无法修建进入矿坑内的道路，因此在雨季作业时需要采取措施对矿坑底部积留的雨水进行抽排，保障堆填作业的正常运行，在堆填场矿坑底部设置抽水管道，通过抽水泵将底部积水抽上来再泵送至淋滤水沉淀池（30m</w:t>
            </w:r>
            <w:r>
              <w:rPr>
                <w:rFonts w:hint="eastAsia"/>
                <w:sz w:val="24"/>
                <w:u w:val="single"/>
                <w:vertAlign w:val="superscript"/>
                <w:lang w:val="en-US" w:eastAsia="zh-CN"/>
              </w:rPr>
              <w:t>3</w:t>
            </w:r>
            <w:r>
              <w:rPr>
                <w:rFonts w:hint="eastAsia"/>
                <w:sz w:val="24"/>
                <w:u w:val="single"/>
                <w:lang w:val="en-US" w:eastAsia="zh-CN"/>
              </w:rPr>
              <w:t>）沉淀后外排至沟渠，雨水地表径流进入洪溪。</w:t>
            </w:r>
          </w:p>
          <w:p w14:paraId="5BAFD96D">
            <w:pPr>
              <w:spacing w:line="360" w:lineRule="auto"/>
              <w:ind w:firstLine="482" w:firstLineChars="200"/>
              <w:rPr>
                <w:rFonts w:hint="eastAsia"/>
                <w:sz w:val="24"/>
                <w:lang w:val="en-US" w:eastAsia="zh-CN"/>
              </w:rPr>
            </w:pPr>
            <w:r>
              <w:rPr>
                <w:rFonts w:hint="eastAsia"/>
                <w:b/>
                <w:bCs/>
                <w:sz w:val="24"/>
                <w:lang w:val="en-US" w:eastAsia="zh-CN"/>
              </w:rPr>
              <w:t>管理用房：</w:t>
            </w:r>
            <w:r>
              <w:rPr>
                <w:rFonts w:hint="eastAsia"/>
                <w:sz w:val="24"/>
                <w:lang w:val="en-US" w:eastAsia="zh-CN"/>
              </w:rPr>
              <w:t>位于项目区东北侧，主要用于办公、管理、休息的场所；将场内空地处设为机械停放及施工材料临时堆放场地。服务期结束后，清理管理用房后（管理用房拆除的建筑垃圾妥善处理）进行植被恢复。</w:t>
            </w:r>
          </w:p>
          <w:p w14:paraId="092BF884">
            <w:pPr>
              <w:spacing w:line="360" w:lineRule="auto"/>
              <w:ind w:firstLine="482" w:firstLineChars="200"/>
              <w:rPr>
                <w:rFonts w:hint="eastAsia"/>
                <w:sz w:val="24"/>
                <w:lang w:val="en-US" w:eastAsia="zh-CN"/>
              </w:rPr>
            </w:pPr>
            <w:r>
              <w:rPr>
                <w:rFonts w:hint="eastAsia"/>
                <w:b/>
                <w:bCs/>
                <w:sz w:val="24"/>
                <w:lang w:val="en-US" w:eastAsia="zh-CN"/>
              </w:rPr>
              <w:t>场内道路：</w:t>
            </w:r>
            <w:r>
              <w:rPr>
                <w:rFonts w:hint="eastAsia"/>
                <w:sz w:val="24"/>
                <w:lang w:val="en-US" w:eastAsia="zh-CN"/>
              </w:rPr>
              <w:t>总长度约283m，规划设计为4.5m宽，其中水泥路面106m，碎石路面177m。</w:t>
            </w:r>
          </w:p>
          <w:p w14:paraId="53311751">
            <w:pPr>
              <w:numPr>
                <w:ilvl w:val="0"/>
                <w:numId w:val="0"/>
              </w:numPr>
              <w:spacing w:line="360" w:lineRule="auto"/>
              <w:ind w:firstLine="480" w:firstLineChars="200"/>
              <w:rPr>
                <w:rFonts w:hint="eastAsia"/>
                <w:sz w:val="24"/>
                <w:lang w:val="en-US" w:eastAsia="zh-CN"/>
              </w:rPr>
            </w:pPr>
            <w:r>
              <w:rPr>
                <w:rFonts w:hint="eastAsia" w:ascii="Times New Roman" w:hAnsi="Times New Roman" w:eastAsia="宋体" w:cs="Times New Roman"/>
                <w:kern w:val="2"/>
                <w:sz w:val="24"/>
                <w:szCs w:val="24"/>
                <w:lang w:val="en-US" w:eastAsia="zh-CN" w:bidi="ar-SA"/>
              </w:rPr>
              <w:t>（1）</w:t>
            </w:r>
            <w:r>
              <w:rPr>
                <w:rFonts w:hint="eastAsia"/>
                <w:sz w:val="24"/>
                <w:lang w:val="en-US" w:eastAsia="zh-CN"/>
              </w:rPr>
              <w:t>填筑路基以机械压实为主，一般采用水平分层填筑施工，即按照横断面全宽分成水平层次逐层向上填土。施工工序为：清除表层碎浮土、石块→平地机、推土机整平→压路机压实→路基填筑。填土时适当加大宽度和高度，分层填土、压实，多余部分利用平地机或其他方法铲除休整。如原地面不平，应由最低处分层填起，每填一层，结束压实并符合压实度规定后在填上一层。填筑过程中，每层完成应形成4%的横坡以便排水良好。</w:t>
            </w:r>
          </w:p>
          <w:p w14:paraId="39FD7C0F">
            <w:pPr>
              <w:numPr>
                <w:ilvl w:val="0"/>
                <w:numId w:val="0"/>
              </w:numPr>
              <w:spacing w:line="360" w:lineRule="auto"/>
              <w:ind w:firstLine="480" w:firstLineChars="200"/>
              <w:rPr>
                <w:rFonts w:hint="eastAsia"/>
                <w:sz w:val="24"/>
                <w:lang w:val="en-US" w:eastAsia="zh-CN"/>
              </w:rPr>
            </w:pPr>
            <w:r>
              <w:rPr>
                <w:rFonts w:hint="eastAsia" w:ascii="Times New Roman" w:hAnsi="Times New Roman" w:eastAsia="宋体" w:cs="Times New Roman"/>
                <w:kern w:val="2"/>
                <w:sz w:val="24"/>
                <w:szCs w:val="24"/>
                <w:lang w:val="en-US" w:eastAsia="zh-CN" w:bidi="ar-SA"/>
              </w:rPr>
              <w:t>（2）</w:t>
            </w:r>
            <w:r>
              <w:rPr>
                <w:rFonts w:hint="eastAsia"/>
                <w:sz w:val="24"/>
                <w:lang w:val="en-US" w:eastAsia="zh-CN"/>
              </w:rPr>
              <w:t>路面工程：①泥结碎石面层：施工方法采用拌和法；②施工程序为：摊铺碎石→铺土→拌和整型→碾压；③摊铺碎石：按松铺厚度用平地机或人工摊铺碎石，并洒水，使碎石全部湿润；④铺土：将规定用量的土均匀的摊铺在碎石表层上；⑤拌和：采用机械或人工拌和，拌和一遍后边拌边洒水，翻拌3~4遍，以粘土成浆与碎石粘结在一起为度；⑥整型：用平地机将路面整平，符合路拱要求；⑦碾压：整形后用6~8t压路机洒水碾压，使泥浆上冒，至表层时缝中有一层泥浆即停止碾压；稍干后再用10~12t压路机进行收浆碾压1遍，随即撒嵌缝料，再碾压2~3遍，至表面无明显轮迹为止。</w:t>
            </w:r>
          </w:p>
          <w:p w14:paraId="55FF7D3E">
            <w:pPr>
              <w:spacing w:line="360" w:lineRule="auto"/>
              <w:ind w:firstLine="482" w:firstLineChars="200"/>
              <w:rPr>
                <w:rFonts w:hint="eastAsia"/>
                <w:sz w:val="24"/>
                <w:lang w:val="en-US" w:eastAsia="zh-CN"/>
              </w:rPr>
            </w:pPr>
            <w:r>
              <w:rPr>
                <w:rFonts w:hint="eastAsia"/>
                <w:b/>
                <w:bCs/>
                <w:sz w:val="24"/>
                <w:lang w:val="en-US" w:eastAsia="zh-CN"/>
              </w:rPr>
              <w:t>车辆清洗平台及沉淀池：</w:t>
            </w:r>
            <w:r>
              <w:rPr>
                <w:rFonts w:hint="eastAsia"/>
                <w:sz w:val="24"/>
                <w:lang w:val="en-US" w:eastAsia="zh-CN"/>
              </w:rPr>
              <w:t>堆填场出入口设置车辆清洗平台，并配备设置一座10m</w:t>
            </w:r>
            <w:r>
              <w:rPr>
                <w:rFonts w:hint="eastAsia"/>
                <w:sz w:val="24"/>
                <w:vertAlign w:val="superscript"/>
                <w:lang w:val="en-US" w:eastAsia="zh-CN"/>
              </w:rPr>
              <w:t>3</w:t>
            </w:r>
            <w:r>
              <w:rPr>
                <w:rFonts w:hint="eastAsia"/>
                <w:sz w:val="24"/>
                <w:lang w:val="en-US" w:eastAsia="zh-CN"/>
              </w:rPr>
              <w:t>的洗车废水沉淀池，以防止施工车辆驶离项目区时携带的土壤污染外部道路，车辆清洁平台底部和周边浇筑厚0.5m~1m，底部还浇筑C15砼垫层10cm，同时配套有车辆清洗设备；沉淀池设置在靠近车辆清洗平台区域内，便于收集废水，经沉淀后泵送至清洗平台。</w:t>
            </w:r>
          </w:p>
          <w:p w14:paraId="17D8E815">
            <w:pPr>
              <w:spacing w:line="360" w:lineRule="auto"/>
              <w:ind w:firstLine="482" w:firstLineChars="200"/>
              <w:rPr>
                <w:rFonts w:hint="eastAsia" w:cs="Times New Roman"/>
                <w:b w:val="0"/>
                <w:bCs w:val="0"/>
                <w:sz w:val="24"/>
                <w:lang w:val="en-US" w:eastAsia="zh-CN"/>
              </w:rPr>
            </w:pPr>
            <w:r>
              <w:rPr>
                <w:rFonts w:hint="eastAsia"/>
                <w:b/>
                <w:bCs/>
                <w:sz w:val="24"/>
                <w:lang w:val="en-US" w:eastAsia="zh-CN"/>
              </w:rPr>
              <w:t>矿坑积水：</w:t>
            </w:r>
            <w:r>
              <w:rPr>
                <w:rFonts w:hint="eastAsia" w:ascii="Times New Roman" w:hAnsi="Times New Roman" w:eastAsia="宋体" w:cs="Times New Roman"/>
                <w:b w:val="0"/>
                <w:bCs w:val="0"/>
                <w:sz w:val="24"/>
                <w:lang w:val="en-US" w:eastAsia="zh-CN"/>
              </w:rPr>
              <w:t>根据洪江市城市管理和综合执法局委托湖南怀德检测技术有限公司对现矿坑积水监测可知矿坑积水满足地表水三类标准限值要求，</w:t>
            </w:r>
            <w:r>
              <w:rPr>
                <w:rFonts w:hint="eastAsia" w:cs="Times New Roman"/>
                <w:b w:val="0"/>
                <w:bCs w:val="0"/>
                <w:sz w:val="24"/>
                <w:lang w:val="en-US" w:eastAsia="zh-CN"/>
              </w:rPr>
              <w:t>施工期要求矿坑积水达到《污水综合排放标准》（GB8978-1996）一级标准后外排。</w:t>
            </w:r>
          </w:p>
          <w:p w14:paraId="75096EA8">
            <w:pPr>
              <w:spacing w:line="360" w:lineRule="auto"/>
              <w:ind w:firstLine="480" w:firstLineChars="200"/>
              <w:rPr>
                <w:rFonts w:hint="eastAsia" w:ascii="Times New Roman" w:hAnsi="Times New Roman" w:eastAsia="宋体" w:cs="Times New Roman"/>
                <w:b w:val="0"/>
                <w:bCs w:val="0"/>
                <w:sz w:val="24"/>
                <w:lang w:val="en-US" w:eastAsia="zh-CN"/>
              </w:rPr>
            </w:pPr>
            <w:r>
              <w:rPr>
                <w:rFonts w:hint="eastAsia" w:ascii="Times New Roman" w:hAnsi="Times New Roman" w:eastAsia="宋体" w:cs="Times New Roman"/>
                <w:b w:val="0"/>
                <w:bCs w:val="0"/>
                <w:sz w:val="24"/>
                <w:lang w:val="en-US" w:eastAsia="zh-CN"/>
              </w:rPr>
              <w:t>在坑外合适位置提前建设临时沉淀池（或直接利用运营期30m</w:t>
            </w:r>
            <w:r>
              <w:rPr>
                <w:rFonts w:hint="eastAsia" w:ascii="Times New Roman" w:hAnsi="Times New Roman" w:eastAsia="宋体" w:cs="Times New Roman"/>
                <w:b w:val="0"/>
                <w:bCs w:val="0"/>
                <w:sz w:val="24"/>
                <w:vertAlign w:val="superscript"/>
                <w:lang w:val="en-US" w:eastAsia="zh-CN"/>
              </w:rPr>
              <w:t>3</w:t>
            </w:r>
            <w:r>
              <w:rPr>
                <w:rFonts w:hint="eastAsia" w:ascii="Times New Roman" w:hAnsi="Times New Roman" w:eastAsia="宋体" w:cs="Times New Roman"/>
                <w:b w:val="0"/>
                <w:bCs w:val="0"/>
                <w:sz w:val="24"/>
                <w:lang w:val="en-US" w:eastAsia="zh-CN"/>
              </w:rPr>
              <w:t>淋溶水沉淀池，要求在施工期前建成），安装潜污泵及排水管道，将坑内积水抽至沉淀池，静置沉淀后排入</w:t>
            </w:r>
            <w:r>
              <w:rPr>
                <w:rFonts w:hint="eastAsia" w:cs="Times New Roman"/>
                <w:b w:val="0"/>
                <w:bCs w:val="0"/>
                <w:sz w:val="24"/>
                <w:lang w:val="en-US" w:eastAsia="zh-CN"/>
              </w:rPr>
              <w:t>洪溪</w:t>
            </w:r>
            <w:r>
              <w:rPr>
                <w:rFonts w:hint="eastAsia" w:ascii="Times New Roman" w:hAnsi="Times New Roman" w:eastAsia="宋体" w:cs="Times New Roman"/>
                <w:b w:val="0"/>
                <w:bCs w:val="0"/>
                <w:sz w:val="24"/>
                <w:lang w:val="en-US" w:eastAsia="zh-CN"/>
              </w:rPr>
              <w:t>，抽排至基底露出后，持续抽排保持坑底干燥。</w:t>
            </w:r>
          </w:p>
          <w:p w14:paraId="1CEFB8C4">
            <w:pPr>
              <w:spacing w:line="360" w:lineRule="auto"/>
              <w:ind w:firstLine="482" w:firstLineChars="200"/>
              <w:rPr>
                <w:rFonts w:hint="eastAsia"/>
                <w:sz w:val="24"/>
                <w:lang w:val="en-US" w:eastAsia="zh-CN"/>
              </w:rPr>
            </w:pPr>
            <w:r>
              <w:rPr>
                <w:rFonts w:hint="eastAsia"/>
                <w:b/>
                <w:bCs/>
                <w:sz w:val="24"/>
                <w:lang w:val="en-US" w:eastAsia="zh-CN"/>
              </w:rPr>
              <w:t>矿坑底部清基、压实：</w:t>
            </w:r>
            <w:r>
              <w:rPr>
                <w:rFonts w:hint="eastAsia"/>
                <w:sz w:val="24"/>
                <w:lang w:val="en-US" w:eastAsia="zh-CN"/>
              </w:rPr>
              <w:t>根据相关规范要求，堆填前应清除矿坑基底的垃圾、树根等杂物，抽除坑穴积水、淤泥，本项目对抽除积水后的坑底进行清理，淤泥收集后经压滤达到含水率40%以下后再投入坑底，根据现场实际情况对基底进行压实。</w:t>
            </w:r>
          </w:p>
          <w:p w14:paraId="1DA60413">
            <w:pPr>
              <w:spacing w:line="360" w:lineRule="auto"/>
              <w:ind w:firstLine="482" w:firstLineChars="200"/>
              <w:rPr>
                <w:rFonts w:hint="eastAsia"/>
                <w:sz w:val="24"/>
                <w:lang w:val="en-US" w:eastAsia="zh-CN"/>
              </w:rPr>
            </w:pPr>
            <w:r>
              <w:rPr>
                <w:rFonts w:hint="eastAsia"/>
                <w:b/>
                <w:bCs/>
                <w:sz w:val="24"/>
                <w:lang w:val="en-US" w:eastAsia="zh-CN"/>
              </w:rPr>
              <w:t>矿坑水抽排设施及沉淀水池：</w:t>
            </w:r>
            <w:r>
              <w:rPr>
                <w:rFonts w:hint="eastAsia"/>
                <w:sz w:val="24"/>
                <w:lang w:val="en-US" w:eastAsia="zh-CN"/>
              </w:rPr>
              <w:t>因项目一期工程是利用历史遗留矿坑建设堆填场，矿坑较深且无法修建进入矿坑内的道路，因此在雨季作业时需要采取措施对矿坑底部积留的雨水进行抽排，保障堆填作业的正常运行，在堆填场矿坑底部设置抽水管道，通过抽水泵将底部积水抽上来再泵送至淋滤水沉淀池（30m</w:t>
            </w:r>
            <w:r>
              <w:rPr>
                <w:rFonts w:hint="eastAsia"/>
                <w:sz w:val="24"/>
                <w:vertAlign w:val="superscript"/>
                <w:lang w:val="en-US" w:eastAsia="zh-CN"/>
              </w:rPr>
              <w:t>3</w:t>
            </w:r>
            <w:r>
              <w:rPr>
                <w:rFonts w:hint="eastAsia"/>
                <w:sz w:val="24"/>
                <w:lang w:val="en-US" w:eastAsia="zh-CN"/>
              </w:rPr>
              <w:t>）沉淀后外排。</w:t>
            </w:r>
          </w:p>
          <w:p w14:paraId="4D61E00D">
            <w:pPr>
              <w:spacing w:line="360" w:lineRule="auto"/>
              <w:ind w:firstLine="482" w:firstLineChars="200"/>
              <w:rPr>
                <w:rFonts w:hint="eastAsia"/>
                <w:sz w:val="24"/>
                <w:lang w:val="en-US" w:eastAsia="zh-CN"/>
              </w:rPr>
            </w:pPr>
            <w:r>
              <w:rPr>
                <w:rFonts w:hint="eastAsia"/>
                <w:b/>
                <w:bCs/>
                <w:sz w:val="24"/>
                <w:lang w:val="en-US" w:eastAsia="zh-CN"/>
              </w:rPr>
              <w:t>化粪池：</w:t>
            </w:r>
            <w:r>
              <w:rPr>
                <w:rFonts w:hint="eastAsia"/>
                <w:sz w:val="24"/>
                <w:lang w:val="en-US" w:eastAsia="zh-CN"/>
              </w:rPr>
              <w:t>建设1个化粪池，有效容积为10m</w:t>
            </w:r>
            <w:r>
              <w:rPr>
                <w:rFonts w:hint="eastAsia"/>
                <w:sz w:val="24"/>
                <w:vertAlign w:val="superscript"/>
                <w:lang w:val="en-US" w:eastAsia="zh-CN"/>
              </w:rPr>
              <w:t>3</w:t>
            </w:r>
            <w:r>
              <w:rPr>
                <w:rFonts w:hint="eastAsia"/>
                <w:sz w:val="24"/>
                <w:lang w:val="en-US" w:eastAsia="zh-CN"/>
              </w:rPr>
              <w:t>，用于处理项目员工生活产生的生活污水。</w:t>
            </w:r>
          </w:p>
          <w:p w14:paraId="26794D75">
            <w:pPr>
              <w:spacing w:line="360" w:lineRule="auto"/>
              <w:ind w:firstLine="480" w:firstLineChars="200"/>
              <w:rPr>
                <w:rFonts w:hint="eastAsia"/>
                <w:sz w:val="24"/>
                <w:lang w:val="en-US" w:eastAsia="zh-CN"/>
              </w:rPr>
            </w:pPr>
            <w:r>
              <w:rPr>
                <w:rFonts w:hint="eastAsia"/>
                <w:sz w:val="24"/>
                <w:lang w:val="en-US" w:eastAsia="zh-CN"/>
              </w:rPr>
              <w:t>项目施工过程以公用工程、主体工程、环保工程建设为主，其主要污染物如下：</w:t>
            </w:r>
          </w:p>
          <w:p w14:paraId="30BA1BDC">
            <w:pPr>
              <w:spacing w:line="360" w:lineRule="auto"/>
              <w:ind w:firstLine="480" w:firstLineChars="200"/>
              <w:rPr>
                <w:rFonts w:hint="eastAsia"/>
                <w:sz w:val="24"/>
                <w:lang w:val="en-US" w:eastAsia="zh-CN"/>
              </w:rPr>
            </w:pPr>
            <w:r>
              <w:rPr>
                <w:rFonts w:hint="eastAsia"/>
                <w:sz w:val="24"/>
                <w:lang w:val="en-US" w:eastAsia="zh-CN"/>
              </w:rPr>
              <w:t>（1）大气环境影响因素：施工机械和运输车辆尾气、场地扬尘、施工机械和运输车辆燃油废气（CO、HC、NOx等）等。</w:t>
            </w:r>
          </w:p>
          <w:p w14:paraId="5A25D5C4">
            <w:pPr>
              <w:spacing w:line="360" w:lineRule="auto"/>
              <w:ind w:firstLine="480" w:firstLineChars="200"/>
              <w:rPr>
                <w:rFonts w:hint="eastAsia"/>
                <w:sz w:val="24"/>
                <w:lang w:val="en-US" w:eastAsia="zh-CN"/>
              </w:rPr>
            </w:pPr>
            <w:r>
              <w:rPr>
                <w:rFonts w:hint="eastAsia"/>
                <w:sz w:val="24"/>
                <w:lang w:val="en-US" w:eastAsia="zh-CN"/>
              </w:rPr>
              <w:t>（2）地表水影响因素：水污染物主要为施工人员生活废水、施工废水。</w:t>
            </w:r>
          </w:p>
          <w:p w14:paraId="679AA8ED">
            <w:pPr>
              <w:spacing w:line="360" w:lineRule="auto"/>
              <w:ind w:firstLine="480" w:firstLineChars="200"/>
              <w:rPr>
                <w:rFonts w:hint="eastAsia"/>
                <w:sz w:val="24"/>
                <w:lang w:val="en-US" w:eastAsia="zh-CN"/>
              </w:rPr>
            </w:pPr>
            <w:r>
              <w:rPr>
                <w:rFonts w:hint="eastAsia"/>
                <w:sz w:val="24"/>
                <w:lang w:val="en-US" w:eastAsia="zh-CN"/>
              </w:rPr>
              <w:t>（3）声环境影响因素：施工设备和运输车辆产生的噪声。</w:t>
            </w:r>
          </w:p>
          <w:p w14:paraId="1CBDF89F">
            <w:pPr>
              <w:spacing w:line="360" w:lineRule="auto"/>
              <w:ind w:firstLine="480" w:firstLineChars="200"/>
              <w:rPr>
                <w:rFonts w:hint="eastAsia"/>
                <w:sz w:val="24"/>
                <w:lang w:val="en-US" w:eastAsia="zh-CN"/>
              </w:rPr>
            </w:pPr>
            <w:r>
              <w:rPr>
                <w:rFonts w:hint="eastAsia"/>
                <w:sz w:val="24"/>
                <w:lang w:val="en-US" w:eastAsia="zh-CN"/>
              </w:rPr>
              <w:t>（4）固废影响因素：矿坑底部的淤泥、垃圾和树根等、生活垃圾。</w:t>
            </w:r>
          </w:p>
          <w:p w14:paraId="07F5981A">
            <w:pPr>
              <w:spacing w:line="360" w:lineRule="auto"/>
              <w:ind w:firstLine="480" w:firstLineChars="200"/>
              <w:rPr>
                <w:rFonts w:hint="eastAsia"/>
                <w:sz w:val="24"/>
                <w:lang w:val="en-US" w:eastAsia="zh-CN"/>
              </w:rPr>
            </w:pPr>
            <w:r>
              <w:rPr>
                <w:rFonts w:hint="eastAsia"/>
                <w:sz w:val="24"/>
                <w:lang w:val="en-US" w:eastAsia="zh-CN"/>
              </w:rPr>
              <w:t>（5）生态环境影响因素：水土流失、景观破坏。</w:t>
            </w:r>
          </w:p>
          <w:p w14:paraId="248FC6B1">
            <w:pPr>
              <w:pStyle w:val="5"/>
              <w:bidi w:val="0"/>
              <w:spacing w:line="360" w:lineRule="auto"/>
              <w:ind w:firstLine="482" w:firstLineChars="200"/>
              <w:rPr>
                <w:rFonts w:hint="eastAsia"/>
                <w:sz w:val="24"/>
                <w:lang w:val="en-US" w:eastAsia="zh-CN"/>
              </w:rPr>
            </w:pPr>
            <w:r>
              <w:rPr>
                <w:rFonts w:hint="eastAsia"/>
                <w:sz w:val="24"/>
                <w:lang w:val="en-US" w:eastAsia="zh-CN"/>
              </w:rPr>
              <w:t>2.9.2运营期</w:t>
            </w:r>
          </w:p>
          <w:p w14:paraId="5E7A0F60">
            <w:pPr>
              <w:spacing w:line="360" w:lineRule="auto"/>
              <w:ind w:firstLine="480" w:firstLineChars="200"/>
              <w:rPr>
                <w:rFonts w:hint="eastAsia"/>
                <w:sz w:val="24"/>
                <w:lang w:val="en-US" w:eastAsia="zh-CN"/>
              </w:rPr>
            </w:pPr>
            <w:r>
              <w:rPr>
                <w:rFonts w:hint="eastAsia"/>
                <w:sz w:val="24"/>
                <w:lang w:val="en-US" w:eastAsia="zh-CN"/>
              </w:rPr>
              <w:t>（1）运营期工艺流程及产污环节图示</w:t>
            </w:r>
          </w:p>
          <w:p w14:paraId="5968B113">
            <w:pPr>
              <w:spacing w:line="360" w:lineRule="auto"/>
              <w:ind w:firstLine="480" w:firstLineChars="200"/>
              <w:rPr>
                <w:rFonts w:hint="eastAsia"/>
                <w:sz w:val="24"/>
                <w:lang w:val="en-US" w:eastAsia="zh-CN"/>
              </w:rPr>
            </w:pPr>
            <w:r>
              <w:rPr>
                <w:rFonts w:hint="eastAsia"/>
                <w:sz w:val="24"/>
                <w:lang w:val="en-US" w:eastAsia="zh-CN"/>
              </w:rPr>
              <w:t>本项目运营期主要工艺流程及产污环节见图2.9-2。</w:t>
            </w:r>
          </w:p>
          <w:bookmarkEnd w:id="29"/>
          <w:bookmarkEnd w:id="30"/>
          <w:bookmarkEnd w:id="31"/>
          <w:p w14:paraId="3416FAC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sz w:val="24"/>
              </w:rPr>
            </w:pPr>
            <w:r>
              <w:object>
                <v:shape id="_x0000_i1027" o:spt="75" type="#_x0000_t75" style="height:397.8pt;width:365.6pt;" o:ole="t" filled="f" o:preferrelative="t" stroked="f" coordsize="21600,21600">
                  <v:path/>
                  <v:fill on="f" focussize="0,0"/>
                  <v:stroke on="f"/>
                  <v:imagedata r:id="rId25" o:title=""/>
                  <o:lock v:ext="edit" aspectratio="f"/>
                  <w10:wrap type="none"/>
                  <w10:anchorlock/>
                </v:shape>
                <o:OLEObject Type="Embed" ProgID="Visio.Drawing.15" ShapeID="_x0000_i1027" DrawAspect="Content" ObjectID="_1468075727" r:id="rId24">
                  <o:LockedField>false</o:LockedField>
                </o:OLEObject>
              </w:object>
            </w:r>
          </w:p>
          <w:p w14:paraId="2D211F7A">
            <w:pPr>
              <w:pStyle w:val="44"/>
              <w:bidi w:val="0"/>
              <w:rPr>
                <w:rFonts w:hint="eastAsia"/>
              </w:rPr>
            </w:pPr>
            <w:r>
              <w:rPr>
                <w:rFonts w:hint="eastAsia"/>
              </w:rPr>
              <w:t>图</w:t>
            </w:r>
            <w:r>
              <w:rPr>
                <w:rFonts w:hint="eastAsia"/>
                <w:lang w:val="en-US" w:eastAsia="zh-CN"/>
              </w:rPr>
              <w:t>2.9-2</w:t>
            </w:r>
            <w:r>
              <w:rPr>
                <w:rFonts w:hint="eastAsia"/>
                <w:lang w:eastAsia="zh-CN"/>
              </w:rPr>
              <w:t>：</w:t>
            </w:r>
            <w:r>
              <w:rPr>
                <w:rFonts w:hint="eastAsia"/>
              </w:rPr>
              <w:t>运营期工艺流程及产污环节示意图</w:t>
            </w:r>
          </w:p>
          <w:p w14:paraId="31BDB358">
            <w:pPr>
              <w:spacing w:line="360" w:lineRule="auto"/>
              <w:ind w:firstLine="528"/>
              <w:jc w:val="left"/>
              <w:rPr>
                <w:rFonts w:hint="eastAsia" w:ascii="Times New Roman" w:hAnsi="Times New Roman" w:eastAsia="宋体" w:cs="Times New Roman"/>
                <w:sz w:val="24"/>
                <w:u w:val="single"/>
              </w:rPr>
            </w:pPr>
            <w:r>
              <w:rPr>
                <w:rFonts w:hint="eastAsia" w:cs="Times New Roman"/>
                <w:sz w:val="24"/>
                <w:u w:val="single"/>
                <w:lang w:eastAsia="zh-CN"/>
              </w:rPr>
              <w:t>（</w:t>
            </w:r>
            <w:r>
              <w:rPr>
                <w:rFonts w:hint="eastAsia" w:cs="Times New Roman"/>
                <w:sz w:val="24"/>
                <w:u w:val="single"/>
                <w:lang w:val="en-US" w:eastAsia="zh-CN"/>
              </w:rPr>
              <w:t>2</w:t>
            </w:r>
            <w:r>
              <w:rPr>
                <w:rFonts w:hint="eastAsia" w:cs="Times New Roman"/>
                <w:sz w:val="24"/>
                <w:u w:val="single"/>
                <w:lang w:eastAsia="zh-CN"/>
              </w:rPr>
              <w:t>）</w:t>
            </w:r>
            <w:r>
              <w:rPr>
                <w:rFonts w:hint="eastAsia" w:ascii="Times New Roman" w:hAnsi="Times New Roman" w:eastAsia="宋体" w:cs="Times New Roman"/>
                <w:sz w:val="24"/>
                <w:u w:val="single"/>
              </w:rPr>
              <w:t>运营期工艺流程说明</w:t>
            </w:r>
          </w:p>
          <w:p w14:paraId="59BEEB64">
            <w:pPr>
              <w:spacing w:line="360" w:lineRule="auto"/>
              <w:ind w:firstLine="528"/>
              <w:jc w:val="left"/>
              <w:rPr>
                <w:rFonts w:hint="eastAsia"/>
                <w:u w:val="single"/>
              </w:rPr>
            </w:pPr>
            <w:r>
              <w:rPr>
                <w:rFonts w:hint="eastAsia"/>
                <w:u w:val="single"/>
                <w:lang w:val="en-US" w:eastAsia="zh-CN"/>
              </w:rPr>
              <w:t>①</w:t>
            </w:r>
            <w:r>
              <w:rPr>
                <w:rFonts w:hint="eastAsia"/>
                <w:u w:val="single"/>
              </w:rPr>
              <w:t>入场</w:t>
            </w:r>
            <w:r>
              <w:rPr>
                <w:rFonts w:hint="eastAsia"/>
                <w:u w:val="single"/>
                <w:lang w:eastAsia="zh-CN"/>
              </w:rPr>
              <w:t>：</w:t>
            </w:r>
            <w:r>
              <w:rPr>
                <w:rFonts w:hint="eastAsia"/>
                <w:u w:val="single"/>
              </w:rPr>
              <w:t>入场建筑垃圾严禁接收经检验、鉴定属于危险废物的建筑垃圾（以建筑垃圾运输处置联单信息为判定依据），且不涉及《企业拆除活动污染防治技术规定（试行）》中明确的高环境风险建（构）筑物拆除垃圾。</w:t>
            </w:r>
          </w:p>
          <w:p w14:paraId="461EABA3">
            <w:pPr>
              <w:spacing w:line="360" w:lineRule="auto"/>
              <w:ind w:firstLine="528"/>
              <w:jc w:val="left"/>
              <w:rPr>
                <w:rFonts w:hint="eastAsia"/>
              </w:rPr>
            </w:pPr>
            <w:r>
              <w:rPr>
                <w:rFonts w:hint="eastAsia"/>
                <w:lang w:val="en-US" w:eastAsia="zh-CN"/>
              </w:rPr>
              <w:t>②</w:t>
            </w:r>
            <w:r>
              <w:rPr>
                <w:rFonts w:hint="eastAsia"/>
              </w:rPr>
              <w:t>卸车</w:t>
            </w:r>
            <w:r>
              <w:rPr>
                <w:rFonts w:hint="eastAsia"/>
                <w:lang w:eastAsia="zh-CN"/>
              </w:rPr>
              <w:t>：</w:t>
            </w:r>
            <w:r>
              <w:rPr>
                <w:rFonts w:hint="eastAsia"/>
                <w:lang w:val="en-US" w:eastAsia="zh-CN"/>
              </w:rPr>
              <w:t>入场车辆经地磅计量后，驶入分拣平台卸料，</w:t>
            </w:r>
            <w:r>
              <w:rPr>
                <w:rFonts w:hint="eastAsia"/>
              </w:rPr>
              <w:t>卸车过程中若发现物料存在散发异味、颜色异常、夹带不明异物等可疑污染迹象，需立即暂停卸车作业，由双人现场确认后，对可疑物料采取隔离存放措施，或将其转运至应急暂存区，同时启动《场区突发环境事件应急预案》；待第三方实验室完成专项检测并出具合格报告后，物料方可继续用于堆填；检测不合格的物料，全部退回产生单位，并第一时间向属地生态环境、城市管理等主管部门报告备案。</w:t>
            </w:r>
          </w:p>
          <w:p w14:paraId="4D40BA79">
            <w:pPr>
              <w:spacing w:line="360" w:lineRule="auto"/>
              <w:ind w:firstLine="528"/>
              <w:jc w:val="left"/>
              <w:rPr>
                <w:rFonts w:hint="eastAsia"/>
                <w:u w:val="single"/>
              </w:rPr>
            </w:pPr>
            <w:r>
              <w:rPr>
                <w:rFonts w:hint="eastAsia"/>
                <w:u w:val="single"/>
                <w:lang w:val="en-US" w:eastAsia="zh-CN"/>
              </w:rPr>
              <w:t>③人工分拣：本堆填场主要是源头管控，严禁危险废物进入，在分拣平台通过肉眼识别，将垃圾堆中的废金属、废木材、废塑料、废纸、玻璃、泡沫等非可燃物分拣出来送至一般固废暂存间外售，</w:t>
            </w:r>
            <w:r>
              <w:rPr>
                <w:rFonts w:hint="eastAsia"/>
                <w:u w:val="single"/>
              </w:rPr>
              <w:t>危险废物暂存于危废暂存间，定期交有资质单位处置。</w:t>
            </w:r>
          </w:p>
          <w:p w14:paraId="2E8F6169">
            <w:pPr>
              <w:spacing w:line="360" w:lineRule="auto"/>
              <w:ind w:firstLine="528"/>
              <w:jc w:val="left"/>
              <w:rPr>
                <w:rFonts w:hint="default"/>
                <w:u w:val="single"/>
                <w:lang w:val="en-US" w:eastAsia="zh-CN"/>
              </w:rPr>
            </w:pPr>
            <w:r>
              <w:rPr>
                <w:rFonts w:hint="eastAsia"/>
                <w:u w:val="single"/>
              </w:rPr>
              <w:t>本项目运行过程对拉运过来的建筑垃圾不进行</w:t>
            </w:r>
            <w:r>
              <w:rPr>
                <w:rFonts w:hint="eastAsia"/>
                <w:u w:val="single"/>
                <w:lang w:val="en-US" w:eastAsia="zh-CN"/>
              </w:rPr>
              <w:t>预破碎等处理</w:t>
            </w:r>
            <w:r>
              <w:rPr>
                <w:rFonts w:hint="eastAsia"/>
                <w:u w:val="single"/>
              </w:rPr>
              <w:t>，直接进行填埋处置。</w:t>
            </w:r>
          </w:p>
          <w:p w14:paraId="00C053D0">
            <w:pPr>
              <w:spacing w:line="360" w:lineRule="auto"/>
              <w:ind w:firstLine="528"/>
              <w:jc w:val="left"/>
              <w:rPr>
                <w:rFonts w:hint="eastAsia"/>
                <w:u w:val="single"/>
                <w:lang w:val="en-US" w:eastAsia="zh-CN"/>
              </w:rPr>
            </w:pPr>
            <w:r>
              <w:rPr>
                <w:rFonts w:hint="eastAsia"/>
                <w:u w:val="single"/>
                <w:lang w:val="en-US" w:eastAsia="zh-CN"/>
              </w:rPr>
              <w:t>④堆填：堆填工序严格执行“单元堆填、随倒随压、层层压实 ”的作业工艺，实施分区分层有序堆填。</w:t>
            </w:r>
          </w:p>
          <w:p w14:paraId="6E0EC0CF">
            <w:pPr>
              <w:spacing w:line="360" w:lineRule="auto"/>
              <w:ind w:firstLine="528"/>
              <w:jc w:val="left"/>
              <w:rPr>
                <w:rFonts w:hint="eastAsia"/>
                <w:u w:val="single"/>
              </w:rPr>
            </w:pPr>
            <w:r>
              <w:rPr>
                <w:rFonts w:hint="eastAsia"/>
                <w:u w:val="single"/>
              </w:rPr>
              <w:t>分拣后的建筑垃圾采用以下方式之一进行堆填</w:t>
            </w:r>
            <w:r>
              <w:rPr>
                <w:rFonts w:hint="eastAsia"/>
                <w:u w:val="single"/>
                <w:lang w:eastAsia="zh-CN"/>
              </w:rPr>
              <w:t>：</w:t>
            </w:r>
            <w:r>
              <w:rPr>
                <w:rFonts w:hint="eastAsia"/>
                <w:u w:val="single"/>
              </w:rPr>
              <w:t>①利用临时进坑便道，运输车辆直接下坑，按分层厚度0.5~1.0m卸料，</w:t>
            </w:r>
            <w:r>
              <w:rPr>
                <w:rFonts w:hint="eastAsia"/>
                <w:u w:val="single"/>
                <w:lang w:val="en-US" w:eastAsia="zh-CN"/>
              </w:rPr>
              <w:t>采用挖掘机在堆填场直接进行简易破碎，破碎后的建筑垃圾采用</w:t>
            </w:r>
            <w:r>
              <w:rPr>
                <w:rFonts w:hint="eastAsia"/>
                <w:u w:val="single"/>
              </w:rPr>
              <w:t>用推土机摊平，压实机压实；②若雨天或路面条件差，车辆在坑口卸料，由装载机推入坑内，再经便道下坑的压实机分层压实。严禁高空直接抛掷物料。</w:t>
            </w:r>
          </w:p>
          <w:p w14:paraId="280055C8">
            <w:pPr>
              <w:spacing w:line="360" w:lineRule="auto"/>
              <w:ind w:firstLine="528"/>
              <w:jc w:val="left"/>
              <w:rPr>
                <w:rFonts w:hint="eastAsia"/>
              </w:rPr>
            </w:pPr>
            <w:r>
              <w:rPr>
                <w:rFonts w:hint="eastAsia"/>
                <w:lang w:val="en-US" w:eastAsia="zh-CN"/>
              </w:rPr>
              <w:t>⑤</w:t>
            </w:r>
            <w:r>
              <w:rPr>
                <w:rFonts w:hint="eastAsia"/>
              </w:rPr>
              <w:t>扬尘控制：</w:t>
            </w:r>
            <w:r>
              <w:rPr>
                <w:rFonts w:hint="eastAsia"/>
                <w:lang w:val="en-US" w:eastAsia="zh-CN"/>
              </w:rPr>
              <w:t>分拣平台</w:t>
            </w:r>
            <w:r>
              <w:rPr>
                <w:rFonts w:hint="eastAsia"/>
              </w:rPr>
              <w:t>、作业面设置雾炮机喷雾抑尘；道路由洒水车定时洒水；车辆密闭运输，出场冲洗。</w:t>
            </w:r>
          </w:p>
          <w:p w14:paraId="55179AC5">
            <w:pPr>
              <w:spacing w:line="360" w:lineRule="auto"/>
              <w:ind w:firstLine="528"/>
              <w:jc w:val="left"/>
              <w:rPr>
                <w:rFonts w:hint="eastAsia"/>
              </w:rPr>
            </w:pPr>
            <w:r>
              <w:rPr>
                <w:rFonts w:hint="eastAsia"/>
                <w:lang w:val="en-US" w:eastAsia="zh-CN"/>
              </w:rPr>
              <w:t>⑥</w:t>
            </w:r>
            <w:r>
              <w:rPr>
                <w:rFonts w:hint="eastAsia"/>
              </w:rPr>
              <w:t>淋滤水收集处理：坑底设潜污泵（一用一备），</w:t>
            </w:r>
            <w:r>
              <w:rPr>
                <w:rFonts w:hint="eastAsia"/>
                <w:lang w:val="en-US" w:eastAsia="zh-CN"/>
              </w:rPr>
              <w:t>雨季</w:t>
            </w:r>
            <w:r>
              <w:rPr>
                <w:rFonts w:hint="eastAsia"/>
              </w:rPr>
              <w:t>将淋滤水抽至地面</w:t>
            </w:r>
            <w:r>
              <w:rPr>
                <w:rFonts w:hint="eastAsia"/>
                <w:lang w:val="en-US" w:eastAsia="zh-CN"/>
              </w:rPr>
              <w:t>淋滤水</w:t>
            </w:r>
            <w:r>
              <w:rPr>
                <w:rFonts w:hint="eastAsia"/>
              </w:rPr>
              <w:t>沉淀池（二级沉淀池、30m</w:t>
            </w:r>
            <w:r>
              <w:rPr>
                <w:rFonts w:hint="eastAsia"/>
                <w:vertAlign w:val="superscript"/>
                <w:lang w:val="en-US" w:eastAsia="zh-CN"/>
              </w:rPr>
              <w:t>3</w:t>
            </w:r>
            <w:r>
              <w:rPr>
                <w:rFonts w:hint="eastAsia"/>
              </w:rPr>
              <w:t>），沉淀后优先回用于车辆冲洗、洒水降尘，多余部分达标排入东北侧</w:t>
            </w:r>
            <w:r>
              <w:rPr>
                <w:rFonts w:hint="eastAsia"/>
                <w:lang w:val="en-US" w:eastAsia="zh-CN"/>
              </w:rPr>
              <w:t>沟渠中汇入洪溪</w:t>
            </w:r>
            <w:r>
              <w:rPr>
                <w:rFonts w:hint="eastAsia"/>
              </w:rPr>
              <w:t>。</w:t>
            </w:r>
          </w:p>
          <w:p w14:paraId="327E3DD5">
            <w:pPr>
              <w:spacing w:line="360" w:lineRule="auto"/>
              <w:ind w:firstLine="528"/>
              <w:jc w:val="left"/>
              <w:rPr>
                <w:rFonts w:hint="eastAsia"/>
              </w:rPr>
            </w:pPr>
            <w:r>
              <w:rPr>
                <w:rFonts w:hint="eastAsia"/>
                <w:lang w:val="en-US" w:eastAsia="zh-CN"/>
              </w:rPr>
              <w:t>⑦</w:t>
            </w:r>
            <w:r>
              <w:rPr>
                <w:rFonts w:hint="eastAsia"/>
              </w:rPr>
              <w:t>作业时段：雨天停止露天堆填，并覆盖裸露作业面。</w:t>
            </w:r>
          </w:p>
          <w:p w14:paraId="5F984BBF">
            <w:pPr>
              <w:spacing w:line="360" w:lineRule="auto"/>
              <w:ind w:firstLine="528"/>
              <w:jc w:val="left"/>
              <w:rPr>
                <w:rFonts w:hint="eastAsia" w:ascii="Times New Roman" w:hAnsi="Times New Roman" w:eastAsia="宋体" w:cs="Times New Roman"/>
                <w:u w:val="single"/>
              </w:rPr>
            </w:pPr>
            <w:r>
              <w:rPr>
                <w:rFonts w:hint="eastAsia"/>
                <w:u w:val="single"/>
                <w:lang w:val="en-US" w:eastAsia="zh-CN"/>
              </w:rPr>
              <w:t>⑧</w:t>
            </w:r>
            <w:r>
              <w:rPr>
                <w:rFonts w:hint="eastAsia"/>
                <w:u w:val="single"/>
              </w:rPr>
              <w:t>终场：</w:t>
            </w:r>
            <w:r>
              <w:rPr>
                <w:rFonts w:hint="eastAsia"/>
                <w:u w:val="single"/>
                <w:lang w:val="en-US" w:eastAsia="zh-CN"/>
              </w:rPr>
              <w:t>完成一期工程设计标高后</w:t>
            </w:r>
            <w:r>
              <w:rPr>
                <w:rFonts w:hint="eastAsia"/>
                <w:u w:val="single"/>
              </w:rPr>
              <w:t>，进行临时覆盖（防尘网），移交后续工程（二期另行环评）</w:t>
            </w:r>
            <w:r>
              <w:rPr>
                <w:rFonts w:hint="eastAsia"/>
                <w:u w:val="single"/>
                <w:lang w:eastAsia="zh-CN"/>
              </w:rPr>
              <w:t>，</w:t>
            </w:r>
            <w:r>
              <w:rPr>
                <w:rFonts w:hint="eastAsia"/>
                <w:u w:val="single"/>
                <w:lang w:val="en-US" w:eastAsia="zh-CN"/>
              </w:rPr>
              <w:t>待二期工程建设完成后再进行封场工作</w:t>
            </w:r>
            <w:r>
              <w:rPr>
                <w:rFonts w:hint="eastAsia"/>
                <w:u w:val="single"/>
              </w:rPr>
              <w:t>。</w:t>
            </w:r>
            <w:r>
              <w:rPr>
                <w:rFonts w:hint="eastAsia" w:ascii="Times New Roman" w:hAnsi="Times New Roman" w:eastAsia="宋体" w:cs="Times New Roman"/>
                <w:u w:val="single"/>
              </w:rPr>
              <w:t xml:space="preserve"> </w:t>
            </w:r>
          </w:p>
          <w:p w14:paraId="701C7B36">
            <w:pPr>
              <w:spacing w:line="360" w:lineRule="auto"/>
              <w:ind w:firstLine="528"/>
              <w:jc w:val="left"/>
              <w:rPr>
                <w:rFonts w:hint="default" w:ascii="Times New Roman" w:hAnsi="Times New Roman" w:eastAsia="宋体" w:cs="Times New Roman"/>
                <w:sz w:val="24"/>
              </w:rPr>
            </w:pPr>
            <w:r>
              <w:rPr>
                <w:rFonts w:hint="eastAsia" w:cs="Times New Roman"/>
                <w:sz w:val="24"/>
                <w:lang w:val="en-US" w:eastAsia="zh-CN"/>
              </w:rPr>
              <w:t>（3）</w:t>
            </w:r>
            <w:r>
              <w:rPr>
                <w:rFonts w:hint="default" w:ascii="Times New Roman" w:hAnsi="Times New Roman" w:eastAsia="宋体" w:cs="Times New Roman"/>
                <w:sz w:val="24"/>
              </w:rPr>
              <w:t>污染物产生环节汇总</w:t>
            </w:r>
          </w:p>
          <w:p w14:paraId="7A0C1CC2">
            <w:pPr>
              <w:spacing w:line="360" w:lineRule="auto"/>
              <w:ind w:firstLine="528"/>
              <w:jc w:val="left"/>
              <w:rPr>
                <w:rFonts w:hint="default" w:ascii="Times New Roman" w:hAnsi="Times New Roman" w:eastAsia="宋体" w:cs="Times New Roman"/>
              </w:rPr>
            </w:pPr>
            <w:r>
              <w:rPr>
                <w:rFonts w:hint="default" w:ascii="Times New Roman" w:hAnsi="Times New Roman" w:eastAsia="宋体" w:cs="Times New Roman"/>
              </w:rPr>
              <w:t>项目营运期各生产环节污染物产生情况详见下表</w:t>
            </w:r>
          </w:p>
          <w:p w14:paraId="30ECF925">
            <w:pPr>
              <w:pStyle w:val="44"/>
              <w:bidi w:val="0"/>
              <w:rPr>
                <w:rFonts w:hint="default"/>
              </w:rPr>
            </w:pPr>
            <w:r>
              <w:rPr>
                <w:rFonts w:hint="default"/>
              </w:rPr>
              <w:t>表</w:t>
            </w:r>
            <w:r>
              <w:rPr>
                <w:rFonts w:hint="eastAsia"/>
                <w:lang w:val="en-US" w:eastAsia="zh-CN"/>
              </w:rPr>
              <w:t>2.9-1</w:t>
            </w:r>
            <w:r>
              <w:rPr>
                <w:rFonts w:hint="default"/>
              </w:rPr>
              <w:t>：污染物及产污节点统计表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2075"/>
              <w:gridCol w:w="1627"/>
              <w:gridCol w:w="1952"/>
              <w:gridCol w:w="1419"/>
            </w:tblGrid>
            <w:tr w14:paraId="5288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noWrap w:val="0"/>
                  <w:vAlign w:val="center"/>
                </w:tcPr>
                <w:p w14:paraId="60190B58">
                  <w:pPr>
                    <w:pStyle w:val="115"/>
                    <w:bidi w:val="0"/>
                    <w:rPr>
                      <w:rFonts w:hint="eastAsia"/>
                      <w:b/>
                      <w:bCs/>
                    </w:rPr>
                  </w:pPr>
                  <w:r>
                    <w:rPr>
                      <w:rFonts w:hint="eastAsia"/>
                      <w:b/>
                      <w:bCs/>
                    </w:rPr>
                    <w:t>污染物类别</w:t>
                  </w:r>
                </w:p>
              </w:tc>
              <w:tc>
                <w:tcPr>
                  <w:tcW w:w="2075" w:type="dxa"/>
                  <w:noWrap w:val="0"/>
                  <w:vAlign w:val="center"/>
                </w:tcPr>
                <w:p w14:paraId="7F34CB0B">
                  <w:pPr>
                    <w:pStyle w:val="115"/>
                    <w:bidi w:val="0"/>
                    <w:rPr>
                      <w:rFonts w:hint="eastAsia"/>
                      <w:b/>
                      <w:bCs/>
                    </w:rPr>
                  </w:pPr>
                  <w:r>
                    <w:rPr>
                      <w:rFonts w:hint="eastAsia"/>
                      <w:b/>
                      <w:bCs/>
                      <w:lang w:val="en-US" w:eastAsia="zh-CN"/>
                    </w:rPr>
                    <w:t>产污</w:t>
                  </w:r>
                  <w:r>
                    <w:rPr>
                      <w:rFonts w:hint="eastAsia"/>
                      <w:b/>
                      <w:bCs/>
                    </w:rPr>
                    <w:t>节点</w:t>
                  </w:r>
                </w:p>
              </w:tc>
              <w:tc>
                <w:tcPr>
                  <w:tcW w:w="1627" w:type="dxa"/>
                  <w:noWrap w:val="0"/>
                  <w:vAlign w:val="center"/>
                </w:tcPr>
                <w:p w14:paraId="1CEA39CA">
                  <w:pPr>
                    <w:pStyle w:val="115"/>
                    <w:bidi w:val="0"/>
                    <w:rPr>
                      <w:rFonts w:hint="eastAsia"/>
                      <w:b/>
                      <w:bCs/>
                    </w:rPr>
                  </w:pPr>
                  <w:r>
                    <w:rPr>
                      <w:rFonts w:hint="eastAsia"/>
                      <w:b/>
                      <w:bCs/>
                    </w:rPr>
                    <w:t>污染物</w:t>
                  </w:r>
                </w:p>
              </w:tc>
              <w:tc>
                <w:tcPr>
                  <w:tcW w:w="1952" w:type="dxa"/>
                  <w:noWrap w:val="0"/>
                  <w:vAlign w:val="center"/>
                </w:tcPr>
                <w:p w14:paraId="4F8EB893">
                  <w:pPr>
                    <w:pStyle w:val="115"/>
                    <w:bidi w:val="0"/>
                    <w:rPr>
                      <w:rFonts w:hint="eastAsia"/>
                      <w:b/>
                      <w:bCs/>
                    </w:rPr>
                  </w:pPr>
                  <w:r>
                    <w:rPr>
                      <w:rFonts w:hint="eastAsia"/>
                      <w:b/>
                      <w:bCs/>
                    </w:rPr>
                    <w:t>污染因子</w:t>
                  </w:r>
                </w:p>
              </w:tc>
              <w:tc>
                <w:tcPr>
                  <w:tcW w:w="1419" w:type="dxa"/>
                  <w:noWrap w:val="0"/>
                  <w:vAlign w:val="center"/>
                </w:tcPr>
                <w:p w14:paraId="75628A59">
                  <w:pPr>
                    <w:pStyle w:val="115"/>
                    <w:bidi w:val="0"/>
                    <w:rPr>
                      <w:rFonts w:hint="eastAsia"/>
                      <w:b/>
                      <w:bCs/>
                    </w:rPr>
                  </w:pPr>
                  <w:r>
                    <w:rPr>
                      <w:rFonts w:hint="eastAsia"/>
                      <w:b/>
                      <w:bCs/>
                    </w:rPr>
                    <w:t>排放规律</w:t>
                  </w:r>
                </w:p>
              </w:tc>
            </w:tr>
            <w:tr w14:paraId="3E69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restart"/>
                  <w:noWrap w:val="0"/>
                  <w:vAlign w:val="center"/>
                </w:tcPr>
                <w:p w14:paraId="734C322A">
                  <w:pPr>
                    <w:pStyle w:val="115"/>
                    <w:bidi w:val="0"/>
                    <w:rPr>
                      <w:rFonts w:hint="eastAsia"/>
                    </w:rPr>
                  </w:pPr>
                  <w:r>
                    <w:rPr>
                      <w:rFonts w:hint="eastAsia"/>
                    </w:rPr>
                    <w:t>废水</w:t>
                  </w:r>
                </w:p>
              </w:tc>
              <w:tc>
                <w:tcPr>
                  <w:tcW w:w="2075" w:type="dxa"/>
                  <w:noWrap w:val="0"/>
                  <w:vAlign w:val="center"/>
                </w:tcPr>
                <w:p w14:paraId="564DF5B8">
                  <w:pPr>
                    <w:pStyle w:val="115"/>
                    <w:bidi w:val="0"/>
                    <w:rPr>
                      <w:rFonts w:hint="default"/>
                      <w:lang w:val="en-US" w:eastAsia="zh-CN"/>
                    </w:rPr>
                  </w:pPr>
                  <w:r>
                    <w:rPr>
                      <w:rFonts w:hint="eastAsia"/>
                    </w:rPr>
                    <w:t>员工生活</w:t>
                  </w:r>
                </w:p>
              </w:tc>
              <w:tc>
                <w:tcPr>
                  <w:tcW w:w="1627" w:type="dxa"/>
                  <w:noWrap w:val="0"/>
                  <w:vAlign w:val="center"/>
                </w:tcPr>
                <w:p w14:paraId="50DEECFD">
                  <w:pPr>
                    <w:pStyle w:val="115"/>
                    <w:bidi w:val="0"/>
                    <w:rPr>
                      <w:rFonts w:hint="eastAsia"/>
                    </w:rPr>
                  </w:pPr>
                  <w:r>
                    <w:rPr>
                      <w:rFonts w:hint="eastAsia"/>
                    </w:rPr>
                    <w:t>生活污水</w:t>
                  </w:r>
                </w:p>
              </w:tc>
              <w:tc>
                <w:tcPr>
                  <w:tcW w:w="1952" w:type="dxa"/>
                  <w:noWrap w:val="0"/>
                  <w:vAlign w:val="center"/>
                </w:tcPr>
                <w:p w14:paraId="3C3BA3FF">
                  <w:pPr>
                    <w:pStyle w:val="115"/>
                    <w:bidi w:val="0"/>
                    <w:rPr>
                      <w:rFonts w:hint="default"/>
                      <w:lang w:val="en-US" w:eastAsia="zh-CN"/>
                    </w:rPr>
                  </w:pPr>
                  <w:r>
                    <w:rPr>
                      <w:rFonts w:hint="eastAsia"/>
                    </w:rPr>
                    <w:t>COD、氨氮</w:t>
                  </w:r>
                  <w:r>
                    <w:rPr>
                      <w:rFonts w:hint="eastAsia"/>
                      <w:lang w:eastAsia="zh-CN"/>
                    </w:rPr>
                    <w:t>、</w:t>
                  </w:r>
                  <w:r>
                    <w:rPr>
                      <w:rFonts w:hint="eastAsia"/>
                      <w:lang w:val="en-US" w:eastAsia="zh-CN"/>
                    </w:rPr>
                    <w:t>SS、TP、TN</w:t>
                  </w:r>
                </w:p>
              </w:tc>
              <w:tc>
                <w:tcPr>
                  <w:tcW w:w="1419" w:type="dxa"/>
                  <w:noWrap w:val="0"/>
                  <w:vAlign w:val="center"/>
                </w:tcPr>
                <w:p w14:paraId="61F09D95">
                  <w:pPr>
                    <w:pStyle w:val="115"/>
                    <w:bidi w:val="0"/>
                    <w:rPr>
                      <w:rFonts w:hint="eastAsia"/>
                    </w:rPr>
                  </w:pPr>
                  <w:r>
                    <w:rPr>
                      <w:rFonts w:hint="eastAsia"/>
                    </w:rPr>
                    <w:t>间歇</w:t>
                  </w:r>
                </w:p>
              </w:tc>
            </w:tr>
            <w:tr w14:paraId="4A83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33FA7220">
                  <w:pPr>
                    <w:pStyle w:val="115"/>
                    <w:bidi w:val="0"/>
                    <w:rPr>
                      <w:rFonts w:hint="eastAsia"/>
                    </w:rPr>
                  </w:pPr>
                </w:p>
              </w:tc>
              <w:tc>
                <w:tcPr>
                  <w:tcW w:w="2075" w:type="dxa"/>
                  <w:noWrap w:val="0"/>
                  <w:vAlign w:val="center"/>
                </w:tcPr>
                <w:p w14:paraId="5C03D31F">
                  <w:pPr>
                    <w:pStyle w:val="115"/>
                    <w:bidi w:val="0"/>
                    <w:rPr>
                      <w:rFonts w:hint="eastAsia"/>
                      <w:lang w:val="en-US" w:eastAsia="zh-CN"/>
                    </w:rPr>
                  </w:pPr>
                  <w:r>
                    <w:rPr>
                      <w:rFonts w:hint="eastAsia"/>
                      <w:lang w:val="en-US" w:eastAsia="zh-CN"/>
                    </w:rPr>
                    <w:t>车辆清洗</w:t>
                  </w:r>
                </w:p>
              </w:tc>
              <w:tc>
                <w:tcPr>
                  <w:tcW w:w="1627" w:type="dxa"/>
                  <w:noWrap w:val="0"/>
                  <w:vAlign w:val="center"/>
                </w:tcPr>
                <w:p w14:paraId="3199A837">
                  <w:pPr>
                    <w:pStyle w:val="115"/>
                    <w:bidi w:val="0"/>
                    <w:rPr>
                      <w:rFonts w:hint="eastAsia"/>
                      <w:lang w:val="en-US" w:eastAsia="zh-CN"/>
                    </w:rPr>
                  </w:pPr>
                  <w:r>
                    <w:rPr>
                      <w:rFonts w:hint="eastAsia"/>
                    </w:rPr>
                    <w:t>洗车废水</w:t>
                  </w:r>
                </w:p>
              </w:tc>
              <w:tc>
                <w:tcPr>
                  <w:tcW w:w="1952" w:type="dxa"/>
                  <w:noWrap w:val="0"/>
                  <w:vAlign w:val="center"/>
                </w:tcPr>
                <w:p w14:paraId="4759E9AA">
                  <w:pPr>
                    <w:pStyle w:val="115"/>
                    <w:bidi w:val="0"/>
                    <w:rPr>
                      <w:rFonts w:hint="eastAsia"/>
                      <w:lang w:val="en-US" w:eastAsia="zh-CN"/>
                    </w:rPr>
                  </w:pPr>
                  <w:r>
                    <w:rPr>
                      <w:rFonts w:hint="eastAsia"/>
                    </w:rPr>
                    <w:t>SS、石油类</w:t>
                  </w:r>
                </w:p>
              </w:tc>
              <w:tc>
                <w:tcPr>
                  <w:tcW w:w="1419" w:type="dxa"/>
                  <w:noWrap w:val="0"/>
                  <w:vAlign w:val="center"/>
                </w:tcPr>
                <w:p w14:paraId="0948A078">
                  <w:pPr>
                    <w:pStyle w:val="115"/>
                    <w:bidi w:val="0"/>
                    <w:rPr>
                      <w:rFonts w:hint="eastAsia"/>
                      <w:lang w:val="en-US" w:eastAsia="zh-CN"/>
                    </w:rPr>
                  </w:pPr>
                  <w:r>
                    <w:rPr>
                      <w:rFonts w:hint="eastAsia"/>
                    </w:rPr>
                    <w:t>间歇</w:t>
                  </w:r>
                </w:p>
              </w:tc>
            </w:tr>
            <w:tr w14:paraId="765C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77F6EE4A">
                  <w:pPr>
                    <w:pStyle w:val="115"/>
                    <w:bidi w:val="0"/>
                    <w:rPr>
                      <w:rFonts w:hint="eastAsia"/>
                    </w:rPr>
                  </w:pPr>
                </w:p>
              </w:tc>
              <w:tc>
                <w:tcPr>
                  <w:tcW w:w="2075" w:type="dxa"/>
                  <w:noWrap w:val="0"/>
                  <w:vAlign w:val="center"/>
                </w:tcPr>
                <w:p w14:paraId="45BD35D0">
                  <w:pPr>
                    <w:pStyle w:val="115"/>
                    <w:bidi w:val="0"/>
                    <w:rPr>
                      <w:rFonts w:hint="eastAsia"/>
                      <w:lang w:eastAsia="zh-CN"/>
                    </w:rPr>
                  </w:pPr>
                  <w:r>
                    <w:rPr>
                      <w:rFonts w:hint="eastAsia"/>
                      <w:lang w:eastAsia="zh-CN"/>
                    </w:rPr>
                    <w:t>淋滤水</w:t>
                  </w:r>
                </w:p>
              </w:tc>
              <w:tc>
                <w:tcPr>
                  <w:tcW w:w="1627" w:type="dxa"/>
                  <w:noWrap w:val="0"/>
                  <w:vAlign w:val="center"/>
                </w:tcPr>
                <w:p w14:paraId="102EC7F8">
                  <w:pPr>
                    <w:pStyle w:val="115"/>
                    <w:bidi w:val="0"/>
                    <w:rPr>
                      <w:rFonts w:hint="eastAsia"/>
                      <w:lang w:eastAsia="zh-CN"/>
                    </w:rPr>
                  </w:pPr>
                  <w:r>
                    <w:rPr>
                      <w:rFonts w:hint="eastAsia"/>
                      <w:lang w:eastAsia="zh-CN"/>
                    </w:rPr>
                    <w:t>淋滤水</w:t>
                  </w:r>
                </w:p>
              </w:tc>
              <w:tc>
                <w:tcPr>
                  <w:tcW w:w="1952" w:type="dxa"/>
                  <w:noWrap w:val="0"/>
                  <w:vAlign w:val="center"/>
                </w:tcPr>
                <w:p w14:paraId="233229C6">
                  <w:pPr>
                    <w:pStyle w:val="115"/>
                    <w:bidi w:val="0"/>
                    <w:rPr>
                      <w:rFonts w:hint="eastAsia"/>
                    </w:rPr>
                  </w:pPr>
                  <w:r>
                    <w:rPr>
                      <w:rFonts w:hint="eastAsia"/>
                    </w:rPr>
                    <w:t>SS</w:t>
                  </w:r>
                </w:p>
              </w:tc>
              <w:tc>
                <w:tcPr>
                  <w:tcW w:w="1419" w:type="dxa"/>
                  <w:noWrap w:val="0"/>
                  <w:vAlign w:val="center"/>
                </w:tcPr>
                <w:p w14:paraId="1C5517CC">
                  <w:pPr>
                    <w:pStyle w:val="115"/>
                    <w:bidi w:val="0"/>
                    <w:rPr>
                      <w:rFonts w:hint="eastAsia"/>
                    </w:rPr>
                  </w:pPr>
                  <w:r>
                    <w:rPr>
                      <w:rFonts w:hint="eastAsia"/>
                    </w:rPr>
                    <w:t>间歇</w:t>
                  </w:r>
                </w:p>
              </w:tc>
            </w:tr>
            <w:tr w14:paraId="2AE2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restart"/>
                  <w:noWrap w:val="0"/>
                  <w:vAlign w:val="center"/>
                </w:tcPr>
                <w:p w14:paraId="31D7BEAC">
                  <w:pPr>
                    <w:pStyle w:val="115"/>
                    <w:bidi w:val="0"/>
                    <w:rPr>
                      <w:rFonts w:hint="eastAsia"/>
                    </w:rPr>
                  </w:pPr>
                  <w:r>
                    <w:rPr>
                      <w:rFonts w:hint="eastAsia"/>
                    </w:rPr>
                    <w:t>废气</w:t>
                  </w:r>
                </w:p>
              </w:tc>
              <w:tc>
                <w:tcPr>
                  <w:tcW w:w="2075" w:type="dxa"/>
                  <w:noWrap w:val="0"/>
                  <w:vAlign w:val="center"/>
                </w:tcPr>
                <w:p w14:paraId="2FC26C4B">
                  <w:pPr>
                    <w:pStyle w:val="115"/>
                    <w:bidi w:val="0"/>
                    <w:rPr>
                      <w:rFonts w:hint="default"/>
                      <w:lang w:val="en-US" w:eastAsia="zh-CN"/>
                    </w:rPr>
                  </w:pPr>
                  <w:r>
                    <w:rPr>
                      <w:rFonts w:hint="eastAsia"/>
                    </w:rPr>
                    <w:t>车辆进场</w:t>
                  </w:r>
                </w:p>
              </w:tc>
              <w:tc>
                <w:tcPr>
                  <w:tcW w:w="1627" w:type="dxa"/>
                  <w:noWrap w:val="0"/>
                  <w:vAlign w:val="center"/>
                </w:tcPr>
                <w:p w14:paraId="7D6E575B">
                  <w:pPr>
                    <w:pStyle w:val="115"/>
                    <w:bidi w:val="0"/>
                    <w:rPr>
                      <w:rFonts w:hint="eastAsia"/>
                      <w:lang w:val="en-US" w:eastAsia="zh-CN"/>
                    </w:rPr>
                  </w:pPr>
                  <w:r>
                    <w:rPr>
                      <w:rFonts w:hint="eastAsia"/>
                      <w:lang w:val="en-US" w:eastAsia="zh-CN"/>
                    </w:rPr>
                    <w:t>运输扬尘</w:t>
                  </w:r>
                </w:p>
              </w:tc>
              <w:tc>
                <w:tcPr>
                  <w:tcW w:w="1952" w:type="dxa"/>
                  <w:noWrap w:val="0"/>
                  <w:vAlign w:val="center"/>
                </w:tcPr>
                <w:p w14:paraId="7D58458D">
                  <w:pPr>
                    <w:pStyle w:val="115"/>
                    <w:bidi w:val="0"/>
                    <w:rPr>
                      <w:rFonts w:hint="eastAsia"/>
                      <w:lang w:val="en-US" w:eastAsia="zh-CN"/>
                    </w:rPr>
                  </w:pPr>
                  <w:r>
                    <w:rPr>
                      <w:rFonts w:hint="eastAsia"/>
                    </w:rPr>
                    <w:t>TSP</w:t>
                  </w:r>
                </w:p>
              </w:tc>
              <w:tc>
                <w:tcPr>
                  <w:tcW w:w="1419" w:type="dxa"/>
                  <w:noWrap w:val="0"/>
                  <w:vAlign w:val="center"/>
                </w:tcPr>
                <w:p w14:paraId="546DADEA">
                  <w:pPr>
                    <w:pStyle w:val="115"/>
                    <w:bidi w:val="0"/>
                    <w:rPr>
                      <w:rFonts w:hint="eastAsia"/>
                      <w:lang w:val="en-US" w:eastAsia="zh-CN"/>
                    </w:rPr>
                  </w:pPr>
                  <w:r>
                    <w:rPr>
                      <w:rFonts w:hint="eastAsia"/>
                    </w:rPr>
                    <w:t>间歇</w:t>
                  </w:r>
                </w:p>
              </w:tc>
            </w:tr>
            <w:tr w14:paraId="238F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74990B35">
                  <w:pPr>
                    <w:pStyle w:val="115"/>
                    <w:bidi w:val="0"/>
                    <w:rPr>
                      <w:rFonts w:hint="eastAsia"/>
                    </w:rPr>
                  </w:pPr>
                </w:p>
              </w:tc>
              <w:tc>
                <w:tcPr>
                  <w:tcW w:w="2075" w:type="dxa"/>
                  <w:noWrap w:val="0"/>
                  <w:vAlign w:val="center"/>
                </w:tcPr>
                <w:p w14:paraId="2BAC3B4E">
                  <w:pPr>
                    <w:pStyle w:val="115"/>
                    <w:bidi w:val="0"/>
                    <w:rPr>
                      <w:rFonts w:hint="default"/>
                      <w:lang w:val="en-US" w:eastAsia="zh-CN"/>
                    </w:rPr>
                  </w:pPr>
                  <w:r>
                    <w:t>卸土压平</w:t>
                  </w:r>
                </w:p>
              </w:tc>
              <w:tc>
                <w:tcPr>
                  <w:tcW w:w="1627" w:type="dxa"/>
                  <w:noWrap w:val="0"/>
                  <w:vAlign w:val="center"/>
                </w:tcPr>
                <w:p w14:paraId="5557A139">
                  <w:pPr>
                    <w:pStyle w:val="115"/>
                    <w:bidi w:val="0"/>
                    <w:rPr>
                      <w:rFonts w:hint="default"/>
                      <w:lang w:val="en-US" w:eastAsia="zh-CN"/>
                    </w:rPr>
                  </w:pPr>
                  <w:r>
                    <w:rPr>
                      <w:rFonts w:hint="eastAsia"/>
                    </w:rPr>
                    <w:t>卸土扬尘</w:t>
                  </w:r>
                </w:p>
              </w:tc>
              <w:tc>
                <w:tcPr>
                  <w:tcW w:w="1952" w:type="dxa"/>
                  <w:noWrap w:val="0"/>
                  <w:vAlign w:val="center"/>
                </w:tcPr>
                <w:p w14:paraId="40322428">
                  <w:pPr>
                    <w:pStyle w:val="115"/>
                    <w:bidi w:val="0"/>
                    <w:rPr>
                      <w:rFonts w:hint="eastAsia"/>
                      <w:lang w:val="en-US" w:eastAsia="zh-CN"/>
                    </w:rPr>
                  </w:pPr>
                  <w:r>
                    <w:rPr>
                      <w:rFonts w:hint="eastAsia"/>
                    </w:rPr>
                    <w:t>TSP</w:t>
                  </w:r>
                </w:p>
              </w:tc>
              <w:tc>
                <w:tcPr>
                  <w:tcW w:w="1419" w:type="dxa"/>
                  <w:noWrap w:val="0"/>
                  <w:vAlign w:val="center"/>
                </w:tcPr>
                <w:p w14:paraId="32CC52F8">
                  <w:pPr>
                    <w:pStyle w:val="115"/>
                    <w:bidi w:val="0"/>
                    <w:rPr>
                      <w:rFonts w:hint="eastAsia"/>
                      <w:lang w:val="en-US" w:eastAsia="zh-CN"/>
                    </w:rPr>
                  </w:pPr>
                  <w:r>
                    <w:rPr>
                      <w:rFonts w:hint="eastAsia"/>
                    </w:rPr>
                    <w:t>间歇</w:t>
                  </w:r>
                </w:p>
              </w:tc>
            </w:tr>
            <w:tr w14:paraId="1ADF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48D46BEC">
                  <w:pPr>
                    <w:pStyle w:val="115"/>
                    <w:bidi w:val="0"/>
                    <w:rPr>
                      <w:rFonts w:hint="eastAsia"/>
                    </w:rPr>
                  </w:pPr>
                </w:p>
              </w:tc>
              <w:tc>
                <w:tcPr>
                  <w:tcW w:w="2075" w:type="dxa"/>
                  <w:noWrap w:val="0"/>
                  <w:vAlign w:val="center"/>
                </w:tcPr>
                <w:p w14:paraId="434F735E">
                  <w:pPr>
                    <w:pStyle w:val="115"/>
                    <w:bidi w:val="0"/>
                    <w:rPr>
                      <w:rFonts w:hint="eastAsia"/>
                      <w:lang w:val="en-US" w:eastAsia="zh-CN"/>
                    </w:rPr>
                  </w:pPr>
                  <w:r>
                    <w:rPr>
                      <w:rFonts w:hint="eastAsia"/>
                    </w:rPr>
                    <w:t>碾压填平</w:t>
                  </w:r>
                </w:p>
              </w:tc>
              <w:tc>
                <w:tcPr>
                  <w:tcW w:w="1627" w:type="dxa"/>
                  <w:noWrap w:val="0"/>
                  <w:vAlign w:val="center"/>
                </w:tcPr>
                <w:p w14:paraId="6989648C">
                  <w:pPr>
                    <w:pStyle w:val="115"/>
                    <w:bidi w:val="0"/>
                    <w:rPr>
                      <w:rFonts w:hint="eastAsia"/>
                      <w:lang w:val="en-US" w:eastAsia="zh-CN"/>
                    </w:rPr>
                  </w:pPr>
                  <w:r>
                    <w:rPr>
                      <w:rFonts w:hint="eastAsia"/>
                      <w:lang w:val="en-US" w:eastAsia="zh-CN"/>
                    </w:rPr>
                    <w:t>作业</w:t>
                  </w:r>
                  <w:r>
                    <w:rPr>
                      <w:rFonts w:hint="eastAsia"/>
                    </w:rPr>
                    <w:t>扬尘</w:t>
                  </w:r>
                </w:p>
              </w:tc>
              <w:tc>
                <w:tcPr>
                  <w:tcW w:w="1952" w:type="dxa"/>
                  <w:noWrap w:val="0"/>
                  <w:vAlign w:val="center"/>
                </w:tcPr>
                <w:p w14:paraId="00E278FD">
                  <w:pPr>
                    <w:pStyle w:val="115"/>
                    <w:bidi w:val="0"/>
                    <w:rPr>
                      <w:rFonts w:hint="eastAsia"/>
                      <w:lang w:val="en-US" w:eastAsia="zh-CN"/>
                    </w:rPr>
                  </w:pPr>
                  <w:r>
                    <w:rPr>
                      <w:rFonts w:hint="eastAsia"/>
                    </w:rPr>
                    <w:t>TSP</w:t>
                  </w:r>
                </w:p>
              </w:tc>
              <w:tc>
                <w:tcPr>
                  <w:tcW w:w="1419" w:type="dxa"/>
                  <w:noWrap w:val="0"/>
                  <w:vAlign w:val="center"/>
                </w:tcPr>
                <w:p w14:paraId="7303CE6C">
                  <w:pPr>
                    <w:pStyle w:val="115"/>
                    <w:bidi w:val="0"/>
                    <w:rPr>
                      <w:rFonts w:hint="eastAsia"/>
                      <w:lang w:val="en-US" w:eastAsia="zh-CN"/>
                    </w:rPr>
                  </w:pPr>
                  <w:r>
                    <w:rPr>
                      <w:rFonts w:hint="eastAsia"/>
                    </w:rPr>
                    <w:t>间歇</w:t>
                  </w:r>
                </w:p>
              </w:tc>
            </w:tr>
            <w:tr w14:paraId="68D2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60DB7CF3">
                  <w:pPr>
                    <w:pStyle w:val="115"/>
                    <w:bidi w:val="0"/>
                    <w:rPr>
                      <w:rFonts w:hint="eastAsia"/>
                    </w:rPr>
                  </w:pPr>
                </w:p>
              </w:tc>
              <w:tc>
                <w:tcPr>
                  <w:tcW w:w="2075" w:type="dxa"/>
                  <w:noWrap w:val="0"/>
                  <w:vAlign w:val="center"/>
                </w:tcPr>
                <w:p w14:paraId="4A815E71">
                  <w:pPr>
                    <w:pStyle w:val="115"/>
                    <w:bidi w:val="0"/>
                    <w:rPr>
                      <w:rFonts w:hint="default" w:eastAsia="宋体"/>
                      <w:lang w:val="en-US" w:eastAsia="zh-CN"/>
                    </w:rPr>
                  </w:pPr>
                  <w:r>
                    <w:rPr>
                      <w:rFonts w:hint="eastAsia"/>
                      <w:lang w:val="en-US" w:eastAsia="zh-CN"/>
                    </w:rPr>
                    <w:t>填埋区</w:t>
                  </w:r>
                </w:p>
              </w:tc>
              <w:tc>
                <w:tcPr>
                  <w:tcW w:w="1627" w:type="dxa"/>
                  <w:noWrap w:val="0"/>
                  <w:vAlign w:val="center"/>
                </w:tcPr>
                <w:p w14:paraId="0F2A654E">
                  <w:pPr>
                    <w:pStyle w:val="115"/>
                    <w:bidi w:val="0"/>
                    <w:rPr>
                      <w:rFonts w:hint="default" w:eastAsia="宋体"/>
                      <w:lang w:val="en-US" w:eastAsia="zh-CN"/>
                    </w:rPr>
                  </w:pPr>
                  <w:r>
                    <w:rPr>
                      <w:rFonts w:hint="eastAsia"/>
                      <w:lang w:val="en-US" w:eastAsia="zh-CN"/>
                    </w:rPr>
                    <w:t>堆场扬尘</w:t>
                  </w:r>
                </w:p>
              </w:tc>
              <w:tc>
                <w:tcPr>
                  <w:tcW w:w="1952" w:type="dxa"/>
                  <w:shd w:val="clear" w:color="auto" w:fill="auto"/>
                  <w:noWrap w:val="0"/>
                  <w:vAlign w:val="center"/>
                </w:tcPr>
                <w:p w14:paraId="049AF22D">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TSP</w:t>
                  </w:r>
                </w:p>
              </w:tc>
              <w:tc>
                <w:tcPr>
                  <w:tcW w:w="1419" w:type="dxa"/>
                  <w:shd w:val="clear" w:color="auto" w:fill="auto"/>
                  <w:noWrap w:val="0"/>
                  <w:vAlign w:val="center"/>
                </w:tcPr>
                <w:p w14:paraId="5A21D3FE">
                  <w:pPr>
                    <w:pStyle w:val="115"/>
                    <w:bidi w:val="0"/>
                    <w:ind w:firstLine="0" w:firstLineChars="0"/>
                    <w:rPr>
                      <w:rFonts w:hint="eastAsia" w:ascii="Times New Roman" w:hAnsi="Times New Roman" w:eastAsia="宋体" w:cs="Times New Roman"/>
                      <w:kern w:val="0"/>
                      <w:sz w:val="21"/>
                      <w:szCs w:val="24"/>
                      <w:lang w:val="en-US" w:eastAsia="zh-CN" w:bidi="ar-SA"/>
                    </w:rPr>
                  </w:pPr>
                  <w:r>
                    <w:rPr>
                      <w:rFonts w:hint="eastAsia"/>
                    </w:rPr>
                    <w:t>间歇</w:t>
                  </w:r>
                </w:p>
              </w:tc>
            </w:tr>
            <w:tr w14:paraId="64C3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1AB78C3D">
                  <w:pPr>
                    <w:pStyle w:val="115"/>
                    <w:bidi w:val="0"/>
                    <w:rPr>
                      <w:rFonts w:hint="eastAsia"/>
                    </w:rPr>
                  </w:pPr>
                </w:p>
              </w:tc>
              <w:tc>
                <w:tcPr>
                  <w:tcW w:w="2075" w:type="dxa"/>
                  <w:noWrap w:val="0"/>
                  <w:vAlign w:val="center"/>
                </w:tcPr>
                <w:p w14:paraId="77649694">
                  <w:pPr>
                    <w:pStyle w:val="115"/>
                    <w:bidi w:val="0"/>
                    <w:rPr>
                      <w:rFonts w:hint="default"/>
                      <w:lang w:val="en-US" w:eastAsia="zh-CN"/>
                    </w:rPr>
                  </w:pPr>
                  <w:r>
                    <w:rPr>
                      <w:rFonts w:hint="eastAsia"/>
                    </w:rPr>
                    <w:t>车辆</w:t>
                  </w:r>
                  <w:r>
                    <w:rPr>
                      <w:rFonts w:hint="eastAsia"/>
                      <w:lang w:val="en-US" w:eastAsia="zh-CN"/>
                    </w:rPr>
                    <w:t>进出厂</w:t>
                  </w:r>
                </w:p>
              </w:tc>
              <w:tc>
                <w:tcPr>
                  <w:tcW w:w="1627" w:type="dxa"/>
                  <w:noWrap w:val="0"/>
                  <w:vAlign w:val="center"/>
                </w:tcPr>
                <w:p w14:paraId="5B912753">
                  <w:pPr>
                    <w:pStyle w:val="115"/>
                    <w:bidi w:val="0"/>
                    <w:rPr>
                      <w:rFonts w:hint="eastAsia"/>
                      <w:lang w:val="en-US" w:eastAsia="zh-CN"/>
                    </w:rPr>
                  </w:pPr>
                  <w:r>
                    <w:rPr>
                      <w:rFonts w:hint="eastAsia"/>
                      <w:lang w:val="en-US" w:eastAsia="zh-CN"/>
                    </w:rPr>
                    <w:t>汽车尾气</w:t>
                  </w:r>
                </w:p>
              </w:tc>
              <w:tc>
                <w:tcPr>
                  <w:tcW w:w="1952" w:type="dxa"/>
                  <w:noWrap w:val="0"/>
                  <w:vAlign w:val="center"/>
                </w:tcPr>
                <w:p w14:paraId="61664B27">
                  <w:pPr>
                    <w:pStyle w:val="115"/>
                    <w:bidi w:val="0"/>
                    <w:rPr>
                      <w:rFonts w:hint="eastAsia"/>
                      <w:lang w:val="en-US" w:eastAsia="zh-CN"/>
                    </w:rPr>
                  </w:pPr>
                  <w:r>
                    <w:rPr>
                      <w:rFonts w:hint="eastAsia"/>
                      <w:lang w:val="en-US" w:eastAsia="zh-CN"/>
                    </w:rPr>
                    <w:t>CO、NOx、烃类</w:t>
                  </w:r>
                </w:p>
              </w:tc>
              <w:tc>
                <w:tcPr>
                  <w:tcW w:w="1419" w:type="dxa"/>
                  <w:noWrap w:val="0"/>
                  <w:vAlign w:val="center"/>
                </w:tcPr>
                <w:p w14:paraId="75CB948F">
                  <w:pPr>
                    <w:pStyle w:val="115"/>
                    <w:bidi w:val="0"/>
                    <w:rPr>
                      <w:rFonts w:hint="eastAsia"/>
                      <w:lang w:val="en-US" w:eastAsia="zh-CN"/>
                    </w:rPr>
                  </w:pPr>
                  <w:r>
                    <w:rPr>
                      <w:rFonts w:hint="eastAsia"/>
                    </w:rPr>
                    <w:t>间歇</w:t>
                  </w:r>
                </w:p>
              </w:tc>
            </w:tr>
            <w:tr w14:paraId="10F9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noWrap w:val="0"/>
                  <w:vAlign w:val="center"/>
                </w:tcPr>
                <w:p w14:paraId="152B6121">
                  <w:pPr>
                    <w:pStyle w:val="115"/>
                    <w:bidi w:val="0"/>
                    <w:rPr>
                      <w:rFonts w:hint="eastAsia"/>
                    </w:rPr>
                  </w:pPr>
                  <w:r>
                    <w:rPr>
                      <w:rFonts w:hint="eastAsia"/>
                    </w:rPr>
                    <w:t>噪声</w:t>
                  </w:r>
                </w:p>
              </w:tc>
              <w:tc>
                <w:tcPr>
                  <w:tcW w:w="2075" w:type="dxa"/>
                  <w:noWrap w:val="0"/>
                  <w:vAlign w:val="center"/>
                </w:tcPr>
                <w:p w14:paraId="560539A5">
                  <w:pPr>
                    <w:pStyle w:val="115"/>
                    <w:bidi w:val="0"/>
                    <w:rPr>
                      <w:rFonts w:hint="eastAsia"/>
                    </w:rPr>
                  </w:pPr>
                  <w:r>
                    <w:rPr>
                      <w:rFonts w:hint="eastAsia"/>
                      <w:lang w:val="en-US" w:eastAsia="zh-CN"/>
                    </w:rPr>
                    <w:t>堆填</w:t>
                  </w:r>
                  <w:r>
                    <w:rPr>
                      <w:rFonts w:hint="eastAsia"/>
                    </w:rPr>
                    <w:t>全过程</w:t>
                  </w:r>
                </w:p>
              </w:tc>
              <w:tc>
                <w:tcPr>
                  <w:tcW w:w="1627" w:type="dxa"/>
                  <w:noWrap w:val="0"/>
                  <w:vAlign w:val="center"/>
                </w:tcPr>
                <w:p w14:paraId="37ACB1E7">
                  <w:pPr>
                    <w:pStyle w:val="115"/>
                    <w:bidi w:val="0"/>
                    <w:rPr>
                      <w:rFonts w:hint="eastAsia"/>
                    </w:rPr>
                  </w:pPr>
                  <w:r>
                    <w:rPr>
                      <w:rFonts w:hint="eastAsia"/>
                    </w:rPr>
                    <w:t>设备噪声</w:t>
                  </w:r>
                  <w:r>
                    <w:rPr>
                      <w:rFonts w:hint="eastAsia"/>
                      <w:lang w:eastAsia="zh-CN"/>
                    </w:rPr>
                    <w:t>、</w:t>
                  </w:r>
                  <w:r>
                    <w:rPr>
                      <w:rFonts w:hint="eastAsia"/>
                    </w:rPr>
                    <w:t>机动车噪声</w:t>
                  </w:r>
                </w:p>
              </w:tc>
              <w:tc>
                <w:tcPr>
                  <w:tcW w:w="1952" w:type="dxa"/>
                  <w:noWrap w:val="0"/>
                  <w:vAlign w:val="center"/>
                </w:tcPr>
                <w:p w14:paraId="35CD30DD">
                  <w:pPr>
                    <w:pStyle w:val="115"/>
                    <w:bidi w:val="0"/>
                    <w:rPr>
                      <w:rFonts w:hint="eastAsia"/>
                    </w:rPr>
                  </w:pPr>
                  <w:r>
                    <w:rPr>
                      <w:rFonts w:hint="eastAsia"/>
                    </w:rPr>
                    <w:t>dB（A）</w:t>
                  </w:r>
                </w:p>
              </w:tc>
              <w:tc>
                <w:tcPr>
                  <w:tcW w:w="1419" w:type="dxa"/>
                  <w:noWrap w:val="0"/>
                  <w:vAlign w:val="center"/>
                </w:tcPr>
                <w:p w14:paraId="7C3929DA">
                  <w:pPr>
                    <w:pStyle w:val="115"/>
                    <w:bidi w:val="0"/>
                    <w:rPr>
                      <w:rFonts w:hint="eastAsia"/>
                    </w:rPr>
                  </w:pPr>
                  <w:r>
                    <w:rPr>
                      <w:rFonts w:hint="eastAsia"/>
                    </w:rPr>
                    <w:t>间歇</w:t>
                  </w:r>
                </w:p>
              </w:tc>
            </w:tr>
            <w:tr w14:paraId="24B6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restart"/>
                  <w:noWrap w:val="0"/>
                  <w:vAlign w:val="center"/>
                </w:tcPr>
                <w:p w14:paraId="53C1C887">
                  <w:pPr>
                    <w:pStyle w:val="115"/>
                    <w:bidi w:val="0"/>
                    <w:rPr>
                      <w:rFonts w:hint="eastAsia"/>
                    </w:rPr>
                  </w:pPr>
                  <w:r>
                    <w:rPr>
                      <w:rFonts w:hint="eastAsia"/>
                    </w:rPr>
                    <w:t>固废</w:t>
                  </w:r>
                </w:p>
              </w:tc>
              <w:tc>
                <w:tcPr>
                  <w:tcW w:w="2075" w:type="dxa"/>
                  <w:noWrap w:val="0"/>
                  <w:vAlign w:val="center"/>
                </w:tcPr>
                <w:p w14:paraId="445F60E0">
                  <w:pPr>
                    <w:pStyle w:val="115"/>
                    <w:bidi w:val="0"/>
                    <w:rPr>
                      <w:rFonts w:hint="default"/>
                      <w:lang w:val="en-US" w:eastAsia="zh-CN"/>
                    </w:rPr>
                  </w:pPr>
                  <w:r>
                    <w:rPr>
                      <w:rFonts w:hint="eastAsia"/>
                      <w:lang w:val="en-US" w:eastAsia="zh-CN"/>
                    </w:rPr>
                    <w:t>洗车废水沉淀池、淋滤水沉淀池泥沙</w:t>
                  </w:r>
                </w:p>
              </w:tc>
              <w:tc>
                <w:tcPr>
                  <w:tcW w:w="1627" w:type="dxa"/>
                  <w:noWrap w:val="0"/>
                  <w:vAlign w:val="center"/>
                </w:tcPr>
                <w:p w14:paraId="71A64328">
                  <w:pPr>
                    <w:pStyle w:val="115"/>
                    <w:bidi w:val="0"/>
                    <w:rPr>
                      <w:rFonts w:hint="default"/>
                      <w:lang w:val="en-US" w:eastAsia="zh-CN"/>
                    </w:rPr>
                  </w:pPr>
                  <w:r>
                    <w:rPr>
                      <w:rFonts w:hint="eastAsia"/>
                      <w:lang w:val="en-US" w:eastAsia="zh-CN"/>
                    </w:rPr>
                    <w:t>洗车池泥沙、沉淀池泥沙</w:t>
                  </w:r>
                </w:p>
              </w:tc>
              <w:tc>
                <w:tcPr>
                  <w:tcW w:w="1952" w:type="dxa"/>
                  <w:noWrap w:val="0"/>
                  <w:vAlign w:val="center"/>
                </w:tcPr>
                <w:p w14:paraId="4BDF5834">
                  <w:pPr>
                    <w:pStyle w:val="115"/>
                    <w:bidi w:val="0"/>
                    <w:rPr>
                      <w:rFonts w:hint="eastAsia"/>
                      <w:lang w:val="en-US" w:eastAsia="zh-CN"/>
                    </w:rPr>
                  </w:pPr>
                  <w:r>
                    <w:rPr>
                      <w:rFonts w:hint="eastAsia"/>
                      <w:lang w:val="en-US" w:eastAsia="zh-CN"/>
                    </w:rPr>
                    <w:t>泥沙</w:t>
                  </w:r>
                </w:p>
              </w:tc>
              <w:tc>
                <w:tcPr>
                  <w:tcW w:w="1419" w:type="dxa"/>
                  <w:noWrap w:val="0"/>
                  <w:vAlign w:val="center"/>
                </w:tcPr>
                <w:p w14:paraId="7DEC1DDA">
                  <w:pPr>
                    <w:pStyle w:val="115"/>
                    <w:bidi w:val="0"/>
                    <w:rPr>
                      <w:rFonts w:hint="eastAsia"/>
                      <w:lang w:val="en-US" w:eastAsia="zh-CN"/>
                    </w:rPr>
                  </w:pPr>
                  <w:r>
                    <w:rPr>
                      <w:rFonts w:hint="eastAsia"/>
                    </w:rPr>
                    <w:t>间歇</w:t>
                  </w:r>
                </w:p>
              </w:tc>
            </w:tr>
            <w:tr w14:paraId="1460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16D3DF38">
                  <w:pPr>
                    <w:pStyle w:val="115"/>
                    <w:bidi w:val="0"/>
                    <w:rPr>
                      <w:rFonts w:hint="eastAsia"/>
                    </w:rPr>
                  </w:pPr>
                </w:p>
              </w:tc>
              <w:tc>
                <w:tcPr>
                  <w:tcW w:w="2075" w:type="dxa"/>
                  <w:noWrap w:val="0"/>
                  <w:vAlign w:val="center"/>
                </w:tcPr>
                <w:p w14:paraId="6DBB0371">
                  <w:pPr>
                    <w:pStyle w:val="115"/>
                    <w:bidi w:val="0"/>
                    <w:rPr>
                      <w:rFonts w:hint="eastAsia"/>
                      <w:lang w:val="en-US" w:eastAsia="zh-CN"/>
                    </w:rPr>
                  </w:pPr>
                  <w:r>
                    <w:rPr>
                      <w:rFonts w:hint="eastAsia"/>
                      <w:lang w:eastAsia="zh-CN"/>
                    </w:rPr>
                    <w:t>生活垃圾</w:t>
                  </w:r>
                </w:p>
              </w:tc>
              <w:tc>
                <w:tcPr>
                  <w:tcW w:w="1627" w:type="dxa"/>
                  <w:noWrap w:val="0"/>
                  <w:vAlign w:val="center"/>
                </w:tcPr>
                <w:p w14:paraId="1F69F839">
                  <w:pPr>
                    <w:pStyle w:val="115"/>
                    <w:bidi w:val="0"/>
                    <w:rPr>
                      <w:rFonts w:hint="eastAsia"/>
                      <w:lang w:val="en-US" w:eastAsia="zh-CN"/>
                    </w:rPr>
                  </w:pPr>
                  <w:r>
                    <w:rPr>
                      <w:rFonts w:hint="eastAsia"/>
                      <w:lang w:eastAsia="zh-CN"/>
                    </w:rPr>
                    <w:t>生活垃圾</w:t>
                  </w:r>
                </w:p>
              </w:tc>
              <w:tc>
                <w:tcPr>
                  <w:tcW w:w="1952" w:type="dxa"/>
                  <w:noWrap w:val="0"/>
                  <w:vAlign w:val="center"/>
                </w:tcPr>
                <w:p w14:paraId="6B3D1B35">
                  <w:pPr>
                    <w:pStyle w:val="115"/>
                    <w:bidi w:val="0"/>
                    <w:rPr>
                      <w:rFonts w:hint="default"/>
                      <w:lang w:val="en-US" w:eastAsia="zh-CN"/>
                    </w:rPr>
                  </w:pPr>
                  <w:r>
                    <w:rPr>
                      <w:rFonts w:hint="eastAsia"/>
                      <w:lang w:val="en-US" w:eastAsia="zh-CN"/>
                    </w:rPr>
                    <w:t>生活垃圾</w:t>
                  </w:r>
                </w:p>
              </w:tc>
              <w:tc>
                <w:tcPr>
                  <w:tcW w:w="1419" w:type="dxa"/>
                  <w:noWrap w:val="0"/>
                  <w:vAlign w:val="center"/>
                </w:tcPr>
                <w:p w14:paraId="7BE5B5EB">
                  <w:pPr>
                    <w:pStyle w:val="115"/>
                    <w:bidi w:val="0"/>
                    <w:rPr>
                      <w:rFonts w:hint="eastAsia"/>
                      <w:lang w:val="en-US" w:eastAsia="zh-CN"/>
                    </w:rPr>
                  </w:pPr>
                  <w:r>
                    <w:rPr>
                      <w:rFonts w:hint="eastAsia"/>
                    </w:rPr>
                    <w:t>间歇</w:t>
                  </w:r>
                </w:p>
              </w:tc>
            </w:tr>
            <w:tr w14:paraId="2902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6" w:type="dxa"/>
                  <w:vMerge w:val="continue"/>
                  <w:noWrap w:val="0"/>
                  <w:vAlign w:val="center"/>
                </w:tcPr>
                <w:p w14:paraId="4015F579">
                  <w:pPr>
                    <w:pStyle w:val="115"/>
                    <w:bidi w:val="0"/>
                    <w:rPr>
                      <w:rFonts w:hint="eastAsia"/>
                    </w:rPr>
                  </w:pPr>
                </w:p>
              </w:tc>
              <w:tc>
                <w:tcPr>
                  <w:tcW w:w="2075" w:type="dxa"/>
                  <w:noWrap w:val="0"/>
                  <w:vAlign w:val="center"/>
                </w:tcPr>
                <w:p w14:paraId="56E5974D">
                  <w:pPr>
                    <w:pStyle w:val="115"/>
                    <w:bidi w:val="0"/>
                    <w:rPr>
                      <w:rFonts w:hint="default"/>
                      <w:lang w:val="en-US" w:eastAsia="zh-CN"/>
                    </w:rPr>
                  </w:pPr>
                  <w:r>
                    <w:rPr>
                      <w:rFonts w:hint="eastAsia"/>
                      <w:lang w:val="en-US" w:eastAsia="zh-CN"/>
                    </w:rPr>
                    <w:t>分拣平台</w:t>
                  </w:r>
                </w:p>
              </w:tc>
              <w:tc>
                <w:tcPr>
                  <w:tcW w:w="1627" w:type="dxa"/>
                  <w:noWrap w:val="0"/>
                  <w:vAlign w:val="center"/>
                </w:tcPr>
                <w:p w14:paraId="50F3140D">
                  <w:pPr>
                    <w:pStyle w:val="115"/>
                    <w:bidi w:val="0"/>
                    <w:rPr>
                      <w:rFonts w:hint="default"/>
                      <w:lang w:val="en-US" w:eastAsia="zh-CN"/>
                    </w:rPr>
                  </w:pPr>
                  <w:r>
                    <w:rPr>
                      <w:rFonts w:hint="eastAsia"/>
                      <w:lang w:val="en-US" w:eastAsia="zh-CN"/>
                    </w:rPr>
                    <w:t>一般固体废物、危险废物</w:t>
                  </w:r>
                </w:p>
              </w:tc>
              <w:tc>
                <w:tcPr>
                  <w:tcW w:w="1952" w:type="dxa"/>
                  <w:noWrap w:val="0"/>
                  <w:vAlign w:val="center"/>
                </w:tcPr>
                <w:p w14:paraId="73658868">
                  <w:pPr>
                    <w:pStyle w:val="115"/>
                    <w:bidi w:val="0"/>
                    <w:rPr>
                      <w:rFonts w:hint="eastAsia"/>
                      <w:lang w:val="en-US" w:eastAsia="zh-CN"/>
                    </w:rPr>
                  </w:pPr>
                  <w:r>
                    <w:rPr>
                      <w:rFonts w:hint="eastAsia"/>
                      <w:lang w:val="en-US" w:eastAsia="zh-CN"/>
                    </w:rPr>
                    <w:t>一般固体废物、危险废物</w:t>
                  </w:r>
                </w:p>
              </w:tc>
              <w:tc>
                <w:tcPr>
                  <w:tcW w:w="1419" w:type="dxa"/>
                  <w:noWrap w:val="0"/>
                  <w:vAlign w:val="center"/>
                </w:tcPr>
                <w:p w14:paraId="52E85986">
                  <w:pPr>
                    <w:pStyle w:val="115"/>
                    <w:bidi w:val="0"/>
                    <w:rPr>
                      <w:rFonts w:hint="eastAsia"/>
                    </w:rPr>
                  </w:pPr>
                  <w:r>
                    <w:rPr>
                      <w:rFonts w:hint="eastAsia"/>
                    </w:rPr>
                    <w:t>间歇</w:t>
                  </w:r>
                </w:p>
              </w:tc>
            </w:tr>
          </w:tbl>
          <w:p w14:paraId="75147669">
            <w:pPr>
              <w:pStyle w:val="2"/>
              <w:rPr>
                <w:rFonts w:hint="eastAsia"/>
              </w:rPr>
            </w:pPr>
          </w:p>
          <w:p w14:paraId="1D80AD89">
            <w:pPr>
              <w:bidi w:val="0"/>
            </w:pPr>
          </w:p>
          <w:p w14:paraId="595BBE52">
            <w:pPr>
              <w:bidi w:val="0"/>
              <w:rPr>
                <w:rFonts w:hint="eastAsia"/>
                <w:lang w:val="zh-CN" w:eastAsia="zh-CN"/>
              </w:rPr>
            </w:pPr>
          </w:p>
        </w:tc>
      </w:tr>
      <w:tr w14:paraId="7447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BF54039">
            <w:pPr>
              <w:ind w:firstLine="0" w:firstLineChars="0"/>
              <w:jc w:val="center"/>
            </w:pPr>
            <w:r>
              <w:rPr>
                <w:rFonts w:hint="eastAsia"/>
                <w:b/>
                <w:bCs/>
              </w:rPr>
              <w:t>与项目有关的原有环境污染问题</w:t>
            </w:r>
          </w:p>
        </w:tc>
        <w:tc>
          <w:tcPr>
            <w:tcW w:w="8715" w:type="dxa"/>
            <w:vAlign w:val="center"/>
          </w:tcPr>
          <w:p w14:paraId="17CD55D4">
            <w:pPr>
              <w:pStyle w:val="4"/>
              <w:bidi w:val="0"/>
              <w:rPr>
                <w:rFonts w:hint="default" w:eastAsia="宋体"/>
                <w:u w:val="single"/>
                <w:lang w:val="en-US" w:eastAsia="zh-CN"/>
              </w:rPr>
            </w:pPr>
            <w:r>
              <w:rPr>
                <w:rFonts w:hint="eastAsia"/>
                <w:u w:val="single"/>
                <w:lang w:val="en-US" w:eastAsia="zh-CN"/>
              </w:rPr>
              <w:t>2.9与本项目相关的环境污染问题</w:t>
            </w:r>
          </w:p>
          <w:p w14:paraId="7EE825D2">
            <w:pPr>
              <w:bidi w:val="0"/>
              <w:rPr>
                <w:rFonts w:hint="eastAsia"/>
                <w:u w:val="single"/>
              </w:rPr>
            </w:pPr>
            <w:r>
              <w:rPr>
                <w:rFonts w:hint="eastAsia"/>
                <w:u w:val="single"/>
              </w:rPr>
              <w:t>本项目为新建项目，</w:t>
            </w:r>
            <w:r>
              <w:rPr>
                <w:rFonts w:hint="eastAsia"/>
                <w:u w:val="single"/>
                <w:lang w:val="en-US" w:eastAsia="zh-CN"/>
              </w:rPr>
              <w:t>建筑垃圾堆填场</w:t>
            </w:r>
            <w:r>
              <w:rPr>
                <w:rFonts w:hint="eastAsia"/>
                <w:u w:val="single"/>
              </w:rPr>
              <w:t>选址于湖南省怀化市洪江市安江镇龙田村。一期红线范围内存在历史砂石矿开采遗留的矿坑，该砂石矿属违法开采，未办理用地手续及采矿权等合法手续。一期用地性质为林地，现已按要求办理林地使用手续（详见附件7）。经核查，项目周边无矿权分布（详见附件8</w:t>
            </w:r>
            <w:r>
              <w:rPr>
                <w:rFonts w:hint="eastAsia"/>
                <w:u w:val="single"/>
                <w:lang w:eastAsia="zh-CN"/>
              </w:rPr>
              <w:t>，</w:t>
            </w:r>
            <w:r>
              <w:rPr>
                <w:rFonts w:hint="eastAsia"/>
                <w:u w:val="single"/>
                <w:lang w:val="en-US" w:eastAsia="zh-CN"/>
              </w:rPr>
              <w:t>用地面积包括一期用地、二期用地</w:t>
            </w:r>
            <w:r>
              <w:rPr>
                <w:rFonts w:hint="eastAsia"/>
                <w:u w:val="single"/>
              </w:rPr>
              <w:t>）。</w:t>
            </w:r>
          </w:p>
          <w:p w14:paraId="69C6C836">
            <w:pPr>
              <w:bidi w:val="0"/>
              <w:rPr>
                <w:rFonts w:hint="eastAsia"/>
                <w:b w:val="0"/>
                <w:bCs w:val="0"/>
                <w:u w:val="single"/>
              </w:rPr>
            </w:pPr>
            <w:r>
              <w:rPr>
                <w:rFonts w:hint="eastAsia"/>
                <w:b w:val="0"/>
                <w:bCs w:val="0"/>
                <w:u w:val="single"/>
              </w:rPr>
              <w:t>1、原有情况</w:t>
            </w:r>
          </w:p>
          <w:p w14:paraId="5F074F05">
            <w:pPr>
              <w:bidi w:val="0"/>
              <w:rPr>
                <w:rFonts w:hint="eastAsia"/>
                <w:b w:val="0"/>
                <w:bCs w:val="0"/>
                <w:u w:val="single"/>
              </w:rPr>
            </w:pPr>
            <w:r>
              <w:rPr>
                <w:rFonts w:hint="eastAsia"/>
                <w:b w:val="0"/>
                <w:bCs w:val="0"/>
                <w:u w:val="single"/>
                <w:lang w:val="en-US" w:eastAsia="zh-CN"/>
              </w:rPr>
              <w:t>该矿区主要为当地村民非法采矿，主要为石灰石，</w:t>
            </w:r>
            <w:r>
              <w:rPr>
                <w:rFonts w:hint="eastAsia"/>
                <w:b w:val="0"/>
                <w:bCs w:val="0"/>
                <w:u w:val="single"/>
              </w:rPr>
              <w:t>该矿区年代较为久远</w:t>
            </w:r>
            <w:r>
              <w:rPr>
                <w:rFonts w:hint="eastAsia"/>
                <w:b w:val="0"/>
                <w:bCs w:val="0"/>
                <w:u w:val="single"/>
                <w:lang w:val="en-US" w:eastAsia="zh-CN"/>
              </w:rPr>
              <w:t>且为非法采矿，开采时间约为2011年，废弃时间为2012年</w:t>
            </w:r>
            <w:r>
              <w:rPr>
                <w:rFonts w:hint="eastAsia"/>
                <w:b w:val="0"/>
                <w:bCs w:val="0"/>
                <w:u w:val="single"/>
              </w:rPr>
              <w:t>，已长期无生产活动，能收集到的历史资料较少。</w:t>
            </w:r>
            <w:r>
              <w:rPr>
                <w:rFonts w:hint="eastAsia"/>
                <w:b w:val="0"/>
                <w:bCs w:val="0"/>
                <w:u w:val="single"/>
                <w:lang w:val="en-US" w:eastAsia="zh-CN"/>
              </w:rPr>
              <w:t>根据现场勘察可知，</w:t>
            </w:r>
            <w:r>
              <w:rPr>
                <w:rFonts w:hint="eastAsia"/>
                <w:b w:val="0"/>
                <w:bCs w:val="0"/>
                <w:u w:val="single"/>
              </w:rPr>
              <w:t>该区域无任何生产设备和建筑工程</w:t>
            </w:r>
            <w:r>
              <w:rPr>
                <w:rFonts w:hint="eastAsia"/>
                <w:b w:val="0"/>
                <w:bCs w:val="0"/>
                <w:u w:val="single"/>
                <w:lang w:eastAsia="zh-CN"/>
              </w:rPr>
              <w:t>、</w:t>
            </w:r>
            <w:r>
              <w:rPr>
                <w:rFonts w:hint="eastAsia"/>
                <w:b w:val="0"/>
                <w:bCs w:val="0"/>
                <w:u w:val="single"/>
                <w:lang w:val="en-US" w:eastAsia="zh-CN"/>
              </w:rPr>
              <w:t>采矿废石、采矿剥离土，</w:t>
            </w:r>
            <w:r>
              <w:rPr>
                <w:rFonts w:hint="eastAsia"/>
                <w:b w:val="0"/>
                <w:bCs w:val="0"/>
                <w:u w:val="single"/>
              </w:rPr>
              <w:t>矿坑周边已自然恢复为次生林地，林木茂盛。</w:t>
            </w:r>
          </w:p>
          <w:p w14:paraId="43230745">
            <w:pPr>
              <w:bidi w:val="0"/>
              <w:rPr>
                <w:rFonts w:hint="eastAsia" w:ascii="Times New Roman" w:hAnsi="Times New Roman" w:eastAsia="宋体" w:cs="Times New Roman"/>
                <w:b w:val="0"/>
                <w:bCs w:val="0"/>
                <w:u w:val="single"/>
              </w:rPr>
            </w:pPr>
            <w:r>
              <w:rPr>
                <w:rFonts w:hint="eastAsia" w:ascii="Times New Roman" w:hAnsi="Times New Roman" w:eastAsia="宋体" w:cs="Times New Roman"/>
                <w:b w:val="0"/>
                <w:bCs w:val="0"/>
                <w:u w:val="single"/>
              </w:rPr>
              <w:t>2、存在的主要问题及整改措施</w:t>
            </w:r>
          </w:p>
          <w:p w14:paraId="0623D281">
            <w:pPr>
              <w:bidi w:val="0"/>
              <w:rPr>
                <w:rFonts w:hint="eastAsia" w:ascii="Times New Roman" w:hAnsi="Times New Roman" w:eastAsia="宋体" w:cs="Times New Roman"/>
                <w:b w:val="0"/>
                <w:bCs w:val="0"/>
                <w:u w:val="single"/>
              </w:rPr>
            </w:pPr>
            <w:r>
              <w:rPr>
                <w:rFonts w:hint="eastAsia" w:ascii="Times New Roman" w:hAnsi="Times New Roman" w:eastAsia="宋体" w:cs="Times New Roman"/>
                <w:b w:val="0"/>
                <w:bCs w:val="0"/>
                <w:u w:val="single"/>
              </w:rPr>
              <w:t>因项目所在地遗留下来的矿坑较深，常年下雨导致坑内积水，矿坑周边无任何安全措施及警示牌，存在着较大的安全隐患；从卫星影像上看，因矿坑的存在导致该区域原有的绿色景观植被被破坏，在可视范围内造成了影响。</w:t>
            </w:r>
          </w:p>
          <w:p w14:paraId="265AC823">
            <w:pPr>
              <w:bidi w:val="0"/>
              <w:rPr>
                <w:rFonts w:hint="eastAsia" w:ascii="Times New Roman" w:hAnsi="Times New Roman" w:eastAsia="宋体" w:cs="Times New Roman"/>
                <w:b w:val="0"/>
                <w:bCs w:val="0"/>
                <w:u w:val="single"/>
              </w:rPr>
            </w:pPr>
            <w:r>
              <w:rPr>
                <w:rFonts w:hint="eastAsia" w:ascii="Times New Roman" w:hAnsi="Times New Roman" w:eastAsia="宋体" w:cs="Times New Roman"/>
                <w:b w:val="0"/>
                <w:bCs w:val="0"/>
                <w:u w:val="single"/>
              </w:rPr>
              <w:t>结合项目所在地原有情况及现场勘查情况，确定了存在的问题，并结合拟建项目建设情况提出相应的整改措施，具体如下：</w:t>
            </w:r>
          </w:p>
          <w:p w14:paraId="3ABC30E8">
            <w:pPr>
              <w:bidi w:val="0"/>
              <w:rPr>
                <w:rFonts w:hint="eastAsia"/>
                <w:u w:val="single"/>
              </w:rPr>
            </w:pPr>
            <w:r>
              <w:rPr>
                <w:rFonts w:hint="eastAsia"/>
                <w:u w:val="single"/>
              </w:rPr>
              <w:t>①</w:t>
            </w:r>
            <w:r>
              <w:rPr>
                <w:rFonts w:hint="eastAsia"/>
                <w:u w:val="single"/>
                <w:lang w:val="en-US" w:eastAsia="zh-CN"/>
              </w:rPr>
              <w:t>矿坑积水处置：</w:t>
            </w:r>
            <w:r>
              <w:rPr>
                <w:rFonts w:hint="eastAsia"/>
                <w:u w:val="single"/>
              </w:rPr>
              <w:t>在坑外合适位置提前建设临时沉淀池（或直接利用运营期30m</w:t>
            </w:r>
            <w:r>
              <w:rPr>
                <w:rFonts w:hint="eastAsia"/>
                <w:u w:val="single"/>
                <w:vertAlign w:val="superscript"/>
              </w:rPr>
              <w:t>3</w:t>
            </w:r>
            <w:r>
              <w:rPr>
                <w:rFonts w:hint="eastAsia"/>
                <w:u w:val="single"/>
              </w:rPr>
              <w:t>淋溶水沉淀池，要求在施工期前建成），安装潜污泵及排水管道，将坑内积水抽至沉淀池，静置沉淀后</w:t>
            </w:r>
            <w:r>
              <w:rPr>
                <w:rFonts w:hint="eastAsia"/>
                <w:u w:val="single"/>
                <w:lang w:val="en-US" w:eastAsia="zh-CN"/>
              </w:rPr>
              <w:t>达到</w:t>
            </w:r>
            <w:r>
              <w:rPr>
                <w:rFonts w:hint="eastAsia"/>
                <w:u w:val="single"/>
              </w:rPr>
              <w:t>《污水综合排放标准》（GB8978-1996）一级标准后</w:t>
            </w:r>
            <w:r>
              <w:rPr>
                <w:rFonts w:hint="eastAsia"/>
                <w:u w:val="single"/>
                <w:lang w:val="en-US" w:eastAsia="zh-CN"/>
              </w:rPr>
              <w:t>通过沟渠汇入洪溪，沉淀池沉渣运至堆填场进行堆填</w:t>
            </w:r>
            <w:r>
              <w:rPr>
                <w:rFonts w:hint="eastAsia"/>
                <w:u w:val="single"/>
              </w:rPr>
              <w:t>。</w:t>
            </w:r>
          </w:p>
          <w:p w14:paraId="5090953C">
            <w:pPr>
              <w:bidi w:val="0"/>
              <w:rPr>
                <w:rFonts w:hint="eastAsia"/>
                <w:u w:val="single"/>
              </w:rPr>
            </w:pPr>
            <w:r>
              <w:rPr>
                <w:rFonts w:hint="eastAsia"/>
                <w:u w:val="single"/>
              </w:rPr>
              <w:t>②矿坑堆填治理：利用城市建筑垃圾对矿坑进行分层堆填，修复历史采矿遗留的矿坑问题。</w:t>
            </w:r>
          </w:p>
          <w:p w14:paraId="475D9748">
            <w:pPr>
              <w:bidi w:val="0"/>
              <w:rPr>
                <w:rFonts w:hint="eastAsia" w:ascii="Times New Roman" w:hAnsi="Times New Roman" w:eastAsia="宋体" w:cs="Times New Roman"/>
                <w:b w:val="0"/>
                <w:bCs w:val="0"/>
                <w:u w:val="single"/>
              </w:rPr>
            </w:pPr>
            <w:r>
              <w:rPr>
                <w:rFonts w:hint="eastAsia" w:ascii="Times New Roman" w:hAnsi="Times New Roman" w:eastAsia="宋体" w:cs="Times New Roman"/>
                <w:b w:val="0"/>
                <w:bCs w:val="0"/>
                <w:u w:val="single"/>
              </w:rPr>
              <w:t>②</w:t>
            </w:r>
            <w:r>
              <w:rPr>
                <w:rFonts w:hint="eastAsia" w:ascii="Times New Roman" w:hAnsi="Times New Roman" w:eastAsia="宋体" w:cs="Times New Roman"/>
                <w:b w:val="0"/>
                <w:bCs w:val="0"/>
                <w:u w:val="single"/>
                <w:lang w:val="en-US" w:eastAsia="zh-CN"/>
              </w:rPr>
              <w:t>生态恢复：</w:t>
            </w:r>
            <w:r>
              <w:rPr>
                <w:rFonts w:hint="eastAsia" w:ascii="Times New Roman" w:hAnsi="Times New Roman" w:eastAsia="宋体" w:cs="Times New Roman"/>
                <w:b w:val="0"/>
                <w:bCs w:val="0"/>
                <w:u w:val="single"/>
              </w:rPr>
              <w:t>完成项目消纳场堆填工作后，对项目所在区域内进行复绿生态修复工作。</w:t>
            </w:r>
          </w:p>
          <w:p w14:paraId="0EE4B3AA">
            <w:pPr>
              <w:bidi w:val="0"/>
              <w:rPr>
                <w:rFonts w:hint="eastAsia"/>
              </w:rPr>
            </w:pPr>
            <w:r>
              <w:rPr>
                <w:rFonts w:hint="eastAsia"/>
                <w:u w:val="single"/>
              </w:rPr>
              <w:t>通过上述措施，本项目可在消纳城市建筑垃圾的同时，系统解决历史遗留矿坑的环境、安全及生态问题，实现环境效益与社会效益的统一。</w:t>
            </w:r>
          </w:p>
        </w:tc>
      </w:tr>
    </w:tbl>
    <w:p w14:paraId="2D2DEA81">
      <w:pPr>
        <w:bidi w:val="0"/>
        <w:rPr>
          <w:rFonts w:hint="eastAsia"/>
          <w:lang w:val="en-US" w:eastAsia="zh-CN"/>
        </w:rPr>
      </w:pPr>
      <w:bookmarkStart w:id="32" w:name="_Toc20787"/>
      <w:bookmarkStart w:id="33" w:name="_Toc69978265"/>
      <w:bookmarkStart w:id="34" w:name="_Toc17054"/>
      <w:bookmarkStart w:id="35" w:name="_Toc69979334"/>
      <w:bookmarkStart w:id="36" w:name="_Toc69978397"/>
      <w:bookmarkStart w:id="37" w:name="_Toc69978188"/>
      <w:bookmarkStart w:id="38" w:name="_Toc13625"/>
      <w:bookmarkStart w:id="39" w:name="_Toc69979311"/>
    </w:p>
    <w:p w14:paraId="215E5FAA">
      <w:pPr>
        <w:pStyle w:val="3"/>
        <w:rPr>
          <w:rFonts w:hint="eastAsia"/>
        </w:rPr>
        <w:sectPr>
          <w:pgSz w:w="11906" w:h="16838"/>
          <w:pgMar w:top="1440" w:right="1080" w:bottom="1440" w:left="1080" w:header="851" w:footer="737" w:gutter="0"/>
          <w:cols w:space="720" w:num="1"/>
          <w:docGrid w:type="lines" w:linePitch="312" w:charSpace="0"/>
        </w:sectPr>
      </w:pPr>
    </w:p>
    <w:p w14:paraId="7CE1D382">
      <w:pPr>
        <w:pStyle w:val="3"/>
      </w:pPr>
      <w:bookmarkStart w:id="40" w:name="_Toc9305"/>
      <w:r>
        <w:rPr>
          <w:rFonts w:hint="eastAsia"/>
        </w:rPr>
        <w:t>三</w:t>
      </w:r>
      <w:r>
        <w:t>、</w:t>
      </w:r>
      <w:r>
        <w:rPr>
          <w:rFonts w:hint="eastAsia"/>
        </w:rPr>
        <w:t>区域环境质量现状、环境保护目标及评价标准</w:t>
      </w:r>
      <w:bookmarkEnd w:id="32"/>
      <w:bookmarkEnd w:id="33"/>
      <w:bookmarkEnd w:id="34"/>
      <w:bookmarkEnd w:id="35"/>
      <w:bookmarkEnd w:id="36"/>
      <w:bookmarkEnd w:id="37"/>
      <w:bookmarkEnd w:id="38"/>
      <w:bookmarkEnd w:id="39"/>
      <w:bookmarkEnd w:id="40"/>
    </w:p>
    <w:tbl>
      <w:tblPr>
        <w:tblStyle w:val="38"/>
        <w:tblW w:w="9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8796"/>
      </w:tblGrid>
      <w:tr w14:paraId="2EDA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7" w:type="dxa"/>
            <w:vAlign w:val="center"/>
          </w:tcPr>
          <w:p w14:paraId="37914F0F">
            <w:pPr>
              <w:ind w:firstLine="0" w:firstLineChars="0"/>
              <w:jc w:val="center"/>
            </w:pPr>
            <w:r>
              <w:rPr>
                <w:rFonts w:hint="eastAsia"/>
              </w:rPr>
              <w:t>区域环境质量现状</w:t>
            </w:r>
          </w:p>
        </w:tc>
        <w:tc>
          <w:tcPr>
            <w:tcW w:w="8606" w:type="dxa"/>
          </w:tcPr>
          <w:p w14:paraId="2AED60CF">
            <w:pPr>
              <w:pStyle w:val="4"/>
            </w:pPr>
            <w:bookmarkStart w:id="41" w:name="_Toc50"/>
            <w:bookmarkStart w:id="42" w:name="_Toc8911"/>
            <w:bookmarkStart w:id="43" w:name="_Toc23788"/>
            <w:r>
              <w:rPr>
                <w:rFonts w:hint="eastAsia"/>
                <w:lang w:val="en-US" w:eastAsia="zh-CN"/>
              </w:rPr>
              <w:t>3.1</w:t>
            </w:r>
            <w:r>
              <w:rPr>
                <w:rFonts w:hint="eastAsia"/>
              </w:rPr>
              <w:t>环境空气质量现状</w:t>
            </w:r>
            <w:bookmarkEnd w:id="41"/>
            <w:bookmarkEnd w:id="42"/>
            <w:bookmarkEnd w:id="43"/>
          </w:p>
          <w:p w14:paraId="2069A3F5">
            <w:pPr>
              <w:bidi w:val="0"/>
              <w:rPr>
                <w:rFonts w:hint="eastAsia"/>
              </w:rPr>
            </w:pPr>
            <w:r>
              <w:rPr>
                <w:rFonts w:hint="eastAsia"/>
              </w:rPr>
              <w:t>（1）项目所在区域达标判断</w:t>
            </w:r>
          </w:p>
          <w:p w14:paraId="643649B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rPr>
            </w:pPr>
            <w:r>
              <w:rPr>
                <w:rFonts w:hint="eastAsia"/>
              </w:rPr>
              <w:t>根据《建设项目环境影响报告表编制技术指南》（2021年版），常规污染物引用与建设项目距离近的有效数据，包括近3年的规划环境影响评价的监测数据，国家、地方环境空气质量监测网数据或生态环境主管部门公开发布的质量数据等。</w:t>
            </w:r>
            <w:r>
              <w:rPr>
                <w:rFonts w:hint="default" w:ascii="Times New Roman" w:hAnsi="Times New Roman" w:eastAsia="宋体" w:cs="Times New Roman"/>
              </w:rPr>
              <w:t>项目</w:t>
            </w:r>
            <w:r>
              <w:rPr>
                <w:rFonts w:hint="default" w:ascii="Times New Roman" w:hAnsi="Times New Roman" w:eastAsia="宋体" w:cs="Times New Roman"/>
                <w:lang w:val="en-US" w:eastAsia="zh-CN"/>
              </w:rPr>
              <w:t>拟建</w:t>
            </w:r>
            <w:r>
              <w:rPr>
                <w:rFonts w:hint="default" w:ascii="Times New Roman" w:hAnsi="Times New Roman" w:eastAsia="宋体" w:cs="Times New Roman"/>
              </w:rPr>
              <w:t>地区环境空气质量功能区划为二类区，应执行</w:t>
            </w:r>
            <w:r>
              <w:rPr>
                <w:rFonts w:hint="default" w:ascii="Times New Roman" w:hAnsi="Times New Roman" w:eastAsia="宋体" w:cs="Times New Roman"/>
                <w:lang w:val="en-US" w:eastAsia="zh-CN"/>
              </w:rPr>
              <w:t>《环境空气质量标准》（GB3095-2026）</w:t>
            </w:r>
            <w:r>
              <w:rPr>
                <w:rFonts w:hint="eastAsia" w:ascii="Times New Roman" w:hAnsi="Times New Roman" w:eastAsia="宋体" w:cs="Times New Roman"/>
                <w:lang w:val="en-US" w:eastAsia="zh-CN"/>
              </w:rPr>
              <w:t>二级</w:t>
            </w:r>
            <w:r>
              <w:rPr>
                <w:rFonts w:hint="default" w:ascii="Times New Roman" w:hAnsi="Times New Roman" w:eastAsia="宋体" w:cs="Times New Roman"/>
                <w:lang w:val="en-US" w:eastAsia="zh-CN"/>
              </w:rPr>
              <w:t>标准</w:t>
            </w:r>
            <w:r>
              <w:rPr>
                <w:rFonts w:hint="default" w:ascii="Times New Roman" w:hAnsi="Times New Roman" w:eastAsia="宋体" w:cs="Times New Roman"/>
              </w:rPr>
              <w:t>。</w:t>
            </w:r>
          </w:p>
          <w:p w14:paraId="3B92FCD5">
            <w:pPr>
              <w:bidi w:val="0"/>
              <w:ind w:firstLine="200"/>
              <w:rPr>
                <w:rFonts w:hint="default" w:ascii="Times New Roman" w:hAnsi="Times New Roman" w:eastAsia="宋体" w:cs="Times New Roman"/>
                <w:u w:val="single"/>
                <w:lang w:val="en-US" w:eastAsia="zh-CN"/>
              </w:rPr>
            </w:pPr>
            <w:r>
              <w:rPr>
                <w:rFonts w:hint="eastAsia" w:cs="Times New Roman"/>
                <w:u w:val="single"/>
                <w:lang w:val="en-US" w:eastAsia="zh-CN"/>
              </w:rPr>
              <w:t>引用</w:t>
            </w:r>
            <w:r>
              <w:rPr>
                <w:rFonts w:hint="eastAsia" w:ascii="Times New Roman" w:hAnsi="Times New Roman" w:eastAsia="宋体" w:cs="Times New Roman"/>
                <w:u w:val="single"/>
              </w:rPr>
              <w:t>怀化市生态环境局</w:t>
            </w:r>
            <w:r>
              <w:rPr>
                <w:rFonts w:hint="eastAsia" w:cs="Times New Roman"/>
                <w:u w:val="single"/>
                <w:lang w:val="en-US" w:eastAsia="zh-CN"/>
              </w:rPr>
              <w:t>发布的2025年12月怀化市环境空气质量月报中表5 2025年全市环境空气污染物浓度均值统计中</w:t>
            </w:r>
            <w:r>
              <w:rPr>
                <w:rFonts w:hint="eastAsia" w:ascii="Times New Roman" w:hAnsi="Times New Roman" w:eastAsia="宋体" w:cs="Times New Roman"/>
                <w:u w:val="single"/>
                <w:lang w:val="en-US" w:eastAsia="zh-CN"/>
              </w:rPr>
              <w:t>洪江市</w:t>
            </w:r>
            <w:r>
              <w:rPr>
                <w:rFonts w:hint="eastAsia" w:ascii="Times New Roman" w:hAnsi="Times New Roman" w:eastAsia="宋体" w:cs="Times New Roman"/>
                <w:u w:val="single"/>
              </w:rPr>
              <w:t>空气质量监测数据作为基本污染物环境质量现状及达标区判定依据，具体评价情况如下表所示</w:t>
            </w:r>
            <w:r>
              <w:rPr>
                <w:rFonts w:hint="default" w:ascii="Times New Roman" w:hAnsi="Times New Roman" w:eastAsia="宋体" w:cs="Times New Roman"/>
                <w:u w:val="single"/>
                <w:lang w:val="en-US" w:eastAsia="zh-CN"/>
              </w:rPr>
              <w:t>。</w:t>
            </w:r>
          </w:p>
          <w:p w14:paraId="799BAB5E">
            <w:pPr>
              <w:pStyle w:val="44"/>
              <w:bidi w:val="0"/>
              <w:rPr>
                <w:rFonts w:hint="default"/>
                <w:u w:val="single"/>
                <w:lang w:val="en-US" w:eastAsia="zh-CN"/>
              </w:rPr>
            </w:pPr>
            <w:r>
              <w:rPr>
                <w:rFonts w:hint="default"/>
                <w:u w:val="single"/>
                <w:lang w:val="en-US" w:eastAsia="zh-CN"/>
              </w:rPr>
              <w:t>表3.1-1</w:t>
            </w:r>
            <w:r>
              <w:rPr>
                <w:rFonts w:hint="eastAsia"/>
                <w:u w:val="single"/>
                <w:lang w:val="en-US" w:eastAsia="zh-CN"/>
              </w:rPr>
              <w:t>：洪江市2025</w:t>
            </w:r>
            <w:r>
              <w:rPr>
                <w:rFonts w:hint="default"/>
                <w:u w:val="single"/>
                <w:lang w:val="en-US" w:eastAsia="zh-CN"/>
              </w:rPr>
              <w:t>年度环境空气质量达标分析</w:t>
            </w:r>
          </w:p>
          <w:tbl>
            <w:tblPr>
              <w:tblStyle w:val="38"/>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113"/>
              <w:gridCol w:w="2376"/>
              <w:gridCol w:w="1347"/>
              <w:gridCol w:w="1229"/>
              <w:gridCol w:w="1231"/>
              <w:gridCol w:w="1261"/>
            </w:tblGrid>
            <w:tr w14:paraId="5AC293F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0632061F">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污染物</w:t>
                  </w:r>
                </w:p>
              </w:tc>
              <w:tc>
                <w:tcPr>
                  <w:tcW w:w="1388" w:type="pct"/>
                  <w:noWrap w:val="0"/>
                  <w:vAlign w:val="center"/>
                </w:tcPr>
                <w:p w14:paraId="33DA05AA">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年评价指标</w:t>
                  </w:r>
                  <w:r>
                    <w:rPr>
                      <w:rFonts w:hint="default" w:ascii="Times New Roman" w:hAnsi="Times New Roman" w:eastAsia="宋体" w:cs="Times New Roman"/>
                      <w:b/>
                      <w:bCs w:val="0"/>
                      <w:color w:val="auto"/>
                      <w:highlight w:val="none"/>
                      <w:u w:val="single"/>
                      <w:lang w:eastAsia="zh-CN"/>
                    </w:rPr>
                    <w:t>（</w:t>
                  </w:r>
                  <w:r>
                    <w:rPr>
                      <w:rFonts w:hint="default" w:ascii="Times New Roman" w:hAnsi="Times New Roman" w:eastAsia="宋体" w:cs="Times New Roman"/>
                      <w:b/>
                      <w:bCs w:val="0"/>
                      <w:color w:val="auto"/>
                      <w:highlight w:val="none"/>
                      <w:u w:val="single"/>
                    </w:rPr>
                    <w:t>ug/m</w:t>
                  </w:r>
                  <w:r>
                    <w:rPr>
                      <w:rFonts w:hint="default" w:ascii="Times New Roman" w:hAnsi="Times New Roman" w:eastAsia="宋体" w:cs="Times New Roman"/>
                      <w:b/>
                      <w:bCs w:val="0"/>
                      <w:color w:val="auto"/>
                      <w:highlight w:val="none"/>
                      <w:u w:val="single"/>
                      <w:vertAlign w:val="superscript"/>
                    </w:rPr>
                    <w:t>3</w:t>
                  </w:r>
                  <w:r>
                    <w:rPr>
                      <w:rFonts w:hint="default" w:ascii="Times New Roman" w:hAnsi="Times New Roman" w:eastAsia="宋体" w:cs="Times New Roman"/>
                      <w:b/>
                      <w:bCs w:val="0"/>
                      <w:color w:val="auto"/>
                      <w:highlight w:val="none"/>
                      <w:u w:val="single"/>
                    </w:rPr>
                    <w:t>)</w:t>
                  </w:r>
                </w:p>
              </w:tc>
              <w:tc>
                <w:tcPr>
                  <w:tcW w:w="787" w:type="pct"/>
                  <w:noWrap w:val="0"/>
                  <w:vAlign w:val="center"/>
                </w:tcPr>
                <w:p w14:paraId="010FE27B">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现状浓度</w:t>
                  </w:r>
                  <w:r>
                    <w:rPr>
                      <w:rFonts w:hint="eastAsia" w:cs="Times New Roman"/>
                      <w:b/>
                      <w:bCs w:val="0"/>
                      <w:color w:val="auto"/>
                      <w:highlight w:val="none"/>
                      <w:u w:val="single"/>
                      <w:lang w:eastAsia="zh-CN"/>
                    </w:rPr>
                    <w:t>（</w:t>
                  </w:r>
                  <w:r>
                    <w:rPr>
                      <w:rFonts w:hint="default" w:ascii="Times New Roman" w:hAnsi="Times New Roman" w:eastAsia="宋体" w:cs="Times New Roman"/>
                      <w:b/>
                      <w:bCs w:val="0"/>
                      <w:color w:val="auto"/>
                      <w:highlight w:val="none"/>
                      <w:u w:val="single"/>
                    </w:rPr>
                    <w:t>ug/m</w:t>
                  </w:r>
                  <w:r>
                    <w:rPr>
                      <w:rFonts w:hint="default" w:ascii="Times New Roman" w:hAnsi="Times New Roman" w:eastAsia="宋体" w:cs="Times New Roman"/>
                      <w:b/>
                      <w:bCs w:val="0"/>
                      <w:color w:val="auto"/>
                      <w:highlight w:val="none"/>
                      <w:u w:val="single"/>
                      <w:vertAlign w:val="superscript"/>
                    </w:rPr>
                    <w:t>3</w:t>
                  </w:r>
                  <w:r>
                    <w:rPr>
                      <w:rFonts w:hint="eastAsia" w:cs="Times New Roman"/>
                      <w:b/>
                      <w:bCs w:val="0"/>
                      <w:color w:val="auto"/>
                      <w:highlight w:val="none"/>
                      <w:u w:val="single"/>
                      <w:lang w:eastAsia="zh-CN"/>
                    </w:rPr>
                    <w:t>）</w:t>
                  </w:r>
                </w:p>
              </w:tc>
              <w:tc>
                <w:tcPr>
                  <w:tcW w:w="718" w:type="pct"/>
                  <w:noWrap w:val="0"/>
                  <w:vAlign w:val="center"/>
                </w:tcPr>
                <w:p w14:paraId="598390F8">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标准值</w:t>
                  </w:r>
                  <w:r>
                    <w:rPr>
                      <w:rFonts w:hint="eastAsia" w:cs="Times New Roman"/>
                      <w:b/>
                      <w:bCs w:val="0"/>
                      <w:color w:val="auto"/>
                      <w:highlight w:val="none"/>
                      <w:u w:val="single"/>
                      <w:lang w:eastAsia="zh-CN"/>
                    </w:rPr>
                    <w:t>（</w:t>
                  </w:r>
                  <w:r>
                    <w:rPr>
                      <w:rFonts w:hint="default" w:ascii="Times New Roman" w:hAnsi="Times New Roman" w:eastAsia="宋体" w:cs="Times New Roman"/>
                      <w:b/>
                      <w:bCs w:val="0"/>
                      <w:color w:val="auto"/>
                      <w:highlight w:val="none"/>
                      <w:u w:val="single"/>
                    </w:rPr>
                    <w:t>ug/m</w:t>
                  </w:r>
                  <w:r>
                    <w:rPr>
                      <w:rFonts w:hint="default" w:ascii="Times New Roman" w:hAnsi="Times New Roman" w:eastAsia="宋体" w:cs="Times New Roman"/>
                      <w:b/>
                      <w:bCs w:val="0"/>
                      <w:color w:val="auto"/>
                      <w:highlight w:val="none"/>
                      <w:u w:val="single"/>
                      <w:vertAlign w:val="superscript"/>
                    </w:rPr>
                    <w:t>3</w:t>
                  </w:r>
                  <w:r>
                    <w:rPr>
                      <w:rFonts w:hint="eastAsia" w:cs="Times New Roman"/>
                      <w:b/>
                      <w:bCs w:val="0"/>
                      <w:color w:val="auto"/>
                      <w:highlight w:val="none"/>
                      <w:u w:val="single"/>
                      <w:lang w:eastAsia="zh-CN"/>
                    </w:rPr>
                    <w:t>）</w:t>
                  </w:r>
                </w:p>
              </w:tc>
              <w:tc>
                <w:tcPr>
                  <w:tcW w:w="719" w:type="pct"/>
                  <w:noWrap w:val="0"/>
                  <w:vAlign w:val="center"/>
                </w:tcPr>
                <w:p w14:paraId="00B9FFE4">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占标率</w:t>
                  </w:r>
                </w:p>
                <w:p w14:paraId="298D682D">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w:t>
                  </w:r>
                </w:p>
              </w:tc>
              <w:tc>
                <w:tcPr>
                  <w:tcW w:w="736" w:type="pct"/>
                  <w:noWrap w:val="0"/>
                  <w:vAlign w:val="center"/>
                </w:tcPr>
                <w:p w14:paraId="1092DD52">
                  <w:pPr>
                    <w:pStyle w:val="166"/>
                    <w:rPr>
                      <w:rFonts w:hint="default" w:ascii="Times New Roman" w:hAnsi="Times New Roman" w:eastAsia="宋体" w:cs="Times New Roman"/>
                      <w:b/>
                      <w:bCs w:val="0"/>
                      <w:color w:val="auto"/>
                      <w:highlight w:val="none"/>
                      <w:u w:val="single"/>
                    </w:rPr>
                  </w:pPr>
                  <w:r>
                    <w:rPr>
                      <w:rFonts w:hint="default" w:ascii="Times New Roman" w:hAnsi="Times New Roman" w:eastAsia="宋体" w:cs="Times New Roman"/>
                      <w:b/>
                      <w:bCs w:val="0"/>
                      <w:color w:val="auto"/>
                      <w:highlight w:val="none"/>
                      <w:u w:val="single"/>
                    </w:rPr>
                    <w:t>达标判断</w:t>
                  </w:r>
                </w:p>
              </w:tc>
            </w:tr>
            <w:tr w14:paraId="4F3F0F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1355167D">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SO</w:t>
                  </w:r>
                  <w:r>
                    <w:rPr>
                      <w:rFonts w:hint="default" w:ascii="Times New Roman" w:hAnsi="Times New Roman" w:eastAsia="宋体" w:cs="Times New Roman"/>
                      <w:color w:val="auto"/>
                      <w:highlight w:val="none"/>
                      <w:u w:val="single"/>
                      <w:vertAlign w:val="subscript"/>
                    </w:rPr>
                    <w:t>2</w:t>
                  </w:r>
                </w:p>
              </w:tc>
              <w:tc>
                <w:tcPr>
                  <w:tcW w:w="1388" w:type="pct"/>
                  <w:noWrap w:val="0"/>
                  <w:vAlign w:val="center"/>
                </w:tcPr>
                <w:p w14:paraId="0D548E85">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年平均质量浓度</w:t>
                  </w:r>
                </w:p>
              </w:tc>
              <w:tc>
                <w:tcPr>
                  <w:tcW w:w="787" w:type="pct"/>
                  <w:noWrap w:val="0"/>
                  <w:vAlign w:val="center"/>
                </w:tcPr>
                <w:p w14:paraId="560AA2C2">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10</w:t>
                  </w:r>
                </w:p>
              </w:tc>
              <w:tc>
                <w:tcPr>
                  <w:tcW w:w="718" w:type="pct"/>
                  <w:noWrap w:val="0"/>
                  <w:vAlign w:val="center"/>
                </w:tcPr>
                <w:p w14:paraId="48579676">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60</w:t>
                  </w:r>
                </w:p>
              </w:tc>
              <w:tc>
                <w:tcPr>
                  <w:tcW w:w="719" w:type="pct"/>
                  <w:noWrap w:val="0"/>
                  <w:vAlign w:val="center"/>
                </w:tcPr>
                <w:p w14:paraId="77E9EA60">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16.7</w:t>
                  </w:r>
                </w:p>
              </w:tc>
              <w:tc>
                <w:tcPr>
                  <w:tcW w:w="736" w:type="pct"/>
                  <w:noWrap w:val="0"/>
                  <w:vAlign w:val="center"/>
                </w:tcPr>
                <w:p w14:paraId="03BB99FE">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r w14:paraId="4263248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2D54683F">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NO</w:t>
                  </w:r>
                  <w:r>
                    <w:rPr>
                      <w:rFonts w:hint="default" w:ascii="Times New Roman" w:hAnsi="Times New Roman" w:eastAsia="宋体" w:cs="Times New Roman"/>
                      <w:color w:val="auto"/>
                      <w:highlight w:val="none"/>
                      <w:u w:val="single"/>
                      <w:vertAlign w:val="subscript"/>
                    </w:rPr>
                    <w:t>2</w:t>
                  </w:r>
                </w:p>
              </w:tc>
              <w:tc>
                <w:tcPr>
                  <w:tcW w:w="1388" w:type="pct"/>
                  <w:noWrap w:val="0"/>
                  <w:vAlign w:val="center"/>
                </w:tcPr>
                <w:p w14:paraId="2F33FC61">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年平均质量浓度</w:t>
                  </w:r>
                </w:p>
              </w:tc>
              <w:tc>
                <w:tcPr>
                  <w:tcW w:w="787" w:type="pct"/>
                  <w:noWrap w:val="0"/>
                  <w:vAlign w:val="center"/>
                </w:tcPr>
                <w:p w14:paraId="23F93172">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9</w:t>
                  </w:r>
                </w:p>
              </w:tc>
              <w:tc>
                <w:tcPr>
                  <w:tcW w:w="718" w:type="pct"/>
                  <w:noWrap w:val="0"/>
                  <w:vAlign w:val="center"/>
                </w:tcPr>
                <w:p w14:paraId="76C9985D">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40</w:t>
                  </w:r>
                </w:p>
              </w:tc>
              <w:tc>
                <w:tcPr>
                  <w:tcW w:w="719" w:type="pct"/>
                  <w:noWrap w:val="0"/>
                  <w:vAlign w:val="center"/>
                </w:tcPr>
                <w:p w14:paraId="12B5B63D">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22.5</w:t>
                  </w:r>
                </w:p>
              </w:tc>
              <w:tc>
                <w:tcPr>
                  <w:tcW w:w="736" w:type="pct"/>
                  <w:noWrap w:val="0"/>
                  <w:vAlign w:val="center"/>
                </w:tcPr>
                <w:p w14:paraId="4B48E207">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r w14:paraId="62C4AD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01FFC8F7">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PM</w:t>
                  </w:r>
                  <w:r>
                    <w:rPr>
                      <w:rFonts w:hint="default" w:ascii="Times New Roman" w:hAnsi="Times New Roman" w:eastAsia="宋体" w:cs="Times New Roman"/>
                      <w:color w:val="auto"/>
                      <w:highlight w:val="none"/>
                      <w:u w:val="single"/>
                      <w:vertAlign w:val="subscript"/>
                    </w:rPr>
                    <w:t>10</w:t>
                  </w:r>
                </w:p>
              </w:tc>
              <w:tc>
                <w:tcPr>
                  <w:tcW w:w="1388" w:type="pct"/>
                  <w:noWrap w:val="0"/>
                  <w:vAlign w:val="center"/>
                </w:tcPr>
                <w:p w14:paraId="2477E233">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年平均质量浓度</w:t>
                  </w:r>
                </w:p>
              </w:tc>
              <w:tc>
                <w:tcPr>
                  <w:tcW w:w="787" w:type="pct"/>
                  <w:noWrap w:val="0"/>
                  <w:vAlign w:val="center"/>
                </w:tcPr>
                <w:p w14:paraId="35F7FAF4">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41</w:t>
                  </w:r>
                </w:p>
              </w:tc>
              <w:tc>
                <w:tcPr>
                  <w:tcW w:w="718" w:type="pct"/>
                  <w:noWrap w:val="0"/>
                  <w:vAlign w:val="center"/>
                </w:tcPr>
                <w:p w14:paraId="3BA9DF18">
                  <w:pPr>
                    <w:pStyle w:val="166"/>
                    <w:rPr>
                      <w:rFonts w:hint="default" w:ascii="Times New Roman" w:hAnsi="Times New Roman" w:eastAsia="宋体" w:cs="Times New Roman"/>
                      <w:color w:val="auto"/>
                      <w:highlight w:val="none"/>
                      <w:u w:val="single"/>
                      <w:lang w:val="en-US" w:eastAsia="zh-CN"/>
                    </w:rPr>
                  </w:pPr>
                  <w:r>
                    <w:rPr>
                      <w:rFonts w:hint="eastAsia" w:ascii="Times New Roman" w:hAnsi="Times New Roman" w:eastAsia="宋体" w:cs="Times New Roman"/>
                      <w:color w:val="auto"/>
                      <w:highlight w:val="none"/>
                      <w:u w:val="single"/>
                      <w:lang w:val="en-US" w:eastAsia="zh-CN"/>
                    </w:rPr>
                    <w:t>60</w:t>
                  </w:r>
                </w:p>
              </w:tc>
              <w:tc>
                <w:tcPr>
                  <w:tcW w:w="719" w:type="pct"/>
                  <w:noWrap w:val="0"/>
                  <w:vAlign w:val="center"/>
                </w:tcPr>
                <w:p w14:paraId="0D42B3EC">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68.3</w:t>
                  </w:r>
                </w:p>
              </w:tc>
              <w:tc>
                <w:tcPr>
                  <w:tcW w:w="736" w:type="pct"/>
                  <w:noWrap w:val="0"/>
                  <w:vAlign w:val="center"/>
                </w:tcPr>
                <w:p w14:paraId="6350EBD2">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r w14:paraId="30CA8B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0A7F88B0">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PM</w:t>
                  </w:r>
                  <w:r>
                    <w:rPr>
                      <w:rFonts w:hint="default" w:ascii="Times New Roman" w:hAnsi="Times New Roman" w:eastAsia="宋体" w:cs="Times New Roman"/>
                      <w:color w:val="auto"/>
                      <w:highlight w:val="none"/>
                      <w:u w:val="single"/>
                      <w:vertAlign w:val="subscript"/>
                    </w:rPr>
                    <w:t>2.5</w:t>
                  </w:r>
                </w:p>
              </w:tc>
              <w:tc>
                <w:tcPr>
                  <w:tcW w:w="1388" w:type="pct"/>
                  <w:noWrap w:val="0"/>
                  <w:vAlign w:val="center"/>
                </w:tcPr>
                <w:p w14:paraId="004A2C46">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年平均质量浓度</w:t>
                  </w:r>
                </w:p>
              </w:tc>
              <w:tc>
                <w:tcPr>
                  <w:tcW w:w="787" w:type="pct"/>
                  <w:noWrap w:val="0"/>
                  <w:vAlign w:val="center"/>
                </w:tcPr>
                <w:p w14:paraId="690EA531">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22.8</w:t>
                  </w:r>
                </w:p>
              </w:tc>
              <w:tc>
                <w:tcPr>
                  <w:tcW w:w="718" w:type="pct"/>
                  <w:noWrap w:val="0"/>
                  <w:vAlign w:val="center"/>
                </w:tcPr>
                <w:p w14:paraId="7C7D3A00">
                  <w:pPr>
                    <w:pStyle w:val="166"/>
                    <w:rPr>
                      <w:rFonts w:hint="default" w:ascii="Times New Roman" w:hAnsi="Times New Roman" w:eastAsia="宋体" w:cs="Times New Roman"/>
                      <w:color w:val="auto"/>
                      <w:highlight w:val="none"/>
                      <w:u w:val="single"/>
                      <w:lang w:val="en-US" w:eastAsia="zh-CN"/>
                    </w:rPr>
                  </w:pPr>
                  <w:r>
                    <w:rPr>
                      <w:rFonts w:hint="eastAsia" w:ascii="Times New Roman" w:hAnsi="Times New Roman" w:eastAsia="宋体" w:cs="Times New Roman"/>
                      <w:color w:val="auto"/>
                      <w:highlight w:val="none"/>
                      <w:u w:val="single"/>
                      <w:lang w:val="en-US" w:eastAsia="zh-CN"/>
                    </w:rPr>
                    <w:t>30</w:t>
                  </w:r>
                </w:p>
              </w:tc>
              <w:tc>
                <w:tcPr>
                  <w:tcW w:w="719" w:type="pct"/>
                  <w:noWrap w:val="0"/>
                  <w:vAlign w:val="center"/>
                </w:tcPr>
                <w:p w14:paraId="7BDA575B">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76</w:t>
                  </w:r>
                </w:p>
              </w:tc>
              <w:tc>
                <w:tcPr>
                  <w:tcW w:w="736" w:type="pct"/>
                  <w:noWrap w:val="0"/>
                  <w:vAlign w:val="center"/>
                </w:tcPr>
                <w:p w14:paraId="0005491C">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r w14:paraId="6391A8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4E8A47B9">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CO</w:t>
                  </w:r>
                </w:p>
              </w:tc>
              <w:tc>
                <w:tcPr>
                  <w:tcW w:w="1388" w:type="pct"/>
                  <w:noWrap w:val="0"/>
                  <w:vAlign w:val="center"/>
                </w:tcPr>
                <w:p w14:paraId="762EBE8F">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第95百分位日平均</w:t>
                  </w:r>
                </w:p>
              </w:tc>
              <w:tc>
                <w:tcPr>
                  <w:tcW w:w="787" w:type="pct"/>
                  <w:noWrap w:val="0"/>
                  <w:vAlign w:val="center"/>
                </w:tcPr>
                <w:p w14:paraId="74DB4A56">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900</w:t>
                  </w:r>
                </w:p>
              </w:tc>
              <w:tc>
                <w:tcPr>
                  <w:tcW w:w="718" w:type="pct"/>
                  <w:noWrap w:val="0"/>
                  <w:vAlign w:val="center"/>
                </w:tcPr>
                <w:p w14:paraId="53502B7C">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4000</w:t>
                  </w:r>
                </w:p>
              </w:tc>
              <w:tc>
                <w:tcPr>
                  <w:tcW w:w="719" w:type="pct"/>
                  <w:noWrap w:val="0"/>
                  <w:vAlign w:val="center"/>
                </w:tcPr>
                <w:p w14:paraId="5676AE1A">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22.5</w:t>
                  </w:r>
                </w:p>
              </w:tc>
              <w:tc>
                <w:tcPr>
                  <w:tcW w:w="736" w:type="pct"/>
                  <w:noWrap w:val="0"/>
                  <w:vAlign w:val="center"/>
                </w:tcPr>
                <w:p w14:paraId="3E257F61">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r w14:paraId="419468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50" w:type="pct"/>
                  <w:noWrap w:val="0"/>
                  <w:vAlign w:val="center"/>
                </w:tcPr>
                <w:p w14:paraId="152A7C58">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O</w:t>
                  </w:r>
                  <w:r>
                    <w:rPr>
                      <w:rFonts w:hint="default" w:ascii="Times New Roman" w:hAnsi="Times New Roman" w:eastAsia="宋体" w:cs="Times New Roman"/>
                      <w:color w:val="auto"/>
                      <w:highlight w:val="none"/>
                      <w:u w:val="single"/>
                      <w:vertAlign w:val="subscript"/>
                    </w:rPr>
                    <w:t>3</w:t>
                  </w:r>
                </w:p>
              </w:tc>
              <w:tc>
                <w:tcPr>
                  <w:tcW w:w="1388" w:type="pct"/>
                  <w:noWrap w:val="0"/>
                  <w:vAlign w:val="center"/>
                </w:tcPr>
                <w:p w14:paraId="14B16BB7">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第90百分位8h平均</w:t>
                  </w:r>
                </w:p>
              </w:tc>
              <w:tc>
                <w:tcPr>
                  <w:tcW w:w="787" w:type="pct"/>
                  <w:noWrap w:val="0"/>
                  <w:vAlign w:val="center"/>
                </w:tcPr>
                <w:p w14:paraId="413B7D42">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101</w:t>
                  </w:r>
                </w:p>
              </w:tc>
              <w:tc>
                <w:tcPr>
                  <w:tcW w:w="718" w:type="pct"/>
                  <w:noWrap w:val="0"/>
                  <w:vAlign w:val="center"/>
                </w:tcPr>
                <w:p w14:paraId="1BE053B8">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160</w:t>
                  </w:r>
                </w:p>
              </w:tc>
              <w:tc>
                <w:tcPr>
                  <w:tcW w:w="719" w:type="pct"/>
                  <w:noWrap w:val="0"/>
                  <w:vAlign w:val="center"/>
                </w:tcPr>
                <w:p w14:paraId="2395AAF9">
                  <w:pPr>
                    <w:pStyle w:val="166"/>
                    <w:rPr>
                      <w:rFonts w:hint="default" w:ascii="Times New Roman" w:hAnsi="Times New Roman" w:eastAsia="宋体" w:cs="Times New Roman"/>
                      <w:color w:val="auto"/>
                      <w:highlight w:val="none"/>
                      <w:u w:val="single"/>
                      <w:lang w:val="en-US" w:eastAsia="zh-CN"/>
                    </w:rPr>
                  </w:pPr>
                  <w:r>
                    <w:rPr>
                      <w:rFonts w:hint="eastAsia" w:cs="Times New Roman"/>
                      <w:color w:val="auto"/>
                      <w:highlight w:val="none"/>
                      <w:u w:val="single"/>
                      <w:lang w:val="en-US" w:eastAsia="zh-CN"/>
                    </w:rPr>
                    <w:t>63.1</w:t>
                  </w:r>
                </w:p>
              </w:tc>
              <w:tc>
                <w:tcPr>
                  <w:tcW w:w="736" w:type="pct"/>
                  <w:noWrap w:val="0"/>
                  <w:vAlign w:val="center"/>
                </w:tcPr>
                <w:p w14:paraId="5C1CF7CB">
                  <w:pPr>
                    <w:pStyle w:val="166"/>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t>达标</w:t>
                  </w:r>
                </w:p>
              </w:tc>
            </w:tr>
          </w:tbl>
          <w:p w14:paraId="798AB719">
            <w:pPr>
              <w:bidi w:val="0"/>
              <w:ind w:firstLine="200"/>
              <w:rPr>
                <w:rFonts w:hint="default" w:ascii="Times New Roman" w:hAnsi="Times New Roman" w:eastAsia="宋体" w:cs="Times New Roman"/>
                <w:u w:val="single"/>
              </w:rPr>
            </w:pPr>
            <w:r>
              <w:rPr>
                <w:rFonts w:hint="default" w:ascii="Times New Roman" w:hAnsi="Times New Roman" w:eastAsia="宋体" w:cs="Times New Roman"/>
                <w:u w:val="single"/>
              </w:rPr>
              <w:t>由上表可知：</w:t>
            </w:r>
            <w:r>
              <w:rPr>
                <w:rFonts w:hint="eastAsia" w:cs="Times New Roman"/>
                <w:u w:val="single"/>
                <w:lang w:val="en-US" w:eastAsia="zh-CN"/>
              </w:rPr>
              <w:t>2025</w:t>
            </w:r>
            <w:r>
              <w:rPr>
                <w:rFonts w:hint="default" w:ascii="Times New Roman" w:hAnsi="Times New Roman" w:eastAsia="宋体" w:cs="Times New Roman"/>
                <w:u w:val="single"/>
              </w:rPr>
              <w:t>年度</w:t>
            </w:r>
            <w:r>
              <w:rPr>
                <w:rFonts w:hint="eastAsia" w:ascii="Times New Roman" w:hAnsi="Times New Roman" w:eastAsia="宋体" w:cs="Times New Roman"/>
                <w:u w:val="single"/>
                <w:lang w:val="en-US" w:eastAsia="zh-CN"/>
              </w:rPr>
              <w:t>洪江市</w:t>
            </w:r>
            <w:r>
              <w:rPr>
                <w:rFonts w:hint="default" w:ascii="Times New Roman" w:hAnsi="Times New Roman" w:eastAsia="宋体" w:cs="Times New Roman"/>
                <w:u w:val="single"/>
              </w:rPr>
              <w:t>环境空气各因子均符合</w:t>
            </w:r>
            <w:r>
              <w:rPr>
                <w:rFonts w:hint="eastAsia" w:ascii="Times New Roman" w:hAnsi="Times New Roman" w:eastAsia="宋体" w:cs="Times New Roman"/>
                <w:u w:val="single"/>
              </w:rPr>
              <w:t>《环境空气质量标准》（GB3095-20</w:t>
            </w:r>
            <w:r>
              <w:rPr>
                <w:rFonts w:hint="eastAsia" w:ascii="Times New Roman" w:hAnsi="Times New Roman" w:eastAsia="宋体" w:cs="Times New Roman"/>
                <w:u w:val="single"/>
                <w:lang w:val="en-US" w:eastAsia="zh-CN"/>
              </w:rPr>
              <w:t>26</w:t>
            </w:r>
            <w:r>
              <w:rPr>
                <w:rFonts w:hint="eastAsia" w:ascii="Times New Roman" w:hAnsi="Times New Roman" w:eastAsia="宋体" w:cs="Times New Roman"/>
                <w:u w:val="single"/>
              </w:rPr>
              <w:t>）中</w:t>
            </w:r>
            <w:r>
              <w:rPr>
                <w:rFonts w:hint="eastAsia" w:ascii="Times New Roman" w:hAnsi="Times New Roman" w:eastAsia="宋体" w:cs="Times New Roman"/>
                <w:u w:val="single"/>
                <w:lang w:val="en-US" w:eastAsia="zh-CN"/>
              </w:rPr>
              <w:t>过渡阶段</w:t>
            </w:r>
            <w:r>
              <w:rPr>
                <w:rFonts w:hint="eastAsia" w:ascii="Times New Roman" w:hAnsi="Times New Roman" w:eastAsia="宋体" w:cs="Times New Roman"/>
                <w:u w:val="single"/>
              </w:rPr>
              <w:t>二级标准</w:t>
            </w:r>
            <w:r>
              <w:rPr>
                <w:rFonts w:hint="eastAsia" w:ascii="Times New Roman" w:hAnsi="Times New Roman" w:eastAsia="宋体" w:cs="Times New Roman"/>
                <w:u w:val="single"/>
                <w:lang w:val="en-US" w:eastAsia="zh-CN"/>
              </w:rPr>
              <w:t>浓度</w:t>
            </w:r>
            <w:r>
              <w:rPr>
                <w:rFonts w:hint="eastAsia" w:ascii="Times New Roman" w:hAnsi="Times New Roman" w:eastAsia="宋体" w:cs="Times New Roman"/>
                <w:u w:val="single"/>
              </w:rPr>
              <w:t>限值要求</w:t>
            </w:r>
            <w:r>
              <w:rPr>
                <w:rFonts w:hint="default" w:ascii="Times New Roman" w:hAnsi="Times New Roman" w:eastAsia="宋体" w:cs="Times New Roman"/>
                <w:u w:val="single"/>
              </w:rPr>
              <w:t>，项目所在区域环境空气质量为达标区。</w:t>
            </w:r>
          </w:p>
          <w:p w14:paraId="129B2F97">
            <w:pPr>
              <w:bidi w:val="0"/>
              <w:rPr>
                <w:rFonts w:hint="eastAsia"/>
                <w:u w:val="none"/>
              </w:rPr>
            </w:pPr>
            <w:r>
              <w:rPr>
                <w:rFonts w:hint="eastAsia"/>
                <w:u w:val="none"/>
              </w:rPr>
              <w:t>（2）补充大气污染物环境质量现状评价</w:t>
            </w:r>
          </w:p>
          <w:p w14:paraId="7344F5F1">
            <w:pPr>
              <w:snapToGrid w:val="0"/>
              <w:ind w:firstLine="480"/>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根据《建设项目环境影响报告表编制技术指南（污染影响类）（试行）》，</w:t>
            </w:r>
            <w:r>
              <w:rPr>
                <w:rFonts w:hint="default" w:ascii="Times New Roman" w:hAnsi="Times New Roman" w:eastAsia="宋体" w:cs="Times New Roman"/>
                <w:color w:val="auto"/>
                <w:szCs w:val="20"/>
              </w:rPr>
              <w:t>排放国家、地方环境空气质量标准中有标准限值要求的特征污染物时，引用建设项目周边5千米范围内近3年的现有监测数据，无相关数据的选择当季主导风向下风向 1个点位补充不少于3天的监测数据</w:t>
            </w:r>
            <w:r>
              <w:rPr>
                <w:rFonts w:hint="default" w:ascii="Times New Roman" w:hAnsi="Times New Roman" w:eastAsia="宋体" w:cs="Times New Roman"/>
                <w:color w:val="auto"/>
                <w:szCs w:val="20"/>
                <w:lang w:val="en-US" w:eastAsia="zh-CN"/>
              </w:rPr>
              <w:t>。</w:t>
            </w:r>
          </w:p>
          <w:p w14:paraId="27D448F7">
            <w:pPr>
              <w:snapToGrid w:val="0"/>
              <w:ind w:firstLine="480"/>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rPr>
              <w:t>为了解本项目所在区域特征污染物环境质量现状，本次评价引用</w:t>
            </w:r>
            <w:r>
              <w:rPr>
                <w:rFonts w:hint="eastAsia" w:ascii="Times New Roman" w:hAnsi="Times New Roman" w:eastAsia="宋体" w:cs="Times New Roman"/>
                <w:color w:val="auto"/>
                <w:szCs w:val="20"/>
                <w:lang w:eastAsia="zh-CN"/>
              </w:rPr>
              <w:t>洪江市城市管理和综合执法局</w:t>
            </w:r>
            <w:r>
              <w:rPr>
                <w:rFonts w:hint="default" w:ascii="Times New Roman" w:hAnsi="Times New Roman" w:eastAsia="宋体" w:cs="Times New Roman"/>
                <w:color w:val="auto"/>
                <w:szCs w:val="20"/>
              </w:rPr>
              <w:t>《洪江市生活垃圾分类、收转运系统建设工程（垃圾转运站项目）环境影响评价报告</w:t>
            </w:r>
            <w:r>
              <w:rPr>
                <w:rFonts w:hint="default" w:ascii="Times New Roman" w:hAnsi="Times New Roman" w:eastAsia="宋体" w:cs="Times New Roman"/>
                <w:color w:val="auto"/>
                <w:szCs w:val="20"/>
                <w:lang w:val="en-US" w:eastAsia="zh-CN"/>
              </w:rPr>
              <w:t>表</w:t>
            </w:r>
            <w:r>
              <w:rPr>
                <w:rFonts w:hint="default" w:ascii="Times New Roman" w:hAnsi="Times New Roman" w:eastAsia="宋体" w:cs="Times New Roman"/>
                <w:color w:val="auto"/>
                <w:szCs w:val="20"/>
              </w:rPr>
              <w:t>》中环境空气质量现状监测数据，引用理由如下：</w:t>
            </w:r>
          </w:p>
          <w:p w14:paraId="4E6352BF">
            <w:pPr>
              <w:snapToGrid w:val="0"/>
              <w:ind w:firstLine="480"/>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1）引用《洪江市生活垃圾分类、收转运系统建设工程（垃圾转运站项目）环境影响评价报告</w:t>
            </w:r>
            <w:r>
              <w:rPr>
                <w:rFonts w:hint="default" w:ascii="Times New Roman" w:hAnsi="Times New Roman" w:eastAsia="宋体" w:cs="Times New Roman"/>
                <w:color w:val="auto"/>
                <w:szCs w:val="20"/>
                <w:lang w:val="en-US" w:eastAsia="zh-CN"/>
              </w:rPr>
              <w:t>表</w:t>
            </w:r>
            <w:r>
              <w:rPr>
                <w:rFonts w:hint="default" w:ascii="Times New Roman" w:hAnsi="Times New Roman" w:eastAsia="宋体" w:cs="Times New Roman"/>
                <w:color w:val="auto"/>
                <w:szCs w:val="20"/>
              </w:rPr>
              <w:t>》监测时间为2024年4月</w:t>
            </w:r>
            <w:r>
              <w:rPr>
                <w:rFonts w:hint="eastAsia" w:ascii="Times New Roman" w:hAnsi="Times New Roman" w:eastAsia="宋体" w:cs="Times New Roman"/>
                <w:color w:val="auto"/>
                <w:szCs w:val="20"/>
                <w:lang w:val="en-US" w:eastAsia="zh-CN"/>
              </w:rPr>
              <w:t>26</w:t>
            </w:r>
            <w:r>
              <w:rPr>
                <w:rFonts w:hint="default" w:ascii="Times New Roman" w:hAnsi="Times New Roman" w:eastAsia="宋体" w:cs="Times New Roman"/>
                <w:color w:val="auto"/>
                <w:szCs w:val="20"/>
              </w:rPr>
              <w:t>日~4月</w:t>
            </w:r>
            <w:r>
              <w:rPr>
                <w:rFonts w:hint="eastAsia" w:ascii="Times New Roman" w:hAnsi="Times New Roman" w:eastAsia="宋体" w:cs="Times New Roman"/>
                <w:color w:val="auto"/>
                <w:szCs w:val="20"/>
                <w:lang w:val="en-US" w:eastAsia="zh-CN"/>
              </w:rPr>
              <w:t>28</w:t>
            </w:r>
            <w:r>
              <w:rPr>
                <w:rFonts w:hint="default" w:ascii="Times New Roman" w:hAnsi="Times New Roman" w:eastAsia="宋体" w:cs="Times New Roman"/>
                <w:color w:val="auto"/>
                <w:szCs w:val="20"/>
              </w:rPr>
              <w:t>日，引用在三年有效期限内；</w:t>
            </w:r>
          </w:p>
          <w:p w14:paraId="24B1E267">
            <w:pPr>
              <w:snapToGrid w:val="0"/>
              <w:ind w:firstLine="480"/>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2）监测项目全面，包含了本项目的污染因子（TSP）；</w:t>
            </w:r>
          </w:p>
          <w:p w14:paraId="4CF58346">
            <w:pPr>
              <w:snapToGrid w:val="0"/>
              <w:ind w:firstLine="480"/>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3）区域未新增重大污染源；</w:t>
            </w:r>
          </w:p>
          <w:p w14:paraId="2675997C">
            <w:pPr>
              <w:snapToGrid w:val="0"/>
              <w:ind w:firstLine="480"/>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rPr>
              <w:t>4）监测点位距离项目均不超过5km，</w:t>
            </w:r>
            <w:r>
              <w:rPr>
                <w:rFonts w:hint="default" w:ascii="Times New Roman" w:hAnsi="Times New Roman" w:eastAsia="宋体" w:cs="Times New Roman"/>
                <w:color w:val="auto"/>
                <w:szCs w:val="20"/>
                <w:lang w:val="en-US" w:eastAsia="zh-CN"/>
              </w:rPr>
              <w:t>位于本项目</w:t>
            </w:r>
            <w:r>
              <w:rPr>
                <w:rFonts w:hint="eastAsia" w:ascii="Times New Roman" w:hAnsi="Times New Roman" w:eastAsia="宋体" w:cs="Times New Roman"/>
                <w:color w:val="auto"/>
                <w:szCs w:val="20"/>
                <w:lang w:val="en-US" w:eastAsia="zh-CN"/>
              </w:rPr>
              <w:t>建筑垃圾消纳场东北侧4.2km</w:t>
            </w:r>
            <w:r>
              <w:rPr>
                <w:rFonts w:hint="default" w:ascii="Times New Roman" w:hAnsi="Times New Roman" w:eastAsia="宋体" w:cs="Times New Roman"/>
                <w:color w:val="auto"/>
                <w:szCs w:val="20"/>
                <w:lang w:val="en-US" w:eastAsia="zh-CN"/>
              </w:rPr>
              <w:t>处</w:t>
            </w:r>
            <w:r>
              <w:rPr>
                <w:rFonts w:hint="eastAsia" w:ascii="Times New Roman" w:hAnsi="Times New Roman" w:eastAsia="宋体" w:cs="Times New Roman"/>
                <w:color w:val="auto"/>
                <w:szCs w:val="20"/>
                <w:lang w:val="en-US" w:eastAsia="zh-CN"/>
              </w:rPr>
              <w:t>，</w:t>
            </w:r>
            <w:r>
              <w:rPr>
                <w:rFonts w:hint="default" w:ascii="Times New Roman" w:hAnsi="Times New Roman" w:eastAsia="宋体" w:cs="Times New Roman"/>
                <w:color w:val="auto"/>
                <w:szCs w:val="20"/>
              </w:rPr>
              <w:t>可代表本项目环境空气质量；</w:t>
            </w:r>
          </w:p>
          <w:p w14:paraId="6E50CFEF">
            <w:pPr>
              <w:snapToGrid w:val="0"/>
              <w:ind w:firstLine="480"/>
              <w:rPr>
                <w:rFonts w:hint="default" w:ascii="Times New Roman" w:hAnsi="Times New Roman" w:eastAsia="宋体" w:cs="Times New Roman"/>
                <w:color w:val="auto"/>
                <w:szCs w:val="20"/>
                <w:lang w:eastAsia="zh-CN"/>
              </w:rPr>
            </w:pPr>
            <w:r>
              <w:rPr>
                <w:rFonts w:hint="default" w:ascii="Times New Roman" w:hAnsi="Times New Roman" w:eastAsia="宋体" w:cs="Times New Roman"/>
                <w:color w:val="auto"/>
                <w:szCs w:val="20"/>
              </w:rPr>
              <w:t>具体见表3.1-2：环境空气监测点</w:t>
            </w:r>
            <w:r>
              <w:rPr>
                <w:rFonts w:hint="eastAsia" w:cs="Times New Roman"/>
                <w:color w:val="auto"/>
                <w:szCs w:val="20"/>
                <w:lang w:eastAsia="zh-CN"/>
              </w:rPr>
              <w:t>，</w:t>
            </w:r>
            <w:r>
              <w:rPr>
                <w:rFonts w:hint="default" w:ascii="Times New Roman" w:hAnsi="Times New Roman" w:eastAsia="宋体" w:cs="Times New Roman"/>
                <w:color w:val="auto"/>
                <w:szCs w:val="20"/>
              </w:rPr>
              <w:t>监测结果见下表3.1-3。</w:t>
            </w:r>
          </w:p>
          <w:p w14:paraId="30C4CD94">
            <w:pPr>
              <w:pStyle w:val="44"/>
              <w:bidi w:val="0"/>
              <w:rPr>
                <w:rFonts w:hint="default"/>
                <w:lang w:val="en-US" w:eastAsia="zh-CN"/>
              </w:rPr>
            </w:pPr>
            <w:r>
              <w:rPr>
                <w:rFonts w:hint="default"/>
                <w:lang w:val="en-US" w:eastAsia="zh-CN"/>
              </w:rPr>
              <w:t>表3.1-2</w:t>
            </w:r>
            <w:r>
              <w:rPr>
                <w:rFonts w:hint="eastAsia"/>
                <w:lang w:val="en-US" w:eastAsia="zh-CN"/>
              </w:rPr>
              <w:t>：</w:t>
            </w:r>
            <w:r>
              <w:rPr>
                <w:rFonts w:hint="default"/>
                <w:lang w:val="en-US" w:eastAsia="zh-CN"/>
              </w:rPr>
              <w:t>环境空气监测点设置（引用数据）</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autofit"/>
              <w:tblCellMar>
                <w:top w:w="0" w:type="dxa"/>
                <w:left w:w="108" w:type="dxa"/>
                <w:bottom w:w="0" w:type="dxa"/>
                <w:right w:w="108" w:type="dxa"/>
              </w:tblCellMar>
            </w:tblPr>
            <w:tblGrid>
              <w:gridCol w:w="859"/>
              <w:gridCol w:w="3702"/>
              <w:gridCol w:w="1433"/>
              <w:gridCol w:w="2573"/>
            </w:tblGrid>
            <w:tr w14:paraId="5188ADA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501" w:type="pct"/>
                  <w:noWrap w:val="0"/>
                  <w:vAlign w:val="center"/>
                </w:tcPr>
                <w:p w14:paraId="1EA84FF3">
                  <w:pPr>
                    <w:pStyle w:val="1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2160" w:type="pct"/>
                  <w:noWrap w:val="0"/>
                  <w:vAlign w:val="center"/>
                </w:tcPr>
                <w:p w14:paraId="067C5CD4">
                  <w:pPr>
                    <w:pStyle w:val="1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w:t>
                  </w:r>
                </w:p>
              </w:tc>
              <w:tc>
                <w:tcPr>
                  <w:tcW w:w="836" w:type="pct"/>
                  <w:noWrap w:val="0"/>
                  <w:vAlign w:val="center"/>
                </w:tcPr>
                <w:p w14:paraId="00EBEBE3">
                  <w:pPr>
                    <w:pStyle w:val="115"/>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监测因子</w:t>
                  </w:r>
                </w:p>
              </w:tc>
              <w:tc>
                <w:tcPr>
                  <w:tcW w:w="1501" w:type="pct"/>
                  <w:noWrap w:val="0"/>
                  <w:vAlign w:val="center"/>
                </w:tcPr>
                <w:p w14:paraId="71392384">
                  <w:pPr>
                    <w:pStyle w:val="115"/>
                    <w:bidi w:val="0"/>
                    <w:rPr>
                      <w:rFonts w:hint="default" w:ascii="Times New Roman" w:hAnsi="Times New Roman" w:eastAsia="宋体" w:cs="Times New Roman"/>
                      <w:b/>
                      <w:bCs/>
                      <w:color w:val="auto"/>
                      <w:highlight w:val="none"/>
                    </w:rPr>
                  </w:pPr>
                  <w:r>
                    <w:rPr>
                      <w:rFonts w:hint="eastAsia" w:cs="Times New Roman"/>
                      <w:b/>
                      <w:bCs/>
                      <w:color w:val="auto"/>
                      <w:highlight w:val="none"/>
                      <w:lang w:val="en-US" w:eastAsia="zh-CN"/>
                    </w:rPr>
                    <w:t>监测点</w:t>
                  </w:r>
                  <w:r>
                    <w:rPr>
                      <w:rFonts w:hint="default" w:ascii="Times New Roman" w:hAnsi="Times New Roman" w:eastAsia="宋体" w:cs="Times New Roman"/>
                      <w:b/>
                      <w:bCs/>
                      <w:color w:val="auto"/>
                      <w:highlight w:val="none"/>
                    </w:rPr>
                    <w:t>与本项目位置关系</w:t>
                  </w:r>
                </w:p>
              </w:tc>
            </w:tr>
            <w:tr w14:paraId="4E26FE33">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54" w:hRule="atLeast"/>
                <w:jc w:val="center"/>
              </w:trPr>
              <w:tc>
                <w:tcPr>
                  <w:tcW w:w="501" w:type="pct"/>
                  <w:noWrap w:val="0"/>
                  <w:vAlign w:val="center"/>
                </w:tcPr>
                <w:p w14:paraId="06A443EE">
                  <w:pPr>
                    <w:pStyle w:val="115"/>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G</w:t>
                  </w:r>
                  <w:r>
                    <w:rPr>
                      <w:rFonts w:hint="default" w:ascii="Times New Roman" w:hAnsi="Times New Roman" w:eastAsia="宋体" w:cs="Times New Roman"/>
                      <w:color w:val="auto"/>
                      <w:highlight w:val="none"/>
                    </w:rPr>
                    <w:cr/>
                  </w:r>
                  <w:r>
                    <w:rPr>
                      <w:rFonts w:hint="default" w:ascii="Times New Roman" w:hAnsi="Times New Roman" w:eastAsia="宋体" w:cs="Times New Roman"/>
                      <w:color w:val="auto"/>
                      <w:highlight w:val="none"/>
                    </w:rPr>
                    <w:t>1</w:t>
                  </w:r>
                </w:p>
              </w:tc>
              <w:tc>
                <w:tcPr>
                  <w:tcW w:w="2160" w:type="pct"/>
                  <w:noWrap w:val="0"/>
                  <w:vAlign w:val="center"/>
                </w:tcPr>
                <w:p w14:paraId="0F886A32">
                  <w:pPr>
                    <w:pStyle w:val="115"/>
                    <w:bidi w:val="0"/>
                    <w:rPr>
                      <w:rFonts w:hint="default" w:ascii="Times New Roman" w:hAnsi="Times New Roman" w:eastAsia="宋体" w:cs="Times New Roman"/>
                      <w:color w:val="auto"/>
                      <w:highlight w:val="none"/>
                    </w:rPr>
                  </w:pPr>
                  <w:r>
                    <w:rPr>
                      <w:rFonts w:hint="eastAsia" w:cs="Times New Roman"/>
                      <w:color w:val="auto"/>
                      <w:highlight w:val="none"/>
                      <w:lang w:val="en-US" w:eastAsia="zh-CN"/>
                    </w:rPr>
                    <w:t>安江转运站项目选址</w:t>
                  </w:r>
                  <w:r>
                    <w:rPr>
                      <w:rFonts w:hint="eastAsia" w:ascii="Times New Roman" w:hAnsi="Times New Roman" w:eastAsia="宋体" w:cs="Times New Roman"/>
                      <w:color w:val="auto"/>
                      <w:highlight w:val="none"/>
                      <w:lang w:val="en-US" w:eastAsia="zh-CN"/>
                    </w:rPr>
                    <w:t>下风向</w:t>
                  </w:r>
                </w:p>
              </w:tc>
              <w:tc>
                <w:tcPr>
                  <w:tcW w:w="836" w:type="pct"/>
                  <w:noWrap w:val="0"/>
                  <w:vAlign w:val="center"/>
                </w:tcPr>
                <w:p w14:paraId="286F1F38">
                  <w:pPr>
                    <w:pStyle w:val="115"/>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TSP</w:t>
                  </w:r>
                </w:p>
              </w:tc>
              <w:tc>
                <w:tcPr>
                  <w:tcW w:w="1501" w:type="pct"/>
                  <w:noWrap w:val="0"/>
                  <w:vAlign w:val="center"/>
                </w:tcPr>
                <w:p w14:paraId="25A63C06">
                  <w:pPr>
                    <w:pStyle w:val="115"/>
                    <w:bidi w:val="0"/>
                    <w:rPr>
                      <w:rFonts w:hint="default" w:ascii="Times New Roman" w:hAnsi="Times New Roman" w:eastAsia="宋体" w:cs="Times New Roman"/>
                      <w:color w:val="auto"/>
                      <w:highlight w:val="none"/>
                      <w:lang w:eastAsia="zh-CN"/>
                    </w:rPr>
                  </w:pPr>
                  <w:r>
                    <w:rPr>
                      <w:rFonts w:hint="eastAsia" w:cs="Times New Roman"/>
                      <w:color w:val="auto"/>
                      <w:highlight w:val="none"/>
                      <w:lang w:val="en-US" w:eastAsia="zh-CN"/>
                    </w:rPr>
                    <w:t>东北侧4200</w:t>
                  </w:r>
                  <w:r>
                    <w:rPr>
                      <w:rFonts w:hint="default" w:ascii="Times New Roman" w:hAnsi="Times New Roman" w:eastAsia="宋体" w:cs="Times New Roman"/>
                      <w:color w:val="auto"/>
                      <w:highlight w:val="none"/>
                    </w:rPr>
                    <w:t>m</w:t>
                  </w:r>
                </w:p>
              </w:tc>
            </w:tr>
          </w:tbl>
          <w:p w14:paraId="72CD33F9">
            <w:pPr>
              <w:snapToGrid w:val="0"/>
              <w:ind w:firstLine="480"/>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监测数据结果见表</w:t>
            </w:r>
            <w:r>
              <w:rPr>
                <w:rFonts w:hint="default" w:ascii="Times New Roman" w:hAnsi="Times New Roman" w:eastAsia="宋体" w:cs="Times New Roman"/>
                <w:color w:val="auto"/>
                <w:szCs w:val="20"/>
                <w:lang w:val="en-US" w:eastAsia="zh-CN"/>
              </w:rPr>
              <w:t>3.1-3</w:t>
            </w:r>
            <w:r>
              <w:rPr>
                <w:rFonts w:hint="default" w:ascii="Times New Roman" w:hAnsi="Times New Roman" w:eastAsia="宋体" w:cs="Times New Roman"/>
                <w:color w:val="auto"/>
                <w:szCs w:val="20"/>
              </w:rPr>
              <w:t>。</w:t>
            </w:r>
          </w:p>
          <w:p w14:paraId="7D88FEF2">
            <w:pPr>
              <w:pStyle w:val="44"/>
              <w:bidi w:val="0"/>
              <w:rPr>
                <w:rFonts w:hint="default"/>
                <w:lang w:val="en-US" w:eastAsia="zh-CN"/>
              </w:rPr>
            </w:pPr>
            <w:r>
              <w:rPr>
                <w:rFonts w:hint="default"/>
                <w:lang w:val="en-US" w:eastAsia="zh-CN"/>
              </w:rPr>
              <w:t>表</w:t>
            </w:r>
            <w:r>
              <w:rPr>
                <w:rFonts w:hint="eastAsia"/>
                <w:lang w:val="en-US" w:eastAsia="zh-CN"/>
              </w:rPr>
              <w:t>3.1-3：</w:t>
            </w:r>
            <w:r>
              <w:rPr>
                <w:rFonts w:hint="default"/>
                <w:lang w:val="en-US" w:eastAsia="zh-CN"/>
              </w:rPr>
              <w:t>大气环境质量现状</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8"/>
              <w:gridCol w:w="2041"/>
              <w:gridCol w:w="4118"/>
            </w:tblGrid>
            <w:tr w14:paraId="29FB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596" w:type="pct"/>
                  <w:gridSpan w:val="2"/>
                  <w:vMerge w:val="restart"/>
                  <w:tcBorders>
                    <w:tl2br w:val="nil"/>
                    <w:tr2bl w:val="nil"/>
                  </w:tcBorders>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FC1CFFF">
                  <w:pPr>
                    <w:pStyle w:val="115"/>
                    <w:bidi w:val="0"/>
                    <w:rPr>
                      <w:rFonts w:hint="default" w:ascii="Times New Roman" w:hAnsi="Times New Roman" w:eastAsia="宋体" w:cs="Times New Roman"/>
                      <w:b/>
                      <w:bCs/>
                    </w:rPr>
                  </w:pPr>
                </w:p>
                <w:p w14:paraId="753729D0">
                  <w:pPr>
                    <w:pStyle w:val="115"/>
                    <w:bidi w:val="0"/>
                    <w:rPr>
                      <w:rFonts w:hint="default" w:ascii="Times New Roman" w:hAnsi="Times New Roman" w:eastAsia="宋体" w:cs="Times New Roman"/>
                      <w:b/>
                      <w:bCs/>
                    </w:rPr>
                  </w:pPr>
                  <w:r>
                    <w:rPr>
                      <w:rFonts w:hint="default" w:ascii="Times New Roman" w:hAnsi="Times New Roman" w:eastAsia="宋体" w:cs="Times New Roman"/>
                      <w:b/>
                      <w:bCs/>
                    </w:rPr>
                    <w:t>点位名称</w:t>
                  </w:r>
                </w:p>
                <w:p w14:paraId="41C6F687">
                  <w:pPr>
                    <w:pStyle w:val="115"/>
                    <w:bidi w:val="0"/>
                    <mc:AlternateContent>
                      <mc:Choice Requires="wpsCustomData">
                        <wpsCustomData:diagonalParaType/>
                      </mc:Choice>
                    </mc:AlternateContent>
                    <w:rPr>
                      <w:rFonts w:hint="default" w:ascii="Times New Roman" w:hAnsi="Times New Roman" w:eastAsia="宋体" w:cs="Times New Roman"/>
                      <w:b/>
                      <w:bCs/>
                    </w:rPr>
                  </w:pPr>
                </w:p>
                <w:p w14:paraId="5916592F">
                  <w:pPr>
                    <w:pStyle w:val="115"/>
                    <w:bidi w:val="0"/>
                    <w:rPr>
                      <w:rFonts w:hint="default" w:ascii="Times New Roman" w:hAnsi="Times New Roman" w:eastAsia="宋体" w:cs="Times New Roman"/>
                      <w:b/>
                      <w:bCs/>
                    </w:rPr>
                  </w:pPr>
                  <w:r>
                    <w:rPr>
                      <w:rFonts w:hint="eastAsia" w:ascii="Times New Roman" w:hAnsi="Times New Roman" w:eastAsia="宋体" w:cs="Times New Roman"/>
                      <w:b/>
                      <w:bCs/>
                      <w:lang w:val="en-US" w:eastAsia="zh-CN"/>
                    </w:rPr>
                    <w:t>监测因子</w:t>
                  </w:r>
                </w:p>
              </w:tc>
              <w:tc>
                <w:tcPr>
                  <w:tcW w:w="2403" w:type="pct"/>
                  <w:tcBorders>
                    <w:tl2br w:val="nil"/>
                    <w:tr2bl w:val="nil"/>
                  </w:tcBorders>
                  <w:noWrap w:val="0"/>
                  <w:vAlign w:val="center"/>
                </w:tcPr>
                <w:p w14:paraId="66AA4703">
                  <w:pPr>
                    <w:pStyle w:val="115"/>
                    <w:bidi w:val="0"/>
                    <w:rPr>
                      <w:rFonts w:hint="default" w:ascii="Times New Roman" w:hAnsi="Times New Roman" w:eastAsia="宋体" w:cs="Times New Roman"/>
                      <w:b/>
                      <w:bCs/>
                    </w:rPr>
                  </w:pPr>
                  <w:r>
                    <w:rPr>
                      <w:rFonts w:hint="default" w:ascii="Times New Roman" w:hAnsi="Times New Roman" w:eastAsia="宋体" w:cs="Times New Roman"/>
                      <w:b/>
                      <w:bCs/>
                    </w:rPr>
                    <w:t>检测结果（</w:t>
                  </w:r>
                  <w:r>
                    <w:rPr>
                      <w:rFonts w:hint="eastAsia" w:ascii="Times New Roman" w:hAnsi="Times New Roman" w:eastAsia="宋体" w:cs="Times New Roman"/>
                      <w:b/>
                      <w:bCs/>
                      <w:lang w:val="en-US" w:eastAsia="zh-CN"/>
                    </w:rPr>
                    <w:t>m</w:t>
                  </w:r>
                  <w:r>
                    <w:rPr>
                      <w:rFonts w:hint="default" w:ascii="Times New Roman" w:hAnsi="Times New Roman" w:eastAsia="宋体" w:cs="Times New Roman"/>
                      <w:b/>
                      <w:bCs/>
                    </w:rPr>
                    <w:t>g/m</w:t>
                  </w:r>
                  <w:r>
                    <w:rPr>
                      <w:rFonts w:hint="default" w:ascii="Times New Roman" w:hAnsi="Times New Roman" w:eastAsia="宋体" w:cs="Times New Roman"/>
                      <w:b/>
                      <w:bCs/>
                      <w:vertAlign w:val="superscript"/>
                    </w:rPr>
                    <w:t>3</w:t>
                  </w:r>
                  <w:r>
                    <w:rPr>
                      <w:rFonts w:hint="default" w:ascii="Times New Roman" w:hAnsi="Times New Roman" w:eastAsia="宋体" w:cs="Times New Roman"/>
                      <w:b/>
                      <w:bCs/>
                    </w:rPr>
                    <w:t>）</w:t>
                  </w:r>
                </w:p>
              </w:tc>
            </w:tr>
            <w:tr w14:paraId="5067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6" w:type="pct"/>
                  <w:gridSpan w:val="2"/>
                  <w:vMerge w:val="continue"/>
                  <w:tcBorders>
                    <w:tl2br w:val="nil"/>
                    <w:tr2bl w:val="nil"/>
                  </w:tcBorders>
                  <w:noWrap w:val="0"/>
                  <w:vAlign w:val="center"/>
                </w:tcPr>
                <w:p w14:paraId="17540130">
                  <w:pPr>
                    <w:pStyle w:val="115"/>
                    <w:bidi w:val="0"/>
                    <w:rPr>
                      <w:rFonts w:hint="default" w:ascii="Times New Roman" w:hAnsi="Times New Roman" w:eastAsia="宋体" w:cs="Times New Roman"/>
                      <w:b/>
                      <w:bCs/>
                    </w:rPr>
                  </w:pPr>
                </w:p>
              </w:tc>
              <w:tc>
                <w:tcPr>
                  <w:tcW w:w="2403" w:type="pct"/>
                  <w:tcBorders>
                    <w:tl2br w:val="nil"/>
                    <w:tr2bl w:val="nil"/>
                  </w:tcBorders>
                  <w:noWrap w:val="0"/>
                  <w:vAlign w:val="center"/>
                </w:tcPr>
                <w:p w14:paraId="211127DC">
                  <w:pPr>
                    <w:pStyle w:val="115"/>
                    <w:bidi w:val="0"/>
                    <w:rPr>
                      <w:rFonts w:hint="default" w:ascii="Times New Roman" w:hAnsi="Times New Roman" w:eastAsia="宋体" w:cs="Times New Roman"/>
                      <w:b/>
                      <w:bCs/>
                    </w:rPr>
                  </w:pPr>
                  <w:r>
                    <w:rPr>
                      <w:rFonts w:hint="default" w:ascii="Times New Roman" w:hAnsi="Times New Roman" w:eastAsia="宋体" w:cs="Times New Roman"/>
                      <w:b/>
                      <w:bCs/>
                    </w:rPr>
                    <w:t>TSP</w:t>
                  </w:r>
                </w:p>
              </w:tc>
            </w:tr>
            <w:tr w14:paraId="52BA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5" w:type="pct"/>
                  <w:vMerge w:val="restart"/>
                  <w:tcBorders>
                    <w:tl2br w:val="nil"/>
                    <w:tr2bl w:val="nil"/>
                  </w:tcBorders>
                  <w:noWrap w:val="0"/>
                  <w:vAlign w:val="center"/>
                </w:tcPr>
                <w:p w14:paraId="788F47BF">
                  <w:pPr>
                    <w:pStyle w:val="115"/>
                    <w:bidi w:val="0"/>
                    <w:rPr>
                      <w:rFonts w:hint="default" w:ascii="Times New Roman" w:hAnsi="Times New Roman" w:eastAsia="宋体" w:cs="Times New Roman"/>
                    </w:rPr>
                  </w:pPr>
                  <w:r>
                    <w:rPr>
                      <w:rFonts w:hint="eastAsia"/>
                    </w:rPr>
                    <w:t>安江转运站项目选址下风向</w:t>
                  </w:r>
                  <w:r>
                    <w:rPr>
                      <w:rFonts w:hint="default" w:ascii="Times New Roman" w:hAnsi="Times New Roman" w:eastAsia="宋体" w:cs="Times New Roman"/>
                    </w:rPr>
                    <w:t>G1</w:t>
                  </w:r>
                </w:p>
              </w:tc>
              <w:tc>
                <w:tcPr>
                  <w:tcW w:w="1191" w:type="pct"/>
                  <w:tcBorders>
                    <w:tl2br w:val="nil"/>
                    <w:tr2bl w:val="nil"/>
                  </w:tcBorders>
                  <w:noWrap w:val="0"/>
                  <w:vAlign w:val="center"/>
                </w:tcPr>
                <w:p w14:paraId="01199F3F">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浓度范围</w:t>
                  </w:r>
                </w:p>
              </w:tc>
              <w:tc>
                <w:tcPr>
                  <w:tcW w:w="2403" w:type="pct"/>
                  <w:tcBorders>
                    <w:tl2br w:val="nil"/>
                    <w:tr2bl w:val="nil"/>
                  </w:tcBorders>
                  <w:noWrap w:val="0"/>
                  <w:vAlign w:val="center"/>
                </w:tcPr>
                <w:p w14:paraId="54CF8B50">
                  <w:pPr>
                    <w:pStyle w:val="115"/>
                    <w:bidi w:val="0"/>
                    <w:rPr>
                      <w:rFonts w:hint="default" w:ascii="Times New Roman" w:hAnsi="Times New Roman" w:eastAsia="宋体" w:cs="Times New Roman"/>
                    </w:rPr>
                  </w:pPr>
                  <w:r>
                    <w:rPr>
                      <w:rFonts w:hint="eastAsia" w:ascii="Times New Roman" w:hAnsi="Times New Roman" w:eastAsia="宋体" w:cs="Times New Roman"/>
                      <w:lang w:val="en-US" w:eastAsia="zh-CN"/>
                    </w:rPr>
                    <w:t>0.092~0.094</w:t>
                  </w:r>
                </w:p>
              </w:tc>
            </w:tr>
            <w:tr w14:paraId="23EE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5" w:type="pct"/>
                  <w:vMerge w:val="continue"/>
                  <w:tcBorders>
                    <w:tl2br w:val="nil"/>
                    <w:tr2bl w:val="nil"/>
                  </w:tcBorders>
                  <w:noWrap w:val="0"/>
                  <w:vAlign w:val="center"/>
                </w:tcPr>
                <w:p w14:paraId="58C88DC6">
                  <w:pPr>
                    <w:pStyle w:val="115"/>
                    <w:bidi w:val="0"/>
                    <w:rPr>
                      <w:rFonts w:hint="eastAsia" w:ascii="Times New Roman" w:hAnsi="Times New Roman" w:eastAsia="宋体" w:cs="Times New Roman"/>
                      <w:lang w:val="en-US" w:eastAsia="zh-CN"/>
                    </w:rPr>
                  </w:pPr>
                </w:p>
              </w:tc>
              <w:tc>
                <w:tcPr>
                  <w:tcW w:w="1191" w:type="pct"/>
                  <w:tcBorders>
                    <w:tl2br w:val="nil"/>
                    <w:tr2bl w:val="nil"/>
                  </w:tcBorders>
                  <w:noWrap w:val="0"/>
                  <w:vAlign w:val="center"/>
                </w:tcPr>
                <w:p w14:paraId="1C277389">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最大浓度占标率%</w:t>
                  </w:r>
                </w:p>
              </w:tc>
              <w:tc>
                <w:tcPr>
                  <w:tcW w:w="2403" w:type="pct"/>
                  <w:tcBorders>
                    <w:tl2br w:val="nil"/>
                    <w:tr2bl w:val="nil"/>
                  </w:tcBorders>
                  <w:noWrap w:val="0"/>
                  <w:vAlign w:val="center"/>
                </w:tcPr>
                <w:p w14:paraId="24434A8F">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31.3</w:t>
                  </w:r>
                </w:p>
              </w:tc>
            </w:tr>
            <w:tr w14:paraId="21E2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5" w:type="pct"/>
                  <w:vMerge w:val="continue"/>
                  <w:tcBorders>
                    <w:tl2br w:val="nil"/>
                    <w:tr2bl w:val="nil"/>
                  </w:tcBorders>
                  <w:noWrap w:val="0"/>
                  <w:vAlign w:val="center"/>
                </w:tcPr>
                <w:p w14:paraId="05AACEDA">
                  <w:pPr>
                    <w:pStyle w:val="115"/>
                    <w:bidi w:val="0"/>
                    <w:rPr>
                      <w:rFonts w:hint="eastAsia" w:ascii="Times New Roman" w:hAnsi="Times New Roman" w:eastAsia="宋体" w:cs="Times New Roman"/>
                      <w:lang w:val="en-US" w:eastAsia="zh-CN"/>
                    </w:rPr>
                  </w:pPr>
                </w:p>
              </w:tc>
              <w:tc>
                <w:tcPr>
                  <w:tcW w:w="1191" w:type="pct"/>
                  <w:tcBorders>
                    <w:tl2br w:val="nil"/>
                    <w:tr2bl w:val="nil"/>
                  </w:tcBorders>
                  <w:noWrap w:val="0"/>
                  <w:vAlign w:val="center"/>
                </w:tcPr>
                <w:p w14:paraId="5AAE3C9B">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超标率</w:t>
                  </w:r>
                </w:p>
              </w:tc>
              <w:tc>
                <w:tcPr>
                  <w:tcW w:w="2403" w:type="pct"/>
                  <w:tcBorders>
                    <w:tl2br w:val="nil"/>
                    <w:tr2bl w:val="nil"/>
                  </w:tcBorders>
                  <w:noWrap w:val="0"/>
                  <w:vAlign w:val="center"/>
                </w:tcPr>
                <w:p w14:paraId="28E28A1B">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14:paraId="776B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5" w:type="pct"/>
                  <w:vMerge w:val="continue"/>
                  <w:tcBorders>
                    <w:tl2br w:val="nil"/>
                    <w:tr2bl w:val="nil"/>
                  </w:tcBorders>
                  <w:noWrap w:val="0"/>
                  <w:vAlign w:val="center"/>
                </w:tcPr>
                <w:p w14:paraId="4427F4E8">
                  <w:pPr>
                    <w:pStyle w:val="115"/>
                    <w:bidi w:val="0"/>
                    <w:rPr>
                      <w:rFonts w:hint="eastAsia" w:ascii="Times New Roman" w:hAnsi="Times New Roman" w:eastAsia="宋体" w:cs="Times New Roman"/>
                      <w:lang w:val="en-US" w:eastAsia="zh-CN"/>
                    </w:rPr>
                  </w:pPr>
                </w:p>
              </w:tc>
              <w:tc>
                <w:tcPr>
                  <w:tcW w:w="1191" w:type="pct"/>
                  <w:tcBorders>
                    <w:tl2br w:val="nil"/>
                    <w:tr2bl w:val="nil"/>
                  </w:tcBorders>
                  <w:noWrap w:val="0"/>
                  <w:vAlign w:val="center"/>
                </w:tcPr>
                <w:p w14:paraId="549B2B02">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超标倍数</w:t>
                  </w:r>
                </w:p>
              </w:tc>
              <w:tc>
                <w:tcPr>
                  <w:tcW w:w="2403" w:type="pct"/>
                  <w:tcBorders>
                    <w:tl2br w:val="nil"/>
                    <w:tr2bl w:val="nil"/>
                  </w:tcBorders>
                  <w:noWrap w:val="0"/>
                  <w:vAlign w:val="center"/>
                </w:tcPr>
                <w:p w14:paraId="06128288">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t>
                  </w:r>
                </w:p>
              </w:tc>
            </w:tr>
            <w:tr w14:paraId="69E1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6" w:type="pct"/>
                  <w:gridSpan w:val="2"/>
                  <w:tcBorders>
                    <w:tl2br w:val="nil"/>
                    <w:tr2bl w:val="nil"/>
                  </w:tcBorders>
                  <w:noWrap w:val="0"/>
                  <w:vAlign w:val="center"/>
                </w:tcPr>
                <w:p w14:paraId="55EDD733">
                  <w:pPr>
                    <w:pStyle w:val="115"/>
                    <w:bidi w:val="0"/>
                    <w:rPr>
                      <w:rFonts w:hint="default" w:ascii="Times New Roman" w:hAnsi="Times New Roman" w:eastAsia="宋体" w:cs="Times New Roman"/>
                    </w:rPr>
                  </w:pPr>
                  <w:r>
                    <w:rPr>
                      <w:rFonts w:hint="default" w:ascii="Times New Roman" w:hAnsi="Times New Roman" w:eastAsia="宋体" w:cs="Times New Roman"/>
                    </w:rPr>
                    <w:t>标准限值</w:t>
                  </w:r>
                </w:p>
              </w:tc>
              <w:tc>
                <w:tcPr>
                  <w:tcW w:w="2403" w:type="pct"/>
                  <w:tcBorders>
                    <w:tl2br w:val="nil"/>
                    <w:tr2bl w:val="nil"/>
                  </w:tcBorders>
                  <w:noWrap w:val="0"/>
                  <w:vAlign w:val="center"/>
                </w:tcPr>
                <w:p w14:paraId="2F2CFBC8">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0.3</w:t>
                  </w:r>
                </w:p>
              </w:tc>
            </w:tr>
            <w:tr w14:paraId="3A5A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96" w:type="pct"/>
                  <w:gridSpan w:val="2"/>
                  <w:tcBorders>
                    <w:tl2br w:val="nil"/>
                    <w:tr2bl w:val="nil"/>
                  </w:tcBorders>
                  <w:noWrap w:val="0"/>
                  <w:vAlign w:val="center"/>
                </w:tcPr>
                <w:p w14:paraId="24EE5DA0">
                  <w:pPr>
                    <w:pStyle w:val="115"/>
                    <w:bidi w:val="0"/>
                    <w:rPr>
                      <w:rFonts w:hint="default" w:ascii="Times New Roman" w:hAnsi="Times New Roman" w:eastAsia="宋体" w:cs="Times New Roman"/>
                    </w:rPr>
                  </w:pPr>
                  <w:r>
                    <w:rPr>
                      <w:rFonts w:hint="default" w:ascii="Times New Roman" w:hAnsi="Times New Roman" w:eastAsia="宋体" w:cs="Times New Roman"/>
                    </w:rPr>
                    <w:t>是否达标</w:t>
                  </w:r>
                </w:p>
              </w:tc>
              <w:tc>
                <w:tcPr>
                  <w:tcW w:w="2403" w:type="pct"/>
                  <w:tcBorders>
                    <w:tl2br w:val="nil"/>
                    <w:tr2bl w:val="nil"/>
                  </w:tcBorders>
                  <w:noWrap w:val="0"/>
                  <w:vAlign w:val="center"/>
                </w:tcPr>
                <w:p w14:paraId="08F0F59E">
                  <w:pPr>
                    <w:pStyle w:val="115"/>
                    <w:bidi w:val="0"/>
                    <w:rPr>
                      <w:rFonts w:hint="default" w:ascii="Times New Roman" w:hAnsi="Times New Roman" w:eastAsia="宋体" w:cs="Times New Roman"/>
                    </w:rPr>
                  </w:pPr>
                  <w:r>
                    <w:rPr>
                      <w:rFonts w:hint="default" w:ascii="Times New Roman" w:hAnsi="Times New Roman" w:eastAsia="宋体" w:cs="Times New Roman"/>
                    </w:rPr>
                    <w:t>是</w:t>
                  </w:r>
                </w:p>
              </w:tc>
            </w:tr>
          </w:tbl>
          <w:p w14:paraId="3718EDEB">
            <w:pPr>
              <w:snapToGrid w:val="0"/>
              <w:ind w:firstLine="480"/>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由上表可以看出，在评价区域内的大气环境监测点位</w:t>
            </w:r>
            <w:r>
              <w:rPr>
                <w:rFonts w:hint="default" w:ascii="Times New Roman" w:hAnsi="Times New Roman" w:eastAsia="宋体" w:cs="Times New Roman"/>
                <w:color w:val="auto"/>
                <w:szCs w:val="20"/>
                <w:lang w:val="en-US" w:eastAsia="zh-CN"/>
              </w:rPr>
              <w:t>TSP检测结果</w:t>
            </w:r>
            <w:r>
              <w:rPr>
                <w:rFonts w:hint="default" w:ascii="Times New Roman" w:hAnsi="Times New Roman" w:eastAsia="宋体" w:cs="Times New Roman"/>
                <w:color w:val="auto"/>
                <w:szCs w:val="20"/>
              </w:rPr>
              <w:t>满足《环境空气质量标准》</w:t>
            </w:r>
            <w:r>
              <w:rPr>
                <w:rFonts w:hint="default" w:ascii="Times New Roman" w:hAnsi="Times New Roman" w:eastAsia="宋体" w:cs="Times New Roman"/>
                <w:color w:val="auto"/>
                <w:szCs w:val="20"/>
                <w:lang w:val="en-US" w:eastAsia="zh-CN"/>
              </w:rPr>
              <w:t>（GB3095-2026）</w:t>
            </w:r>
            <w:r>
              <w:rPr>
                <w:rFonts w:hint="default" w:ascii="Times New Roman" w:hAnsi="Times New Roman" w:eastAsia="宋体" w:cs="Times New Roman"/>
                <w:color w:val="auto"/>
                <w:szCs w:val="20"/>
              </w:rPr>
              <w:t>中过渡阶段二级标准浓度限值要求，评价区域内环境空气质量较好</w:t>
            </w:r>
            <w:r>
              <w:rPr>
                <w:rFonts w:hint="default" w:ascii="Times New Roman" w:hAnsi="Times New Roman" w:eastAsia="宋体" w:cs="Times New Roman"/>
                <w:color w:val="auto"/>
                <w:szCs w:val="20"/>
                <w:lang w:val="en-US" w:eastAsia="zh-CN"/>
              </w:rPr>
              <w:t>。</w:t>
            </w:r>
          </w:p>
          <w:p w14:paraId="2B73B23E">
            <w:pPr>
              <w:pStyle w:val="4"/>
              <w:rPr>
                <w:rFonts w:hint="eastAsia" w:ascii="Times New Roman" w:hAnsi="Times New Roman" w:eastAsia="宋体" w:cs="Times New Roman"/>
              </w:rPr>
            </w:pPr>
            <w:r>
              <w:rPr>
                <w:rFonts w:hint="eastAsia" w:ascii="Times New Roman" w:hAnsi="Times New Roman" w:eastAsia="宋体" w:cs="Times New Roman"/>
                <w:lang w:val="en-US" w:eastAsia="zh-CN"/>
              </w:rPr>
              <w:t>3.2</w:t>
            </w:r>
            <w:r>
              <w:rPr>
                <w:rFonts w:hint="eastAsia" w:ascii="Times New Roman" w:hAnsi="Times New Roman" w:eastAsia="宋体" w:cs="Times New Roman"/>
              </w:rPr>
              <w:t>地表水环境质量现状</w:t>
            </w:r>
          </w:p>
          <w:p w14:paraId="378CB924">
            <w:pPr>
              <w:pStyle w:val="5"/>
              <w:bidi w:val="0"/>
              <w:rPr>
                <w:rFonts w:hint="default"/>
              </w:rPr>
            </w:pPr>
            <w:r>
              <w:rPr>
                <w:rFonts w:hint="eastAsia"/>
                <w:lang w:val="en-US" w:eastAsia="zh-CN"/>
              </w:rPr>
              <w:t>3.2.1</w:t>
            </w:r>
            <w:r>
              <w:rPr>
                <w:rFonts w:hint="default"/>
              </w:rPr>
              <w:t>区域地表水环境质量现状</w:t>
            </w:r>
          </w:p>
          <w:p w14:paraId="1A599AE6">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本项目</w:t>
            </w:r>
            <w:r>
              <w:rPr>
                <w:rFonts w:hint="default" w:ascii="Times New Roman" w:hAnsi="Times New Roman" w:eastAsia="宋体" w:cs="Times New Roman"/>
                <w:sz w:val="24"/>
                <w:lang w:val="en-US" w:eastAsia="zh-CN"/>
              </w:rPr>
              <w:t>周边地表水体为</w:t>
            </w:r>
            <w:r>
              <w:rPr>
                <w:rFonts w:hint="eastAsia" w:ascii="Times New Roman" w:hAnsi="Times New Roman" w:eastAsia="宋体" w:cs="Times New Roman"/>
                <w:sz w:val="24"/>
                <w:lang w:val="en-US" w:eastAsia="zh-CN"/>
              </w:rPr>
              <w:t>建筑垃圾</w:t>
            </w:r>
            <w:r>
              <w:rPr>
                <w:rFonts w:hint="eastAsia" w:cs="Times New Roman"/>
                <w:sz w:val="24"/>
                <w:lang w:val="en-US" w:eastAsia="zh-CN"/>
              </w:rPr>
              <w:t>堆填场</w:t>
            </w:r>
            <w:r>
              <w:rPr>
                <w:rFonts w:hint="eastAsia" w:ascii="Times New Roman" w:hAnsi="Times New Roman" w:eastAsia="宋体" w:cs="Times New Roman"/>
                <w:sz w:val="24"/>
                <w:lang w:val="en-US" w:eastAsia="zh-CN"/>
              </w:rPr>
              <w:t>东</w:t>
            </w:r>
            <w:r>
              <w:rPr>
                <w:rFonts w:hint="eastAsia" w:cs="Times New Roman"/>
                <w:sz w:val="24"/>
                <w:lang w:val="en-US" w:eastAsia="zh-CN"/>
              </w:rPr>
              <w:t>北</w:t>
            </w:r>
            <w:r>
              <w:rPr>
                <w:rFonts w:hint="eastAsia" w:ascii="Times New Roman" w:hAnsi="Times New Roman" w:eastAsia="宋体" w:cs="Times New Roman"/>
                <w:sz w:val="24"/>
                <w:lang w:val="en-US" w:eastAsia="zh-CN"/>
              </w:rPr>
              <w:t>侧</w:t>
            </w:r>
            <w:r>
              <w:rPr>
                <w:rFonts w:hint="default" w:ascii="Times New Roman" w:hAnsi="Times New Roman" w:eastAsia="宋体" w:cs="Times New Roman"/>
                <w:sz w:val="24"/>
                <w:lang w:val="en-US" w:eastAsia="zh-CN"/>
              </w:rPr>
              <w:t>的无名小溪</w:t>
            </w:r>
            <w:r>
              <w:rPr>
                <w:rFonts w:hint="eastAsia" w:ascii="Times New Roman" w:hAnsi="Times New Roman" w:eastAsia="宋体" w:cs="Times New Roman"/>
                <w:sz w:val="24"/>
                <w:lang w:val="en-US" w:eastAsia="zh-CN"/>
              </w:rPr>
              <w:t>以及洪溪</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无名小溪自西南至东北侧汇入洪溪，洪溪流经约8km后汇入沅江干流</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本次环评</w:t>
            </w:r>
            <w:r>
              <w:rPr>
                <w:rFonts w:hint="eastAsia" w:ascii="Times New Roman" w:hAnsi="Times New Roman" w:eastAsia="宋体" w:cs="Times New Roman"/>
                <w:sz w:val="24"/>
              </w:rPr>
              <w:t>引用怀化市生态环境局公布的《怀化市水质量年报（202</w:t>
            </w: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rPr>
              <w:t>年）》中结论，</w:t>
            </w:r>
            <w:r>
              <w:rPr>
                <w:rFonts w:hint="eastAsia" w:ascii="Times New Roman" w:hAnsi="Times New Roman" w:eastAsia="宋体" w:cs="Times New Roman"/>
                <w:sz w:val="24"/>
                <w:lang w:val="en-US" w:eastAsia="zh-CN"/>
              </w:rPr>
              <w:t>沅江干流</w:t>
            </w:r>
            <w:r>
              <w:rPr>
                <w:rFonts w:hint="eastAsia" w:ascii="Times New Roman" w:hAnsi="Times New Roman" w:eastAsia="宋体" w:cs="Times New Roman"/>
                <w:sz w:val="24"/>
              </w:rPr>
              <w:t>总共计</w:t>
            </w:r>
            <w:r>
              <w:rPr>
                <w:rFonts w:hint="eastAsia" w:ascii="Times New Roman" w:hAnsi="Times New Roman" w:eastAsia="宋体" w:cs="Times New Roman"/>
                <w:sz w:val="24"/>
                <w:lang w:val="en-US" w:eastAsia="zh-CN"/>
              </w:rPr>
              <w:t>16</w:t>
            </w:r>
            <w:r>
              <w:rPr>
                <w:rFonts w:hint="eastAsia" w:ascii="Times New Roman" w:hAnsi="Times New Roman" w:eastAsia="宋体" w:cs="Times New Roman"/>
                <w:sz w:val="24"/>
              </w:rPr>
              <w:t>个考核断面，其中</w:t>
            </w:r>
            <w:r>
              <w:rPr>
                <w:rFonts w:hint="eastAsia" w:ascii="Times New Roman" w:hAnsi="Times New Roman" w:eastAsia="宋体" w:cs="Times New Roman"/>
                <w:sz w:val="24"/>
                <w:lang w:val="en-US" w:eastAsia="zh-CN"/>
              </w:rPr>
              <w:t>洪江市</w:t>
            </w:r>
            <w:r>
              <w:rPr>
                <w:rFonts w:hint="eastAsia" w:ascii="Times New Roman" w:hAnsi="Times New Roman" w:eastAsia="宋体" w:cs="Times New Roman"/>
                <w:sz w:val="24"/>
              </w:rPr>
              <w:t>总共计</w:t>
            </w:r>
            <w:r>
              <w:rPr>
                <w:rFonts w:hint="eastAsia" w:ascii="Times New Roman" w:hAnsi="Times New Roman" w:eastAsia="宋体" w:cs="Times New Roman"/>
                <w:sz w:val="24"/>
                <w:lang w:val="en-US" w:eastAsia="zh-CN"/>
              </w:rPr>
              <w:t>3</w:t>
            </w:r>
            <w:r>
              <w:rPr>
                <w:rFonts w:hint="eastAsia" w:ascii="Times New Roman" w:hAnsi="Times New Roman" w:eastAsia="宋体" w:cs="Times New Roman"/>
                <w:sz w:val="24"/>
              </w:rPr>
              <w:t>个考核断面，</w:t>
            </w:r>
            <w:r>
              <w:rPr>
                <w:rFonts w:hint="eastAsia" w:ascii="Times New Roman" w:hAnsi="Times New Roman" w:eastAsia="宋体" w:cs="Times New Roman"/>
                <w:sz w:val="24"/>
                <w:lang w:val="en-US" w:eastAsia="zh-CN"/>
              </w:rPr>
              <w:t>均</w:t>
            </w:r>
            <w:r>
              <w:rPr>
                <w:rFonts w:hint="eastAsia" w:ascii="Times New Roman" w:hAnsi="Times New Roman" w:eastAsia="宋体" w:cs="Times New Roman"/>
                <w:sz w:val="24"/>
              </w:rPr>
              <w:t>为省控断面（</w:t>
            </w:r>
            <w:r>
              <w:rPr>
                <w:rFonts w:hint="eastAsia" w:ascii="Times New Roman" w:hAnsi="Times New Roman" w:eastAsia="宋体" w:cs="Times New Roman"/>
                <w:sz w:val="24"/>
                <w:lang w:val="en-US" w:eastAsia="zh-CN"/>
              </w:rPr>
              <w:t>小江村、深溪口、山岩湾</w:t>
            </w:r>
            <w:r>
              <w:rPr>
                <w:rFonts w:hint="eastAsia" w:ascii="Times New Roman" w:hAnsi="Times New Roman" w:eastAsia="宋体" w:cs="Times New Roman"/>
                <w:sz w:val="24"/>
              </w:rPr>
              <w:t>），3个断面 202</w:t>
            </w: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rPr>
              <w:t>年水质现状均为Ⅱ类。</w:t>
            </w:r>
          </w:p>
          <w:p w14:paraId="72D125F4">
            <w:pPr>
              <w:ind w:left="0" w:leftChars="0" w:firstLine="0" w:firstLineChars="0"/>
            </w:pPr>
            <w:r>
              <w:drawing>
                <wp:inline distT="0" distB="0" distL="114300" distR="114300">
                  <wp:extent cx="5436235" cy="3211195"/>
                  <wp:effectExtent l="0" t="0" r="12065" b="8255"/>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26"/>
                          <a:stretch>
                            <a:fillRect/>
                          </a:stretch>
                        </pic:blipFill>
                        <pic:spPr>
                          <a:xfrm>
                            <a:off x="0" y="0"/>
                            <a:ext cx="5436235" cy="3211195"/>
                          </a:xfrm>
                          <a:prstGeom prst="rect">
                            <a:avLst/>
                          </a:prstGeom>
                          <a:noFill/>
                          <a:ln>
                            <a:noFill/>
                          </a:ln>
                        </pic:spPr>
                      </pic:pic>
                    </a:graphicData>
                  </a:graphic>
                </wp:inline>
              </w:drawing>
            </w:r>
          </w:p>
          <w:p w14:paraId="3BA24F88">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监测数据满足《建设项目环境影响报告表编制技术指南》中对地表水环境质量现状的</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引用与建设项目距离近的有效数据，包括近3年的规划环境影响评价的监测数据，所在流域控制单元内国家、地方控制断面监测数据，生态环境主管部门发布的水环境质量数据或地表水达标情况的结论</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要求</w:t>
            </w:r>
            <w:r>
              <w:rPr>
                <w:rFonts w:hint="default" w:ascii="Times New Roman" w:hAnsi="Times New Roman" w:eastAsia="宋体" w:cs="Times New Roman"/>
                <w:sz w:val="24"/>
                <w:lang w:eastAsia="zh-CN"/>
              </w:rPr>
              <w:t>。</w:t>
            </w:r>
          </w:p>
          <w:p w14:paraId="5B53C2E0">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rPr>
              <w:t>由上表可知，20</w:t>
            </w:r>
            <w:r>
              <w:rPr>
                <w:rFonts w:hint="default" w:ascii="Times New Roman" w:hAnsi="Times New Roman" w:eastAsia="宋体" w:cs="Times New Roman"/>
                <w:sz w:val="24"/>
                <w:lang w:val="en-US" w:eastAsia="zh-CN"/>
              </w:rPr>
              <w:t>2</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rPr>
              <w:t>年</w:t>
            </w:r>
            <w:r>
              <w:rPr>
                <w:rFonts w:hint="default" w:ascii="Times New Roman" w:hAnsi="Times New Roman" w:eastAsia="宋体" w:cs="Times New Roman"/>
                <w:sz w:val="24"/>
                <w:lang w:val="en-US" w:eastAsia="zh-CN"/>
              </w:rPr>
              <w:t>1-12月</w:t>
            </w:r>
            <w:r>
              <w:rPr>
                <w:rFonts w:hint="eastAsia" w:ascii="Times New Roman" w:hAnsi="Times New Roman" w:eastAsia="宋体" w:cs="Times New Roman"/>
                <w:sz w:val="24"/>
                <w:lang w:val="en-US" w:eastAsia="zh-CN"/>
              </w:rPr>
              <w:t>小江村、深溪口以及山岩湾</w:t>
            </w:r>
            <w:r>
              <w:rPr>
                <w:rFonts w:hint="default" w:ascii="Times New Roman" w:hAnsi="Times New Roman" w:eastAsia="宋体" w:cs="Times New Roman"/>
                <w:sz w:val="24"/>
              </w:rPr>
              <w:t>常规监测断面各项监测指标能达到《地表水环境质量标准》（GB3838-2002</w:t>
            </w:r>
            <w:r>
              <w:rPr>
                <w:rFonts w:hint="default" w:ascii="Times New Roman" w:hAnsi="Times New Roman" w:eastAsia="宋体" w:cs="Times New Roman"/>
                <w:sz w:val="24"/>
                <w:lang w:eastAsia="zh-CN"/>
              </w:rPr>
              <w:t>）Ⅱ类</w:t>
            </w:r>
            <w:r>
              <w:rPr>
                <w:rFonts w:hint="default" w:ascii="Times New Roman" w:hAnsi="Times New Roman" w:eastAsia="宋体" w:cs="Times New Roman"/>
                <w:sz w:val="24"/>
              </w:rPr>
              <w:t>标准要求</w:t>
            </w:r>
            <w:r>
              <w:rPr>
                <w:rFonts w:hint="default" w:ascii="Times New Roman" w:hAnsi="Times New Roman" w:eastAsia="宋体" w:cs="Times New Roman"/>
                <w:sz w:val="24"/>
                <w:lang w:eastAsia="zh-CN"/>
              </w:rPr>
              <w:t>。</w:t>
            </w:r>
          </w:p>
          <w:p w14:paraId="7C1A7371">
            <w:pPr>
              <w:pStyle w:val="5"/>
              <w:bidi w:val="0"/>
              <w:rPr>
                <w:rFonts w:hint="default"/>
                <w:lang w:eastAsia="zh-CN"/>
              </w:rPr>
            </w:pPr>
            <w:r>
              <w:rPr>
                <w:rFonts w:hint="eastAsia"/>
                <w:lang w:val="en-US" w:eastAsia="zh-CN"/>
              </w:rPr>
              <w:t>3.2.2</w:t>
            </w:r>
            <w:r>
              <w:rPr>
                <w:rFonts w:hint="eastAsia"/>
                <w:lang w:eastAsia="zh-CN"/>
              </w:rPr>
              <w:t>地表水环境质量现状补充调查</w:t>
            </w:r>
          </w:p>
          <w:p w14:paraId="3F9FC477">
            <w:pPr>
              <w:bidi w:val="0"/>
              <w:rPr>
                <w:rFonts w:hint="eastAsia"/>
                <w:lang w:val="en-US" w:eastAsia="zh-CN"/>
              </w:rPr>
            </w:pPr>
            <w:r>
              <w:rPr>
                <w:rFonts w:hint="eastAsia"/>
                <w:lang w:val="en-US" w:eastAsia="zh-CN"/>
              </w:rPr>
              <w:t>（1）监测断面及监测因子</w:t>
            </w:r>
          </w:p>
          <w:p w14:paraId="30BB7AF6">
            <w:pPr>
              <w:pStyle w:val="44"/>
              <w:bidi w:val="0"/>
            </w:pPr>
            <w:r>
              <w:rPr>
                <w:rFonts w:hint="eastAsia"/>
              </w:rPr>
              <w:t>表</w:t>
            </w:r>
            <w:r>
              <w:rPr>
                <w:rFonts w:hint="eastAsia"/>
                <w:lang w:val="en-US" w:eastAsia="zh-CN"/>
              </w:rPr>
              <w:t>3.2-1：</w:t>
            </w:r>
            <w:r>
              <w:rPr>
                <w:rFonts w:hint="eastAsia"/>
              </w:rPr>
              <w:t>地表水</w:t>
            </w:r>
            <w:r>
              <w:t>环境质量现状监测</w:t>
            </w:r>
            <w:r>
              <w:rPr>
                <w:rFonts w:hint="eastAsia"/>
              </w:rPr>
              <w:t>断面</w:t>
            </w:r>
            <w:r>
              <w:t>布设</w:t>
            </w:r>
          </w:p>
          <w:tbl>
            <w:tblPr>
              <w:tblStyle w:val="3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15"/>
              <w:gridCol w:w="1043"/>
              <w:gridCol w:w="2213"/>
              <w:gridCol w:w="4394"/>
            </w:tblGrid>
            <w:tr w14:paraId="1163F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915" w:type="dxa"/>
                  <w:tcBorders>
                    <w:tl2br w:val="nil"/>
                    <w:tr2bl w:val="nil"/>
                  </w:tcBorders>
                  <w:noWrap w:val="0"/>
                  <w:vAlign w:val="center"/>
                </w:tcPr>
                <w:p w14:paraId="48140C4C">
                  <w:pPr>
                    <w:pStyle w:val="115"/>
                    <w:bidi w:val="0"/>
                    <w:rPr>
                      <w:rFonts w:hint="default"/>
                      <w:b/>
                      <w:bCs/>
                    </w:rPr>
                  </w:pPr>
                  <w:r>
                    <w:rPr>
                      <w:rFonts w:hint="default"/>
                      <w:b/>
                      <w:bCs/>
                    </w:rPr>
                    <w:t>监测水体</w:t>
                  </w:r>
                </w:p>
              </w:tc>
              <w:tc>
                <w:tcPr>
                  <w:tcW w:w="1043" w:type="dxa"/>
                  <w:tcBorders>
                    <w:tl2br w:val="nil"/>
                    <w:tr2bl w:val="nil"/>
                  </w:tcBorders>
                  <w:noWrap w:val="0"/>
                  <w:vAlign w:val="center"/>
                </w:tcPr>
                <w:p w14:paraId="1296FAF2">
                  <w:pPr>
                    <w:pStyle w:val="115"/>
                    <w:bidi w:val="0"/>
                    <w:rPr>
                      <w:rFonts w:hint="default"/>
                      <w:b/>
                      <w:bCs/>
                    </w:rPr>
                  </w:pPr>
                  <w:r>
                    <w:rPr>
                      <w:rFonts w:hint="default"/>
                      <w:b/>
                      <w:bCs/>
                    </w:rPr>
                    <w:t>编号</w:t>
                  </w:r>
                </w:p>
              </w:tc>
              <w:tc>
                <w:tcPr>
                  <w:tcW w:w="2213" w:type="dxa"/>
                  <w:tcBorders>
                    <w:tl2br w:val="nil"/>
                    <w:tr2bl w:val="nil"/>
                  </w:tcBorders>
                  <w:noWrap w:val="0"/>
                  <w:vAlign w:val="center"/>
                </w:tcPr>
                <w:p w14:paraId="59CF304A">
                  <w:pPr>
                    <w:pStyle w:val="115"/>
                    <w:bidi w:val="0"/>
                    <w:rPr>
                      <w:rFonts w:hint="default"/>
                      <w:b/>
                      <w:bCs/>
                    </w:rPr>
                  </w:pPr>
                  <w:r>
                    <w:rPr>
                      <w:rFonts w:hint="default"/>
                      <w:b/>
                      <w:bCs/>
                    </w:rPr>
                    <w:t>监测断面</w:t>
                  </w:r>
                </w:p>
              </w:tc>
              <w:tc>
                <w:tcPr>
                  <w:tcW w:w="4394" w:type="dxa"/>
                  <w:tcBorders>
                    <w:tl2br w:val="nil"/>
                    <w:tr2bl w:val="nil"/>
                  </w:tcBorders>
                  <w:noWrap w:val="0"/>
                  <w:vAlign w:val="center"/>
                </w:tcPr>
                <w:p w14:paraId="3FCF37B0">
                  <w:pPr>
                    <w:pStyle w:val="115"/>
                    <w:bidi w:val="0"/>
                    <w:rPr>
                      <w:rFonts w:hint="eastAsia"/>
                      <w:b/>
                      <w:bCs/>
                      <w:lang w:val="en-US" w:eastAsia="zh-CN"/>
                    </w:rPr>
                  </w:pPr>
                  <w:r>
                    <w:rPr>
                      <w:rFonts w:hint="eastAsia"/>
                      <w:b/>
                      <w:bCs/>
                      <w:lang w:val="en-US" w:eastAsia="zh-CN"/>
                    </w:rPr>
                    <w:t>监测因子</w:t>
                  </w:r>
                </w:p>
              </w:tc>
            </w:tr>
            <w:tr w14:paraId="1FAF97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915" w:type="dxa"/>
                  <w:tcBorders>
                    <w:tl2br w:val="nil"/>
                    <w:tr2bl w:val="nil"/>
                  </w:tcBorders>
                  <w:noWrap w:val="0"/>
                  <w:vAlign w:val="center"/>
                </w:tcPr>
                <w:p w14:paraId="4F450AA1">
                  <w:pPr>
                    <w:pStyle w:val="115"/>
                    <w:bidi w:val="0"/>
                    <w:rPr>
                      <w:rFonts w:hint="default"/>
                      <w:lang w:val="en-US" w:eastAsia="zh-CN"/>
                    </w:rPr>
                  </w:pPr>
                  <w:r>
                    <w:rPr>
                      <w:rFonts w:hint="eastAsia"/>
                      <w:lang w:val="en-US" w:eastAsia="zh-CN"/>
                    </w:rPr>
                    <w:t>洪溪</w:t>
                  </w:r>
                </w:p>
              </w:tc>
              <w:tc>
                <w:tcPr>
                  <w:tcW w:w="1043" w:type="dxa"/>
                  <w:tcBorders>
                    <w:tl2br w:val="nil"/>
                    <w:tr2bl w:val="nil"/>
                  </w:tcBorders>
                  <w:noWrap w:val="0"/>
                  <w:vAlign w:val="center"/>
                </w:tcPr>
                <w:p w14:paraId="2E17C100">
                  <w:pPr>
                    <w:pStyle w:val="115"/>
                    <w:bidi w:val="0"/>
                    <w:rPr>
                      <w:rFonts w:hint="default"/>
                    </w:rPr>
                  </w:pPr>
                  <w:r>
                    <w:rPr>
                      <w:rFonts w:hint="default"/>
                    </w:rPr>
                    <w:t>W1</w:t>
                  </w:r>
                </w:p>
              </w:tc>
              <w:tc>
                <w:tcPr>
                  <w:tcW w:w="2213" w:type="dxa"/>
                  <w:tcBorders>
                    <w:tl2br w:val="nil"/>
                    <w:tr2bl w:val="nil"/>
                  </w:tcBorders>
                  <w:noWrap w:val="0"/>
                  <w:vAlign w:val="center"/>
                </w:tcPr>
                <w:p w14:paraId="7D0C5BA8">
                  <w:pPr>
                    <w:pStyle w:val="115"/>
                    <w:bidi w:val="0"/>
                    <w:rPr>
                      <w:rFonts w:hint="default"/>
                    </w:rPr>
                  </w:pPr>
                  <w:r>
                    <w:rPr>
                      <w:rFonts w:hint="eastAsia"/>
                      <w:lang w:val="en-US" w:eastAsia="zh-CN"/>
                    </w:rPr>
                    <w:t>项目拟建地东北侧无名小溪与洪溪交汇处</w:t>
                  </w:r>
                </w:p>
              </w:tc>
              <w:tc>
                <w:tcPr>
                  <w:tcW w:w="4394" w:type="dxa"/>
                  <w:tcBorders>
                    <w:tl2br w:val="nil"/>
                    <w:tr2bl w:val="nil"/>
                  </w:tcBorders>
                  <w:noWrap w:val="0"/>
                  <w:vAlign w:val="center"/>
                </w:tcPr>
                <w:p w14:paraId="40AD951C">
                  <w:pPr>
                    <w:pStyle w:val="115"/>
                    <w:bidi w:val="0"/>
                    <w:rPr>
                      <w:rFonts w:hint="eastAsia"/>
                      <w:lang w:val="en-US" w:eastAsia="zh-CN"/>
                    </w:rPr>
                  </w:pPr>
                  <w:r>
                    <w:rPr>
                      <w:rFonts w:hint="default"/>
                      <w:lang w:eastAsia="zh-CN"/>
                    </w:rPr>
                    <w:t>pH</w:t>
                  </w:r>
                  <w:r>
                    <w:rPr>
                      <w:rFonts w:hint="default"/>
                    </w:rPr>
                    <w:t>、化学需氧量、五日生化需氧量、氨氮、悬浮物、石油类</w:t>
                  </w:r>
                  <w:r>
                    <w:rPr>
                      <w:rFonts w:hint="eastAsia"/>
                      <w:lang w:eastAsia="zh-CN"/>
                    </w:rPr>
                    <w:t>、</w:t>
                  </w:r>
                  <w:r>
                    <w:rPr>
                      <w:rFonts w:hint="eastAsia"/>
                      <w:lang w:val="en-US" w:eastAsia="zh-CN"/>
                    </w:rPr>
                    <w:t>硫酸盐、氟化物、氯化物</w:t>
                  </w:r>
                </w:p>
              </w:tc>
            </w:tr>
          </w:tbl>
          <w:p w14:paraId="54393EDF">
            <w:pPr>
              <w:bidi w:val="0"/>
              <w:rPr>
                <w:rFonts w:hint="eastAsia"/>
                <w:lang w:val="en-US" w:eastAsia="zh-CN"/>
              </w:rPr>
            </w:pPr>
            <w:r>
              <w:rPr>
                <w:rFonts w:hint="eastAsia"/>
                <w:lang w:val="en-US" w:eastAsia="zh-CN"/>
              </w:rPr>
              <w:t>（2）监测时间和频次：</w:t>
            </w:r>
          </w:p>
          <w:p w14:paraId="1BECDF5A">
            <w:pPr>
              <w:bidi w:val="0"/>
              <w:rPr>
                <w:rFonts w:hint="eastAsia"/>
                <w:lang w:val="en-US" w:eastAsia="zh-CN"/>
              </w:rPr>
            </w:pPr>
            <w:r>
              <w:rPr>
                <w:rFonts w:hint="eastAsia"/>
                <w:lang w:val="en-US" w:eastAsia="zh-CN"/>
              </w:rPr>
              <w:t>监测时间：2026年4月8日~10日</w:t>
            </w:r>
          </w:p>
          <w:p w14:paraId="34BFB393">
            <w:pPr>
              <w:bidi w:val="0"/>
              <w:rPr>
                <w:rFonts w:hint="eastAsia"/>
                <w:lang w:val="en-US" w:eastAsia="zh-CN"/>
              </w:rPr>
            </w:pPr>
            <w:r>
              <w:rPr>
                <w:rFonts w:hint="eastAsia"/>
                <w:lang w:val="en-US" w:eastAsia="zh-CN"/>
              </w:rPr>
              <w:t>监测频次：W1连续3天，每天1次</w:t>
            </w:r>
          </w:p>
          <w:p w14:paraId="394C4D0B">
            <w:pPr>
              <w:bidi w:val="0"/>
              <w:rPr>
                <w:rFonts w:hint="eastAsia"/>
                <w:lang w:val="en-US" w:eastAsia="zh-CN"/>
              </w:rPr>
            </w:pPr>
            <w:r>
              <w:rPr>
                <w:rFonts w:hint="eastAsia"/>
                <w:lang w:val="en-US" w:eastAsia="zh-CN"/>
              </w:rPr>
              <w:t>（3）分析方法</w:t>
            </w:r>
          </w:p>
          <w:p w14:paraId="04F843D2">
            <w:pPr>
              <w:bidi w:val="0"/>
              <w:rPr>
                <w:rFonts w:hint="eastAsia"/>
                <w:lang w:val="en-US" w:eastAsia="zh-CN"/>
              </w:rPr>
            </w:pPr>
            <w:r>
              <w:rPr>
                <w:rFonts w:hint="eastAsia"/>
                <w:lang w:val="en-US" w:eastAsia="zh-CN"/>
              </w:rPr>
              <w:t>按国家颁布的《环境监测技术规范》方法执行。</w:t>
            </w:r>
          </w:p>
          <w:p w14:paraId="23955D67">
            <w:pPr>
              <w:bidi w:val="0"/>
              <w:rPr>
                <w:rFonts w:hint="eastAsia"/>
                <w:lang w:val="en-US" w:eastAsia="zh-CN"/>
              </w:rPr>
            </w:pPr>
            <w:bookmarkStart w:id="44" w:name="_Toc17273"/>
            <w:r>
              <w:rPr>
                <w:rFonts w:hint="eastAsia"/>
                <w:lang w:val="en-US" w:eastAsia="zh-CN"/>
              </w:rPr>
              <w:t>（4）评价标准和方法</w:t>
            </w:r>
            <w:bookmarkEnd w:id="44"/>
          </w:p>
          <w:p w14:paraId="009EA357">
            <w:pPr>
              <w:bidi w:val="0"/>
              <w:rPr>
                <w:rFonts w:hint="eastAsia"/>
                <w:lang w:val="en-US" w:eastAsia="zh-CN"/>
              </w:rPr>
            </w:pPr>
            <w:r>
              <w:rPr>
                <w:rFonts w:hint="eastAsia"/>
                <w:lang w:val="en-US" w:eastAsia="zh-CN"/>
              </w:rPr>
              <w:t>评价标准：《地表水环境质量标准》（GB3838-2002）中Ⅲ类标准。</w:t>
            </w:r>
          </w:p>
          <w:p w14:paraId="0BCC4251">
            <w:pPr>
              <w:bidi w:val="0"/>
              <w:rPr>
                <w:rFonts w:hint="eastAsia"/>
                <w:lang w:val="en-US" w:eastAsia="zh-CN"/>
              </w:rPr>
            </w:pPr>
            <w:r>
              <w:rPr>
                <w:rFonts w:hint="eastAsia"/>
                <w:lang w:val="en-US" w:eastAsia="zh-CN"/>
              </w:rPr>
              <w:t>评价方法：采用标准指数法，对照各污染物环境质量标准，分析其达标率、超标率和最大超标倍数。</w:t>
            </w:r>
          </w:p>
          <w:p w14:paraId="41584A79">
            <w:pPr>
              <w:bidi w:val="0"/>
              <w:rPr>
                <w:rFonts w:hint="eastAsia"/>
                <w:lang w:val="en-US" w:eastAsia="zh-CN"/>
              </w:rPr>
            </w:pPr>
            <w:bookmarkStart w:id="45" w:name="_Toc3843"/>
            <w:r>
              <w:rPr>
                <w:rFonts w:hint="eastAsia"/>
                <w:lang w:val="en-US" w:eastAsia="zh-CN"/>
              </w:rPr>
              <w:t>（5）监测数据统计及评价</w:t>
            </w:r>
            <w:bookmarkEnd w:id="45"/>
          </w:p>
          <w:p w14:paraId="7F07B683">
            <w:pPr>
              <w:bidi w:val="0"/>
              <w:rPr>
                <w:rFonts w:hint="default"/>
                <w:lang w:val="en-US" w:eastAsia="zh-CN"/>
              </w:rPr>
            </w:pPr>
            <w:r>
              <w:rPr>
                <w:rFonts w:hint="eastAsia"/>
                <w:lang w:val="en-US" w:eastAsia="zh-CN"/>
              </w:rPr>
              <w:t>地表水环境质量现状监测数据统计与分析见下表。</w:t>
            </w:r>
          </w:p>
          <w:p w14:paraId="4B1878FB">
            <w:pPr>
              <w:pStyle w:val="44"/>
              <w:bidi w:val="0"/>
              <w:rPr>
                <w:rFonts w:hint="default"/>
                <w:lang w:eastAsia="zh-CN"/>
              </w:rPr>
            </w:pPr>
            <w:r>
              <w:rPr>
                <w:rFonts w:hint="default"/>
              </w:rPr>
              <w:t>表</w:t>
            </w:r>
            <w:r>
              <w:rPr>
                <w:rFonts w:hint="eastAsia"/>
                <w:lang w:val="en-US" w:eastAsia="zh-CN"/>
              </w:rPr>
              <w:t>3.2-2：洪溪</w:t>
            </w:r>
            <w:r>
              <w:rPr>
                <w:rFonts w:hint="default"/>
              </w:rPr>
              <w:t>地表水</w:t>
            </w:r>
            <w:r>
              <w:rPr>
                <w:rFonts w:hint="default"/>
                <w:lang w:eastAsia="zh-CN"/>
              </w:rPr>
              <w:t>环境</w:t>
            </w:r>
            <w:r>
              <w:rPr>
                <w:rFonts w:hint="default"/>
              </w:rPr>
              <w:t>监测</w:t>
            </w:r>
            <w:r>
              <w:rPr>
                <w:rFonts w:hint="default"/>
                <w:lang w:eastAsia="zh-CN"/>
              </w:rPr>
              <w:t>结果一览表</w:t>
            </w:r>
          </w:p>
          <w:tbl>
            <w:tblPr>
              <w:tblStyle w:val="38"/>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451"/>
              <w:gridCol w:w="1220"/>
              <w:gridCol w:w="1181"/>
              <w:gridCol w:w="1220"/>
              <w:gridCol w:w="862"/>
              <w:gridCol w:w="657"/>
              <w:gridCol w:w="1021"/>
            </w:tblGrid>
            <w:tr w14:paraId="17BA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restart"/>
                  <w:tcBorders>
                    <w:tl2br w:val="nil"/>
                    <w:tr2bl w:val="nil"/>
                  </w:tcBorders>
                  <w:noWrap w:val="0"/>
                  <w:vAlign w:val="center"/>
                </w:tcPr>
                <w:p w14:paraId="587F167E">
                  <w:pPr>
                    <w:pStyle w:val="115"/>
                    <w:bidi w:val="0"/>
                    <w:rPr>
                      <w:rFonts w:hint="default"/>
                      <w:b/>
                      <w:bCs/>
                    </w:rPr>
                  </w:pPr>
                  <w:r>
                    <w:rPr>
                      <w:rFonts w:hint="default"/>
                      <w:b/>
                      <w:bCs/>
                    </w:rPr>
                    <w:t>点位名称</w:t>
                  </w:r>
                </w:p>
              </w:tc>
              <w:tc>
                <w:tcPr>
                  <w:tcW w:w="855" w:type="pct"/>
                  <w:vMerge w:val="restart"/>
                  <w:tcBorders>
                    <w:tl2br w:val="nil"/>
                    <w:tr2bl w:val="nil"/>
                  </w:tcBorders>
                  <w:noWrap w:val="0"/>
                  <w:vAlign w:val="center"/>
                </w:tcPr>
                <w:p w14:paraId="7BA2E76E">
                  <w:pPr>
                    <w:pStyle w:val="115"/>
                    <w:bidi w:val="0"/>
                    <w:rPr>
                      <w:rFonts w:hint="default"/>
                      <w:b/>
                      <w:bCs/>
                    </w:rPr>
                  </w:pPr>
                  <w:r>
                    <w:rPr>
                      <w:rFonts w:hint="default"/>
                      <w:b/>
                      <w:bCs/>
                    </w:rPr>
                    <w:t>检测项目</w:t>
                  </w:r>
                </w:p>
              </w:tc>
              <w:tc>
                <w:tcPr>
                  <w:tcW w:w="2134" w:type="pct"/>
                  <w:gridSpan w:val="3"/>
                  <w:tcBorders>
                    <w:tl2br w:val="nil"/>
                    <w:tr2bl w:val="nil"/>
                  </w:tcBorders>
                  <w:noWrap w:val="0"/>
                  <w:vAlign w:val="center"/>
                </w:tcPr>
                <w:p w14:paraId="12ECD80C">
                  <w:pPr>
                    <w:pStyle w:val="115"/>
                    <w:bidi w:val="0"/>
                    <w:rPr>
                      <w:rFonts w:hint="default"/>
                      <w:b/>
                      <w:bCs/>
                    </w:rPr>
                  </w:pPr>
                  <w:r>
                    <w:rPr>
                      <w:rFonts w:hint="default"/>
                      <w:b/>
                      <w:bCs/>
                    </w:rPr>
                    <w:t>检测结果</w:t>
                  </w:r>
                </w:p>
              </w:tc>
              <w:tc>
                <w:tcPr>
                  <w:tcW w:w="508" w:type="pct"/>
                  <w:vMerge w:val="restart"/>
                  <w:tcBorders>
                    <w:tl2br w:val="nil"/>
                    <w:tr2bl w:val="nil"/>
                  </w:tcBorders>
                  <w:noWrap w:val="0"/>
                  <w:vAlign w:val="center"/>
                </w:tcPr>
                <w:p w14:paraId="2EC4B5AF">
                  <w:pPr>
                    <w:pStyle w:val="115"/>
                    <w:bidi w:val="0"/>
                    <w:rPr>
                      <w:rFonts w:hint="default"/>
                      <w:b/>
                      <w:bCs/>
                    </w:rPr>
                  </w:pPr>
                  <w:r>
                    <w:rPr>
                      <w:rFonts w:hint="default"/>
                      <w:b/>
                      <w:bCs/>
                    </w:rPr>
                    <w:t>标准限值</w:t>
                  </w:r>
                </w:p>
              </w:tc>
              <w:tc>
                <w:tcPr>
                  <w:tcW w:w="387" w:type="pct"/>
                  <w:vMerge w:val="restart"/>
                  <w:tcBorders>
                    <w:tl2br w:val="nil"/>
                    <w:tr2bl w:val="nil"/>
                  </w:tcBorders>
                  <w:noWrap w:val="0"/>
                  <w:vAlign w:val="center"/>
                </w:tcPr>
                <w:p w14:paraId="3312DEAE">
                  <w:pPr>
                    <w:pStyle w:val="115"/>
                    <w:bidi w:val="0"/>
                    <w:rPr>
                      <w:rFonts w:hint="default"/>
                      <w:b/>
                      <w:bCs/>
                    </w:rPr>
                  </w:pPr>
                  <w:r>
                    <w:rPr>
                      <w:rFonts w:hint="default"/>
                      <w:b/>
                      <w:bCs/>
                    </w:rPr>
                    <w:t>是否达标</w:t>
                  </w:r>
                </w:p>
              </w:tc>
              <w:tc>
                <w:tcPr>
                  <w:tcW w:w="601" w:type="pct"/>
                  <w:vMerge w:val="restart"/>
                  <w:tcBorders>
                    <w:tl2br w:val="nil"/>
                    <w:tr2bl w:val="nil"/>
                  </w:tcBorders>
                  <w:noWrap w:val="0"/>
                  <w:vAlign w:val="center"/>
                </w:tcPr>
                <w:p w14:paraId="6AFD9281">
                  <w:pPr>
                    <w:pStyle w:val="115"/>
                    <w:bidi w:val="0"/>
                    <w:rPr>
                      <w:rFonts w:hint="default"/>
                      <w:b/>
                      <w:bCs/>
                    </w:rPr>
                  </w:pPr>
                  <w:r>
                    <w:rPr>
                      <w:rFonts w:hint="default"/>
                      <w:b/>
                      <w:bCs/>
                    </w:rPr>
                    <w:t>单位</w:t>
                  </w:r>
                </w:p>
              </w:tc>
            </w:tr>
            <w:tr w14:paraId="43FF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56B63405">
                  <w:pPr>
                    <w:pStyle w:val="115"/>
                    <w:bidi w:val="0"/>
                    <w:rPr>
                      <w:rFonts w:hint="default"/>
                    </w:rPr>
                  </w:pPr>
                </w:p>
              </w:tc>
              <w:tc>
                <w:tcPr>
                  <w:tcW w:w="855" w:type="pct"/>
                  <w:vMerge w:val="continue"/>
                  <w:tcBorders>
                    <w:tl2br w:val="nil"/>
                    <w:tr2bl w:val="nil"/>
                  </w:tcBorders>
                  <w:noWrap w:val="0"/>
                  <w:vAlign w:val="center"/>
                </w:tcPr>
                <w:p w14:paraId="5BE543CF">
                  <w:pPr>
                    <w:pStyle w:val="115"/>
                    <w:bidi w:val="0"/>
                    <w:rPr>
                      <w:rFonts w:hint="default"/>
                    </w:rPr>
                  </w:pPr>
                </w:p>
              </w:tc>
              <w:tc>
                <w:tcPr>
                  <w:tcW w:w="719" w:type="pct"/>
                  <w:tcBorders>
                    <w:tl2br w:val="nil"/>
                    <w:tr2bl w:val="nil"/>
                  </w:tcBorders>
                  <w:noWrap w:val="0"/>
                  <w:vAlign w:val="center"/>
                </w:tcPr>
                <w:p w14:paraId="28A3A687">
                  <w:pPr>
                    <w:pStyle w:val="115"/>
                    <w:bidi w:val="0"/>
                    <w:rPr>
                      <w:rFonts w:hint="default"/>
                      <w:b/>
                      <w:bCs/>
                      <w:lang w:val="en-US" w:eastAsia="zh-CN"/>
                    </w:rPr>
                  </w:pPr>
                  <w:r>
                    <w:rPr>
                      <w:rFonts w:hint="eastAsia"/>
                      <w:b/>
                      <w:bCs/>
                      <w:lang w:val="en-US" w:eastAsia="zh-CN"/>
                    </w:rPr>
                    <w:t>2026.04.08</w:t>
                  </w:r>
                </w:p>
              </w:tc>
              <w:tc>
                <w:tcPr>
                  <w:tcW w:w="696" w:type="pct"/>
                  <w:tcBorders>
                    <w:tl2br w:val="nil"/>
                    <w:tr2bl w:val="nil"/>
                  </w:tcBorders>
                  <w:noWrap w:val="0"/>
                  <w:vAlign w:val="center"/>
                </w:tcPr>
                <w:p w14:paraId="4D554211">
                  <w:pPr>
                    <w:pStyle w:val="115"/>
                    <w:bidi w:val="0"/>
                    <w:rPr>
                      <w:rFonts w:hint="default"/>
                      <w:b/>
                      <w:bCs/>
                      <w:lang w:val="en-US" w:eastAsia="zh-CN"/>
                    </w:rPr>
                  </w:pPr>
                  <w:r>
                    <w:rPr>
                      <w:rFonts w:hint="eastAsia"/>
                      <w:b/>
                      <w:bCs/>
                      <w:lang w:val="en-US" w:eastAsia="zh-CN"/>
                    </w:rPr>
                    <w:t>2026.04.09</w:t>
                  </w:r>
                </w:p>
              </w:tc>
              <w:tc>
                <w:tcPr>
                  <w:tcW w:w="719" w:type="pct"/>
                  <w:tcBorders>
                    <w:tl2br w:val="nil"/>
                    <w:tr2bl w:val="nil"/>
                  </w:tcBorders>
                  <w:noWrap w:val="0"/>
                  <w:vAlign w:val="center"/>
                </w:tcPr>
                <w:p w14:paraId="19E36948">
                  <w:pPr>
                    <w:pStyle w:val="115"/>
                    <w:bidi w:val="0"/>
                    <w:rPr>
                      <w:rFonts w:hint="default"/>
                      <w:b/>
                      <w:bCs/>
                      <w:lang w:val="en-US" w:eastAsia="zh-CN"/>
                    </w:rPr>
                  </w:pPr>
                  <w:r>
                    <w:rPr>
                      <w:rFonts w:hint="eastAsia"/>
                      <w:b/>
                      <w:bCs/>
                      <w:lang w:val="en-US" w:eastAsia="zh-CN"/>
                    </w:rPr>
                    <w:t>2026.04.10</w:t>
                  </w:r>
                </w:p>
              </w:tc>
              <w:tc>
                <w:tcPr>
                  <w:tcW w:w="508" w:type="pct"/>
                  <w:vMerge w:val="continue"/>
                  <w:tcBorders>
                    <w:tl2br w:val="nil"/>
                    <w:tr2bl w:val="nil"/>
                  </w:tcBorders>
                  <w:noWrap w:val="0"/>
                  <w:vAlign w:val="center"/>
                </w:tcPr>
                <w:p w14:paraId="76E6ED98">
                  <w:pPr>
                    <w:pStyle w:val="115"/>
                    <w:bidi w:val="0"/>
                    <w:rPr>
                      <w:rFonts w:hint="default"/>
                    </w:rPr>
                  </w:pPr>
                </w:p>
              </w:tc>
              <w:tc>
                <w:tcPr>
                  <w:tcW w:w="387" w:type="pct"/>
                  <w:vMerge w:val="continue"/>
                  <w:tcBorders>
                    <w:tl2br w:val="nil"/>
                    <w:tr2bl w:val="nil"/>
                  </w:tcBorders>
                  <w:noWrap w:val="0"/>
                  <w:vAlign w:val="center"/>
                </w:tcPr>
                <w:p w14:paraId="2FC77F62">
                  <w:pPr>
                    <w:pStyle w:val="115"/>
                    <w:bidi w:val="0"/>
                    <w:rPr>
                      <w:rFonts w:hint="default"/>
                    </w:rPr>
                  </w:pPr>
                </w:p>
              </w:tc>
              <w:tc>
                <w:tcPr>
                  <w:tcW w:w="601" w:type="pct"/>
                  <w:vMerge w:val="continue"/>
                  <w:tcBorders>
                    <w:tl2br w:val="nil"/>
                    <w:tr2bl w:val="nil"/>
                  </w:tcBorders>
                  <w:noWrap w:val="0"/>
                  <w:vAlign w:val="center"/>
                </w:tcPr>
                <w:p w14:paraId="777379F4">
                  <w:pPr>
                    <w:pStyle w:val="115"/>
                    <w:bidi w:val="0"/>
                    <w:rPr>
                      <w:rFonts w:hint="default"/>
                    </w:rPr>
                  </w:pPr>
                </w:p>
              </w:tc>
            </w:tr>
            <w:tr w14:paraId="09D2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restart"/>
                  <w:tcBorders>
                    <w:tl2br w:val="nil"/>
                    <w:tr2bl w:val="nil"/>
                  </w:tcBorders>
                  <w:noWrap w:val="0"/>
                  <w:vAlign w:val="center"/>
                </w:tcPr>
                <w:p w14:paraId="3BF4DEBF">
                  <w:pPr>
                    <w:pStyle w:val="115"/>
                    <w:bidi w:val="0"/>
                    <w:rPr>
                      <w:rFonts w:hint="default"/>
                    </w:rPr>
                  </w:pPr>
                  <w:r>
                    <w:rPr>
                      <w:rFonts w:hint="eastAsia"/>
                      <w:lang w:val="en-US" w:eastAsia="zh-CN"/>
                    </w:rPr>
                    <w:t>项目拟建地东北侧无名小溪与洪溪交汇处</w:t>
                  </w:r>
                  <w:r>
                    <w:rPr>
                      <w:rFonts w:hint="default"/>
                    </w:rPr>
                    <w:t>W1</w:t>
                  </w:r>
                </w:p>
              </w:tc>
              <w:tc>
                <w:tcPr>
                  <w:tcW w:w="855" w:type="pct"/>
                  <w:tcBorders>
                    <w:tl2br w:val="nil"/>
                    <w:tr2bl w:val="nil"/>
                  </w:tcBorders>
                  <w:noWrap w:val="0"/>
                  <w:vAlign w:val="center"/>
                </w:tcPr>
                <w:p w14:paraId="3B333FB9">
                  <w:pPr>
                    <w:pStyle w:val="115"/>
                    <w:rPr>
                      <w:rFonts w:hint="default"/>
                      <w:lang w:eastAsia="zh-CN"/>
                    </w:rPr>
                  </w:pPr>
                  <w:r>
                    <w:rPr>
                      <w:rFonts w:hint="eastAsia"/>
                      <w:lang w:val="en-US" w:eastAsia="zh-CN"/>
                    </w:rPr>
                    <w:t>pH值</w:t>
                  </w:r>
                </w:p>
              </w:tc>
              <w:tc>
                <w:tcPr>
                  <w:tcW w:w="719" w:type="pct"/>
                  <w:tcBorders>
                    <w:tl2br w:val="nil"/>
                    <w:tr2bl w:val="nil"/>
                  </w:tcBorders>
                  <w:noWrap w:val="0"/>
                  <w:vAlign w:val="center"/>
                </w:tcPr>
                <w:p w14:paraId="7AF7EC18">
                  <w:pPr>
                    <w:pStyle w:val="115"/>
                    <w:rPr>
                      <w:rFonts w:hint="default"/>
                      <w:lang w:val="en-US" w:eastAsia="zh-CN"/>
                    </w:rPr>
                  </w:pPr>
                  <w:r>
                    <w:rPr>
                      <w:rFonts w:hint="eastAsia"/>
                      <w:lang w:val="en-US" w:eastAsia="zh-CN"/>
                    </w:rPr>
                    <w:t>7.1</w:t>
                  </w:r>
                </w:p>
              </w:tc>
              <w:tc>
                <w:tcPr>
                  <w:tcW w:w="696" w:type="pct"/>
                  <w:tcBorders>
                    <w:tl2br w:val="nil"/>
                    <w:tr2bl w:val="nil"/>
                  </w:tcBorders>
                  <w:noWrap w:val="0"/>
                  <w:vAlign w:val="center"/>
                </w:tcPr>
                <w:p w14:paraId="64559184">
                  <w:pPr>
                    <w:pStyle w:val="115"/>
                    <w:rPr>
                      <w:rFonts w:hint="default"/>
                      <w:lang w:val="en-US" w:eastAsia="zh-CN"/>
                    </w:rPr>
                  </w:pPr>
                  <w:r>
                    <w:rPr>
                      <w:rFonts w:hint="eastAsia"/>
                      <w:lang w:val="en-US" w:eastAsia="zh-CN"/>
                    </w:rPr>
                    <w:t>7.1</w:t>
                  </w:r>
                </w:p>
              </w:tc>
              <w:tc>
                <w:tcPr>
                  <w:tcW w:w="719" w:type="pct"/>
                  <w:tcBorders>
                    <w:tl2br w:val="nil"/>
                    <w:tr2bl w:val="nil"/>
                  </w:tcBorders>
                  <w:noWrap w:val="0"/>
                  <w:vAlign w:val="center"/>
                </w:tcPr>
                <w:p w14:paraId="02404DAA">
                  <w:pPr>
                    <w:pStyle w:val="115"/>
                    <w:rPr>
                      <w:rFonts w:hint="default"/>
                      <w:lang w:val="en-US" w:eastAsia="zh-CN"/>
                    </w:rPr>
                  </w:pPr>
                  <w:r>
                    <w:rPr>
                      <w:rFonts w:hint="eastAsia"/>
                      <w:lang w:val="en-US" w:eastAsia="zh-CN"/>
                    </w:rPr>
                    <w:t>7.1</w:t>
                  </w:r>
                </w:p>
              </w:tc>
              <w:tc>
                <w:tcPr>
                  <w:tcW w:w="508" w:type="pct"/>
                  <w:tcBorders>
                    <w:tl2br w:val="nil"/>
                    <w:tr2bl w:val="nil"/>
                  </w:tcBorders>
                  <w:noWrap w:val="0"/>
                  <w:vAlign w:val="center"/>
                </w:tcPr>
                <w:p w14:paraId="2BA358BB">
                  <w:pPr>
                    <w:pStyle w:val="115"/>
                    <w:rPr>
                      <w:rFonts w:hint="default"/>
                    </w:rPr>
                  </w:pPr>
                  <w:r>
                    <w:rPr>
                      <w:rFonts w:hint="eastAsia"/>
                      <w:lang w:val="en-US" w:eastAsia="zh-CN"/>
                    </w:rPr>
                    <w:t>6~9</w:t>
                  </w:r>
                </w:p>
              </w:tc>
              <w:tc>
                <w:tcPr>
                  <w:tcW w:w="387" w:type="pct"/>
                  <w:tcBorders>
                    <w:tl2br w:val="nil"/>
                    <w:tr2bl w:val="nil"/>
                  </w:tcBorders>
                  <w:noWrap w:val="0"/>
                  <w:vAlign w:val="center"/>
                </w:tcPr>
                <w:p w14:paraId="75400E6B">
                  <w:pPr>
                    <w:pStyle w:val="115"/>
                    <w:bidi w:val="0"/>
                    <w:rPr>
                      <w:rFonts w:hint="default"/>
                    </w:rPr>
                  </w:pPr>
                  <w:r>
                    <w:rPr>
                      <w:rFonts w:hint="default"/>
                    </w:rPr>
                    <w:t>是</w:t>
                  </w:r>
                </w:p>
              </w:tc>
              <w:tc>
                <w:tcPr>
                  <w:tcW w:w="601" w:type="pct"/>
                  <w:tcBorders>
                    <w:tl2br w:val="nil"/>
                    <w:tr2bl w:val="nil"/>
                  </w:tcBorders>
                  <w:noWrap w:val="0"/>
                  <w:vAlign w:val="center"/>
                </w:tcPr>
                <w:p w14:paraId="160DC17A">
                  <w:pPr>
                    <w:pStyle w:val="115"/>
                    <w:bidi w:val="0"/>
                    <w:rPr>
                      <w:rFonts w:hint="default"/>
                    </w:rPr>
                  </w:pPr>
                  <w:r>
                    <w:rPr>
                      <w:rFonts w:hint="default"/>
                    </w:rPr>
                    <w:t>无量纲</w:t>
                  </w:r>
                </w:p>
              </w:tc>
            </w:tr>
            <w:tr w14:paraId="20D5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03E1792C">
                  <w:pPr>
                    <w:pStyle w:val="115"/>
                    <w:bidi w:val="0"/>
                    <w:rPr>
                      <w:rFonts w:hint="default"/>
                    </w:rPr>
                  </w:pPr>
                </w:p>
              </w:tc>
              <w:tc>
                <w:tcPr>
                  <w:tcW w:w="855" w:type="pct"/>
                  <w:tcBorders>
                    <w:tl2br w:val="nil"/>
                    <w:tr2bl w:val="nil"/>
                  </w:tcBorders>
                  <w:noWrap w:val="0"/>
                  <w:vAlign w:val="center"/>
                </w:tcPr>
                <w:p w14:paraId="64DD5CDA">
                  <w:pPr>
                    <w:pStyle w:val="115"/>
                    <w:rPr>
                      <w:rFonts w:hint="default"/>
                    </w:rPr>
                  </w:pPr>
                  <w:r>
                    <w:rPr>
                      <w:rFonts w:hint="eastAsia"/>
                      <w:lang w:val="en-US" w:eastAsia="zh-CN"/>
                    </w:rPr>
                    <w:t>悬浮物</w:t>
                  </w:r>
                </w:p>
              </w:tc>
              <w:tc>
                <w:tcPr>
                  <w:tcW w:w="719" w:type="pct"/>
                  <w:tcBorders>
                    <w:tl2br w:val="nil"/>
                    <w:tr2bl w:val="nil"/>
                  </w:tcBorders>
                  <w:noWrap w:val="0"/>
                  <w:vAlign w:val="center"/>
                </w:tcPr>
                <w:p w14:paraId="1B22933D">
                  <w:pPr>
                    <w:pStyle w:val="115"/>
                    <w:rPr>
                      <w:rFonts w:hint="eastAsia"/>
                      <w:lang w:val="en-US" w:eastAsia="zh-CN"/>
                    </w:rPr>
                  </w:pPr>
                  <w:r>
                    <w:rPr>
                      <w:rFonts w:hint="eastAsia"/>
                      <w:lang w:val="en-US" w:eastAsia="zh-CN"/>
                    </w:rPr>
                    <w:t>5</w:t>
                  </w:r>
                </w:p>
              </w:tc>
              <w:tc>
                <w:tcPr>
                  <w:tcW w:w="696" w:type="pct"/>
                  <w:tcBorders>
                    <w:tl2br w:val="nil"/>
                    <w:tr2bl w:val="nil"/>
                  </w:tcBorders>
                  <w:noWrap w:val="0"/>
                  <w:vAlign w:val="center"/>
                </w:tcPr>
                <w:p w14:paraId="2D1EB59A">
                  <w:pPr>
                    <w:pStyle w:val="115"/>
                    <w:rPr>
                      <w:rFonts w:hint="eastAsia"/>
                      <w:lang w:val="en-US" w:eastAsia="zh-CN"/>
                    </w:rPr>
                  </w:pPr>
                  <w:r>
                    <w:rPr>
                      <w:rFonts w:hint="eastAsia"/>
                      <w:lang w:val="en-US" w:eastAsia="zh-CN"/>
                    </w:rPr>
                    <w:t>5</w:t>
                  </w:r>
                </w:p>
              </w:tc>
              <w:tc>
                <w:tcPr>
                  <w:tcW w:w="719" w:type="pct"/>
                  <w:tcBorders>
                    <w:tl2br w:val="nil"/>
                    <w:tr2bl w:val="nil"/>
                  </w:tcBorders>
                  <w:noWrap w:val="0"/>
                  <w:vAlign w:val="center"/>
                </w:tcPr>
                <w:p w14:paraId="50193A16">
                  <w:pPr>
                    <w:pStyle w:val="115"/>
                    <w:rPr>
                      <w:rFonts w:hint="default"/>
                      <w:lang w:val="en-US" w:eastAsia="zh-CN"/>
                    </w:rPr>
                  </w:pPr>
                  <w:r>
                    <w:rPr>
                      <w:rFonts w:hint="eastAsia"/>
                      <w:lang w:val="en-US" w:eastAsia="zh-CN"/>
                    </w:rPr>
                    <w:t>5</w:t>
                  </w:r>
                </w:p>
              </w:tc>
              <w:tc>
                <w:tcPr>
                  <w:tcW w:w="508" w:type="pct"/>
                  <w:tcBorders>
                    <w:tl2br w:val="nil"/>
                    <w:tr2bl w:val="nil"/>
                  </w:tcBorders>
                  <w:noWrap w:val="0"/>
                  <w:vAlign w:val="center"/>
                </w:tcPr>
                <w:p w14:paraId="73623006">
                  <w:pPr>
                    <w:pStyle w:val="115"/>
                    <w:rPr>
                      <w:rFonts w:hint="default"/>
                    </w:rPr>
                  </w:pPr>
                  <w:r>
                    <w:rPr>
                      <w:rFonts w:hint="eastAsia"/>
                      <w:lang w:val="en-US" w:eastAsia="zh-CN"/>
                    </w:rPr>
                    <w:t>--</w:t>
                  </w:r>
                </w:p>
              </w:tc>
              <w:tc>
                <w:tcPr>
                  <w:tcW w:w="387" w:type="pct"/>
                  <w:tcBorders>
                    <w:tl2br w:val="nil"/>
                    <w:tr2bl w:val="nil"/>
                  </w:tcBorders>
                  <w:noWrap w:val="0"/>
                  <w:vAlign w:val="center"/>
                </w:tcPr>
                <w:p w14:paraId="1EE7A494">
                  <w:pPr>
                    <w:pStyle w:val="115"/>
                    <w:bidi w:val="0"/>
                    <w:rPr>
                      <w:rFonts w:hint="default"/>
                    </w:rPr>
                  </w:pPr>
                  <w:r>
                    <w:rPr>
                      <w:rFonts w:hint="default"/>
                    </w:rPr>
                    <w:t>是</w:t>
                  </w:r>
                </w:p>
              </w:tc>
              <w:tc>
                <w:tcPr>
                  <w:tcW w:w="601" w:type="pct"/>
                  <w:tcBorders>
                    <w:tl2br w:val="nil"/>
                    <w:tr2bl w:val="nil"/>
                  </w:tcBorders>
                  <w:noWrap w:val="0"/>
                  <w:vAlign w:val="center"/>
                </w:tcPr>
                <w:p w14:paraId="61287C8D">
                  <w:pPr>
                    <w:pStyle w:val="115"/>
                    <w:bidi w:val="0"/>
                    <w:rPr>
                      <w:rFonts w:hint="default"/>
                    </w:rPr>
                  </w:pPr>
                  <w:r>
                    <w:rPr>
                      <w:rFonts w:hint="default"/>
                    </w:rPr>
                    <w:t>mg/L</w:t>
                  </w:r>
                </w:p>
              </w:tc>
            </w:tr>
            <w:tr w14:paraId="77A0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45919F0D">
                  <w:pPr>
                    <w:pStyle w:val="115"/>
                    <w:bidi w:val="0"/>
                    <w:rPr>
                      <w:rFonts w:hint="default"/>
                    </w:rPr>
                  </w:pPr>
                </w:p>
              </w:tc>
              <w:tc>
                <w:tcPr>
                  <w:tcW w:w="855" w:type="pct"/>
                  <w:tcBorders>
                    <w:tl2br w:val="nil"/>
                    <w:tr2bl w:val="nil"/>
                  </w:tcBorders>
                  <w:noWrap w:val="0"/>
                  <w:vAlign w:val="center"/>
                </w:tcPr>
                <w:p w14:paraId="493EF3EF">
                  <w:pPr>
                    <w:pStyle w:val="115"/>
                    <w:rPr>
                      <w:rFonts w:hint="default"/>
                    </w:rPr>
                  </w:pPr>
                  <w:r>
                    <w:rPr>
                      <w:rFonts w:hint="eastAsia"/>
                      <w:lang w:val="en-US" w:eastAsia="zh-CN"/>
                    </w:rPr>
                    <w:t>化学需氧量</w:t>
                  </w:r>
                </w:p>
              </w:tc>
              <w:tc>
                <w:tcPr>
                  <w:tcW w:w="719" w:type="pct"/>
                  <w:tcBorders>
                    <w:tl2br w:val="nil"/>
                    <w:tr2bl w:val="nil"/>
                  </w:tcBorders>
                  <w:noWrap w:val="0"/>
                  <w:vAlign w:val="center"/>
                </w:tcPr>
                <w:p w14:paraId="0329DAC4">
                  <w:pPr>
                    <w:pStyle w:val="115"/>
                    <w:rPr>
                      <w:rFonts w:hint="eastAsia"/>
                      <w:lang w:val="en-US" w:eastAsia="zh-CN"/>
                    </w:rPr>
                  </w:pPr>
                  <w:r>
                    <w:rPr>
                      <w:rFonts w:hint="eastAsia"/>
                      <w:lang w:val="en-US" w:eastAsia="zh-CN"/>
                    </w:rPr>
                    <w:t>7</w:t>
                  </w:r>
                </w:p>
              </w:tc>
              <w:tc>
                <w:tcPr>
                  <w:tcW w:w="696" w:type="pct"/>
                  <w:tcBorders>
                    <w:tl2br w:val="nil"/>
                    <w:tr2bl w:val="nil"/>
                  </w:tcBorders>
                  <w:noWrap w:val="0"/>
                  <w:vAlign w:val="center"/>
                </w:tcPr>
                <w:p w14:paraId="526B2257">
                  <w:pPr>
                    <w:pStyle w:val="115"/>
                    <w:rPr>
                      <w:rFonts w:hint="eastAsia"/>
                      <w:lang w:val="en-US" w:eastAsia="zh-CN"/>
                    </w:rPr>
                  </w:pPr>
                  <w:r>
                    <w:rPr>
                      <w:rFonts w:hint="eastAsia"/>
                      <w:lang w:val="en-US" w:eastAsia="zh-CN"/>
                    </w:rPr>
                    <w:t>8</w:t>
                  </w:r>
                </w:p>
              </w:tc>
              <w:tc>
                <w:tcPr>
                  <w:tcW w:w="719" w:type="pct"/>
                  <w:tcBorders>
                    <w:tl2br w:val="nil"/>
                    <w:tr2bl w:val="nil"/>
                  </w:tcBorders>
                  <w:noWrap w:val="0"/>
                  <w:vAlign w:val="center"/>
                </w:tcPr>
                <w:p w14:paraId="1EFBA38E">
                  <w:pPr>
                    <w:pStyle w:val="115"/>
                    <w:rPr>
                      <w:rFonts w:hint="eastAsia"/>
                      <w:lang w:val="en-US" w:eastAsia="zh-CN"/>
                    </w:rPr>
                  </w:pPr>
                  <w:r>
                    <w:rPr>
                      <w:rFonts w:hint="eastAsia"/>
                      <w:lang w:val="en-US" w:eastAsia="zh-CN"/>
                    </w:rPr>
                    <w:t>7</w:t>
                  </w:r>
                </w:p>
              </w:tc>
              <w:tc>
                <w:tcPr>
                  <w:tcW w:w="508" w:type="pct"/>
                  <w:tcBorders>
                    <w:tl2br w:val="nil"/>
                    <w:tr2bl w:val="nil"/>
                  </w:tcBorders>
                  <w:noWrap w:val="0"/>
                  <w:vAlign w:val="center"/>
                </w:tcPr>
                <w:p w14:paraId="24F7F769">
                  <w:pPr>
                    <w:pStyle w:val="115"/>
                    <w:rPr>
                      <w:rFonts w:hint="default"/>
                    </w:rPr>
                  </w:pPr>
                  <w:r>
                    <w:rPr>
                      <w:rFonts w:hint="default"/>
                      <w:lang w:val="en-US" w:eastAsia="zh-CN"/>
                    </w:rPr>
                    <w:t>≤</w:t>
                  </w:r>
                  <w:r>
                    <w:rPr>
                      <w:rFonts w:hint="eastAsia"/>
                      <w:lang w:val="en-US" w:eastAsia="zh-CN"/>
                    </w:rPr>
                    <w:t>20</w:t>
                  </w:r>
                </w:p>
              </w:tc>
              <w:tc>
                <w:tcPr>
                  <w:tcW w:w="387" w:type="pct"/>
                  <w:tcBorders>
                    <w:tl2br w:val="nil"/>
                    <w:tr2bl w:val="nil"/>
                  </w:tcBorders>
                  <w:noWrap w:val="0"/>
                  <w:vAlign w:val="center"/>
                </w:tcPr>
                <w:p w14:paraId="7406E27D">
                  <w:pPr>
                    <w:pStyle w:val="115"/>
                    <w:bidi w:val="0"/>
                    <w:rPr>
                      <w:rFonts w:hint="default"/>
                    </w:rPr>
                  </w:pPr>
                  <w:r>
                    <w:rPr>
                      <w:rFonts w:hint="default"/>
                    </w:rPr>
                    <w:t>是</w:t>
                  </w:r>
                </w:p>
              </w:tc>
              <w:tc>
                <w:tcPr>
                  <w:tcW w:w="601" w:type="pct"/>
                  <w:tcBorders>
                    <w:tl2br w:val="nil"/>
                    <w:tr2bl w:val="nil"/>
                  </w:tcBorders>
                  <w:noWrap w:val="0"/>
                  <w:vAlign w:val="center"/>
                </w:tcPr>
                <w:p w14:paraId="3D096899">
                  <w:pPr>
                    <w:pStyle w:val="115"/>
                    <w:bidi w:val="0"/>
                    <w:rPr>
                      <w:rFonts w:hint="default"/>
                    </w:rPr>
                  </w:pPr>
                  <w:r>
                    <w:rPr>
                      <w:rFonts w:hint="default"/>
                    </w:rPr>
                    <w:t>mg/L</w:t>
                  </w:r>
                </w:p>
              </w:tc>
            </w:tr>
            <w:tr w14:paraId="48F0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37AB4739">
                  <w:pPr>
                    <w:pStyle w:val="115"/>
                    <w:bidi w:val="0"/>
                    <w:rPr>
                      <w:rFonts w:hint="default"/>
                    </w:rPr>
                  </w:pPr>
                </w:p>
              </w:tc>
              <w:tc>
                <w:tcPr>
                  <w:tcW w:w="855" w:type="pct"/>
                  <w:tcBorders>
                    <w:tl2br w:val="nil"/>
                    <w:tr2bl w:val="nil"/>
                  </w:tcBorders>
                  <w:noWrap w:val="0"/>
                  <w:vAlign w:val="center"/>
                </w:tcPr>
                <w:p w14:paraId="78F5FFE7">
                  <w:pPr>
                    <w:pStyle w:val="115"/>
                    <w:rPr>
                      <w:rFonts w:hint="default"/>
                    </w:rPr>
                  </w:pPr>
                  <w:r>
                    <w:rPr>
                      <w:rFonts w:hint="eastAsia"/>
                      <w:lang w:val="en-US" w:eastAsia="zh-CN"/>
                    </w:rPr>
                    <w:t>五日生化需氧量</w:t>
                  </w:r>
                </w:p>
              </w:tc>
              <w:tc>
                <w:tcPr>
                  <w:tcW w:w="719" w:type="pct"/>
                  <w:tcBorders>
                    <w:tl2br w:val="nil"/>
                    <w:tr2bl w:val="nil"/>
                  </w:tcBorders>
                  <w:noWrap w:val="0"/>
                  <w:vAlign w:val="center"/>
                </w:tcPr>
                <w:p w14:paraId="5DFB150F">
                  <w:pPr>
                    <w:pStyle w:val="115"/>
                    <w:rPr>
                      <w:rFonts w:hint="default"/>
                    </w:rPr>
                  </w:pPr>
                  <w:r>
                    <w:rPr>
                      <w:rFonts w:hint="eastAsia"/>
                      <w:lang w:val="en-US" w:eastAsia="zh-CN"/>
                    </w:rPr>
                    <w:t>2.5</w:t>
                  </w:r>
                </w:p>
              </w:tc>
              <w:tc>
                <w:tcPr>
                  <w:tcW w:w="696" w:type="pct"/>
                  <w:tcBorders>
                    <w:tl2br w:val="nil"/>
                    <w:tr2bl w:val="nil"/>
                  </w:tcBorders>
                  <w:noWrap w:val="0"/>
                  <w:vAlign w:val="center"/>
                </w:tcPr>
                <w:p w14:paraId="690D1282">
                  <w:pPr>
                    <w:pStyle w:val="115"/>
                    <w:rPr>
                      <w:rFonts w:hint="default"/>
                    </w:rPr>
                  </w:pPr>
                  <w:r>
                    <w:rPr>
                      <w:rFonts w:hint="eastAsia"/>
                      <w:lang w:val="en-US" w:eastAsia="zh-CN"/>
                    </w:rPr>
                    <w:t>2.6</w:t>
                  </w:r>
                </w:p>
              </w:tc>
              <w:tc>
                <w:tcPr>
                  <w:tcW w:w="719" w:type="pct"/>
                  <w:tcBorders>
                    <w:tl2br w:val="nil"/>
                    <w:tr2bl w:val="nil"/>
                  </w:tcBorders>
                  <w:noWrap w:val="0"/>
                  <w:vAlign w:val="center"/>
                </w:tcPr>
                <w:p w14:paraId="3F81A2C6">
                  <w:pPr>
                    <w:pStyle w:val="115"/>
                    <w:rPr>
                      <w:rFonts w:hint="default"/>
                    </w:rPr>
                  </w:pPr>
                  <w:r>
                    <w:rPr>
                      <w:rFonts w:hint="eastAsia"/>
                      <w:lang w:val="en-US" w:eastAsia="zh-CN"/>
                    </w:rPr>
                    <w:t>2.4</w:t>
                  </w:r>
                </w:p>
              </w:tc>
              <w:tc>
                <w:tcPr>
                  <w:tcW w:w="508" w:type="pct"/>
                  <w:tcBorders>
                    <w:tl2br w:val="nil"/>
                    <w:tr2bl w:val="nil"/>
                  </w:tcBorders>
                  <w:noWrap w:val="0"/>
                  <w:vAlign w:val="center"/>
                </w:tcPr>
                <w:p w14:paraId="5E57E3BF">
                  <w:pPr>
                    <w:pStyle w:val="115"/>
                    <w:rPr>
                      <w:rFonts w:hint="default"/>
                    </w:rPr>
                  </w:pPr>
                  <w:r>
                    <w:rPr>
                      <w:rFonts w:hint="default"/>
                      <w:lang w:val="en-US" w:eastAsia="zh-CN"/>
                    </w:rPr>
                    <w:t>≤</w:t>
                  </w:r>
                  <w:r>
                    <w:rPr>
                      <w:rFonts w:hint="eastAsia"/>
                      <w:lang w:val="en-US" w:eastAsia="zh-CN"/>
                    </w:rPr>
                    <w:t>4</w:t>
                  </w:r>
                </w:p>
              </w:tc>
              <w:tc>
                <w:tcPr>
                  <w:tcW w:w="387" w:type="pct"/>
                  <w:tcBorders>
                    <w:tl2br w:val="nil"/>
                    <w:tr2bl w:val="nil"/>
                  </w:tcBorders>
                  <w:noWrap w:val="0"/>
                  <w:vAlign w:val="center"/>
                </w:tcPr>
                <w:p w14:paraId="707E1BED">
                  <w:pPr>
                    <w:pStyle w:val="115"/>
                    <w:bidi w:val="0"/>
                    <w:rPr>
                      <w:rFonts w:hint="default"/>
                    </w:rPr>
                  </w:pPr>
                  <w:r>
                    <w:rPr>
                      <w:rFonts w:hint="default"/>
                    </w:rPr>
                    <w:t>是</w:t>
                  </w:r>
                </w:p>
              </w:tc>
              <w:tc>
                <w:tcPr>
                  <w:tcW w:w="601" w:type="pct"/>
                  <w:tcBorders>
                    <w:tl2br w:val="nil"/>
                    <w:tr2bl w:val="nil"/>
                  </w:tcBorders>
                  <w:noWrap w:val="0"/>
                  <w:vAlign w:val="center"/>
                </w:tcPr>
                <w:p w14:paraId="743952C2">
                  <w:pPr>
                    <w:pStyle w:val="115"/>
                    <w:bidi w:val="0"/>
                    <w:rPr>
                      <w:rFonts w:hint="default"/>
                    </w:rPr>
                  </w:pPr>
                  <w:r>
                    <w:rPr>
                      <w:rFonts w:hint="default"/>
                    </w:rPr>
                    <w:t>mg/L</w:t>
                  </w:r>
                </w:p>
              </w:tc>
            </w:tr>
            <w:tr w14:paraId="2EC6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0F9F4BF0">
                  <w:pPr>
                    <w:pStyle w:val="115"/>
                    <w:bidi w:val="0"/>
                    <w:rPr>
                      <w:rFonts w:hint="default"/>
                    </w:rPr>
                  </w:pPr>
                </w:p>
              </w:tc>
              <w:tc>
                <w:tcPr>
                  <w:tcW w:w="855" w:type="pct"/>
                  <w:tcBorders>
                    <w:tl2br w:val="nil"/>
                    <w:tr2bl w:val="nil"/>
                  </w:tcBorders>
                  <w:noWrap w:val="0"/>
                  <w:vAlign w:val="center"/>
                </w:tcPr>
                <w:p w14:paraId="68BA275D">
                  <w:pPr>
                    <w:pStyle w:val="115"/>
                    <w:rPr>
                      <w:rFonts w:hint="default"/>
                      <w:lang w:val="en-US" w:eastAsia="zh-CN"/>
                    </w:rPr>
                  </w:pPr>
                  <w:r>
                    <w:rPr>
                      <w:rFonts w:hint="eastAsia"/>
                      <w:lang w:val="en-US" w:eastAsia="zh-CN"/>
                    </w:rPr>
                    <w:t>氨氮</w:t>
                  </w:r>
                </w:p>
              </w:tc>
              <w:tc>
                <w:tcPr>
                  <w:tcW w:w="719" w:type="pct"/>
                  <w:tcBorders>
                    <w:tl2br w:val="nil"/>
                    <w:tr2bl w:val="nil"/>
                  </w:tcBorders>
                  <w:noWrap w:val="0"/>
                  <w:vAlign w:val="center"/>
                </w:tcPr>
                <w:p w14:paraId="25D474B4">
                  <w:pPr>
                    <w:pStyle w:val="115"/>
                    <w:rPr>
                      <w:rFonts w:hint="default"/>
                    </w:rPr>
                  </w:pPr>
                  <w:r>
                    <w:rPr>
                      <w:rFonts w:hint="eastAsia"/>
                      <w:lang w:val="en-US" w:eastAsia="zh-CN"/>
                    </w:rPr>
                    <w:t>0.036</w:t>
                  </w:r>
                </w:p>
              </w:tc>
              <w:tc>
                <w:tcPr>
                  <w:tcW w:w="696" w:type="pct"/>
                  <w:tcBorders>
                    <w:tl2br w:val="nil"/>
                    <w:tr2bl w:val="nil"/>
                  </w:tcBorders>
                  <w:noWrap w:val="0"/>
                  <w:vAlign w:val="center"/>
                </w:tcPr>
                <w:p w14:paraId="51E4B508">
                  <w:pPr>
                    <w:pStyle w:val="115"/>
                    <w:rPr>
                      <w:rFonts w:hint="default"/>
                    </w:rPr>
                  </w:pPr>
                  <w:r>
                    <w:rPr>
                      <w:rFonts w:hint="eastAsia"/>
                      <w:lang w:val="en-US" w:eastAsia="zh-CN"/>
                    </w:rPr>
                    <w:t>0.028</w:t>
                  </w:r>
                </w:p>
              </w:tc>
              <w:tc>
                <w:tcPr>
                  <w:tcW w:w="719" w:type="pct"/>
                  <w:tcBorders>
                    <w:tl2br w:val="nil"/>
                    <w:tr2bl w:val="nil"/>
                  </w:tcBorders>
                  <w:noWrap w:val="0"/>
                  <w:vAlign w:val="center"/>
                </w:tcPr>
                <w:p w14:paraId="33828826">
                  <w:pPr>
                    <w:pStyle w:val="115"/>
                    <w:rPr>
                      <w:rFonts w:hint="default"/>
                    </w:rPr>
                  </w:pPr>
                  <w:r>
                    <w:rPr>
                      <w:rFonts w:hint="eastAsia"/>
                      <w:lang w:val="en-US" w:eastAsia="zh-CN"/>
                    </w:rPr>
                    <w:t>0.045</w:t>
                  </w:r>
                </w:p>
              </w:tc>
              <w:tc>
                <w:tcPr>
                  <w:tcW w:w="508" w:type="pct"/>
                  <w:tcBorders>
                    <w:tl2br w:val="nil"/>
                    <w:tr2bl w:val="nil"/>
                  </w:tcBorders>
                  <w:noWrap w:val="0"/>
                  <w:vAlign w:val="center"/>
                </w:tcPr>
                <w:p w14:paraId="7784DBB6">
                  <w:pPr>
                    <w:pStyle w:val="115"/>
                    <w:rPr>
                      <w:rFonts w:hint="eastAsia"/>
                      <w:lang w:val="en-US" w:eastAsia="zh-CN"/>
                    </w:rPr>
                  </w:pPr>
                  <w:r>
                    <w:rPr>
                      <w:rFonts w:hint="default"/>
                      <w:lang w:val="en-US" w:eastAsia="zh-CN"/>
                    </w:rPr>
                    <w:t>≤</w:t>
                  </w:r>
                  <w:r>
                    <w:rPr>
                      <w:rFonts w:hint="eastAsia"/>
                      <w:lang w:val="en-US" w:eastAsia="zh-CN"/>
                    </w:rPr>
                    <w:t>1.0</w:t>
                  </w:r>
                </w:p>
              </w:tc>
              <w:tc>
                <w:tcPr>
                  <w:tcW w:w="387" w:type="pct"/>
                  <w:tcBorders>
                    <w:tl2br w:val="nil"/>
                    <w:tr2bl w:val="nil"/>
                  </w:tcBorders>
                  <w:noWrap w:val="0"/>
                  <w:vAlign w:val="center"/>
                </w:tcPr>
                <w:p w14:paraId="7F9F07DA">
                  <w:pPr>
                    <w:pStyle w:val="115"/>
                    <w:bidi w:val="0"/>
                    <w:rPr>
                      <w:rFonts w:hint="default"/>
                      <w:lang w:val="en-US" w:eastAsia="zh-CN"/>
                    </w:rPr>
                  </w:pPr>
                  <w:r>
                    <w:rPr>
                      <w:rFonts w:hint="eastAsia"/>
                      <w:lang w:val="en-US" w:eastAsia="zh-CN"/>
                    </w:rPr>
                    <w:t>是</w:t>
                  </w:r>
                </w:p>
              </w:tc>
              <w:tc>
                <w:tcPr>
                  <w:tcW w:w="601" w:type="pct"/>
                  <w:tcBorders>
                    <w:tl2br w:val="nil"/>
                    <w:tr2bl w:val="nil"/>
                  </w:tcBorders>
                  <w:noWrap w:val="0"/>
                  <w:vAlign w:val="center"/>
                </w:tcPr>
                <w:p w14:paraId="0A491C6E">
                  <w:pPr>
                    <w:pStyle w:val="115"/>
                    <w:bidi w:val="0"/>
                    <w:rPr>
                      <w:rFonts w:hint="default"/>
                    </w:rPr>
                  </w:pPr>
                  <w:r>
                    <w:rPr>
                      <w:rFonts w:hint="default"/>
                    </w:rPr>
                    <w:t>mg/L</w:t>
                  </w:r>
                </w:p>
              </w:tc>
            </w:tr>
            <w:tr w14:paraId="3A6D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2DD896A5">
                  <w:pPr>
                    <w:pStyle w:val="115"/>
                    <w:bidi w:val="0"/>
                    <w:rPr>
                      <w:rFonts w:hint="default"/>
                    </w:rPr>
                  </w:pPr>
                </w:p>
              </w:tc>
              <w:tc>
                <w:tcPr>
                  <w:tcW w:w="855" w:type="pct"/>
                  <w:tcBorders>
                    <w:tl2br w:val="nil"/>
                    <w:tr2bl w:val="nil"/>
                  </w:tcBorders>
                  <w:noWrap w:val="0"/>
                  <w:vAlign w:val="center"/>
                </w:tcPr>
                <w:p w14:paraId="0E699B65">
                  <w:pPr>
                    <w:pStyle w:val="115"/>
                    <w:rPr>
                      <w:rFonts w:hint="default"/>
                    </w:rPr>
                  </w:pPr>
                  <w:r>
                    <w:rPr>
                      <w:rFonts w:hint="eastAsia"/>
                      <w:lang w:val="en-US" w:eastAsia="zh-CN"/>
                    </w:rPr>
                    <w:t>石油类</w:t>
                  </w:r>
                </w:p>
              </w:tc>
              <w:tc>
                <w:tcPr>
                  <w:tcW w:w="719" w:type="pct"/>
                  <w:tcBorders>
                    <w:tl2br w:val="nil"/>
                    <w:tr2bl w:val="nil"/>
                  </w:tcBorders>
                  <w:noWrap w:val="0"/>
                  <w:vAlign w:val="center"/>
                </w:tcPr>
                <w:p w14:paraId="120E8422">
                  <w:pPr>
                    <w:pStyle w:val="115"/>
                    <w:rPr>
                      <w:rFonts w:hint="default"/>
                    </w:rPr>
                  </w:pPr>
                  <w:r>
                    <w:rPr>
                      <w:rFonts w:hint="eastAsia"/>
                      <w:lang w:val="en-US" w:eastAsia="zh-CN"/>
                    </w:rPr>
                    <w:t>0.01</w:t>
                  </w:r>
                </w:p>
              </w:tc>
              <w:tc>
                <w:tcPr>
                  <w:tcW w:w="696" w:type="pct"/>
                  <w:tcBorders>
                    <w:tl2br w:val="nil"/>
                    <w:tr2bl w:val="nil"/>
                  </w:tcBorders>
                  <w:noWrap w:val="0"/>
                  <w:vAlign w:val="center"/>
                </w:tcPr>
                <w:p w14:paraId="34F8FEAD">
                  <w:pPr>
                    <w:pStyle w:val="115"/>
                    <w:rPr>
                      <w:rFonts w:hint="default"/>
                    </w:rPr>
                  </w:pPr>
                  <w:r>
                    <w:rPr>
                      <w:rFonts w:hint="eastAsia"/>
                      <w:lang w:val="en-US" w:eastAsia="zh-CN"/>
                    </w:rPr>
                    <w:t>0.01L</w:t>
                  </w:r>
                </w:p>
              </w:tc>
              <w:tc>
                <w:tcPr>
                  <w:tcW w:w="719" w:type="pct"/>
                  <w:tcBorders>
                    <w:tl2br w:val="nil"/>
                    <w:tr2bl w:val="nil"/>
                  </w:tcBorders>
                  <w:noWrap w:val="0"/>
                  <w:vAlign w:val="center"/>
                </w:tcPr>
                <w:p w14:paraId="5C35DDEA">
                  <w:pPr>
                    <w:pStyle w:val="115"/>
                    <w:rPr>
                      <w:rFonts w:hint="default"/>
                    </w:rPr>
                  </w:pPr>
                  <w:r>
                    <w:rPr>
                      <w:rFonts w:hint="eastAsia"/>
                      <w:lang w:val="en-US" w:eastAsia="zh-CN"/>
                    </w:rPr>
                    <w:t>0.01L</w:t>
                  </w:r>
                </w:p>
              </w:tc>
              <w:tc>
                <w:tcPr>
                  <w:tcW w:w="508" w:type="pct"/>
                  <w:tcBorders>
                    <w:tl2br w:val="nil"/>
                    <w:tr2bl w:val="nil"/>
                  </w:tcBorders>
                  <w:noWrap w:val="0"/>
                  <w:vAlign w:val="center"/>
                </w:tcPr>
                <w:p w14:paraId="3A4A9AC2">
                  <w:pPr>
                    <w:pStyle w:val="115"/>
                    <w:rPr>
                      <w:rFonts w:hint="default"/>
                    </w:rPr>
                  </w:pPr>
                  <w:r>
                    <w:rPr>
                      <w:rFonts w:hint="default"/>
                      <w:lang w:val="en-US" w:eastAsia="zh-CN"/>
                    </w:rPr>
                    <w:t>≤</w:t>
                  </w:r>
                  <w:r>
                    <w:rPr>
                      <w:rFonts w:hint="eastAsia"/>
                      <w:lang w:val="en-US" w:eastAsia="zh-CN"/>
                    </w:rPr>
                    <w:t>0.05</w:t>
                  </w:r>
                </w:p>
              </w:tc>
              <w:tc>
                <w:tcPr>
                  <w:tcW w:w="387" w:type="pct"/>
                  <w:tcBorders>
                    <w:tl2br w:val="nil"/>
                    <w:tr2bl w:val="nil"/>
                  </w:tcBorders>
                  <w:noWrap w:val="0"/>
                  <w:vAlign w:val="center"/>
                </w:tcPr>
                <w:p w14:paraId="2DE90F79">
                  <w:pPr>
                    <w:pStyle w:val="115"/>
                    <w:bidi w:val="0"/>
                    <w:rPr>
                      <w:rFonts w:hint="default"/>
                    </w:rPr>
                  </w:pPr>
                  <w:r>
                    <w:rPr>
                      <w:rFonts w:hint="default"/>
                    </w:rPr>
                    <w:t>是</w:t>
                  </w:r>
                </w:p>
              </w:tc>
              <w:tc>
                <w:tcPr>
                  <w:tcW w:w="601" w:type="pct"/>
                  <w:tcBorders>
                    <w:tl2br w:val="nil"/>
                    <w:tr2bl w:val="nil"/>
                  </w:tcBorders>
                  <w:noWrap w:val="0"/>
                  <w:vAlign w:val="center"/>
                </w:tcPr>
                <w:p w14:paraId="2A2C4115">
                  <w:pPr>
                    <w:pStyle w:val="115"/>
                    <w:bidi w:val="0"/>
                    <w:rPr>
                      <w:rFonts w:hint="default"/>
                    </w:rPr>
                  </w:pPr>
                  <w:r>
                    <w:rPr>
                      <w:rFonts w:hint="default"/>
                    </w:rPr>
                    <w:t>mg/L</w:t>
                  </w:r>
                </w:p>
              </w:tc>
            </w:tr>
            <w:tr w14:paraId="4B7B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6E6501DC">
                  <w:pPr>
                    <w:pStyle w:val="115"/>
                    <w:bidi w:val="0"/>
                    <w:rPr>
                      <w:rFonts w:hint="default"/>
                    </w:rPr>
                  </w:pPr>
                </w:p>
              </w:tc>
              <w:tc>
                <w:tcPr>
                  <w:tcW w:w="855" w:type="pct"/>
                  <w:tcBorders>
                    <w:tl2br w:val="nil"/>
                    <w:tr2bl w:val="nil"/>
                  </w:tcBorders>
                  <w:noWrap w:val="0"/>
                  <w:vAlign w:val="center"/>
                </w:tcPr>
                <w:p w14:paraId="52BF4E53">
                  <w:pPr>
                    <w:pStyle w:val="115"/>
                    <w:rPr>
                      <w:rFonts w:hint="default"/>
                      <w:lang w:val="en-US" w:eastAsia="zh-CN"/>
                    </w:rPr>
                  </w:pPr>
                  <w:r>
                    <w:rPr>
                      <w:rFonts w:hint="eastAsia"/>
                      <w:lang w:val="en-US" w:eastAsia="zh-CN"/>
                    </w:rPr>
                    <w:t>氟化物</w:t>
                  </w:r>
                </w:p>
              </w:tc>
              <w:tc>
                <w:tcPr>
                  <w:tcW w:w="719" w:type="pct"/>
                  <w:tcBorders>
                    <w:tl2br w:val="nil"/>
                    <w:tr2bl w:val="nil"/>
                  </w:tcBorders>
                  <w:noWrap w:val="0"/>
                  <w:vAlign w:val="center"/>
                </w:tcPr>
                <w:p w14:paraId="64974480">
                  <w:pPr>
                    <w:pStyle w:val="115"/>
                    <w:rPr>
                      <w:rFonts w:hint="default"/>
                    </w:rPr>
                  </w:pPr>
                  <w:r>
                    <w:rPr>
                      <w:rFonts w:hint="eastAsia"/>
                      <w:lang w:val="en-US" w:eastAsia="zh-CN"/>
                    </w:rPr>
                    <w:t>0.1L</w:t>
                  </w:r>
                </w:p>
              </w:tc>
              <w:tc>
                <w:tcPr>
                  <w:tcW w:w="696" w:type="pct"/>
                  <w:tcBorders>
                    <w:tl2br w:val="nil"/>
                    <w:tr2bl w:val="nil"/>
                  </w:tcBorders>
                  <w:noWrap w:val="0"/>
                  <w:vAlign w:val="center"/>
                </w:tcPr>
                <w:p w14:paraId="06F13F1A">
                  <w:pPr>
                    <w:pStyle w:val="115"/>
                    <w:rPr>
                      <w:rFonts w:hint="default"/>
                    </w:rPr>
                  </w:pPr>
                  <w:r>
                    <w:rPr>
                      <w:rFonts w:hint="eastAsia"/>
                      <w:lang w:val="en-US" w:eastAsia="zh-CN"/>
                    </w:rPr>
                    <w:t>0.1L</w:t>
                  </w:r>
                </w:p>
              </w:tc>
              <w:tc>
                <w:tcPr>
                  <w:tcW w:w="719" w:type="pct"/>
                  <w:tcBorders>
                    <w:tl2br w:val="nil"/>
                    <w:tr2bl w:val="nil"/>
                  </w:tcBorders>
                  <w:noWrap w:val="0"/>
                  <w:vAlign w:val="center"/>
                </w:tcPr>
                <w:p w14:paraId="7537E339">
                  <w:pPr>
                    <w:pStyle w:val="115"/>
                    <w:rPr>
                      <w:rFonts w:hint="default"/>
                    </w:rPr>
                  </w:pPr>
                  <w:r>
                    <w:rPr>
                      <w:rFonts w:hint="eastAsia"/>
                      <w:lang w:val="en-US" w:eastAsia="zh-CN"/>
                    </w:rPr>
                    <w:t>0.1L</w:t>
                  </w:r>
                </w:p>
              </w:tc>
              <w:tc>
                <w:tcPr>
                  <w:tcW w:w="508" w:type="pct"/>
                  <w:tcBorders>
                    <w:tl2br w:val="nil"/>
                    <w:tr2bl w:val="nil"/>
                  </w:tcBorders>
                  <w:noWrap w:val="0"/>
                  <w:vAlign w:val="center"/>
                </w:tcPr>
                <w:p w14:paraId="3791988F">
                  <w:pPr>
                    <w:pStyle w:val="115"/>
                    <w:rPr>
                      <w:rFonts w:hint="default"/>
                      <w:lang w:val="en-US" w:eastAsia="zh-CN"/>
                    </w:rPr>
                  </w:pPr>
                  <w:r>
                    <w:rPr>
                      <w:rFonts w:hint="default"/>
                      <w:lang w:val="en-US" w:eastAsia="zh-CN"/>
                    </w:rPr>
                    <w:t>≤</w:t>
                  </w:r>
                  <w:r>
                    <w:rPr>
                      <w:rFonts w:hint="eastAsia"/>
                      <w:lang w:val="en-US" w:eastAsia="zh-CN"/>
                    </w:rPr>
                    <w:t>1.0</w:t>
                  </w:r>
                </w:p>
              </w:tc>
              <w:tc>
                <w:tcPr>
                  <w:tcW w:w="387" w:type="pct"/>
                  <w:tcBorders>
                    <w:tl2br w:val="nil"/>
                    <w:tr2bl w:val="nil"/>
                  </w:tcBorders>
                  <w:noWrap w:val="0"/>
                  <w:vAlign w:val="center"/>
                </w:tcPr>
                <w:p w14:paraId="3C3D01C6">
                  <w:pPr>
                    <w:pStyle w:val="115"/>
                    <w:bidi w:val="0"/>
                    <w:rPr>
                      <w:rFonts w:hint="default"/>
                    </w:rPr>
                  </w:pPr>
                  <w:r>
                    <w:rPr>
                      <w:rFonts w:hint="default"/>
                    </w:rPr>
                    <w:t>是</w:t>
                  </w:r>
                </w:p>
              </w:tc>
              <w:tc>
                <w:tcPr>
                  <w:tcW w:w="601" w:type="pct"/>
                  <w:tcBorders>
                    <w:tl2br w:val="nil"/>
                    <w:tr2bl w:val="nil"/>
                  </w:tcBorders>
                  <w:noWrap w:val="0"/>
                  <w:vAlign w:val="center"/>
                </w:tcPr>
                <w:p w14:paraId="24AE2372">
                  <w:pPr>
                    <w:pStyle w:val="115"/>
                    <w:bidi w:val="0"/>
                    <w:rPr>
                      <w:rFonts w:hint="default"/>
                    </w:rPr>
                  </w:pPr>
                  <w:r>
                    <w:rPr>
                      <w:rFonts w:hint="default"/>
                    </w:rPr>
                    <w:t>mg/L</w:t>
                  </w:r>
                </w:p>
              </w:tc>
            </w:tr>
            <w:tr w14:paraId="53D7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658B4DCF">
                  <w:pPr>
                    <w:pStyle w:val="115"/>
                    <w:bidi w:val="0"/>
                    <w:rPr>
                      <w:rFonts w:hint="default"/>
                    </w:rPr>
                  </w:pPr>
                </w:p>
              </w:tc>
              <w:tc>
                <w:tcPr>
                  <w:tcW w:w="855" w:type="pct"/>
                  <w:tcBorders>
                    <w:tl2br w:val="nil"/>
                    <w:tr2bl w:val="nil"/>
                  </w:tcBorders>
                  <w:noWrap w:val="0"/>
                  <w:vAlign w:val="center"/>
                </w:tcPr>
                <w:p w14:paraId="52F51BAD">
                  <w:pPr>
                    <w:pStyle w:val="115"/>
                    <w:rPr>
                      <w:rFonts w:hint="default"/>
                    </w:rPr>
                  </w:pPr>
                  <w:r>
                    <w:rPr>
                      <w:rFonts w:hint="eastAsia"/>
                      <w:lang w:val="en-US" w:eastAsia="zh-CN"/>
                    </w:rPr>
                    <w:t>氯化物</w:t>
                  </w:r>
                </w:p>
              </w:tc>
              <w:tc>
                <w:tcPr>
                  <w:tcW w:w="719" w:type="pct"/>
                  <w:tcBorders>
                    <w:tl2br w:val="nil"/>
                    <w:tr2bl w:val="nil"/>
                  </w:tcBorders>
                  <w:noWrap w:val="0"/>
                  <w:vAlign w:val="center"/>
                </w:tcPr>
                <w:p w14:paraId="56A3F529">
                  <w:pPr>
                    <w:pStyle w:val="115"/>
                    <w:rPr>
                      <w:rFonts w:hint="default"/>
                    </w:rPr>
                  </w:pPr>
                  <w:r>
                    <w:rPr>
                      <w:rFonts w:hint="eastAsia"/>
                      <w:lang w:val="en-US" w:eastAsia="zh-CN"/>
                    </w:rPr>
                    <w:t>1.85</w:t>
                  </w:r>
                </w:p>
              </w:tc>
              <w:tc>
                <w:tcPr>
                  <w:tcW w:w="696" w:type="pct"/>
                  <w:tcBorders>
                    <w:tl2br w:val="nil"/>
                    <w:tr2bl w:val="nil"/>
                  </w:tcBorders>
                  <w:noWrap w:val="0"/>
                  <w:vAlign w:val="center"/>
                </w:tcPr>
                <w:p w14:paraId="388091E3">
                  <w:pPr>
                    <w:pStyle w:val="115"/>
                    <w:rPr>
                      <w:rFonts w:hint="default"/>
                    </w:rPr>
                  </w:pPr>
                  <w:r>
                    <w:rPr>
                      <w:rFonts w:hint="eastAsia"/>
                      <w:lang w:val="en-US" w:eastAsia="zh-CN"/>
                    </w:rPr>
                    <w:t>1.90</w:t>
                  </w:r>
                </w:p>
              </w:tc>
              <w:tc>
                <w:tcPr>
                  <w:tcW w:w="719" w:type="pct"/>
                  <w:tcBorders>
                    <w:tl2br w:val="nil"/>
                    <w:tr2bl w:val="nil"/>
                  </w:tcBorders>
                  <w:noWrap w:val="0"/>
                  <w:vAlign w:val="center"/>
                </w:tcPr>
                <w:p w14:paraId="625943E0">
                  <w:pPr>
                    <w:pStyle w:val="115"/>
                    <w:rPr>
                      <w:rFonts w:hint="default"/>
                    </w:rPr>
                  </w:pPr>
                  <w:r>
                    <w:rPr>
                      <w:rFonts w:hint="eastAsia"/>
                      <w:lang w:val="en-US" w:eastAsia="zh-CN"/>
                    </w:rPr>
                    <w:t>1.92</w:t>
                  </w:r>
                </w:p>
              </w:tc>
              <w:tc>
                <w:tcPr>
                  <w:tcW w:w="508" w:type="pct"/>
                  <w:tcBorders>
                    <w:tl2br w:val="nil"/>
                    <w:tr2bl w:val="nil"/>
                  </w:tcBorders>
                  <w:noWrap w:val="0"/>
                  <w:vAlign w:val="center"/>
                </w:tcPr>
                <w:p w14:paraId="2D700656">
                  <w:pPr>
                    <w:pStyle w:val="115"/>
                    <w:rPr>
                      <w:rFonts w:hint="default"/>
                      <w:lang w:val="en-US" w:eastAsia="zh-CN"/>
                    </w:rPr>
                  </w:pPr>
                  <w:r>
                    <w:rPr>
                      <w:rFonts w:hint="default"/>
                      <w:lang w:val="en-US" w:eastAsia="zh-CN"/>
                    </w:rPr>
                    <w:t>≤</w:t>
                  </w:r>
                  <w:r>
                    <w:rPr>
                      <w:rFonts w:hint="eastAsia"/>
                      <w:lang w:val="en-US" w:eastAsia="zh-CN"/>
                    </w:rPr>
                    <w:t>250</w:t>
                  </w:r>
                </w:p>
              </w:tc>
              <w:tc>
                <w:tcPr>
                  <w:tcW w:w="387" w:type="pct"/>
                  <w:tcBorders>
                    <w:tl2br w:val="nil"/>
                    <w:tr2bl w:val="nil"/>
                  </w:tcBorders>
                  <w:noWrap w:val="0"/>
                  <w:vAlign w:val="center"/>
                </w:tcPr>
                <w:p w14:paraId="26EE789D">
                  <w:pPr>
                    <w:pStyle w:val="115"/>
                    <w:bidi w:val="0"/>
                    <w:rPr>
                      <w:rFonts w:hint="default"/>
                    </w:rPr>
                  </w:pPr>
                  <w:r>
                    <w:rPr>
                      <w:rFonts w:hint="default"/>
                    </w:rPr>
                    <w:t>是</w:t>
                  </w:r>
                </w:p>
              </w:tc>
              <w:tc>
                <w:tcPr>
                  <w:tcW w:w="601" w:type="pct"/>
                  <w:tcBorders>
                    <w:tl2br w:val="nil"/>
                    <w:tr2bl w:val="nil"/>
                  </w:tcBorders>
                  <w:noWrap w:val="0"/>
                  <w:vAlign w:val="center"/>
                </w:tcPr>
                <w:p w14:paraId="6477BE10">
                  <w:pPr>
                    <w:pStyle w:val="115"/>
                    <w:bidi w:val="0"/>
                    <w:rPr>
                      <w:rFonts w:hint="default"/>
                    </w:rPr>
                  </w:pPr>
                  <w:r>
                    <w:rPr>
                      <w:rFonts w:hint="default"/>
                    </w:rPr>
                    <w:t>mg/L</w:t>
                  </w:r>
                </w:p>
              </w:tc>
            </w:tr>
            <w:tr w14:paraId="68A2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3" w:type="pct"/>
                  <w:vMerge w:val="continue"/>
                  <w:tcBorders>
                    <w:tl2br w:val="nil"/>
                    <w:tr2bl w:val="nil"/>
                  </w:tcBorders>
                  <w:noWrap w:val="0"/>
                  <w:vAlign w:val="center"/>
                </w:tcPr>
                <w:p w14:paraId="19617C04">
                  <w:pPr>
                    <w:pStyle w:val="115"/>
                    <w:bidi w:val="0"/>
                    <w:rPr>
                      <w:rFonts w:hint="default"/>
                    </w:rPr>
                  </w:pPr>
                </w:p>
              </w:tc>
              <w:tc>
                <w:tcPr>
                  <w:tcW w:w="855" w:type="pct"/>
                  <w:tcBorders>
                    <w:tl2br w:val="nil"/>
                    <w:tr2bl w:val="nil"/>
                  </w:tcBorders>
                  <w:noWrap w:val="0"/>
                  <w:vAlign w:val="center"/>
                </w:tcPr>
                <w:p w14:paraId="46C27716">
                  <w:pPr>
                    <w:pStyle w:val="115"/>
                    <w:rPr>
                      <w:rFonts w:hint="eastAsia"/>
                      <w:lang w:val="en-US" w:eastAsia="zh-CN"/>
                    </w:rPr>
                  </w:pPr>
                  <w:r>
                    <w:rPr>
                      <w:rFonts w:hint="eastAsia"/>
                      <w:lang w:val="en-US" w:eastAsia="zh-CN"/>
                    </w:rPr>
                    <w:t>硫酸盐</w:t>
                  </w:r>
                </w:p>
              </w:tc>
              <w:tc>
                <w:tcPr>
                  <w:tcW w:w="719" w:type="pct"/>
                  <w:tcBorders>
                    <w:tl2br w:val="nil"/>
                    <w:tr2bl w:val="nil"/>
                  </w:tcBorders>
                  <w:noWrap w:val="0"/>
                  <w:vAlign w:val="center"/>
                </w:tcPr>
                <w:p w14:paraId="08785D45">
                  <w:pPr>
                    <w:pStyle w:val="115"/>
                    <w:rPr>
                      <w:rFonts w:hint="default"/>
                    </w:rPr>
                  </w:pPr>
                  <w:r>
                    <w:rPr>
                      <w:rFonts w:hint="eastAsia"/>
                      <w:lang w:val="en-US" w:eastAsia="zh-CN"/>
                    </w:rPr>
                    <w:t>9.55</w:t>
                  </w:r>
                </w:p>
              </w:tc>
              <w:tc>
                <w:tcPr>
                  <w:tcW w:w="696" w:type="pct"/>
                  <w:tcBorders>
                    <w:tl2br w:val="nil"/>
                    <w:tr2bl w:val="nil"/>
                  </w:tcBorders>
                  <w:noWrap w:val="0"/>
                  <w:vAlign w:val="center"/>
                </w:tcPr>
                <w:p w14:paraId="263C5555">
                  <w:pPr>
                    <w:pStyle w:val="115"/>
                    <w:rPr>
                      <w:rFonts w:hint="default"/>
                    </w:rPr>
                  </w:pPr>
                  <w:r>
                    <w:rPr>
                      <w:rFonts w:hint="eastAsia"/>
                      <w:lang w:val="en-US" w:eastAsia="zh-CN"/>
                    </w:rPr>
                    <w:t>9.34</w:t>
                  </w:r>
                </w:p>
              </w:tc>
              <w:tc>
                <w:tcPr>
                  <w:tcW w:w="719" w:type="pct"/>
                  <w:tcBorders>
                    <w:tl2br w:val="nil"/>
                    <w:tr2bl w:val="nil"/>
                  </w:tcBorders>
                  <w:noWrap w:val="0"/>
                  <w:vAlign w:val="center"/>
                </w:tcPr>
                <w:p w14:paraId="119D23F9">
                  <w:pPr>
                    <w:pStyle w:val="115"/>
                    <w:rPr>
                      <w:rFonts w:hint="default"/>
                    </w:rPr>
                  </w:pPr>
                  <w:r>
                    <w:rPr>
                      <w:rFonts w:hint="eastAsia"/>
                      <w:lang w:val="en-US" w:eastAsia="zh-CN"/>
                    </w:rPr>
                    <w:t>5.84</w:t>
                  </w:r>
                </w:p>
              </w:tc>
              <w:tc>
                <w:tcPr>
                  <w:tcW w:w="508" w:type="pct"/>
                  <w:tcBorders>
                    <w:tl2br w:val="nil"/>
                    <w:tr2bl w:val="nil"/>
                  </w:tcBorders>
                  <w:noWrap w:val="0"/>
                  <w:vAlign w:val="center"/>
                </w:tcPr>
                <w:p w14:paraId="2E8AE256">
                  <w:pPr>
                    <w:pStyle w:val="115"/>
                    <w:rPr>
                      <w:rFonts w:hint="default"/>
                      <w:lang w:val="en-US" w:eastAsia="zh-CN"/>
                    </w:rPr>
                  </w:pPr>
                  <w:r>
                    <w:rPr>
                      <w:rFonts w:hint="default"/>
                      <w:lang w:val="en-US" w:eastAsia="zh-CN"/>
                    </w:rPr>
                    <w:t>≤</w:t>
                  </w:r>
                  <w:r>
                    <w:rPr>
                      <w:rFonts w:hint="eastAsia"/>
                      <w:lang w:val="en-US" w:eastAsia="zh-CN"/>
                    </w:rPr>
                    <w:t>250</w:t>
                  </w:r>
                </w:p>
              </w:tc>
              <w:tc>
                <w:tcPr>
                  <w:tcW w:w="387" w:type="pct"/>
                  <w:tcBorders>
                    <w:tl2br w:val="nil"/>
                    <w:tr2bl w:val="nil"/>
                  </w:tcBorders>
                  <w:noWrap w:val="0"/>
                  <w:vAlign w:val="center"/>
                </w:tcPr>
                <w:p w14:paraId="1541EDD9">
                  <w:pPr>
                    <w:pStyle w:val="115"/>
                    <w:bidi w:val="0"/>
                    <w:rPr>
                      <w:rFonts w:hint="default"/>
                    </w:rPr>
                  </w:pPr>
                  <w:r>
                    <w:rPr>
                      <w:rFonts w:hint="default"/>
                    </w:rPr>
                    <w:t>是</w:t>
                  </w:r>
                </w:p>
              </w:tc>
              <w:tc>
                <w:tcPr>
                  <w:tcW w:w="601" w:type="pct"/>
                  <w:tcBorders>
                    <w:tl2br w:val="nil"/>
                    <w:tr2bl w:val="nil"/>
                  </w:tcBorders>
                  <w:noWrap w:val="0"/>
                  <w:vAlign w:val="center"/>
                </w:tcPr>
                <w:p w14:paraId="6CF861E9">
                  <w:pPr>
                    <w:pStyle w:val="115"/>
                    <w:bidi w:val="0"/>
                    <w:rPr>
                      <w:rFonts w:hint="default"/>
                    </w:rPr>
                  </w:pPr>
                  <w:r>
                    <w:rPr>
                      <w:rFonts w:hint="default"/>
                    </w:rPr>
                    <w:t>mg/L</w:t>
                  </w:r>
                </w:p>
              </w:tc>
            </w:tr>
          </w:tbl>
          <w:p w14:paraId="07E24690">
            <w:pPr>
              <w:bidi w:val="0"/>
              <w:rPr>
                <w:rFonts w:hint="default"/>
                <w:lang w:val="en-US" w:eastAsia="zh-CN"/>
              </w:rPr>
            </w:pPr>
            <w:r>
              <w:rPr>
                <w:rFonts w:hint="default"/>
                <w:lang w:val="en-US" w:eastAsia="zh-CN"/>
              </w:rPr>
              <w:t>由上表可知，项目评价区域内</w:t>
            </w:r>
            <w:r>
              <w:rPr>
                <w:rFonts w:hint="eastAsia"/>
                <w:lang w:val="en-US" w:eastAsia="zh-CN"/>
              </w:rPr>
              <w:t>监测</w:t>
            </w:r>
            <w:r>
              <w:rPr>
                <w:rFonts w:hint="default"/>
                <w:lang w:val="en-US" w:eastAsia="zh-CN"/>
              </w:rPr>
              <w:t>断面的各监测因子中均能满足《地表水环境质量标准》（GB3838-2002）表3中Ⅲ类标准限值要求，表明区域地表水环境质量现状良好。</w:t>
            </w:r>
          </w:p>
          <w:p w14:paraId="10C0DD1C">
            <w:pPr>
              <w:pStyle w:val="5"/>
              <w:rPr>
                <w:rFonts w:hint="eastAsia"/>
                <w:lang w:val="zh-CN"/>
              </w:rPr>
            </w:pPr>
            <w:r>
              <w:rPr>
                <w:rFonts w:hint="eastAsia"/>
                <w:lang w:val="en-US" w:eastAsia="zh-CN"/>
              </w:rPr>
              <w:t>3.3.2</w:t>
            </w:r>
            <w:r>
              <w:rPr>
                <w:rFonts w:hint="eastAsia"/>
                <w:lang w:val="zh-CN"/>
              </w:rPr>
              <w:t>项目区域矿坑水监测</w:t>
            </w:r>
          </w:p>
          <w:p w14:paraId="75386CCA">
            <w:pPr>
              <w:rPr>
                <w:rFonts w:hint="eastAsia"/>
                <w:lang w:val="en-US"/>
              </w:rPr>
            </w:pPr>
            <w:r>
              <w:rPr>
                <w:rFonts w:hint="eastAsia"/>
                <w:lang w:val="zh-CN"/>
              </w:rPr>
              <w:t>为了解项目区域内矿坑积水的情况，本评价委托湖南</w:t>
            </w:r>
            <w:r>
              <w:rPr>
                <w:rFonts w:hint="eastAsia"/>
                <w:lang w:val="en-US" w:eastAsia="zh-CN"/>
              </w:rPr>
              <w:t>怀德</w:t>
            </w:r>
            <w:r>
              <w:rPr>
                <w:rFonts w:hint="eastAsia"/>
                <w:lang w:val="zh-CN"/>
              </w:rPr>
              <w:t>检测</w:t>
            </w:r>
            <w:r>
              <w:rPr>
                <w:rFonts w:hint="eastAsia"/>
                <w:lang w:val="en-US" w:eastAsia="zh-CN"/>
              </w:rPr>
              <w:t>技术有限公司</w:t>
            </w:r>
            <w:r>
              <w:rPr>
                <w:rFonts w:hint="eastAsia"/>
                <w:lang w:val="zh-CN"/>
              </w:rPr>
              <w:t>于</w:t>
            </w:r>
            <w:r>
              <w:rPr>
                <w:rFonts w:hint="eastAsia"/>
                <w:lang w:val="en-US" w:eastAsia="zh-CN"/>
              </w:rPr>
              <w:t>2026</w:t>
            </w:r>
            <w:r>
              <w:rPr>
                <w:rFonts w:hint="eastAsia"/>
                <w:lang w:val="zh-CN"/>
              </w:rPr>
              <w:t>年</w:t>
            </w:r>
            <w:r>
              <w:rPr>
                <w:rFonts w:hint="eastAsia"/>
                <w:lang w:val="en-US" w:eastAsia="zh-CN"/>
              </w:rPr>
              <w:t>4</w:t>
            </w:r>
            <w:r>
              <w:rPr>
                <w:rFonts w:hint="eastAsia"/>
                <w:lang w:val="zh-CN"/>
              </w:rPr>
              <w:t>月</w:t>
            </w:r>
            <w:r>
              <w:rPr>
                <w:rFonts w:hint="eastAsia"/>
                <w:lang w:val="en-US" w:eastAsia="zh-CN"/>
              </w:rPr>
              <w:t>17</w:t>
            </w:r>
            <w:r>
              <w:rPr>
                <w:rFonts w:hint="eastAsia"/>
                <w:lang w:val="zh-CN"/>
              </w:rPr>
              <w:t>日对</w:t>
            </w:r>
            <w:r>
              <w:rPr>
                <w:rFonts w:hint="eastAsia"/>
                <w:lang w:val="en-US" w:eastAsia="zh-CN"/>
              </w:rPr>
              <w:t>矿坑积水（监测报告HDJC2604050-1：原命名为水塘）</w:t>
            </w:r>
            <w:r>
              <w:rPr>
                <w:rFonts w:hint="eastAsia"/>
                <w:lang w:val="zh-CN"/>
              </w:rPr>
              <w:t>进行采样分析，其检测结果见表</w:t>
            </w:r>
            <w:r>
              <w:rPr>
                <w:rFonts w:hint="eastAsia"/>
                <w:lang w:val="en-US" w:eastAsia="zh-CN"/>
              </w:rPr>
              <w:t>3.2-3</w:t>
            </w:r>
            <w:r>
              <w:rPr>
                <w:rFonts w:hint="eastAsia"/>
                <w:lang w:val="zh-CN"/>
              </w:rPr>
              <w:t>。</w:t>
            </w:r>
          </w:p>
          <w:p w14:paraId="48E5B70C">
            <w:pPr>
              <w:pStyle w:val="44"/>
              <w:bidi w:val="0"/>
              <w:rPr>
                <w:rFonts w:hint="eastAsia" w:ascii="Times New Roman Regular" w:hAnsi="Times New Roman Regular" w:cs="Times New Roman Regular"/>
                <w:b/>
                <w:bCs/>
                <w:color w:val="auto"/>
                <w:spacing w:val="-1"/>
                <w:sz w:val="21"/>
                <w:szCs w:val="21"/>
                <w:u w:val="none"/>
                <w:lang w:val="zh-CN"/>
              </w:rPr>
            </w:pPr>
            <w:r>
              <w:rPr>
                <w:rFonts w:hint="eastAsia" w:ascii="Times New Roman Regular" w:hAnsi="Times New Roman Regular" w:cs="Times New Roman Regular"/>
                <w:b/>
                <w:bCs/>
                <w:color w:val="auto"/>
                <w:spacing w:val="-1"/>
                <w:sz w:val="21"/>
                <w:szCs w:val="21"/>
                <w:u w:val="none"/>
                <w:lang w:val="zh-CN"/>
              </w:rPr>
              <w:t>表</w:t>
            </w:r>
            <w:r>
              <w:rPr>
                <w:rFonts w:hint="eastAsia" w:ascii="Times New Roman Regular" w:hAnsi="Times New Roman Regular" w:cs="Times New Roman Regular"/>
                <w:b/>
                <w:bCs/>
                <w:color w:val="auto"/>
                <w:spacing w:val="-1"/>
                <w:sz w:val="21"/>
                <w:szCs w:val="21"/>
                <w:u w:val="none"/>
                <w:lang w:val="en-US" w:eastAsia="zh-CN"/>
              </w:rPr>
              <w:t>3.2-3</w:t>
            </w:r>
            <w:r>
              <w:rPr>
                <w:rFonts w:hint="eastAsia" w:ascii="Times New Roman Regular" w:hAnsi="Times New Roman Regular" w:cs="Times New Roman Regular"/>
                <w:b/>
                <w:bCs/>
                <w:color w:val="auto"/>
                <w:spacing w:val="-1"/>
                <w:sz w:val="21"/>
                <w:szCs w:val="21"/>
                <w:u w:val="none"/>
                <w:lang w:val="zh-CN"/>
              </w:rPr>
              <w:t>：</w:t>
            </w:r>
            <w:r>
              <w:rPr>
                <w:rFonts w:hint="eastAsia" w:ascii="Times New Roman Regular" w:hAnsi="Times New Roman Regular" w:cs="Times New Roman Regular"/>
                <w:b/>
                <w:bCs/>
                <w:color w:val="auto"/>
                <w:spacing w:val="-1"/>
                <w:sz w:val="21"/>
                <w:szCs w:val="21"/>
                <w:u w:val="none"/>
                <w:lang w:val="en-US" w:eastAsia="zh-CN"/>
              </w:rPr>
              <w:t>矿坑积水</w:t>
            </w:r>
            <w:r>
              <w:rPr>
                <w:rFonts w:hint="eastAsia" w:ascii="Times New Roman Regular" w:hAnsi="Times New Roman Regular" w:cs="Times New Roman Regular"/>
                <w:b/>
                <w:bCs/>
                <w:color w:val="auto"/>
                <w:spacing w:val="-1"/>
                <w:sz w:val="21"/>
                <w:szCs w:val="21"/>
                <w:u w:val="none"/>
                <w:lang w:val="zh-CN"/>
              </w:rPr>
              <w:t>监测结果一览表（单位：mg/L，pH值无量纲）</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20"/>
              <w:gridCol w:w="1071"/>
              <w:gridCol w:w="1071"/>
              <w:gridCol w:w="1075"/>
              <w:gridCol w:w="1716"/>
              <w:gridCol w:w="1102"/>
            </w:tblGrid>
            <w:tr w14:paraId="4020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restart"/>
                  <w:noWrap w:val="0"/>
                  <w:vAlign w:val="center"/>
                </w:tcPr>
                <w:p w14:paraId="74FC216D">
                  <w:pPr>
                    <w:pStyle w:val="115"/>
                    <w:bidi w:val="0"/>
                    <w:rPr>
                      <w:rFonts w:hint="default"/>
                      <w:b/>
                      <w:bCs/>
                    </w:rPr>
                  </w:pPr>
                  <w:r>
                    <w:rPr>
                      <w:rFonts w:hint="default"/>
                      <w:b/>
                      <w:bCs/>
                    </w:rPr>
                    <w:t>监测日期</w:t>
                  </w:r>
                </w:p>
              </w:tc>
              <w:tc>
                <w:tcPr>
                  <w:tcW w:w="770" w:type="pct"/>
                  <w:vMerge w:val="restart"/>
                  <w:noWrap w:val="0"/>
                  <w:vAlign w:val="center"/>
                </w:tcPr>
                <w:p w14:paraId="5EA190EB">
                  <w:pPr>
                    <w:pStyle w:val="115"/>
                    <w:bidi w:val="0"/>
                    <w:rPr>
                      <w:rFonts w:hint="default"/>
                      <w:b/>
                      <w:bCs/>
                    </w:rPr>
                  </w:pPr>
                  <w:r>
                    <w:rPr>
                      <w:rFonts w:hint="default"/>
                      <w:b/>
                      <w:bCs/>
                    </w:rPr>
                    <w:t>检测项目</w:t>
                  </w:r>
                </w:p>
              </w:tc>
              <w:tc>
                <w:tcPr>
                  <w:tcW w:w="1877" w:type="pct"/>
                  <w:gridSpan w:val="3"/>
                  <w:noWrap/>
                  <w:vAlign w:val="center"/>
                </w:tcPr>
                <w:p w14:paraId="01350FC6">
                  <w:pPr>
                    <w:pStyle w:val="115"/>
                    <w:bidi w:val="0"/>
                    <w:rPr>
                      <w:rFonts w:hint="default"/>
                      <w:b/>
                      <w:bCs/>
                    </w:rPr>
                  </w:pPr>
                  <w:r>
                    <w:rPr>
                      <w:rFonts w:hint="default"/>
                      <w:b/>
                      <w:bCs/>
                    </w:rPr>
                    <w:t>检测结果</w:t>
                  </w:r>
                </w:p>
              </w:tc>
              <w:tc>
                <w:tcPr>
                  <w:tcW w:w="1001" w:type="pct"/>
                  <w:vMerge w:val="restart"/>
                  <w:noWrap w:val="0"/>
                  <w:vAlign w:val="center"/>
                </w:tcPr>
                <w:p w14:paraId="08219080">
                  <w:pPr>
                    <w:pStyle w:val="115"/>
                    <w:bidi w:val="0"/>
                    <w:rPr>
                      <w:rFonts w:hint="default"/>
                      <w:b/>
                      <w:bCs/>
                    </w:rPr>
                  </w:pPr>
                  <w:r>
                    <w:rPr>
                      <w:rFonts w:hint="default"/>
                      <w:b/>
                      <w:bCs/>
                    </w:rPr>
                    <w:t>标准值</w:t>
                  </w:r>
                </w:p>
              </w:tc>
              <w:tc>
                <w:tcPr>
                  <w:tcW w:w="643" w:type="pct"/>
                  <w:vMerge w:val="restart"/>
                  <w:noWrap/>
                  <w:vAlign w:val="center"/>
                </w:tcPr>
                <w:p w14:paraId="3C3BAF45">
                  <w:pPr>
                    <w:pStyle w:val="115"/>
                    <w:bidi w:val="0"/>
                    <w:rPr>
                      <w:rFonts w:hint="default"/>
                      <w:b/>
                      <w:bCs/>
                    </w:rPr>
                  </w:pPr>
                  <w:r>
                    <w:rPr>
                      <w:rFonts w:hint="default"/>
                      <w:b/>
                      <w:bCs/>
                    </w:rPr>
                    <w:t>评价结果</w:t>
                  </w:r>
                </w:p>
              </w:tc>
            </w:tr>
            <w:tr w14:paraId="53E8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71B74EEE">
                  <w:pPr>
                    <w:pStyle w:val="115"/>
                    <w:bidi w:val="0"/>
                    <w:rPr>
                      <w:rFonts w:hint="default"/>
                    </w:rPr>
                  </w:pPr>
                </w:p>
              </w:tc>
              <w:tc>
                <w:tcPr>
                  <w:tcW w:w="770" w:type="pct"/>
                  <w:vMerge w:val="continue"/>
                  <w:noWrap w:val="0"/>
                  <w:vAlign w:val="center"/>
                </w:tcPr>
                <w:p w14:paraId="470D568C">
                  <w:pPr>
                    <w:pStyle w:val="115"/>
                    <w:bidi w:val="0"/>
                    <w:rPr>
                      <w:rFonts w:hint="default"/>
                    </w:rPr>
                  </w:pPr>
                </w:p>
              </w:tc>
              <w:tc>
                <w:tcPr>
                  <w:tcW w:w="625" w:type="pct"/>
                  <w:noWrap/>
                  <w:vAlign w:val="center"/>
                </w:tcPr>
                <w:p w14:paraId="577F26DE">
                  <w:pPr>
                    <w:pStyle w:val="115"/>
                    <w:bidi w:val="0"/>
                    <w:rPr>
                      <w:rFonts w:hint="eastAsia" w:eastAsia="宋体"/>
                      <w:b/>
                      <w:bCs/>
                      <w:lang w:val="en-US" w:eastAsia="zh-CN"/>
                    </w:rPr>
                  </w:pPr>
                  <w:r>
                    <w:rPr>
                      <w:rFonts w:hint="eastAsia"/>
                      <w:b/>
                      <w:bCs/>
                      <w:lang w:val="en-US" w:eastAsia="zh-CN"/>
                    </w:rPr>
                    <w:t>第一次</w:t>
                  </w:r>
                </w:p>
              </w:tc>
              <w:tc>
                <w:tcPr>
                  <w:tcW w:w="625" w:type="pct"/>
                  <w:noWrap/>
                  <w:vAlign w:val="center"/>
                </w:tcPr>
                <w:p w14:paraId="4EF51446">
                  <w:pPr>
                    <w:pStyle w:val="115"/>
                    <w:bidi w:val="0"/>
                    <w:rPr>
                      <w:rFonts w:hint="eastAsia" w:eastAsia="宋体"/>
                      <w:b/>
                      <w:bCs/>
                      <w:lang w:val="en-US" w:eastAsia="zh-CN"/>
                    </w:rPr>
                  </w:pPr>
                  <w:r>
                    <w:rPr>
                      <w:rFonts w:hint="eastAsia"/>
                      <w:b/>
                      <w:bCs/>
                      <w:lang w:val="en-US" w:eastAsia="zh-CN"/>
                    </w:rPr>
                    <w:t>第二次</w:t>
                  </w:r>
                </w:p>
              </w:tc>
              <w:tc>
                <w:tcPr>
                  <w:tcW w:w="626" w:type="pct"/>
                  <w:noWrap/>
                  <w:vAlign w:val="center"/>
                </w:tcPr>
                <w:p w14:paraId="40938651">
                  <w:pPr>
                    <w:pStyle w:val="115"/>
                    <w:bidi w:val="0"/>
                    <w:rPr>
                      <w:rFonts w:hint="eastAsia" w:eastAsia="宋体"/>
                      <w:b/>
                      <w:bCs/>
                      <w:lang w:val="en-US" w:eastAsia="zh-CN"/>
                    </w:rPr>
                  </w:pPr>
                  <w:r>
                    <w:rPr>
                      <w:rFonts w:hint="eastAsia"/>
                      <w:b/>
                      <w:bCs/>
                      <w:lang w:val="en-US" w:eastAsia="zh-CN"/>
                    </w:rPr>
                    <w:t>第三次</w:t>
                  </w:r>
                </w:p>
              </w:tc>
              <w:tc>
                <w:tcPr>
                  <w:tcW w:w="1001" w:type="pct"/>
                  <w:vMerge w:val="continue"/>
                  <w:noWrap w:val="0"/>
                  <w:vAlign w:val="center"/>
                </w:tcPr>
                <w:p w14:paraId="52BF691F">
                  <w:pPr>
                    <w:pStyle w:val="115"/>
                    <w:bidi w:val="0"/>
                    <w:rPr>
                      <w:rFonts w:hint="default"/>
                    </w:rPr>
                  </w:pPr>
                </w:p>
              </w:tc>
              <w:tc>
                <w:tcPr>
                  <w:tcW w:w="643" w:type="pct"/>
                  <w:vMerge w:val="continue"/>
                  <w:noWrap/>
                  <w:vAlign w:val="center"/>
                </w:tcPr>
                <w:p w14:paraId="1EAA716A">
                  <w:pPr>
                    <w:pStyle w:val="115"/>
                    <w:bidi w:val="0"/>
                    <w:rPr>
                      <w:rFonts w:hint="default"/>
                    </w:rPr>
                  </w:pPr>
                </w:p>
              </w:tc>
            </w:tr>
            <w:tr w14:paraId="1225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restart"/>
                  <w:noWrap w:val="0"/>
                  <w:vAlign w:val="center"/>
                </w:tcPr>
                <w:p w14:paraId="7FC363E9">
                  <w:pPr>
                    <w:pStyle w:val="115"/>
                    <w:bidi w:val="0"/>
                    <w:rPr>
                      <w:rFonts w:hint="default" w:eastAsia="宋体"/>
                      <w:lang w:val="en-US" w:eastAsia="zh-CN"/>
                    </w:rPr>
                  </w:pPr>
                  <w:r>
                    <w:rPr>
                      <w:rFonts w:hint="eastAsia"/>
                      <w:lang w:val="en-US" w:eastAsia="zh-CN"/>
                    </w:rPr>
                    <w:t>2026.04.17</w:t>
                  </w:r>
                </w:p>
              </w:tc>
              <w:tc>
                <w:tcPr>
                  <w:tcW w:w="770" w:type="pct"/>
                  <w:noWrap w:val="0"/>
                  <w:vAlign w:val="center"/>
                </w:tcPr>
                <w:p w14:paraId="1FC0B32E">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color w:val="auto"/>
                      <w:sz w:val="21"/>
                      <w:szCs w:val="21"/>
                      <w:lang w:val="en-US" w:eastAsia="zh-CN"/>
                    </w:rPr>
                    <w:t>pH值</w:t>
                  </w:r>
                </w:p>
              </w:tc>
              <w:tc>
                <w:tcPr>
                  <w:tcW w:w="625" w:type="pct"/>
                  <w:noWrap/>
                  <w:vAlign w:val="center"/>
                </w:tcPr>
                <w:p w14:paraId="66361BAF">
                  <w:pPr>
                    <w:pStyle w:val="115"/>
                    <w:rPr>
                      <w:rFonts w:hint="default"/>
                    </w:rPr>
                  </w:pPr>
                  <w:r>
                    <w:rPr>
                      <w:rFonts w:hint="eastAsia"/>
                      <w:lang w:val="en-US" w:eastAsia="zh-CN"/>
                    </w:rPr>
                    <w:t>7.1</w:t>
                  </w:r>
                </w:p>
              </w:tc>
              <w:tc>
                <w:tcPr>
                  <w:tcW w:w="625" w:type="pct"/>
                  <w:noWrap/>
                  <w:vAlign w:val="center"/>
                </w:tcPr>
                <w:p w14:paraId="770FCF67">
                  <w:pPr>
                    <w:pStyle w:val="115"/>
                    <w:rPr>
                      <w:rFonts w:hint="default"/>
                    </w:rPr>
                  </w:pPr>
                  <w:r>
                    <w:rPr>
                      <w:rFonts w:hint="eastAsia"/>
                      <w:lang w:val="en-US" w:eastAsia="zh-CN"/>
                    </w:rPr>
                    <w:t>7.2</w:t>
                  </w:r>
                </w:p>
              </w:tc>
              <w:tc>
                <w:tcPr>
                  <w:tcW w:w="626" w:type="pct"/>
                  <w:noWrap/>
                  <w:vAlign w:val="center"/>
                </w:tcPr>
                <w:p w14:paraId="06B9E9C3">
                  <w:pPr>
                    <w:pStyle w:val="115"/>
                    <w:rPr>
                      <w:rFonts w:hint="default"/>
                    </w:rPr>
                  </w:pPr>
                  <w:r>
                    <w:rPr>
                      <w:rFonts w:hint="eastAsia"/>
                      <w:lang w:val="en-US" w:eastAsia="zh-CN"/>
                    </w:rPr>
                    <w:t>7.3</w:t>
                  </w:r>
                </w:p>
              </w:tc>
              <w:tc>
                <w:tcPr>
                  <w:tcW w:w="1001" w:type="pct"/>
                  <w:noWrap w:val="0"/>
                  <w:vAlign w:val="center"/>
                </w:tcPr>
                <w:p w14:paraId="765118E7">
                  <w:pPr>
                    <w:pStyle w:val="115"/>
                    <w:rPr>
                      <w:rFonts w:hint="default"/>
                    </w:rPr>
                  </w:pPr>
                  <w:r>
                    <w:rPr>
                      <w:rFonts w:hint="eastAsia"/>
                      <w:lang w:val="en-US" w:eastAsia="zh-CN"/>
                    </w:rPr>
                    <w:t>6~9</w:t>
                  </w:r>
                </w:p>
              </w:tc>
              <w:tc>
                <w:tcPr>
                  <w:tcW w:w="643" w:type="pct"/>
                  <w:noWrap w:val="0"/>
                  <w:vAlign w:val="center"/>
                </w:tcPr>
                <w:p w14:paraId="378F3305">
                  <w:pPr>
                    <w:pStyle w:val="115"/>
                    <w:bidi w:val="0"/>
                    <w:rPr>
                      <w:rFonts w:hint="default"/>
                    </w:rPr>
                  </w:pPr>
                  <w:r>
                    <w:rPr>
                      <w:rFonts w:hint="default"/>
                    </w:rPr>
                    <w:t>/</w:t>
                  </w:r>
                </w:p>
              </w:tc>
            </w:tr>
            <w:tr w14:paraId="035B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57F7DD8B">
                  <w:pPr>
                    <w:pStyle w:val="115"/>
                    <w:bidi w:val="0"/>
                    <w:rPr>
                      <w:rFonts w:hint="default"/>
                    </w:rPr>
                  </w:pPr>
                </w:p>
              </w:tc>
              <w:tc>
                <w:tcPr>
                  <w:tcW w:w="770" w:type="pct"/>
                  <w:noWrap w:val="0"/>
                  <w:vAlign w:val="center"/>
                </w:tcPr>
                <w:p w14:paraId="406B726E">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color w:val="auto"/>
                      <w:kern w:val="2"/>
                      <w:sz w:val="21"/>
                      <w:szCs w:val="21"/>
                      <w:lang w:val="en-US" w:eastAsia="zh-CN" w:bidi="ar-SA"/>
                    </w:rPr>
                    <w:t>悬浮物</w:t>
                  </w:r>
                </w:p>
              </w:tc>
              <w:tc>
                <w:tcPr>
                  <w:tcW w:w="625" w:type="pct"/>
                  <w:noWrap/>
                  <w:vAlign w:val="center"/>
                </w:tcPr>
                <w:p w14:paraId="36E9519E">
                  <w:pPr>
                    <w:pStyle w:val="115"/>
                    <w:rPr>
                      <w:rFonts w:hint="default"/>
                    </w:rPr>
                  </w:pPr>
                  <w:r>
                    <w:rPr>
                      <w:rFonts w:hint="eastAsia"/>
                      <w:lang w:val="en-US" w:eastAsia="zh-CN"/>
                    </w:rPr>
                    <w:t>5</w:t>
                  </w:r>
                </w:p>
              </w:tc>
              <w:tc>
                <w:tcPr>
                  <w:tcW w:w="625" w:type="pct"/>
                  <w:noWrap/>
                  <w:vAlign w:val="center"/>
                </w:tcPr>
                <w:p w14:paraId="5BC29D3F">
                  <w:pPr>
                    <w:pStyle w:val="115"/>
                    <w:rPr>
                      <w:rFonts w:hint="default"/>
                    </w:rPr>
                  </w:pPr>
                  <w:r>
                    <w:rPr>
                      <w:rFonts w:hint="eastAsia"/>
                      <w:lang w:val="en-US" w:eastAsia="zh-CN"/>
                    </w:rPr>
                    <w:t>5</w:t>
                  </w:r>
                </w:p>
              </w:tc>
              <w:tc>
                <w:tcPr>
                  <w:tcW w:w="626" w:type="pct"/>
                  <w:noWrap/>
                  <w:vAlign w:val="center"/>
                </w:tcPr>
                <w:p w14:paraId="60DB026C">
                  <w:pPr>
                    <w:pStyle w:val="115"/>
                    <w:rPr>
                      <w:rFonts w:hint="default"/>
                    </w:rPr>
                  </w:pPr>
                  <w:r>
                    <w:rPr>
                      <w:rFonts w:hint="eastAsia"/>
                      <w:lang w:val="en-US" w:eastAsia="zh-CN"/>
                    </w:rPr>
                    <w:t>5</w:t>
                  </w:r>
                </w:p>
              </w:tc>
              <w:tc>
                <w:tcPr>
                  <w:tcW w:w="1001" w:type="pct"/>
                  <w:noWrap w:val="0"/>
                  <w:vAlign w:val="center"/>
                </w:tcPr>
                <w:p w14:paraId="1BF94AB5">
                  <w:pPr>
                    <w:pStyle w:val="115"/>
                    <w:rPr>
                      <w:rFonts w:hint="default"/>
                    </w:rPr>
                  </w:pPr>
                  <w:r>
                    <w:rPr>
                      <w:rFonts w:hint="eastAsia"/>
                      <w:lang w:val="en-US" w:eastAsia="zh-CN"/>
                    </w:rPr>
                    <w:t>--</w:t>
                  </w:r>
                </w:p>
              </w:tc>
              <w:tc>
                <w:tcPr>
                  <w:tcW w:w="643" w:type="pct"/>
                  <w:noWrap w:val="0"/>
                  <w:vAlign w:val="center"/>
                </w:tcPr>
                <w:p w14:paraId="45174F58">
                  <w:pPr>
                    <w:pStyle w:val="115"/>
                    <w:bidi w:val="0"/>
                    <w:rPr>
                      <w:rFonts w:hint="default" w:eastAsia="宋体"/>
                      <w:lang w:val="en-US" w:eastAsia="zh-CN"/>
                    </w:rPr>
                  </w:pPr>
                  <w:r>
                    <w:rPr>
                      <w:rFonts w:hint="eastAsia"/>
                      <w:lang w:val="en-US" w:eastAsia="zh-CN"/>
                    </w:rPr>
                    <w:t>--</w:t>
                  </w:r>
                </w:p>
              </w:tc>
            </w:tr>
            <w:tr w14:paraId="3E99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4944D32D">
                  <w:pPr>
                    <w:pStyle w:val="115"/>
                    <w:bidi w:val="0"/>
                    <w:rPr>
                      <w:rFonts w:hint="default"/>
                    </w:rPr>
                  </w:pPr>
                </w:p>
              </w:tc>
              <w:tc>
                <w:tcPr>
                  <w:tcW w:w="770" w:type="pct"/>
                  <w:noWrap w:val="0"/>
                  <w:vAlign w:val="center"/>
                </w:tcPr>
                <w:p w14:paraId="670311C7">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lang w:val="en-US" w:eastAsia="zh-CN"/>
                    </w:rPr>
                  </w:pPr>
                  <w:r>
                    <w:rPr>
                      <w:rFonts w:hint="eastAsia" w:ascii="Times New Roman" w:hAnsi="Times New Roman" w:eastAsia="宋体" w:cs="Times New Roman"/>
                      <w:color w:val="auto"/>
                      <w:sz w:val="21"/>
                      <w:szCs w:val="21"/>
                      <w:lang w:val="en-US" w:eastAsia="zh-CN"/>
                    </w:rPr>
                    <w:t>化学需氧量</w:t>
                  </w:r>
                </w:p>
              </w:tc>
              <w:tc>
                <w:tcPr>
                  <w:tcW w:w="625" w:type="pct"/>
                  <w:noWrap/>
                  <w:vAlign w:val="center"/>
                </w:tcPr>
                <w:p w14:paraId="2B2225F8">
                  <w:pPr>
                    <w:pStyle w:val="115"/>
                    <w:rPr>
                      <w:rFonts w:hint="default"/>
                    </w:rPr>
                  </w:pPr>
                  <w:r>
                    <w:rPr>
                      <w:rFonts w:hint="eastAsia"/>
                      <w:lang w:val="en-US" w:eastAsia="zh-CN"/>
                    </w:rPr>
                    <w:t>8</w:t>
                  </w:r>
                </w:p>
              </w:tc>
              <w:tc>
                <w:tcPr>
                  <w:tcW w:w="625" w:type="pct"/>
                  <w:noWrap/>
                  <w:vAlign w:val="center"/>
                </w:tcPr>
                <w:p w14:paraId="37DEFAA3">
                  <w:pPr>
                    <w:pStyle w:val="115"/>
                    <w:rPr>
                      <w:rFonts w:hint="default"/>
                    </w:rPr>
                  </w:pPr>
                  <w:r>
                    <w:rPr>
                      <w:rFonts w:hint="eastAsia"/>
                      <w:lang w:val="en-US" w:eastAsia="zh-CN"/>
                    </w:rPr>
                    <w:t>8</w:t>
                  </w:r>
                </w:p>
              </w:tc>
              <w:tc>
                <w:tcPr>
                  <w:tcW w:w="626" w:type="pct"/>
                  <w:noWrap/>
                  <w:vAlign w:val="center"/>
                </w:tcPr>
                <w:p w14:paraId="330299C4">
                  <w:pPr>
                    <w:pStyle w:val="115"/>
                    <w:rPr>
                      <w:rFonts w:hint="default"/>
                    </w:rPr>
                  </w:pPr>
                  <w:r>
                    <w:rPr>
                      <w:rFonts w:hint="eastAsia"/>
                      <w:lang w:val="en-US" w:eastAsia="zh-CN"/>
                    </w:rPr>
                    <w:t>8</w:t>
                  </w:r>
                </w:p>
              </w:tc>
              <w:tc>
                <w:tcPr>
                  <w:tcW w:w="1001" w:type="pct"/>
                  <w:noWrap w:val="0"/>
                  <w:vAlign w:val="center"/>
                </w:tcPr>
                <w:p w14:paraId="5BC279D1">
                  <w:pPr>
                    <w:pStyle w:val="115"/>
                    <w:rPr>
                      <w:rFonts w:hint="eastAsia"/>
                      <w:lang w:val="en-US" w:eastAsia="zh-CN"/>
                    </w:rPr>
                  </w:pPr>
                  <w:r>
                    <w:rPr>
                      <w:rFonts w:hint="default"/>
                      <w:lang w:val="en-US" w:eastAsia="zh-CN"/>
                    </w:rPr>
                    <w:t>≤</w:t>
                  </w:r>
                  <w:r>
                    <w:rPr>
                      <w:rFonts w:hint="eastAsia"/>
                      <w:lang w:val="en-US" w:eastAsia="zh-CN"/>
                    </w:rPr>
                    <w:t>20</w:t>
                  </w:r>
                </w:p>
              </w:tc>
              <w:tc>
                <w:tcPr>
                  <w:tcW w:w="643" w:type="pct"/>
                  <w:noWrap w:val="0"/>
                  <w:vAlign w:val="center"/>
                </w:tcPr>
                <w:p w14:paraId="439DB989">
                  <w:pPr>
                    <w:pStyle w:val="115"/>
                    <w:bidi w:val="0"/>
                    <w:rPr>
                      <w:rFonts w:hint="default"/>
                      <w:lang w:val="en-US" w:eastAsia="zh-CN"/>
                    </w:rPr>
                  </w:pPr>
                  <w:r>
                    <w:rPr>
                      <w:rFonts w:hint="eastAsia"/>
                      <w:lang w:val="en-US" w:eastAsia="zh-CN"/>
                    </w:rPr>
                    <w:t>达标</w:t>
                  </w:r>
                </w:p>
              </w:tc>
            </w:tr>
            <w:tr w14:paraId="5EF0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0DF05EF8">
                  <w:pPr>
                    <w:pStyle w:val="115"/>
                    <w:bidi w:val="0"/>
                    <w:rPr>
                      <w:rFonts w:hint="default"/>
                    </w:rPr>
                  </w:pPr>
                </w:p>
              </w:tc>
              <w:tc>
                <w:tcPr>
                  <w:tcW w:w="770" w:type="pct"/>
                  <w:noWrap w:val="0"/>
                  <w:vAlign w:val="center"/>
                </w:tcPr>
                <w:p w14:paraId="78E2D614">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lang w:val="en-US" w:eastAsia="zh-CN"/>
                    </w:rPr>
                  </w:pPr>
                  <w:r>
                    <w:rPr>
                      <w:rFonts w:hint="eastAsia" w:ascii="Times New Roman" w:hAnsi="Times New Roman" w:eastAsia="宋体" w:cs="Times New Roman"/>
                      <w:color w:val="auto"/>
                      <w:sz w:val="21"/>
                      <w:szCs w:val="21"/>
                      <w:lang w:val="en-US" w:eastAsia="zh-CN"/>
                    </w:rPr>
                    <w:t>石油类</w:t>
                  </w:r>
                </w:p>
              </w:tc>
              <w:tc>
                <w:tcPr>
                  <w:tcW w:w="625" w:type="pct"/>
                  <w:noWrap/>
                  <w:vAlign w:val="center"/>
                </w:tcPr>
                <w:p w14:paraId="3910F14A">
                  <w:pPr>
                    <w:pStyle w:val="115"/>
                    <w:rPr>
                      <w:rFonts w:hint="default"/>
                    </w:rPr>
                  </w:pPr>
                  <w:r>
                    <w:rPr>
                      <w:rFonts w:hint="eastAsia"/>
                      <w:lang w:val="en-US" w:eastAsia="zh-CN"/>
                    </w:rPr>
                    <w:t>0.01L</w:t>
                  </w:r>
                </w:p>
              </w:tc>
              <w:tc>
                <w:tcPr>
                  <w:tcW w:w="625" w:type="pct"/>
                  <w:noWrap/>
                  <w:vAlign w:val="center"/>
                </w:tcPr>
                <w:p w14:paraId="0680B17F">
                  <w:pPr>
                    <w:pStyle w:val="115"/>
                    <w:rPr>
                      <w:rFonts w:hint="default"/>
                    </w:rPr>
                  </w:pPr>
                  <w:r>
                    <w:rPr>
                      <w:rFonts w:hint="eastAsia"/>
                      <w:lang w:val="en-US" w:eastAsia="zh-CN"/>
                    </w:rPr>
                    <w:t>0.01</w:t>
                  </w:r>
                </w:p>
              </w:tc>
              <w:tc>
                <w:tcPr>
                  <w:tcW w:w="626" w:type="pct"/>
                  <w:noWrap/>
                  <w:vAlign w:val="center"/>
                </w:tcPr>
                <w:p w14:paraId="16EEB389">
                  <w:pPr>
                    <w:pStyle w:val="115"/>
                    <w:rPr>
                      <w:rFonts w:hint="default"/>
                    </w:rPr>
                  </w:pPr>
                  <w:r>
                    <w:rPr>
                      <w:rFonts w:hint="eastAsia"/>
                      <w:lang w:val="en-US" w:eastAsia="zh-CN"/>
                    </w:rPr>
                    <w:t>0.01L</w:t>
                  </w:r>
                </w:p>
              </w:tc>
              <w:tc>
                <w:tcPr>
                  <w:tcW w:w="1001" w:type="pct"/>
                  <w:noWrap w:val="0"/>
                  <w:vAlign w:val="center"/>
                </w:tcPr>
                <w:p w14:paraId="1E656E5C">
                  <w:pPr>
                    <w:pStyle w:val="115"/>
                    <w:rPr>
                      <w:rFonts w:hint="default"/>
                      <w:lang w:val="en-US" w:eastAsia="zh-CN"/>
                    </w:rPr>
                  </w:pPr>
                  <w:r>
                    <w:rPr>
                      <w:rFonts w:hint="default"/>
                      <w:lang w:val="en-US" w:eastAsia="zh-CN"/>
                    </w:rPr>
                    <w:t>≤</w:t>
                  </w:r>
                  <w:r>
                    <w:rPr>
                      <w:rFonts w:hint="eastAsia"/>
                      <w:lang w:val="en-US" w:eastAsia="zh-CN"/>
                    </w:rPr>
                    <w:t>0.05</w:t>
                  </w:r>
                </w:p>
              </w:tc>
              <w:tc>
                <w:tcPr>
                  <w:tcW w:w="643" w:type="pct"/>
                  <w:noWrap w:val="0"/>
                  <w:vAlign w:val="center"/>
                </w:tcPr>
                <w:p w14:paraId="58D3AA32">
                  <w:pPr>
                    <w:pStyle w:val="115"/>
                    <w:bidi w:val="0"/>
                    <w:rPr>
                      <w:rFonts w:hint="default"/>
                    </w:rPr>
                  </w:pPr>
                  <w:r>
                    <w:rPr>
                      <w:rFonts w:hint="default"/>
                    </w:rPr>
                    <w:t>达标</w:t>
                  </w:r>
                </w:p>
              </w:tc>
            </w:tr>
            <w:tr w14:paraId="5A422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00CA0DD4">
                  <w:pPr>
                    <w:pStyle w:val="115"/>
                    <w:bidi w:val="0"/>
                    <w:rPr>
                      <w:rFonts w:hint="default"/>
                    </w:rPr>
                  </w:pPr>
                </w:p>
              </w:tc>
              <w:tc>
                <w:tcPr>
                  <w:tcW w:w="770" w:type="pct"/>
                  <w:noWrap w:val="0"/>
                  <w:vAlign w:val="center"/>
                </w:tcPr>
                <w:p w14:paraId="2DFD7478">
                  <w:pPr>
                    <w:pStyle w:val="79"/>
                    <w:keepNext w:val="0"/>
                    <w:keepLines w:val="0"/>
                    <w:pageBreakBefore w:val="0"/>
                    <w:widowControl w:val="0"/>
                    <w:kinsoku/>
                    <w:wordWrap/>
                    <w:overflowPunct/>
                    <w:topLinePunct w:val="0"/>
                    <w:autoSpaceDE/>
                    <w:autoSpaceDN/>
                    <w:bidi w:val="0"/>
                    <w:adjustRightInd w:val="0"/>
                    <w:snapToGrid w:val="0"/>
                    <w:ind w:left="-60" w:leftChars="-25" w:right="-60" w:rightChars="-25"/>
                    <w:jc w:val="center"/>
                    <w:textAlignment w:val="auto"/>
                    <w:rPr>
                      <w:rFonts w:hint="default"/>
                      <w:lang w:val="en-US" w:eastAsia="zh-CN"/>
                    </w:rPr>
                  </w:pPr>
                  <w:r>
                    <w:rPr>
                      <w:rFonts w:hint="eastAsia" w:ascii="Times New Roman" w:hAnsi="宋体" w:eastAsia="宋体" w:cs="Times New Roman"/>
                      <w:b w:val="0"/>
                      <w:color w:val="000000"/>
                      <w:kern w:val="2"/>
                      <w:sz w:val="21"/>
                      <w:szCs w:val="24"/>
                      <w:lang w:val="en-US" w:eastAsia="zh-CN" w:bidi="ar-SA"/>
                    </w:rPr>
                    <w:t>总磷</w:t>
                  </w:r>
                </w:p>
              </w:tc>
              <w:tc>
                <w:tcPr>
                  <w:tcW w:w="625" w:type="pct"/>
                  <w:noWrap/>
                  <w:vAlign w:val="center"/>
                </w:tcPr>
                <w:p w14:paraId="6C0A8C71">
                  <w:pPr>
                    <w:pStyle w:val="115"/>
                    <w:rPr>
                      <w:rFonts w:hint="default"/>
                    </w:rPr>
                  </w:pPr>
                  <w:r>
                    <w:rPr>
                      <w:rFonts w:hint="eastAsia"/>
                      <w:lang w:val="en-US" w:eastAsia="zh-CN"/>
                    </w:rPr>
                    <w:t>0.03</w:t>
                  </w:r>
                </w:p>
              </w:tc>
              <w:tc>
                <w:tcPr>
                  <w:tcW w:w="625" w:type="pct"/>
                  <w:noWrap/>
                  <w:vAlign w:val="center"/>
                </w:tcPr>
                <w:p w14:paraId="57B810CA">
                  <w:pPr>
                    <w:pStyle w:val="115"/>
                    <w:rPr>
                      <w:rFonts w:hint="default"/>
                    </w:rPr>
                  </w:pPr>
                  <w:r>
                    <w:rPr>
                      <w:rFonts w:hint="eastAsia"/>
                      <w:lang w:val="en-US" w:eastAsia="zh-CN"/>
                    </w:rPr>
                    <w:t>0.02</w:t>
                  </w:r>
                </w:p>
              </w:tc>
              <w:tc>
                <w:tcPr>
                  <w:tcW w:w="626" w:type="pct"/>
                  <w:noWrap/>
                  <w:vAlign w:val="center"/>
                </w:tcPr>
                <w:p w14:paraId="38A3412D">
                  <w:pPr>
                    <w:pStyle w:val="115"/>
                    <w:rPr>
                      <w:rFonts w:hint="default"/>
                    </w:rPr>
                  </w:pPr>
                  <w:r>
                    <w:rPr>
                      <w:rFonts w:hint="eastAsia"/>
                      <w:lang w:val="en-US" w:eastAsia="zh-CN"/>
                    </w:rPr>
                    <w:t>0.03</w:t>
                  </w:r>
                </w:p>
              </w:tc>
              <w:tc>
                <w:tcPr>
                  <w:tcW w:w="1001" w:type="pct"/>
                  <w:noWrap w:val="0"/>
                  <w:vAlign w:val="center"/>
                </w:tcPr>
                <w:p w14:paraId="7EAE65B6">
                  <w:pPr>
                    <w:pStyle w:val="115"/>
                    <w:rPr>
                      <w:rFonts w:hint="default"/>
                      <w:lang w:val="en-US" w:eastAsia="zh-CN"/>
                    </w:rPr>
                  </w:pPr>
                  <w:r>
                    <w:rPr>
                      <w:rFonts w:hint="default"/>
                      <w:lang w:val="en-US" w:eastAsia="zh-CN"/>
                    </w:rPr>
                    <w:t>≤</w:t>
                  </w:r>
                  <w:r>
                    <w:rPr>
                      <w:rFonts w:hint="eastAsia"/>
                      <w:lang w:val="en-US" w:eastAsia="zh-CN"/>
                    </w:rPr>
                    <w:t>0.2</w:t>
                  </w:r>
                </w:p>
              </w:tc>
              <w:tc>
                <w:tcPr>
                  <w:tcW w:w="643" w:type="pct"/>
                  <w:noWrap w:val="0"/>
                  <w:vAlign w:val="center"/>
                </w:tcPr>
                <w:p w14:paraId="17CD31FB">
                  <w:pPr>
                    <w:pStyle w:val="115"/>
                    <w:bidi w:val="0"/>
                    <w:rPr>
                      <w:rFonts w:hint="default"/>
                    </w:rPr>
                  </w:pPr>
                  <w:r>
                    <w:rPr>
                      <w:rFonts w:hint="default"/>
                    </w:rPr>
                    <w:t>达标</w:t>
                  </w:r>
                </w:p>
              </w:tc>
            </w:tr>
            <w:tr w14:paraId="300F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4EB41A19">
                  <w:pPr>
                    <w:pStyle w:val="115"/>
                    <w:bidi w:val="0"/>
                    <w:rPr>
                      <w:rFonts w:hint="default"/>
                    </w:rPr>
                  </w:pPr>
                </w:p>
              </w:tc>
              <w:tc>
                <w:tcPr>
                  <w:tcW w:w="770" w:type="pct"/>
                  <w:noWrap w:val="0"/>
                  <w:vAlign w:val="center"/>
                </w:tcPr>
                <w:p w14:paraId="7A6D456C">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lang w:val="en-US" w:eastAsia="zh-CN"/>
                    </w:rPr>
                  </w:pPr>
                  <w:r>
                    <w:rPr>
                      <w:rFonts w:hint="eastAsia" w:ascii="Times New Roman" w:hAnsi="Times New Roman" w:eastAsia="宋体" w:cs="Times New Roman"/>
                      <w:color w:val="auto"/>
                      <w:sz w:val="21"/>
                      <w:szCs w:val="21"/>
                      <w:lang w:val="en-US" w:eastAsia="zh-CN"/>
                    </w:rPr>
                    <w:t>总氮</w:t>
                  </w:r>
                </w:p>
              </w:tc>
              <w:tc>
                <w:tcPr>
                  <w:tcW w:w="625" w:type="pct"/>
                  <w:noWrap/>
                  <w:vAlign w:val="center"/>
                </w:tcPr>
                <w:p w14:paraId="478A1D1F">
                  <w:pPr>
                    <w:pStyle w:val="115"/>
                    <w:rPr>
                      <w:rFonts w:hint="default"/>
                    </w:rPr>
                  </w:pPr>
                  <w:r>
                    <w:rPr>
                      <w:rFonts w:hint="eastAsia"/>
                      <w:lang w:val="en-US" w:eastAsia="zh-CN"/>
                    </w:rPr>
                    <w:t>0.82</w:t>
                  </w:r>
                </w:p>
              </w:tc>
              <w:tc>
                <w:tcPr>
                  <w:tcW w:w="625" w:type="pct"/>
                  <w:noWrap/>
                  <w:vAlign w:val="center"/>
                </w:tcPr>
                <w:p w14:paraId="611A8110">
                  <w:pPr>
                    <w:pStyle w:val="115"/>
                    <w:rPr>
                      <w:rFonts w:hint="default"/>
                    </w:rPr>
                  </w:pPr>
                  <w:r>
                    <w:rPr>
                      <w:rFonts w:hint="eastAsia"/>
                      <w:lang w:val="en-US" w:eastAsia="zh-CN"/>
                    </w:rPr>
                    <w:t>0.79</w:t>
                  </w:r>
                </w:p>
              </w:tc>
              <w:tc>
                <w:tcPr>
                  <w:tcW w:w="626" w:type="pct"/>
                  <w:noWrap/>
                  <w:vAlign w:val="center"/>
                </w:tcPr>
                <w:p w14:paraId="3F557167">
                  <w:pPr>
                    <w:pStyle w:val="115"/>
                    <w:rPr>
                      <w:rFonts w:hint="default"/>
                    </w:rPr>
                  </w:pPr>
                  <w:r>
                    <w:rPr>
                      <w:rFonts w:hint="eastAsia"/>
                      <w:lang w:val="en-US" w:eastAsia="zh-CN"/>
                    </w:rPr>
                    <w:t>0.83</w:t>
                  </w:r>
                </w:p>
              </w:tc>
              <w:tc>
                <w:tcPr>
                  <w:tcW w:w="1001" w:type="pct"/>
                  <w:noWrap w:val="0"/>
                  <w:vAlign w:val="center"/>
                </w:tcPr>
                <w:p w14:paraId="39D88F29">
                  <w:pPr>
                    <w:pStyle w:val="115"/>
                    <w:rPr>
                      <w:rFonts w:hint="default"/>
                      <w:lang w:val="en-US" w:eastAsia="zh-CN"/>
                    </w:rPr>
                  </w:pPr>
                  <w:r>
                    <w:rPr>
                      <w:rFonts w:hint="default"/>
                      <w:lang w:val="en-US" w:eastAsia="zh-CN"/>
                    </w:rPr>
                    <w:t>≤</w:t>
                  </w:r>
                  <w:r>
                    <w:rPr>
                      <w:rFonts w:hint="eastAsia"/>
                      <w:lang w:val="en-US" w:eastAsia="zh-CN"/>
                    </w:rPr>
                    <w:t>1.0（湖、库）</w:t>
                  </w:r>
                </w:p>
              </w:tc>
              <w:tc>
                <w:tcPr>
                  <w:tcW w:w="643" w:type="pct"/>
                  <w:noWrap w:val="0"/>
                  <w:vAlign w:val="center"/>
                </w:tcPr>
                <w:p w14:paraId="2B99C2B7">
                  <w:pPr>
                    <w:pStyle w:val="115"/>
                    <w:bidi w:val="0"/>
                    <w:rPr>
                      <w:rFonts w:hint="default"/>
                    </w:rPr>
                  </w:pPr>
                  <w:r>
                    <w:rPr>
                      <w:rFonts w:hint="default"/>
                    </w:rPr>
                    <w:t>达标</w:t>
                  </w:r>
                </w:p>
              </w:tc>
            </w:tr>
            <w:tr w14:paraId="7001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615BA70E">
                  <w:pPr>
                    <w:pStyle w:val="115"/>
                    <w:bidi w:val="0"/>
                    <w:rPr>
                      <w:rFonts w:hint="default"/>
                    </w:rPr>
                  </w:pPr>
                </w:p>
              </w:tc>
              <w:tc>
                <w:tcPr>
                  <w:tcW w:w="770" w:type="pct"/>
                  <w:noWrap w:val="0"/>
                  <w:vAlign w:val="center"/>
                </w:tcPr>
                <w:p w14:paraId="220E1042">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lang w:val="en-US" w:eastAsia="zh-CN"/>
                    </w:rPr>
                  </w:pPr>
                  <w:r>
                    <w:rPr>
                      <w:rFonts w:hint="eastAsia" w:ascii="Times New Roman" w:hAnsi="Times New Roman" w:eastAsia="宋体" w:cs="Times New Roman"/>
                      <w:b w:val="0"/>
                      <w:bCs w:val="0"/>
                      <w:color w:val="000000"/>
                      <w:kern w:val="2"/>
                      <w:sz w:val="21"/>
                      <w:szCs w:val="21"/>
                      <w:highlight w:val="none"/>
                      <w:lang w:val="en-US" w:eastAsia="zh-CN" w:bidi="ar-SA"/>
                    </w:rPr>
                    <w:t>氟化物</w:t>
                  </w:r>
                </w:p>
              </w:tc>
              <w:tc>
                <w:tcPr>
                  <w:tcW w:w="625" w:type="pct"/>
                  <w:noWrap/>
                  <w:vAlign w:val="center"/>
                </w:tcPr>
                <w:p w14:paraId="1517F834">
                  <w:pPr>
                    <w:pStyle w:val="115"/>
                    <w:rPr>
                      <w:rFonts w:hint="default"/>
                    </w:rPr>
                  </w:pPr>
                  <w:r>
                    <w:rPr>
                      <w:rFonts w:hint="eastAsia"/>
                      <w:lang w:val="en-US" w:eastAsia="zh-CN"/>
                    </w:rPr>
                    <w:t>0.1L</w:t>
                  </w:r>
                </w:p>
              </w:tc>
              <w:tc>
                <w:tcPr>
                  <w:tcW w:w="625" w:type="pct"/>
                  <w:noWrap/>
                  <w:vAlign w:val="center"/>
                </w:tcPr>
                <w:p w14:paraId="1A55F1E3">
                  <w:pPr>
                    <w:pStyle w:val="115"/>
                    <w:rPr>
                      <w:rFonts w:hint="default"/>
                    </w:rPr>
                  </w:pPr>
                  <w:r>
                    <w:rPr>
                      <w:rFonts w:hint="eastAsia"/>
                      <w:lang w:val="en-US" w:eastAsia="zh-CN"/>
                    </w:rPr>
                    <w:t>0.1L</w:t>
                  </w:r>
                </w:p>
              </w:tc>
              <w:tc>
                <w:tcPr>
                  <w:tcW w:w="626" w:type="pct"/>
                  <w:noWrap/>
                  <w:vAlign w:val="center"/>
                </w:tcPr>
                <w:p w14:paraId="50667140">
                  <w:pPr>
                    <w:pStyle w:val="115"/>
                    <w:rPr>
                      <w:rFonts w:hint="default"/>
                    </w:rPr>
                  </w:pPr>
                  <w:r>
                    <w:rPr>
                      <w:rFonts w:hint="eastAsia"/>
                      <w:lang w:val="en-US" w:eastAsia="zh-CN"/>
                    </w:rPr>
                    <w:t>0.1L</w:t>
                  </w:r>
                </w:p>
              </w:tc>
              <w:tc>
                <w:tcPr>
                  <w:tcW w:w="1001" w:type="pct"/>
                  <w:noWrap w:val="0"/>
                  <w:vAlign w:val="center"/>
                </w:tcPr>
                <w:p w14:paraId="129CD087">
                  <w:pPr>
                    <w:pStyle w:val="115"/>
                    <w:rPr>
                      <w:rFonts w:hint="default"/>
                      <w:lang w:val="en-US" w:eastAsia="zh-CN"/>
                    </w:rPr>
                  </w:pPr>
                  <w:r>
                    <w:rPr>
                      <w:rFonts w:hint="default"/>
                      <w:lang w:val="en-US" w:eastAsia="zh-CN"/>
                    </w:rPr>
                    <w:t>≤</w:t>
                  </w:r>
                  <w:r>
                    <w:rPr>
                      <w:rFonts w:hint="eastAsia"/>
                      <w:lang w:val="en-US" w:eastAsia="zh-CN"/>
                    </w:rPr>
                    <w:t>1.0</w:t>
                  </w:r>
                </w:p>
              </w:tc>
              <w:tc>
                <w:tcPr>
                  <w:tcW w:w="643" w:type="pct"/>
                  <w:noWrap w:val="0"/>
                  <w:vAlign w:val="center"/>
                </w:tcPr>
                <w:p w14:paraId="01E49433">
                  <w:pPr>
                    <w:pStyle w:val="115"/>
                    <w:bidi w:val="0"/>
                    <w:rPr>
                      <w:rFonts w:hint="default"/>
                    </w:rPr>
                  </w:pPr>
                  <w:r>
                    <w:rPr>
                      <w:rFonts w:hint="default"/>
                    </w:rPr>
                    <w:t>达标</w:t>
                  </w:r>
                </w:p>
              </w:tc>
            </w:tr>
            <w:tr w14:paraId="7222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5A088E64">
                  <w:pPr>
                    <w:pStyle w:val="115"/>
                    <w:bidi w:val="0"/>
                    <w:rPr>
                      <w:rFonts w:hint="default"/>
                    </w:rPr>
                  </w:pPr>
                </w:p>
              </w:tc>
              <w:tc>
                <w:tcPr>
                  <w:tcW w:w="770" w:type="pct"/>
                  <w:noWrap w:val="0"/>
                  <w:vAlign w:val="center"/>
                </w:tcPr>
                <w:p w14:paraId="06F60A5A">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氯化物</w:t>
                  </w:r>
                </w:p>
              </w:tc>
              <w:tc>
                <w:tcPr>
                  <w:tcW w:w="625" w:type="pct"/>
                  <w:noWrap/>
                  <w:vAlign w:val="center"/>
                </w:tcPr>
                <w:p w14:paraId="29718C16">
                  <w:pPr>
                    <w:pStyle w:val="115"/>
                    <w:rPr>
                      <w:rFonts w:hint="default"/>
                    </w:rPr>
                  </w:pPr>
                  <w:r>
                    <w:rPr>
                      <w:rFonts w:hint="eastAsia"/>
                      <w:lang w:val="en-US" w:eastAsia="zh-CN"/>
                    </w:rPr>
                    <w:t>0.70</w:t>
                  </w:r>
                </w:p>
              </w:tc>
              <w:tc>
                <w:tcPr>
                  <w:tcW w:w="625" w:type="pct"/>
                  <w:noWrap/>
                  <w:vAlign w:val="center"/>
                </w:tcPr>
                <w:p w14:paraId="453ACF08">
                  <w:pPr>
                    <w:pStyle w:val="115"/>
                    <w:rPr>
                      <w:rFonts w:hint="default"/>
                    </w:rPr>
                  </w:pPr>
                  <w:r>
                    <w:rPr>
                      <w:rFonts w:hint="eastAsia"/>
                      <w:lang w:val="en-US" w:eastAsia="zh-CN"/>
                    </w:rPr>
                    <w:t>0.73</w:t>
                  </w:r>
                </w:p>
              </w:tc>
              <w:tc>
                <w:tcPr>
                  <w:tcW w:w="626" w:type="pct"/>
                  <w:noWrap/>
                  <w:vAlign w:val="center"/>
                </w:tcPr>
                <w:p w14:paraId="6279ED2B">
                  <w:pPr>
                    <w:pStyle w:val="115"/>
                    <w:rPr>
                      <w:rFonts w:hint="default"/>
                    </w:rPr>
                  </w:pPr>
                  <w:r>
                    <w:rPr>
                      <w:rFonts w:hint="eastAsia"/>
                      <w:lang w:val="en-US" w:eastAsia="zh-CN"/>
                    </w:rPr>
                    <w:t>0.69</w:t>
                  </w:r>
                </w:p>
              </w:tc>
              <w:tc>
                <w:tcPr>
                  <w:tcW w:w="1001" w:type="pct"/>
                  <w:noWrap w:val="0"/>
                  <w:vAlign w:val="center"/>
                </w:tcPr>
                <w:p w14:paraId="54480B4A">
                  <w:pPr>
                    <w:pStyle w:val="115"/>
                    <w:rPr>
                      <w:rFonts w:hint="default"/>
                      <w:lang w:val="en-US" w:eastAsia="zh-CN"/>
                    </w:rPr>
                  </w:pPr>
                  <w:r>
                    <w:rPr>
                      <w:rFonts w:hint="default"/>
                      <w:lang w:val="en-US" w:eastAsia="zh-CN"/>
                    </w:rPr>
                    <w:t>≤</w:t>
                  </w:r>
                  <w:r>
                    <w:rPr>
                      <w:rFonts w:hint="eastAsia"/>
                      <w:lang w:val="en-US" w:eastAsia="zh-CN"/>
                    </w:rPr>
                    <w:t>250</w:t>
                  </w:r>
                </w:p>
              </w:tc>
              <w:tc>
                <w:tcPr>
                  <w:tcW w:w="643" w:type="pct"/>
                  <w:noWrap w:val="0"/>
                  <w:vAlign w:val="center"/>
                </w:tcPr>
                <w:p w14:paraId="2BBB35CC">
                  <w:pPr>
                    <w:pStyle w:val="115"/>
                    <w:bidi w:val="0"/>
                    <w:rPr>
                      <w:rFonts w:hint="default"/>
                    </w:rPr>
                  </w:pPr>
                  <w:r>
                    <w:rPr>
                      <w:rFonts w:hint="default"/>
                    </w:rPr>
                    <w:t>达标</w:t>
                  </w:r>
                </w:p>
              </w:tc>
            </w:tr>
            <w:tr w14:paraId="174B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1E42E126">
                  <w:pPr>
                    <w:pStyle w:val="115"/>
                    <w:bidi w:val="0"/>
                    <w:rPr>
                      <w:rFonts w:hint="default"/>
                    </w:rPr>
                  </w:pPr>
                </w:p>
              </w:tc>
              <w:tc>
                <w:tcPr>
                  <w:tcW w:w="770" w:type="pct"/>
                  <w:noWrap w:val="0"/>
                  <w:vAlign w:val="center"/>
                </w:tcPr>
                <w:p w14:paraId="1BA02A10">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硫酸盐</w:t>
                  </w:r>
                </w:p>
              </w:tc>
              <w:tc>
                <w:tcPr>
                  <w:tcW w:w="625" w:type="pct"/>
                  <w:noWrap/>
                  <w:vAlign w:val="center"/>
                </w:tcPr>
                <w:p w14:paraId="252538E8">
                  <w:pPr>
                    <w:pStyle w:val="115"/>
                    <w:rPr>
                      <w:rFonts w:hint="default"/>
                    </w:rPr>
                  </w:pPr>
                  <w:r>
                    <w:rPr>
                      <w:rFonts w:hint="eastAsia"/>
                      <w:lang w:val="en-US" w:eastAsia="zh-CN"/>
                    </w:rPr>
                    <w:t>10.8</w:t>
                  </w:r>
                </w:p>
              </w:tc>
              <w:tc>
                <w:tcPr>
                  <w:tcW w:w="625" w:type="pct"/>
                  <w:noWrap/>
                  <w:vAlign w:val="center"/>
                </w:tcPr>
                <w:p w14:paraId="6FC854AA">
                  <w:pPr>
                    <w:pStyle w:val="115"/>
                    <w:rPr>
                      <w:rFonts w:hint="default"/>
                    </w:rPr>
                  </w:pPr>
                  <w:r>
                    <w:rPr>
                      <w:rFonts w:hint="eastAsia"/>
                      <w:lang w:val="en-US" w:eastAsia="zh-CN"/>
                    </w:rPr>
                    <w:t>22.7</w:t>
                  </w:r>
                </w:p>
              </w:tc>
              <w:tc>
                <w:tcPr>
                  <w:tcW w:w="626" w:type="pct"/>
                  <w:noWrap/>
                  <w:vAlign w:val="center"/>
                </w:tcPr>
                <w:p w14:paraId="4309B1CF">
                  <w:pPr>
                    <w:pStyle w:val="115"/>
                    <w:rPr>
                      <w:rFonts w:hint="default"/>
                    </w:rPr>
                  </w:pPr>
                  <w:r>
                    <w:rPr>
                      <w:rFonts w:hint="eastAsia"/>
                      <w:lang w:val="en-US" w:eastAsia="zh-CN"/>
                    </w:rPr>
                    <w:t>10.8</w:t>
                  </w:r>
                </w:p>
              </w:tc>
              <w:tc>
                <w:tcPr>
                  <w:tcW w:w="1001" w:type="pct"/>
                  <w:noWrap w:val="0"/>
                  <w:vAlign w:val="center"/>
                </w:tcPr>
                <w:p w14:paraId="4D89185E">
                  <w:pPr>
                    <w:pStyle w:val="115"/>
                    <w:rPr>
                      <w:rFonts w:hint="default"/>
                      <w:lang w:val="en-US" w:eastAsia="zh-CN"/>
                    </w:rPr>
                  </w:pPr>
                  <w:r>
                    <w:rPr>
                      <w:rFonts w:hint="default"/>
                      <w:lang w:val="en-US" w:eastAsia="zh-CN"/>
                    </w:rPr>
                    <w:t>≤</w:t>
                  </w:r>
                  <w:r>
                    <w:rPr>
                      <w:rFonts w:hint="eastAsia"/>
                      <w:lang w:val="en-US" w:eastAsia="zh-CN"/>
                    </w:rPr>
                    <w:t>250</w:t>
                  </w:r>
                </w:p>
              </w:tc>
              <w:tc>
                <w:tcPr>
                  <w:tcW w:w="643" w:type="pct"/>
                  <w:noWrap w:val="0"/>
                  <w:vAlign w:val="center"/>
                </w:tcPr>
                <w:p w14:paraId="0EF97272">
                  <w:pPr>
                    <w:pStyle w:val="115"/>
                    <w:bidi w:val="0"/>
                    <w:rPr>
                      <w:rFonts w:hint="eastAsia" w:eastAsia="宋体"/>
                      <w:lang w:eastAsia="zh-CN"/>
                    </w:rPr>
                  </w:pPr>
                  <w:r>
                    <w:rPr>
                      <w:rFonts w:hint="eastAsia"/>
                      <w:lang w:val="en-US" w:eastAsia="zh-CN"/>
                    </w:rPr>
                    <w:t>达标</w:t>
                  </w:r>
                </w:p>
              </w:tc>
            </w:tr>
            <w:tr w14:paraId="4126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3D8B0C99">
                  <w:pPr>
                    <w:pStyle w:val="115"/>
                    <w:bidi w:val="0"/>
                    <w:rPr>
                      <w:rFonts w:hint="default"/>
                    </w:rPr>
                  </w:pPr>
                </w:p>
              </w:tc>
              <w:tc>
                <w:tcPr>
                  <w:tcW w:w="770" w:type="pct"/>
                  <w:noWrap w:val="0"/>
                  <w:vAlign w:val="center"/>
                </w:tcPr>
                <w:p w14:paraId="17AE757A">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六价铬</w:t>
                  </w:r>
                </w:p>
              </w:tc>
              <w:tc>
                <w:tcPr>
                  <w:tcW w:w="625" w:type="pct"/>
                  <w:noWrap/>
                  <w:vAlign w:val="center"/>
                </w:tcPr>
                <w:p w14:paraId="6743D4A9">
                  <w:pPr>
                    <w:pStyle w:val="115"/>
                    <w:rPr>
                      <w:rFonts w:hint="default"/>
                    </w:rPr>
                  </w:pPr>
                  <w:r>
                    <w:rPr>
                      <w:rFonts w:hint="eastAsia"/>
                      <w:lang w:val="en-US" w:eastAsia="zh-CN"/>
                    </w:rPr>
                    <w:t>0.004L</w:t>
                  </w:r>
                </w:p>
              </w:tc>
              <w:tc>
                <w:tcPr>
                  <w:tcW w:w="625" w:type="pct"/>
                  <w:noWrap/>
                  <w:vAlign w:val="center"/>
                </w:tcPr>
                <w:p w14:paraId="39554B6D">
                  <w:pPr>
                    <w:pStyle w:val="115"/>
                    <w:rPr>
                      <w:rFonts w:hint="default"/>
                    </w:rPr>
                  </w:pPr>
                  <w:r>
                    <w:rPr>
                      <w:rFonts w:hint="eastAsia"/>
                      <w:lang w:val="en-US" w:eastAsia="zh-CN"/>
                    </w:rPr>
                    <w:t>0.004L</w:t>
                  </w:r>
                </w:p>
              </w:tc>
              <w:tc>
                <w:tcPr>
                  <w:tcW w:w="626" w:type="pct"/>
                  <w:noWrap/>
                  <w:vAlign w:val="center"/>
                </w:tcPr>
                <w:p w14:paraId="4573664E">
                  <w:pPr>
                    <w:pStyle w:val="115"/>
                    <w:rPr>
                      <w:rFonts w:hint="default"/>
                    </w:rPr>
                  </w:pPr>
                  <w:r>
                    <w:rPr>
                      <w:rFonts w:hint="eastAsia"/>
                      <w:lang w:val="en-US" w:eastAsia="zh-CN"/>
                    </w:rPr>
                    <w:t>0.004L</w:t>
                  </w:r>
                </w:p>
              </w:tc>
              <w:tc>
                <w:tcPr>
                  <w:tcW w:w="1001" w:type="pct"/>
                  <w:noWrap w:val="0"/>
                  <w:vAlign w:val="center"/>
                </w:tcPr>
                <w:p w14:paraId="1D492321">
                  <w:pPr>
                    <w:pStyle w:val="115"/>
                    <w:rPr>
                      <w:rFonts w:hint="default"/>
                    </w:rPr>
                  </w:pPr>
                  <w:r>
                    <w:rPr>
                      <w:rFonts w:hint="default"/>
                      <w:lang w:val="en-US" w:eastAsia="zh-CN"/>
                    </w:rPr>
                    <w:t>≤</w:t>
                  </w:r>
                  <w:r>
                    <w:rPr>
                      <w:rFonts w:hint="eastAsia"/>
                      <w:lang w:val="en-US" w:eastAsia="zh-CN"/>
                    </w:rPr>
                    <w:t>0.05</w:t>
                  </w:r>
                </w:p>
              </w:tc>
              <w:tc>
                <w:tcPr>
                  <w:tcW w:w="643" w:type="pct"/>
                  <w:noWrap w:val="0"/>
                  <w:vAlign w:val="center"/>
                </w:tcPr>
                <w:p w14:paraId="4030CFDC">
                  <w:pPr>
                    <w:pStyle w:val="115"/>
                    <w:bidi w:val="0"/>
                    <w:rPr>
                      <w:rFonts w:hint="default"/>
                    </w:rPr>
                  </w:pPr>
                  <w:r>
                    <w:rPr>
                      <w:rFonts w:hint="default"/>
                    </w:rPr>
                    <w:t>达标</w:t>
                  </w:r>
                </w:p>
              </w:tc>
            </w:tr>
            <w:tr w14:paraId="750D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6B8A8419">
                  <w:pPr>
                    <w:pStyle w:val="115"/>
                    <w:bidi w:val="0"/>
                    <w:rPr>
                      <w:rFonts w:hint="default"/>
                    </w:rPr>
                  </w:pPr>
                </w:p>
              </w:tc>
              <w:tc>
                <w:tcPr>
                  <w:tcW w:w="770" w:type="pct"/>
                  <w:noWrap w:val="0"/>
                  <w:vAlign w:val="center"/>
                </w:tcPr>
                <w:p w14:paraId="04E0E8F8">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砷</w:t>
                  </w:r>
                </w:p>
              </w:tc>
              <w:tc>
                <w:tcPr>
                  <w:tcW w:w="625" w:type="pct"/>
                  <w:noWrap/>
                  <w:vAlign w:val="center"/>
                </w:tcPr>
                <w:p w14:paraId="5817B9B5">
                  <w:pPr>
                    <w:pStyle w:val="115"/>
                    <w:rPr>
                      <w:rFonts w:hint="default"/>
                    </w:rPr>
                  </w:pPr>
                  <w:r>
                    <w:rPr>
                      <w:rFonts w:hint="eastAsia"/>
                      <w:lang w:val="en-US" w:eastAsia="zh-CN"/>
                    </w:rPr>
                    <w:t>0.0003L</w:t>
                  </w:r>
                </w:p>
              </w:tc>
              <w:tc>
                <w:tcPr>
                  <w:tcW w:w="625" w:type="pct"/>
                  <w:noWrap/>
                  <w:vAlign w:val="center"/>
                </w:tcPr>
                <w:p w14:paraId="0FFAEE3F">
                  <w:pPr>
                    <w:pStyle w:val="115"/>
                    <w:rPr>
                      <w:rFonts w:hint="default"/>
                    </w:rPr>
                  </w:pPr>
                  <w:r>
                    <w:rPr>
                      <w:rFonts w:hint="eastAsia"/>
                      <w:lang w:val="en-US" w:eastAsia="zh-CN"/>
                    </w:rPr>
                    <w:t>0.0003L</w:t>
                  </w:r>
                </w:p>
              </w:tc>
              <w:tc>
                <w:tcPr>
                  <w:tcW w:w="626" w:type="pct"/>
                  <w:noWrap/>
                  <w:vAlign w:val="center"/>
                </w:tcPr>
                <w:p w14:paraId="68B646DD">
                  <w:pPr>
                    <w:pStyle w:val="115"/>
                    <w:rPr>
                      <w:rFonts w:hint="default"/>
                    </w:rPr>
                  </w:pPr>
                  <w:r>
                    <w:rPr>
                      <w:rFonts w:hint="eastAsia"/>
                      <w:lang w:val="en-US" w:eastAsia="zh-CN"/>
                    </w:rPr>
                    <w:t>0.0003L</w:t>
                  </w:r>
                </w:p>
              </w:tc>
              <w:tc>
                <w:tcPr>
                  <w:tcW w:w="1001" w:type="pct"/>
                  <w:noWrap w:val="0"/>
                  <w:vAlign w:val="center"/>
                </w:tcPr>
                <w:p w14:paraId="10E2B75B">
                  <w:pPr>
                    <w:pStyle w:val="115"/>
                    <w:rPr>
                      <w:rFonts w:hint="default"/>
                    </w:rPr>
                  </w:pPr>
                  <w:r>
                    <w:rPr>
                      <w:rFonts w:hint="default"/>
                      <w:lang w:val="en-US" w:eastAsia="zh-CN"/>
                    </w:rPr>
                    <w:t>≤</w:t>
                  </w:r>
                  <w:r>
                    <w:rPr>
                      <w:rFonts w:hint="eastAsia"/>
                      <w:lang w:val="en-US" w:eastAsia="zh-CN"/>
                    </w:rPr>
                    <w:t>0.05</w:t>
                  </w:r>
                </w:p>
              </w:tc>
              <w:tc>
                <w:tcPr>
                  <w:tcW w:w="643" w:type="pct"/>
                  <w:noWrap w:val="0"/>
                  <w:vAlign w:val="center"/>
                </w:tcPr>
                <w:p w14:paraId="0BE97FA2">
                  <w:pPr>
                    <w:pStyle w:val="115"/>
                    <w:bidi w:val="0"/>
                    <w:rPr>
                      <w:rFonts w:hint="default"/>
                    </w:rPr>
                  </w:pPr>
                  <w:r>
                    <w:rPr>
                      <w:rFonts w:hint="default"/>
                    </w:rPr>
                    <w:t>达标</w:t>
                  </w:r>
                </w:p>
              </w:tc>
            </w:tr>
            <w:tr w14:paraId="321E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703B1DB9">
                  <w:pPr>
                    <w:pStyle w:val="115"/>
                    <w:bidi w:val="0"/>
                    <w:rPr>
                      <w:rFonts w:hint="default"/>
                    </w:rPr>
                  </w:pPr>
                </w:p>
              </w:tc>
              <w:tc>
                <w:tcPr>
                  <w:tcW w:w="770" w:type="pct"/>
                  <w:noWrap w:val="0"/>
                  <w:vAlign w:val="center"/>
                </w:tcPr>
                <w:p w14:paraId="31528E97">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汞</w:t>
                  </w:r>
                </w:p>
              </w:tc>
              <w:tc>
                <w:tcPr>
                  <w:tcW w:w="625" w:type="pct"/>
                  <w:noWrap/>
                  <w:vAlign w:val="center"/>
                </w:tcPr>
                <w:p w14:paraId="1B3A7896">
                  <w:pPr>
                    <w:pStyle w:val="115"/>
                    <w:rPr>
                      <w:rFonts w:hint="default"/>
                    </w:rPr>
                  </w:pPr>
                  <w:r>
                    <w:rPr>
                      <w:rFonts w:hint="eastAsia"/>
                      <w:lang w:val="en-US" w:eastAsia="zh-CN"/>
                    </w:rPr>
                    <w:t>0.00004L</w:t>
                  </w:r>
                </w:p>
              </w:tc>
              <w:tc>
                <w:tcPr>
                  <w:tcW w:w="625" w:type="pct"/>
                  <w:noWrap/>
                  <w:vAlign w:val="center"/>
                </w:tcPr>
                <w:p w14:paraId="2D779941">
                  <w:pPr>
                    <w:pStyle w:val="115"/>
                    <w:rPr>
                      <w:rFonts w:hint="default"/>
                    </w:rPr>
                  </w:pPr>
                  <w:r>
                    <w:rPr>
                      <w:rFonts w:hint="eastAsia"/>
                      <w:lang w:val="en-US" w:eastAsia="zh-CN"/>
                    </w:rPr>
                    <w:t>0.00004L</w:t>
                  </w:r>
                </w:p>
              </w:tc>
              <w:tc>
                <w:tcPr>
                  <w:tcW w:w="626" w:type="pct"/>
                  <w:noWrap/>
                  <w:vAlign w:val="center"/>
                </w:tcPr>
                <w:p w14:paraId="578FE56D">
                  <w:pPr>
                    <w:pStyle w:val="115"/>
                    <w:rPr>
                      <w:rFonts w:hint="default"/>
                    </w:rPr>
                  </w:pPr>
                  <w:r>
                    <w:rPr>
                      <w:rFonts w:hint="eastAsia"/>
                      <w:lang w:val="en-US" w:eastAsia="zh-CN"/>
                    </w:rPr>
                    <w:t>0.00004L</w:t>
                  </w:r>
                </w:p>
              </w:tc>
              <w:tc>
                <w:tcPr>
                  <w:tcW w:w="1001" w:type="pct"/>
                  <w:noWrap w:val="0"/>
                  <w:vAlign w:val="center"/>
                </w:tcPr>
                <w:p w14:paraId="01B0EFD7">
                  <w:pPr>
                    <w:pStyle w:val="115"/>
                    <w:rPr>
                      <w:rFonts w:hint="eastAsia"/>
                      <w:lang w:eastAsia="zh-CN"/>
                    </w:rPr>
                  </w:pPr>
                  <w:r>
                    <w:rPr>
                      <w:rFonts w:hint="default"/>
                      <w:lang w:val="en-US" w:eastAsia="zh-CN"/>
                    </w:rPr>
                    <w:t>≤</w:t>
                  </w:r>
                  <w:r>
                    <w:rPr>
                      <w:rFonts w:hint="eastAsia"/>
                      <w:lang w:val="en-US" w:eastAsia="zh-CN"/>
                    </w:rPr>
                    <w:t>0.0001</w:t>
                  </w:r>
                </w:p>
              </w:tc>
              <w:tc>
                <w:tcPr>
                  <w:tcW w:w="643" w:type="pct"/>
                  <w:noWrap w:val="0"/>
                  <w:vAlign w:val="center"/>
                </w:tcPr>
                <w:p w14:paraId="74AD3FED">
                  <w:pPr>
                    <w:pStyle w:val="115"/>
                    <w:bidi w:val="0"/>
                    <w:rPr>
                      <w:rFonts w:hint="default"/>
                    </w:rPr>
                  </w:pPr>
                  <w:r>
                    <w:rPr>
                      <w:rFonts w:hint="default"/>
                    </w:rPr>
                    <w:t>达标</w:t>
                  </w:r>
                </w:p>
              </w:tc>
            </w:tr>
            <w:tr w14:paraId="2A5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4EC6EBB9">
                  <w:pPr>
                    <w:pStyle w:val="115"/>
                    <w:bidi w:val="0"/>
                    <w:rPr>
                      <w:rFonts w:hint="default"/>
                    </w:rPr>
                  </w:pPr>
                </w:p>
              </w:tc>
              <w:tc>
                <w:tcPr>
                  <w:tcW w:w="770" w:type="pct"/>
                  <w:noWrap w:val="0"/>
                  <w:vAlign w:val="center"/>
                </w:tcPr>
                <w:p w14:paraId="1C56DAC6">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镉</w:t>
                  </w:r>
                </w:p>
              </w:tc>
              <w:tc>
                <w:tcPr>
                  <w:tcW w:w="625" w:type="pct"/>
                  <w:noWrap/>
                  <w:vAlign w:val="center"/>
                </w:tcPr>
                <w:p w14:paraId="048DC9FF">
                  <w:pPr>
                    <w:pStyle w:val="115"/>
                    <w:rPr>
                      <w:rFonts w:hint="default"/>
                    </w:rPr>
                  </w:pPr>
                  <w:r>
                    <w:rPr>
                      <w:rFonts w:hint="eastAsia"/>
                      <w:lang w:val="en-US" w:eastAsia="zh-CN"/>
                    </w:rPr>
                    <w:t>0.0001L</w:t>
                  </w:r>
                </w:p>
              </w:tc>
              <w:tc>
                <w:tcPr>
                  <w:tcW w:w="625" w:type="pct"/>
                  <w:noWrap/>
                  <w:vAlign w:val="center"/>
                </w:tcPr>
                <w:p w14:paraId="5707C8DB">
                  <w:pPr>
                    <w:pStyle w:val="115"/>
                    <w:rPr>
                      <w:rFonts w:hint="default"/>
                    </w:rPr>
                  </w:pPr>
                  <w:r>
                    <w:rPr>
                      <w:rFonts w:hint="eastAsia"/>
                      <w:lang w:val="en-US" w:eastAsia="zh-CN"/>
                    </w:rPr>
                    <w:t>0.0001L</w:t>
                  </w:r>
                </w:p>
              </w:tc>
              <w:tc>
                <w:tcPr>
                  <w:tcW w:w="626" w:type="pct"/>
                  <w:noWrap/>
                  <w:vAlign w:val="center"/>
                </w:tcPr>
                <w:p w14:paraId="6E125708">
                  <w:pPr>
                    <w:pStyle w:val="115"/>
                    <w:rPr>
                      <w:rFonts w:hint="default"/>
                    </w:rPr>
                  </w:pPr>
                  <w:r>
                    <w:rPr>
                      <w:rFonts w:hint="eastAsia"/>
                      <w:lang w:val="en-US" w:eastAsia="zh-CN"/>
                    </w:rPr>
                    <w:t>0.0001L</w:t>
                  </w:r>
                </w:p>
              </w:tc>
              <w:tc>
                <w:tcPr>
                  <w:tcW w:w="1001" w:type="pct"/>
                  <w:noWrap w:val="0"/>
                  <w:vAlign w:val="center"/>
                </w:tcPr>
                <w:p w14:paraId="138ED0EB">
                  <w:pPr>
                    <w:pStyle w:val="115"/>
                    <w:rPr>
                      <w:rFonts w:hint="eastAsia"/>
                      <w:lang w:eastAsia="zh-CN"/>
                    </w:rPr>
                  </w:pPr>
                  <w:r>
                    <w:rPr>
                      <w:rFonts w:hint="default"/>
                      <w:lang w:val="en-US" w:eastAsia="zh-CN"/>
                    </w:rPr>
                    <w:t>≤</w:t>
                  </w:r>
                  <w:r>
                    <w:rPr>
                      <w:rFonts w:hint="eastAsia"/>
                      <w:lang w:val="en-US" w:eastAsia="zh-CN"/>
                    </w:rPr>
                    <w:t>0.005</w:t>
                  </w:r>
                </w:p>
              </w:tc>
              <w:tc>
                <w:tcPr>
                  <w:tcW w:w="643" w:type="pct"/>
                  <w:noWrap w:val="0"/>
                  <w:vAlign w:val="center"/>
                </w:tcPr>
                <w:p w14:paraId="5FDB3C01">
                  <w:pPr>
                    <w:pStyle w:val="115"/>
                    <w:bidi w:val="0"/>
                    <w:rPr>
                      <w:rFonts w:hint="default"/>
                    </w:rPr>
                  </w:pPr>
                  <w:r>
                    <w:rPr>
                      <w:rFonts w:hint="default"/>
                    </w:rPr>
                    <w:t>达标</w:t>
                  </w:r>
                </w:p>
              </w:tc>
            </w:tr>
            <w:tr w14:paraId="2228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324CDDD1">
                  <w:pPr>
                    <w:pStyle w:val="115"/>
                    <w:bidi w:val="0"/>
                    <w:rPr>
                      <w:rFonts w:hint="default"/>
                    </w:rPr>
                  </w:pPr>
                </w:p>
              </w:tc>
              <w:tc>
                <w:tcPr>
                  <w:tcW w:w="770" w:type="pct"/>
                  <w:noWrap w:val="0"/>
                  <w:vAlign w:val="center"/>
                </w:tcPr>
                <w:p w14:paraId="6BAADDC7">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铅</w:t>
                  </w:r>
                </w:p>
              </w:tc>
              <w:tc>
                <w:tcPr>
                  <w:tcW w:w="625" w:type="pct"/>
                  <w:noWrap/>
                  <w:vAlign w:val="center"/>
                </w:tcPr>
                <w:p w14:paraId="1DA844C2">
                  <w:pPr>
                    <w:pStyle w:val="115"/>
                    <w:rPr>
                      <w:rFonts w:hint="default"/>
                    </w:rPr>
                  </w:pPr>
                  <w:r>
                    <w:rPr>
                      <w:rFonts w:hint="eastAsia"/>
                      <w:lang w:val="en-US" w:eastAsia="zh-CN"/>
                    </w:rPr>
                    <w:t>0.001L</w:t>
                  </w:r>
                </w:p>
              </w:tc>
              <w:tc>
                <w:tcPr>
                  <w:tcW w:w="625" w:type="pct"/>
                  <w:noWrap/>
                  <w:vAlign w:val="center"/>
                </w:tcPr>
                <w:p w14:paraId="6C4FE2E9">
                  <w:pPr>
                    <w:pStyle w:val="115"/>
                    <w:rPr>
                      <w:rFonts w:hint="default"/>
                    </w:rPr>
                  </w:pPr>
                  <w:r>
                    <w:rPr>
                      <w:rFonts w:hint="eastAsia"/>
                      <w:lang w:val="en-US" w:eastAsia="zh-CN"/>
                    </w:rPr>
                    <w:t>0.001L</w:t>
                  </w:r>
                </w:p>
              </w:tc>
              <w:tc>
                <w:tcPr>
                  <w:tcW w:w="626" w:type="pct"/>
                  <w:noWrap/>
                  <w:vAlign w:val="center"/>
                </w:tcPr>
                <w:p w14:paraId="50BF73E0">
                  <w:pPr>
                    <w:pStyle w:val="115"/>
                    <w:rPr>
                      <w:rFonts w:hint="default"/>
                    </w:rPr>
                  </w:pPr>
                  <w:r>
                    <w:rPr>
                      <w:rFonts w:hint="eastAsia"/>
                      <w:lang w:val="en-US" w:eastAsia="zh-CN"/>
                    </w:rPr>
                    <w:t>0.001L</w:t>
                  </w:r>
                </w:p>
              </w:tc>
              <w:tc>
                <w:tcPr>
                  <w:tcW w:w="1001" w:type="pct"/>
                  <w:noWrap w:val="0"/>
                  <w:vAlign w:val="center"/>
                </w:tcPr>
                <w:p w14:paraId="74C39F6D">
                  <w:pPr>
                    <w:pStyle w:val="115"/>
                    <w:rPr>
                      <w:rFonts w:hint="default"/>
                    </w:rPr>
                  </w:pPr>
                  <w:r>
                    <w:rPr>
                      <w:rFonts w:hint="default"/>
                      <w:lang w:val="en-US" w:eastAsia="zh-CN"/>
                    </w:rPr>
                    <w:t>≤</w:t>
                  </w:r>
                  <w:r>
                    <w:rPr>
                      <w:rFonts w:hint="eastAsia"/>
                      <w:lang w:val="en-US" w:eastAsia="zh-CN"/>
                    </w:rPr>
                    <w:t>0.05</w:t>
                  </w:r>
                </w:p>
              </w:tc>
              <w:tc>
                <w:tcPr>
                  <w:tcW w:w="643" w:type="pct"/>
                  <w:noWrap w:val="0"/>
                  <w:vAlign w:val="center"/>
                </w:tcPr>
                <w:p w14:paraId="2B2D3AEC">
                  <w:pPr>
                    <w:pStyle w:val="115"/>
                    <w:bidi w:val="0"/>
                    <w:rPr>
                      <w:rFonts w:hint="default"/>
                    </w:rPr>
                  </w:pPr>
                  <w:r>
                    <w:rPr>
                      <w:rFonts w:hint="default"/>
                    </w:rPr>
                    <w:t>达标</w:t>
                  </w:r>
                </w:p>
              </w:tc>
            </w:tr>
            <w:tr w14:paraId="2046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644B508A">
                  <w:pPr>
                    <w:pStyle w:val="115"/>
                    <w:bidi w:val="0"/>
                    <w:rPr>
                      <w:rFonts w:hint="default"/>
                    </w:rPr>
                  </w:pPr>
                </w:p>
              </w:tc>
              <w:tc>
                <w:tcPr>
                  <w:tcW w:w="770" w:type="pct"/>
                  <w:noWrap w:val="0"/>
                  <w:vAlign w:val="center"/>
                </w:tcPr>
                <w:p w14:paraId="5D8016A4">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highlight w:val="none"/>
                      <w:lang w:val="en-US" w:eastAsia="zh-CN" w:bidi="ar-SA"/>
                    </w:rPr>
                    <w:t>镍</w:t>
                  </w:r>
                </w:p>
              </w:tc>
              <w:tc>
                <w:tcPr>
                  <w:tcW w:w="625" w:type="pct"/>
                  <w:noWrap/>
                  <w:vAlign w:val="center"/>
                </w:tcPr>
                <w:p w14:paraId="6E618918">
                  <w:pPr>
                    <w:pStyle w:val="115"/>
                    <w:rPr>
                      <w:rFonts w:hint="default"/>
                    </w:rPr>
                  </w:pPr>
                  <w:r>
                    <w:rPr>
                      <w:rFonts w:hint="eastAsia"/>
                      <w:lang w:val="en-US" w:eastAsia="zh-CN"/>
                    </w:rPr>
                    <w:t>0.005L</w:t>
                  </w:r>
                </w:p>
              </w:tc>
              <w:tc>
                <w:tcPr>
                  <w:tcW w:w="625" w:type="pct"/>
                  <w:noWrap/>
                  <w:vAlign w:val="center"/>
                </w:tcPr>
                <w:p w14:paraId="306FDB0B">
                  <w:pPr>
                    <w:pStyle w:val="115"/>
                    <w:rPr>
                      <w:rFonts w:hint="default"/>
                    </w:rPr>
                  </w:pPr>
                  <w:r>
                    <w:rPr>
                      <w:rFonts w:hint="eastAsia"/>
                      <w:lang w:val="en-US" w:eastAsia="zh-CN"/>
                    </w:rPr>
                    <w:t>0.005L</w:t>
                  </w:r>
                </w:p>
              </w:tc>
              <w:tc>
                <w:tcPr>
                  <w:tcW w:w="626" w:type="pct"/>
                  <w:noWrap/>
                  <w:vAlign w:val="center"/>
                </w:tcPr>
                <w:p w14:paraId="4C14321B">
                  <w:pPr>
                    <w:pStyle w:val="115"/>
                    <w:rPr>
                      <w:rFonts w:hint="default"/>
                    </w:rPr>
                  </w:pPr>
                  <w:r>
                    <w:rPr>
                      <w:rFonts w:hint="eastAsia"/>
                      <w:lang w:val="en-US" w:eastAsia="zh-CN"/>
                    </w:rPr>
                    <w:t>0.005L</w:t>
                  </w:r>
                </w:p>
              </w:tc>
              <w:tc>
                <w:tcPr>
                  <w:tcW w:w="1001" w:type="pct"/>
                  <w:noWrap w:val="0"/>
                  <w:vAlign w:val="center"/>
                </w:tcPr>
                <w:p w14:paraId="577FA783">
                  <w:pPr>
                    <w:pStyle w:val="115"/>
                    <w:rPr>
                      <w:rFonts w:hint="default"/>
                    </w:rPr>
                  </w:pPr>
                  <w:r>
                    <w:rPr>
                      <w:rFonts w:hint="default"/>
                      <w:lang w:val="en-US" w:eastAsia="zh-CN"/>
                    </w:rPr>
                    <w:t>≤</w:t>
                  </w:r>
                  <w:r>
                    <w:rPr>
                      <w:rFonts w:hint="eastAsia"/>
                      <w:lang w:val="en-US" w:eastAsia="zh-CN"/>
                    </w:rPr>
                    <w:t>0.02</w:t>
                  </w:r>
                </w:p>
              </w:tc>
              <w:tc>
                <w:tcPr>
                  <w:tcW w:w="643" w:type="pct"/>
                  <w:noWrap w:val="0"/>
                  <w:vAlign w:val="center"/>
                </w:tcPr>
                <w:p w14:paraId="7587C596">
                  <w:pPr>
                    <w:pStyle w:val="115"/>
                    <w:bidi w:val="0"/>
                    <w:rPr>
                      <w:rFonts w:hint="default"/>
                    </w:rPr>
                  </w:pPr>
                  <w:r>
                    <w:rPr>
                      <w:rFonts w:hint="default"/>
                    </w:rPr>
                    <w:t>达标</w:t>
                  </w:r>
                </w:p>
              </w:tc>
            </w:tr>
            <w:tr w14:paraId="6236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pct"/>
                  <w:vMerge w:val="continue"/>
                  <w:noWrap w:val="0"/>
                  <w:vAlign w:val="center"/>
                </w:tcPr>
                <w:p w14:paraId="4A0727BF">
                  <w:pPr>
                    <w:pStyle w:val="115"/>
                    <w:bidi w:val="0"/>
                    <w:rPr>
                      <w:rFonts w:hint="default"/>
                    </w:rPr>
                  </w:pPr>
                </w:p>
              </w:tc>
              <w:tc>
                <w:tcPr>
                  <w:tcW w:w="770" w:type="pct"/>
                  <w:noWrap w:val="0"/>
                  <w:vAlign w:val="center"/>
                </w:tcPr>
                <w:p w14:paraId="77E45F4B">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default"/>
                    </w:rPr>
                  </w:pPr>
                  <w:r>
                    <w:rPr>
                      <w:rFonts w:hint="eastAsia" w:ascii="Times New Roman" w:hAnsi="Times New Roman" w:eastAsia="宋体" w:cs="Times New Roman"/>
                      <w:b w:val="0"/>
                      <w:bCs w:val="0"/>
                      <w:color w:val="000000"/>
                      <w:kern w:val="2"/>
                      <w:sz w:val="21"/>
                      <w:szCs w:val="21"/>
                      <w:lang w:val="en-US" w:eastAsia="zh-CN" w:bidi="ar-SA"/>
                    </w:rPr>
                    <w:t>锰</w:t>
                  </w:r>
                </w:p>
              </w:tc>
              <w:tc>
                <w:tcPr>
                  <w:tcW w:w="625" w:type="pct"/>
                  <w:noWrap/>
                  <w:vAlign w:val="center"/>
                </w:tcPr>
                <w:p w14:paraId="0DA45082">
                  <w:pPr>
                    <w:pStyle w:val="115"/>
                    <w:rPr>
                      <w:rFonts w:hint="default"/>
                    </w:rPr>
                  </w:pPr>
                  <w:r>
                    <w:rPr>
                      <w:rFonts w:hint="eastAsia"/>
                      <w:lang w:val="en-US" w:eastAsia="zh-CN"/>
                    </w:rPr>
                    <w:t>0.01L</w:t>
                  </w:r>
                </w:p>
              </w:tc>
              <w:tc>
                <w:tcPr>
                  <w:tcW w:w="625" w:type="pct"/>
                  <w:noWrap/>
                  <w:vAlign w:val="center"/>
                </w:tcPr>
                <w:p w14:paraId="18048094">
                  <w:pPr>
                    <w:pStyle w:val="115"/>
                    <w:rPr>
                      <w:rFonts w:hint="default"/>
                    </w:rPr>
                  </w:pPr>
                  <w:r>
                    <w:rPr>
                      <w:rFonts w:hint="eastAsia"/>
                      <w:lang w:val="en-US" w:eastAsia="zh-CN"/>
                    </w:rPr>
                    <w:t>0.01L</w:t>
                  </w:r>
                </w:p>
              </w:tc>
              <w:tc>
                <w:tcPr>
                  <w:tcW w:w="626" w:type="pct"/>
                  <w:noWrap/>
                  <w:vAlign w:val="center"/>
                </w:tcPr>
                <w:p w14:paraId="3A245918">
                  <w:pPr>
                    <w:pStyle w:val="115"/>
                    <w:rPr>
                      <w:rFonts w:hint="default"/>
                    </w:rPr>
                  </w:pPr>
                  <w:r>
                    <w:rPr>
                      <w:rFonts w:hint="eastAsia"/>
                      <w:lang w:val="en-US" w:eastAsia="zh-CN"/>
                    </w:rPr>
                    <w:t>0.01L</w:t>
                  </w:r>
                </w:p>
              </w:tc>
              <w:tc>
                <w:tcPr>
                  <w:tcW w:w="1001" w:type="pct"/>
                  <w:noWrap w:val="0"/>
                  <w:vAlign w:val="center"/>
                </w:tcPr>
                <w:p w14:paraId="6EAF4DCC">
                  <w:pPr>
                    <w:pStyle w:val="115"/>
                    <w:rPr>
                      <w:rFonts w:hint="default"/>
                    </w:rPr>
                  </w:pPr>
                  <w:r>
                    <w:rPr>
                      <w:rFonts w:hint="default"/>
                      <w:lang w:val="en-US" w:eastAsia="zh-CN"/>
                    </w:rPr>
                    <w:t>≤</w:t>
                  </w:r>
                  <w:r>
                    <w:rPr>
                      <w:rFonts w:hint="eastAsia"/>
                      <w:lang w:val="en-US" w:eastAsia="zh-CN"/>
                    </w:rPr>
                    <w:t>0.1</w:t>
                  </w:r>
                </w:p>
              </w:tc>
              <w:tc>
                <w:tcPr>
                  <w:tcW w:w="643" w:type="pct"/>
                  <w:noWrap w:val="0"/>
                  <w:vAlign w:val="center"/>
                </w:tcPr>
                <w:p w14:paraId="2FC5B805">
                  <w:pPr>
                    <w:pStyle w:val="115"/>
                    <w:bidi w:val="0"/>
                    <w:rPr>
                      <w:rFonts w:hint="default"/>
                    </w:rPr>
                  </w:pPr>
                  <w:r>
                    <w:rPr>
                      <w:rFonts w:hint="default"/>
                    </w:rPr>
                    <w:t>达标</w:t>
                  </w:r>
                </w:p>
              </w:tc>
            </w:tr>
          </w:tbl>
          <w:p w14:paraId="67B8F6E9">
            <w:pPr>
              <w:bidi w:val="0"/>
              <w:rPr>
                <w:rFonts w:hint="default"/>
                <w:lang w:val="en-US" w:eastAsia="zh-CN"/>
              </w:rPr>
            </w:pPr>
            <w:r>
              <w:rPr>
                <w:rFonts w:hint="eastAsia"/>
                <w:lang w:val="en-US" w:eastAsia="zh-CN"/>
              </w:rPr>
              <w:t>由监测结果可知，项目场区矿坑积水水质均达到《地表水环境质量标准》（GB3838-2002）</w:t>
            </w:r>
            <w:r>
              <w:rPr>
                <w:rFonts w:hint="default"/>
                <w:lang w:val="en-US" w:eastAsia="zh-CN"/>
              </w:rPr>
              <w:t>Ⅲ</w:t>
            </w:r>
            <w:r>
              <w:rPr>
                <w:rFonts w:hint="eastAsia"/>
                <w:lang w:val="en-US" w:eastAsia="zh-CN"/>
              </w:rPr>
              <w:t>类水质要求。</w:t>
            </w:r>
          </w:p>
          <w:p w14:paraId="7BC2F84A">
            <w:pPr>
              <w:pStyle w:val="4"/>
              <w:bidi w:val="0"/>
            </w:pPr>
            <w:bookmarkStart w:id="46" w:name="_Toc6585"/>
            <w:bookmarkStart w:id="47" w:name="_Toc23897"/>
            <w:bookmarkStart w:id="48" w:name="_Toc28112"/>
            <w:r>
              <w:rPr>
                <w:rFonts w:hint="eastAsia"/>
                <w:lang w:val="en-US" w:eastAsia="zh-CN"/>
              </w:rPr>
              <w:t>3.3</w:t>
            </w:r>
            <w:r>
              <w:rPr>
                <w:rFonts w:hint="eastAsia"/>
              </w:rPr>
              <w:t>声环境质量现状</w:t>
            </w:r>
            <w:bookmarkEnd w:id="46"/>
            <w:bookmarkEnd w:id="47"/>
            <w:bookmarkEnd w:id="48"/>
          </w:p>
          <w:p w14:paraId="7850051C">
            <w:pPr>
              <w:bidi w:val="0"/>
              <w:rPr>
                <w:rFonts w:hint="eastAsia"/>
              </w:rPr>
            </w:pPr>
            <w:r>
              <w:rPr>
                <w:rFonts w:hint="eastAsia"/>
              </w:rPr>
              <w:t>根据《建设项目环境影响报告表编制技术指南》（污染影响类）（试行）可知，厂界外周边50米范围内存在声环境保护目标的建设项目，应监测保护目标声环境质量现状并评价达标情况。本项目建筑垃圾消纳场位于洪江市</w:t>
            </w:r>
            <w:r>
              <w:rPr>
                <w:rFonts w:hint="eastAsia"/>
                <w:lang w:eastAsia="zh-CN"/>
              </w:rPr>
              <w:t>安江镇</w:t>
            </w:r>
            <w:r>
              <w:rPr>
                <w:rFonts w:hint="eastAsia"/>
              </w:rPr>
              <w:t>龙田村海龙形，项目周边50m范围内无居民点等声环境保护目标，故本项目无需进行声环境质量现状评价。</w:t>
            </w:r>
          </w:p>
          <w:p w14:paraId="54F7C8D3">
            <w:pPr>
              <w:pStyle w:val="4"/>
              <w:bidi w:val="0"/>
            </w:pPr>
            <w:bookmarkStart w:id="49" w:name="_Toc7213"/>
            <w:bookmarkStart w:id="50" w:name="_Toc17599"/>
            <w:bookmarkStart w:id="51" w:name="_Toc13355"/>
            <w:r>
              <w:rPr>
                <w:rFonts w:hint="eastAsia"/>
                <w:lang w:val="en-US" w:eastAsia="zh-CN"/>
              </w:rPr>
              <w:t>3.4</w:t>
            </w:r>
            <w:r>
              <w:rPr>
                <w:rFonts w:hint="eastAsia"/>
              </w:rPr>
              <w:t>生态环境质量现状评价</w:t>
            </w:r>
            <w:bookmarkEnd w:id="49"/>
            <w:bookmarkEnd w:id="50"/>
            <w:bookmarkEnd w:id="51"/>
          </w:p>
          <w:p w14:paraId="5496E74E">
            <w:pPr>
              <w:bidi w:val="0"/>
              <w:rPr>
                <w:rFonts w:hint="default"/>
                <w:lang w:val="en-US" w:eastAsia="zh-CN"/>
              </w:rPr>
            </w:pPr>
            <w:r>
              <w:rPr>
                <w:rFonts w:hint="default"/>
                <w:lang w:val="en-US" w:eastAsia="zh-CN"/>
              </w:rPr>
              <w:t>1、项目四至情况</w:t>
            </w:r>
          </w:p>
          <w:p w14:paraId="44434E71">
            <w:pPr>
              <w:bidi w:val="0"/>
              <w:rPr>
                <w:rFonts w:hint="default"/>
                <w:lang w:val="en-US" w:eastAsia="zh-CN"/>
              </w:rPr>
            </w:pPr>
            <w:r>
              <w:rPr>
                <w:rFonts w:hint="default"/>
                <w:lang w:val="en-US" w:eastAsia="zh-CN"/>
              </w:rPr>
              <w:t>本项目选址位于洪江市安江镇龙田村海龙形，G320国道西侧，周边500m范围内仅有两处散户居民点（东侧约200m海龙形散户、东北侧430m城西村居民点），且有山体阻隔，环境敏感性较低。</w:t>
            </w:r>
            <w:r>
              <w:rPr>
                <w:rFonts w:hint="default"/>
                <w:u w:val="single"/>
                <w:lang w:val="en-US" w:eastAsia="zh-CN"/>
              </w:rPr>
              <w:t>项目不占用基本农田</w:t>
            </w:r>
            <w:r>
              <w:rPr>
                <w:rFonts w:hint="eastAsia"/>
                <w:u w:val="single"/>
                <w:lang w:val="en-US" w:eastAsia="zh-CN"/>
              </w:rPr>
              <w:t>、生态保护红线</w:t>
            </w:r>
            <w:r>
              <w:rPr>
                <w:rFonts w:hint="default"/>
                <w:u w:val="single"/>
                <w:lang w:val="en-US" w:eastAsia="zh-CN"/>
              </w:rPr>
              <w:t>，已取得建设项目用地预审与选址意见书</w:t>
            </w:r>
            <w:r>
              <w:rPr>
                <w:rFonts w:hint="eastAsia"/>
                <w:u w:val="single"/>
                <w:lang w:val="en-US" w:eastAsia="zh-CN"/>
              </w:rPr>
              <w:t>（</w:t>
            </w:r>
            <w:r>
              <w:rPr>
                <w:rFonts w:hint="eastAsia"/>
                <w:color w:val="auto"/>
                <w:u w:val="single"/>
                <w:lang w:val="en-US" w:eastAsia="zh-CN"/>
              </w:rPr>
              <w:t>用地面积包括一期工程、二期工程总用地面积</w:t>
            </w:r>
            <w:r>
              <w:rPr>
                <w:rFonts w:hint="eastAsia"/>
                <w:u w:val="single"/>
                <w:lang w:val="en-US" w:eastAsia="zh-CN"/>
              </w:rPr>
              <w:t>）、使用林地审核同意书（</w:t>
            </w:r>
            <w:r>
              <w:rPr>
                <w:rFonts w:hint="eastAsia"/>
                <w:color w:val="auto"/>
                <w:u w:val="single"/>
                <w:lang w:val="en-US" w:eastAsia="zh-CN"/>
              </w:rPr>
              <w:t>用地面积为一期工程用地</w:t>
            </w:r>
            <w:r>
              <w:rPr>
                <w:rFonts w:hint="eastAsia"/>
                <w:u w:val="single"/>
                <w:lang w:val="en-US" w:eastAsia="zh-CN"/>
              </w:rPr>
              <w:t>）</w:t>
            </w:r>
            <w:r>
              <w:rPr>
                <w:rFonts w:hint="default"/>
                <w:u w:val="single"/>
                <w:lang w:val="en-US" w:eastAsia="zh-CN"/>
              </w:rPr>
              <w:t>，四至关系清晰，交通便利。</w:t>
            </w:r>
          </w:p>
          <w:p w14:paraId="472C64FB">
            <w:pPr>
              <w:bidi w:val="0"/>
              <w:rPr>
                <w:rFonts w:hint="default"/>
                <w:u w:val="single"/>
                <w:lang w:val="en-US" w:eastAsia="zh-CN"/>
              </w:rPr>
            </w:pPr>
            <w:r>
              <w:rPr>
                <w:rFonts w:hint="default"/>
                <w:u w:val="single"/>
                <w:lang w:val="en-US" w:eastAsia="zh-CN"/>
              </w:rPr>
              <w:t>2、生态环境现状</w:t>
            </w:r>
          </w:p>
          <w:p w14:paraId="7C0454DB">
            <w:pPr>
              <w:bidi w:val="0"/>
              <w:rPr>
                <w:rFonts w:hint="default"/>
                <w:u w:val="single"/>
                <w:lang w:val="en-US" w:eastAsia="zh-CN"/>
              </w:rPr>
            </w:pPr>
            <w:r>
              <w:rPr>
                <w:rFonts w:hint="default"/>
                <w:u w:val="single"/>
                <w:lang w:val="en-US" w:eastAsia="zh-CN"/>
              </w:rPr>
              <w:t>（1）生态系统类型及特征</w:t>
            </w:r>
          </w:p>
          <w:p w14:paraId="4B634FC6">
            <w:pPr>
              <w:bidi w:val="0"/>
              <w:rPr>
                <w:rFonts w:hint="default"/>
                <w:u w:val="single"/>
                <w:lang w:val="en-US" w:eastAsia="zh-CN"/>
              </w:rPr>
            </w:pPr>
            <w:r>
              <w:rPr>
                <w:rFonts w:hint="default"/>
                <w:u w:val="single"/>
                <w:lang w:val="en-US" w:eastAsia="zh-CN"/>
              </w:rPr>
              <w:t>项目所在区域以林地生态系统为主，植被覆盖主要为次生灌丛和灌木林，群落结构相对简单，常见乡土树种和草种</w:t>
            </w:r>
            <w:r>
              <w:rPr>
                <w:rFonts w:hint="eastAsia"/>
                <w:u w:val="single"/>
                <w:lang w:val="en-US" w:eastAsia="zh-CN"/>
              </w:rPr>
              <w:t>，</w:t>
            </w:r>
            <w:r>
              <w:rPr>
                <w:rFonts w:hint="default"/>
                <w:u w:val="single"/>
                <w:lang w:val="en-US" w:eastAsia="zh-CN"/>
              </w:rPr>
              <w:t>受过去采矿活动的影响，场地内保留了裸露的岩石开采面以及少量积水的坑塘。</w:t>
            </w:r>
          </w:p>
          <w:p w14:paraId="0959D445">
            <w:pPr>
              <w:bidi w:val="0"/>
              <w:rPr>
                <w:rFonts w:hint="default"/>
                <w:lang w:val="en-US" w:eastAsia="zh-CN"/>
              </w:rPr>
            </w:pPr>
            <w:r>
              <w:rPr>
                <w:rFonts w:hint="default"/>
                <w:lang w:val="en-US" w:eastAsia="zh-CN"/>
              </w:rPr>
              <w:t>（2）植被资源现状</w:t>
            </w:r>
          </w:p>
          <w:p w14:paraId="16F74F40">
            <w:pPr>
              <w:bidi w:val="0"/>
              <w:rPr>
                <w:rFonts w:hint="default"/>
                <w:lang w:val="en-US" w:eastAsia="zh-CN"/>
              </w:rPr>
            </w:pPr>
            <w:r>
              <w:rPr>
                <w:rFonts w:hint="default"/>
                <w:lang w:val="en-US" w:eastAsia="zh-CN"/>
              </w:rPr>
              <w:t>拟建区域因人为活动较少，植被以自然植被为主。乔木层主要分布于堆填场坑塘南侧及西南侧山坡，优势种为马尾松；灌丛以盐肤木为主，与狗尾草、马齿苋等草本植物共同构成灌木丛；草本层以苍耳、五节芒为优势种。整体植被覆盖度中等，未发现珍稀濒危或重点保护植物分布。</w:t>
            </w:r>
          </w:p>
          <w:p w14:paraId="661629E9">
            <w:pPr>
              <w:bidi w:val="0"/>
              <w:rPr>
                <w:rFonts w:hint="default"/>
                <w:lang w:val="en-US" w:eastAsia="zh-CN"/>
              </w:rPr>
            </w:pPr>
            <w:r>
              <w:rPr>
                <w:rFonts w:hint="default"/>
                <w:lang w:val="en-US" w:eastAsia="zh-CN"/>
              </w:rPr>
              <w:t>（3）野生动物资源现状</w:t>
            </w:r>
          </w:p>
          <w:p w14:paraId="730DA5F6">
            <w:pPr>
              <w:bidi w:val="0"/>
              <w:rPr>
                <w:rFonts w:hint="default"/>
                <w:lang w:val="en-US" w:eastAsia="zh-CN"/>
              </w:rPr>
            </w:pPr>
            <w:r>
              <w:rPr>
                <w:rFonts w:hint="default"/>
                <w:lang w:val="en-US" w:eastAsia="zh-CN"/>
              </w:rPr>
              <w:t>区域野生动物以小型兽类及常见鸟类为主，包括野兔、田鼠、山鼠、黄鼠狼等兽类，以及山斑鸠、喜鹊、麻雀、大山雀、家燕等鸟类。经现场调查并走访周边群众，评价范围内未发现国家重点保护野生动物及其集中栖息地，也未发现重要迁徙通道。项目区域不属于野生动物重要栖息地，动物种群结构简单，生态功能一般。</w:t>
            </w:r>
          </w:p>
          <w:p w14:paraId="211863C7">
            <w:pPr>
              <w:bidi w:val="0"/>
              <w:rPr>
                <w:rFonts w:hint="default"/>
                <w:lang w:val="en-US" w:eastAsia="zh-CN"/>
              </w:rPr>
            </w:pPr>
            <w:r>
              <w:rPr>
                <w:rFonts w:hint="eastAsia"/>
                <w:lang w:val="en-US" w:eastAsia="zh-CN"/>
              </w:rPr>
              <w:t>3、</w:t>
            </w:r>
            <w:r>
              <w:rPr>
                <w:rFonts w:hint="default"/>
                <w:lang w:val="en-US" w:eastAsia="zh-CN"/>
              </w:rPr>
              <w:t>生态环境质量综合评价</w:t>
            </w:r>
          </w:p>
          <w:p w14:paraId="059664E1">
            <w:pPr>
              <w:bidi w:val="0"/>
              <w:rPr>
                <w:rFonts w:hint="default"/>
                <w:lang w:val="en-US" w:eastAsia="zh-CN"/>
              </w:rPr>
            </w:pPr>
            <w:r>
              <w:rPr>
                <w:rFonts w:hint="default"/>
                <w:lang w:val="en-US" w:eastAsia="zh-CN"/>
              </w:rPr>
              <w:t>综上所述，项目所在区域生态系统结构相对简单，植被以次生灌丛和草本为主，野生动物种类较少且均为常见种，无珍稀濒危物种分布，生态敏感性总体较低。历史采矿活动造成的裸露开采面和积水坑塘降低了局部生境质量，但周边林地连续性好，具备生态恢复潜力。</w:t>
            </w:r>
          </w:p>
          <w:p w14:paraId="69ADDF9F">
            <w:pPr>
              <w:pStyle w:val="4"/>
              <w:bidi w:val="0"/>
              <w:rPr>
                <w:rFonts w:hint="default"/>
                <w:lang w:val="en-US" w:eastAsia="zh-CN"/>
              </w:rPr>
            </w:pPr>
            <w:bookmarkStart w:id="52" w:name="_Toc30429"/>
            <w:bookmarkStart w:id="53" w:name="_Toc11069"/>
            <w:bookmarkStart w:id="54" w:name="_Toc23382"/>
            <w:r>
              <w:rPr>
                <w:rFonts w:hint="eastAsia"/>
                <w:lang w:val="en-US" w:eastAsia="zh-CN"/>
              </w:rPr>
              <w:t>3.5土壤环境质量现状评价</w:t>
            </w:r>
            <w:bookmarkEnd w:id="52"/>
            <w:bookmarkEnd w:id="53"/>
            <w:bookmarkEnd w:id="54"/>
          </w:p>
          <w:p w14:paraId="01C0094F">
            <w:pPr>
              <w:bidi w:val="0"/>
              <w:rPr>
                <w:rFonts w:hint="default"/>
                <w:lang w:val="en-US" w:eastAsia="zh-CN"/>
              </w:rPr>
            </w:pPr>
            <w:r>
              <w:rPr>
                <w:rFonts w:hint="default"/>
                <w:lang w:val="en-US" w:eastAsia="zh-CN"/>
              </w:rPr>
              <w:t>根据《建设项目环境影响报告表编制技术指南》（污染影响类）（试行），土壤原则上不开展环境质量现状调查。建设项目存在土壤环境污染途径的，应结合污染源、保护目标分布情况开展现状调查以留作背景值。</w:t>
            </w:r>
          </w:p>
          <w:p w14:paraId="239CAE9C">
            <w:pPr>
              <w:bidi w:val="0"/>
              <w:rPr>
                <w:rFonts w:hint="default"/>
                <w:lang w:val="en-US" w:eastAsia="zh-CN"/>
              </w:rPr>
            </w:pPr>
            <w:r>
              <w:rPr>
                <w:rFonts w:hint="eastAsia"/>
                <w:lang w:val="en-US" w:eastAsia="zh-CN"/>
              </w:rPr>
              <w:t>同时结合《建筑垃圾污染控制技术规范》HJ1462-2026第7.2.3堆填利用前应开展环境本底调查，包括堆填利用区域的土壤环境、地下水环境以及地表水环境等，可参考已有的环境影响评价以及相关水文地质资料。因此本环评对项目建筑垃圾消纳场北区中部进行了土壤环境现状本底调查。</w:t>
            </w:r>
          </w:p>
          <w:p w14:paraId="2692DF1A">
            <w:pPr>
              <w:bidi w:val="0"/>
              <w:rPr>
                <w:rFonts w:hint="default"/>
                <w:lang w:val="en-US" w:eastAsia="zh-CN"/>
              </w:rPr>
            </w:pPr>
            <w:r>
              <w:rPr>
                <w:rFonts w:hint="eastAsia"/>
                <w:lang w:val="en-US" w:eastAsia="zh-CN"/>
              </w:rPr>
              <w:t>1、</w:t>
            </w:r>
            <w:r>
              <w:rPr>
                <w:rFonts w:hint="default"/>
                <w:lang w:val="en-US" w:eastAsia="zh-CN"/>
              </w:rPr>
              <w:t>监测点位布设及监测因子见下表。</w:t>
            </w:r>
          </w:p>
          <w:p w14:paraId="57A4A1CB">
            <w:pPr>
              <w:pStyle w:val="44"/>
              <w:bidi w:val="0"/>
            </w:pPr>
            <w:r>
              <w:t>表</w:t>
            </w:r>
            <w:r>
              <w:rPr>
                <w:rFonts w:hint="eastAsia"/>
                <w:lang w:val="en-US" w:eastAsia="zh-CN"/>
              </w:rPr>
              <w:t>3.5-1：</w:t>
            </w:r>
            <w:r>
              <w:t>土壤环境质量监测布点及监测因子一览表</w:t>
            </w:r>
          </w:p>
          <w:tbl>
            <w:tblPr>
              <w:tblStyle w:val="3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09"/>
              <w:gridCol w:w="876"/>
              <w:gridCol w:w="1028"/>
              <w:gridCol w:w="674"/>
              <w:gridCol w:w="1298"/>
              <w:gridCol w:w="2815"/>
              <w:gridCol w:w="1065"/>
            </w:tblGrid>
            <w:tr w14:paraId="218117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809" w:type="dxa"/>
                  <w:noWrap w:val="0"/>
                  <w:vAlign w:val="center"/>
                </w:tcPr>
                <w:p w14:paraId="2CFD87F3">
                  <w:pPr>
                    <w:pStyle w:val="115"/>
                    <w:bidi w:val="0"/>
                    <w:rPr>
                      <w:b/>
                      <w:bCs/>
                    </w:rPr>
                  </w:pPr>
                  <w:r>
                    <w:rPr>
                      <w:b/>
                      <w:bCs/>
                    </w:rPr>
                    <w:t>区域</w:t>
                  </w:r>
                </w:p>
              </w:tc>
              <w:tc>
                <w:tcPr>
                  <w:tcW w:w="876" w:type="dxa"/>
                  <w:noWrap w:val="0"/>
                  <w:vAlign w:val="center"/>
                </w:tcPr>
                <w:p w14:paraId="76CDCA17">
                  <w:pPr>
                    <w:pStyle w:val="115"/>
                    <w:bidi w:val="0"/>
                    <w:rPr>
                      <w:b/>
                      <w:bCs/>
                    </w:rPr>
                  </w:pPr>
                  <w:r>
                    <w:rPr>
                      <w:b/>
                      <w:bCs/>
                    </w:rPr>
                    <w:t>编号</w:t>
                  </w:r>
                </w:p>
              </w:tc>
              <w:tc>
                <w:tcPr>
                  <w:tcW w:w="1028" w:type="dxa"/>
                  <w:noWrap w:val="0"/>
                  <w:vAlign w:val="center"/>
                </w:tcPr>
                <w:p w14:paraId="4830A7E2">
                  <w:pPr>
                    <w:pStyle w:val="115"/>
                    <w:bidi w:val="0"/>
                    <w:rPr>
                      <w:b/>
                      <w:bCs/>
                    </w:rPr>
                  </w:pPr>
                  <w:r>
                    <w:rPr>
                      <w:b/>
                      <w:bCs/>
                    </w:rPr>
                    <w:t>监测点</w:t>
                  </w:r>
                </w:p>
              </w:tc>
              <w:tc>
                <w:tcPr>
                  <w:tcW w:w="674" w:type="dxa"/>
                  <w:noWrap w:val="0"/>
                  <w:vAlign w:val="center"/>
                </w:tcPr>
                <w:p w14:paraId="0E740CBA">
                  <w:pPr>
                    <w:pStyle w:val="115"/>
                    <w:bidi w:val="0"/>
                    <w:rPr>
                      <w:b/>
                      <w:bCs/>
                    </w:rPr>
                  </w:pPr>
                  <w:r>
                    <w:rPr>
                      <w:b/>
                      <w:bCs/>
                    </w:rPr>
                    <w:t>样品</w:t>
                  </w:r>
                </w:p>
              </w:tc>
              <w:tc>
                <w:tcPr>
                  <w:tcW w:w="1298" w:type="dxa"/>
                  <w:noWrap w:val="0"/>
                  <w:vAlign w:val="center"/>
                </w:tcPr>
                <w:p w14:paraId="3342B715">
                  <w:pPr>
                    <w:pStyle w:val="115"/>
                    <w:bidi w:val="0"/>
                    <w:rPr>
                      <w:b/>
                      <w:bCs/>
                    </w:rPr>
                  </w:pPr>
                  <w:r>
                    <w:rPr>
                      <w:b/>
                      <w:bCs/>
                    </w:rPr>
                    <w:t>采样深度</w:t>
                  </w:r>
                </w:p>
              </w:tc>
              <w:tc>
                <w:tcPr>
                  <w:tcW w:w="2815" w:type="dxa"/>
                  <w:noWrap w:val="0"/>
                  <w:vAlign w:val="center"/>
                </w:tcPr>
                <w:p w14:paraId="77CE56E0">
                  <w:pPr>
                    <w:pStyle w:val="115"/>
                    <w:bidi w:val="0"/>
                    <w:rPr>
                      <w:b/>
                      <w:bCs/>
                    </w:rPr>
                  </w:pPr>
                  <w:r>
                    <w:rPr>
                      <w:b/>
                      <w:bCs/>
                    </w:rPr>
                    <w:t>监测因子</w:t>
                  </w:r>
                </w:p>
              </w:tc>
              <w:tc>
                <w:tcPr>
                  <w:tcW w:w="1065" w:type="dxa"/>
                  <w:noWrap w:val="0"/>
                  <w:vAlign w:val="center"/>
                </w:tcPr>
                <w:p w14:paraId="6A54046A">
                  <w:pPr>
                    <w:pStyle w:val="115"/>
                    <w:bidi w:val="0"/>
                    <w:rPr>
                      <w:b/>
                      <w:bCs/>
                    </w:rPr>
                  </w:pPr>
                  <w:r>
                    <w:rPr>
                      <w:b/>
                      <w:bCs/>
                    </w:rPr>
                    <w:t>采样点</w:t>
                  </w:r>
                </w:p>
                <w:p w14:paraId="1940F84E">
                  <w:pPr>
                    <w:pStyle w:val="115"/>
                    <w:bidi w:val="0"/>
                    <w:rPr>
                      <w:b/>
                      <w:bCs/>
                    </w:rPr>
                  </w:pPr>
                  <w:r>
                    <w:rPr>
                      <w:b/>
                      <w:bCs/>
                    </w:rPr>
                    <w:t>用地性质</w:t>
                  </w:r>
                </w:p>
              </w:tc>
            </w:tr>
            <w:tr w14:paraId="00E20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809" w:type="dxa"/>
                  <w:noWrap w:val="0"/>
                  <w:vAlign w:val="center"/>
                </w:tcPr>
                <w:p w14:paraId="67EC43D3">
                  <w:pPr>
                    <w:pStyle w:val="115"/>
                    <w:bidi w:val="0"/>
                  </w:pPr>
                  <w:r>
                    <w:t>厂区</w:t>
                  </w:r>
                </w:p>
                <w:p w14:paraId="6F8B39EC">
                  <w:pPr>
                    <w:pStyle w:val="115"/>
                    <w:bidi w:val="0"/>
                  </w:pPr>
                  <w:r>
                    <w:t>范围内</w:t>
                  </w:r>
                </w:p>
              </w:tc>
              <w:tc>
                <w:tcPr>
                  <w:tcW w:w="876" w:type="dxa"/>
                  <w:noWrap w:val="0"/>
                  <w:vAlign w:val="center"/>
                </w:tcPr>
                <w:p w14:paraId="57E4D7F5">
                  <w:pPr>
                    <w:pStyle w:val="115"/>
                    <w:bidi w:val="0"/>
                  </w:pPr>
                  <w:r>
                    <w:t>T1</w:t>
                  </w:r>
                </w:p>
              </w:tc>
              <w:tc>
                <w:tcPr>
                  <w:tcW w:w="1028" w:type="dxa"/>
                  <w:noWrap w:val="0"/>
                  <w:vAlign w:val="center"/>
                </w:tcPr>
                <w:p w14:paraId="39A5A301">
                  <w:pPr>
                    <w:pStyle w:val="115"/>
                    <w:bidi w:val="0"/>
                    <w:rPr>
                      <w:rFonts w:hint="default"/>
                      <w:lang w:val="en-US" w:eastAsia="zh-CN"/>
                    </w:rPr>
                  </w:pPr>
                  <w:r>
                    <w:rPr>
                      <w:rFonts w:hint="default"/>
                    </w:rPr>
                    <w:t>项目</w:t>
                  </w:r>
                  <w:r>
                    <w:rPr>
                      <w:rFonts w:hint="eastAsia"/>
                      <w:lang w:val="en-US" w:eastAsia="zh-CN"/>
                    </w:rPr>
                    <w:t>堆填区中部</w:t>
                  </w:r>
                </w:p>
              </w:tc>
              <w:tc>
                <w:tcPr>
                  <w:tcW w:w="674" w:type="dxa"/>
                  <w:noWrap w:val="0"/>
                  <w:vAlign w:val="center"/>
                </w:tcPr>
                <w:p w14:paraId="7186667E">
                  <w:pPr>
                    <w:pStyle w:val="115"/>
                    <w:bidi w:val="0"/>
                  </w:pPr>
                  <w:r>
                    <w:t>表层样</w:t>
                  </w:r>
                </w:p>
              </w:tc>
              <w:tc>
                <w:tcPr>
                  <w:tcW w:w="1298" w:type="dxa"/>
                  <w:noWrap w:val="0"/>
                  <w:vAlign w:val="center"/>
                </w:tcPr>
                <w:p w14:paraId="255493FF">
                  <w:pPr>
                    <w:pStyle w:val="115"/>
                    <w:bidi w:val="0"/>
                  </w:pPr>
                  <w:r>
                    <w:t>0~0.2m取样</w:t>
                  </w:r>
                </w:p>
              </w:tc>
              <w:tc>
                <w:tcPr>
                  <w:tcW w:w="2815" w:type="dxa"/>
                  <w:noWrap w:val="0"/>
                  <w:vAlign w:val="center"/>
                </w:tcPr>
                <w:p w14:paraId="22D370D1">
                  <w:pPr>
                    <w:pStyle w:val="115"/>
                    <w:bidi w:val="0"/>
                    <w:rPr>
                      <w:rFonts w:hint="default"/>
                      <w:lang w:val="en-US" w:eastAsia="zh-CN"/>
                    </w:rPr>
                  </w:pPr>
                  <w:r>
                    <w:rPr>
                      <w:rFonts w:hint="default"/>
                      <w:lang w:val="en-US" w:eastAsia="zh-CN"/>
                    </w:rPr>
                    <w:t>pH、</w:t>
                  </w:r>
                  <w:r>
                    <w:rPr>
                      <w:rFonts w:hint="default"/>
                    </w:rPr>
                    <w:t>建设用地土壤污染风险筛选基本项目（45项）</w:t>
                  </w:r>
                </w:p>
              </w:tc>
              <w:tc>
                <w:tcPr>
                  <w:tcW w:w="1065" w:type="dxa"/>
                  <w:noWrap w:val="0"/>
                  <w:vAlign w:val="center"/>
                </w:tcPr>
                <w:p w14:paraId="1388288F">
                  <w:pPr>
                    <w:pStyle w:val="115"/>
                    <w:bidi w:val="0"/>
                  </w:pPr>
                  <w:r>
                    <w:t>建设用地</w:t>
                  </w:r>
                </w:p>
              </w:tc>
            </w:tr>
          </w:tbl>
          <w:p w14:paraId="0D65E3DB">
            <w:pPr>
              <w:bidi w:val="0"/>
              <w:rPr>
                <w:rFonts w:hint="eastAsia"/>
                <w:lang w:val="en-US" w:eastAsia="zh-CN"/>
              </w:rPr>
            </w:pPr>
            <w:r>
              <w:rPr>
                <w:rFonts w:hint="eastAsia"/>
                <w:lang w:val="en-US" w:eastAsia="zh-CN"/>
              </w:rPr>
              <w:t>2、监测时间和频次</w:t>
            </w:r>
          </w:p>
          <w:p w14:paraId="74E52E7B">
            <w:pPr>
              <w:bidi w:val="0"/>
              <w:rPr>
                <w:rFonts w:hint="default"/>
                <w:lang w:val="en-US" w:eastAsia="zh-CN"/>
              </w:rPr>
            </w:pPr>
            <w:r>
              <w:rPr>
                <w:rFonts w:hint="default"/>
                <w:lang w:val="en-US" w:eastAsia="zh-CN"/>
              </w:rPr>
              <w:t>20</w:t>
            </w:r>
            <w:r>
              <w:rPr>
                <w:rFonts w:hint="eastAsia"/>
                <w:lang w:val="en-US" w:eastAsia="zh-CN"/>
              </w:rPr>
              <w:t>26</w:t>
            </w:r>
            <w:r>
              <w:rPr>
                <w:rFonts w:hint="default"/>
                <w:lang w:val="en-US" w:eastAsia="zh-CN"/>
              </w:rPr>
              <w:t>年</w:t>
            </w:r>
            <w:r>
              <w:rPr>
                <w:rFonts w:hint="eastAsia"/>
                <w:lang w:val="en-US" w:eastAsia="zh-CN"/>
              </w:rPr>
              <w:t>4</w:t>
            </w:r>
            <w:r>
              <w:rPr>
                <w:rFonts w:hint="default"/>
                <w:lang w:val="en-US" w:eastAsia="zh-CN"/>
              </w:rPr>
              <w:t>月</w:t>
            </w:r>
            <w:r>
              <w:rPr>
                <w:rFonts w:hint="eastAsia"/>
                <w:lang w:val="en-US" w:eastAsia="zh-CN"/>
              </w:rPr>
              <w:t>08</w:t>
            </w:r>
            <w:r>
              <w:rPr>
                <w:rFonts w:hint="default"/>
                <w:lang w:val="en-US" w:eastAsia="zh-CN"/>
              </w:rPr>
              <w:t>日采样一次。</w:t>
            </w:r>
          </w:p>
          <w:p w14:paraId="22FB1F76">
            <w:pPr>
              <w:bidi w:val="0"/>
              <w:rPr>
                <w:rFonts w:hint="eastAsia"/>
                <w:lang w:val="en-US" w:eastAsia="zh-CN"/>
              </w:rPr>
            </w:pPr>
            <w:bookmarkStart w:id="55" w:name="_Toc22591"/>
            <w:r>
              <w:rPr>
                <w:rFonts w:hint="eastAsia"/>
                <w:lang w:val="en-US" w:eastAsia="zh-CN"/>
              </w:rPr>
              <w:t>3、分析方法</w:t>
            </w:r>
            <w:bookmarkEnd w:id="55"/>
          </w:p>
          <w:p w14:paraId="4E45A1FF">
            <w:pPr>
              <w:bidi w:val="0"/>
              <w:rPr>
                <w:rFonts w:hint="default"/>
                <w:lang w:val="en-US" w:eastAsia="zh-CN"/>
              </w:rPr>
            </w:pPr>
            <w:r>
              <w:rPr>
                <w:rFonts w:hint="default"/>
                <w:lang w:val="en-US" w:eastAsia="zh-CN"/>
              </w:rPr>
              <w:t>按国家颁布的《环境监测技术规范》方法执行</w:t>
            </w:r>
          </w:p>
          <w:p w14:paraId="12D18ED7">
            <w:pPr>
              <w:bidi w:val="0"/>
              <w:rPr>
                <w:rFonts w:hint="eastAsia"/>
                <w:lang w:val="en-US" w:eastAsia="zh-CN"/>
              </w:rPr>
            </w:pPr>
            <w:bookmarkStart w:id="56" w:name="_Toc13775"/>
            <w:r>
              <w:rPr>
                <w:rFonts w:hint="eastAsia"/>
                <w:lang w:val="en-US" w:eastAsia="zh-CN"/>
              </w:rPr>
              <w:t>4、评价标准及方法</w:t>
            </w:r>
            <w:bookmarkEnd w:id="56"/>
          </w:p>
          <w:p w14:paraId="510A623C">
            <w:pPr>
              <w:bidi w:val="0"/>
              <w:rPr>
                <w:rFonts w:hint="default"/>
                <w:lang w:val="en-US" w:eastAsia="zh-CN"/>
              </w:rPr>
            </w:pPr>
            <w:r>
              <w:rPr>
                <w:rFonts w:hint="default"/>
                <w:lang w:val="en-US" w:eastAsia="zh-CN"/>
              </w:rPr>
              <w:t>评价标准：建设用地执行《土壤环境质量建设用地土壤污染风险管控标准（试行）》（GB36600-2018）中第二类用地的风险筛选值。</w:t>
            </w:r>
          </w:p>
          <w:p w14:paraId="77B82EBD">
            <w:pPr>
              <w:bidi w:val="0"/>
              <w:rPr>
                <w:rFonts w:hint="default"/>
                <w:lang w:val="en-US" w:eastAsia="zh-CN"/>
              </w:rPr>
            </w:pPr>
            <w:r>
              <w:rPr>
                <w:rFonts w:hint="default"/>
                <w:lang w:val="en-US" w:eastAsia="zh-CN"/>
              </w:rPr>
              <w:t>评价方法：采用标准指数法，对照各污染物环境质量标准，分析其达标情况、超标倍数。</w:t>
            </w:r>
          </w:p>
          <w:p w14:paraId="7267A5D8">
            <w:pPr>
              <w:bidi w:val="0"/>
              <w:rPr>
                <w:rFonts w:hint="eastAsia"/>
                <w:lang w:val="en-US" w:eastAsia="zh-CN"/>
              </w:rPr>
            </w:pPr>
            <w:bookmarkStart w:id="57" w:name="_Toc9658"/>
            <w:r>
              <w:rPr>
                <w:rFonts w:hint="eastAsia"/>
                <w:lang w:val="en-US" w:eastAsia="zh-CN"/>
              </w:rPr>
              <w:t>5、监测数据统计及评价</w:t>
            </w:r>
            <w:bookmarkEnd w:id="57"/>
          </w:p>
          <w:p w14:paraId="3358903B">
            <w:pPr>
              <w:bidi w:val="0"/>
              <w:rPr>
                <w:rFonts w:hint="default"/>
                <w:lang w:val="en-US" w:eastAsia="zh-CN"/>
              </w:rPr>
            </w:pPr>
            <w:r>
              <w:rPr>
                <w:rFonts w:hint="default"/>
                <w:lang w:val="en-US" w:eastAsia="zh-CN"/>
              </w:rPr>
              <w:t>土壤环境质量现状监测数据统计与分析见下表。</w:t>
            </w:r>
          </w:p>
          <w:p w14:paraId="75AD5180">
            <w:pPr>
              <w:pStyle w:val="44"/>
              <w:bidi w:val="0"/>
            </w:pPr>
            <w:r>
              <w:t>表</w:t>
            </w:r>
            <w:r>
              <w:rPr>
                <w:rFonts w:hint="eastAsia"/>
                <w:lang w:val="en-US" w:eastAsia="zh-CN"/>
              </w:rPr>
              <w:t>3.5-2：</w:t>
            </w:r>
            <w:r>
              <w:t>土壤现状监测数据统计与分析（单位：mg/kg）</w:t>
            </w:r>
          </w:p>
          <w:tbl>
            <w:tblPr>
              <w:tblStyle w:val="3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39"/>
              <w:gridCol w:w="3232"/>
              <w:gridCol w:w="1256"/>
              <w:gridCol w:w="1567"/>
              <w:gridCol w:w="1568"/>
            </w:tblGrid>
            <w:tr w14:paraId="53456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48" w:type="pct"/>
                  <w:tcBorders>
                    <w:tl2br w:val="nil"/>
                    <w:tr2bl w:val="nil"/>
                  </w:tcBorders>
                  <w:noWrap/>
                  <w:vAlign w:val="center"/>
                </w:tcPr>
                <w:p w14:paraId="03B23BDE">
                  <w:pPr>
                    <w:pStyle w:val="115"/>
                    <w:bidi w:val="0"/>
                    <w:rPr>
                      <w:b/>
                      <w:bCs/>
                    </w:rPr>
                  </w:pPr>
                  <w:r>
                    <w:rPr>
                      <w:b/>
                      <w:bCs/>
                    </w:rPr>
                    <w:t>序号</w:t>
                  </w:r>
                </w:p>
              </w:tc>
              <w:tc>
                <w:tcPr>
                  <w:tcW w:w="1887" w:type="pct"/>
                  <w:tcBorders>
                    <w:tl2br w:val="nil"/>
                    <w:tr2bl w:val="nil"/>
                  </w:tcBorders>
                  <w:noWrap w:val="0"/>
                  <w:vAlign w:val="center"/>
                </w:tcPr>
                <w:p w14:paraId="553F2884">
                  <w:pPr>
                    <w:pStyle w:val="115"/>
                    <w:bidi w:val="0"/>
                    <w:rPr>
                      <w:b/>
                      <w:bCs/>
                    </w:rPr>
                  </w:pPr>
                  <w:r>
                    <w:rPr>
                      <w:b/>
                      <w:bCs/>
                    </w:rPr>
                    <w:t>监测项目</w:t>
                  </w:r>
                </w:p>
              </w:tc>
              <w:tc>
                <w:tcPr>
                  <w:tcW w:w="733" w:type="pct"/>
                  <w:tcBorders>
                    <w:tl2br w:val="nil"/>
                    <w:tr2bl w:val="nil"/>
                  </w:tcBorders>
                  <w:noWrap w:val="0"/>
                  <w:vAlign w:val="center"/>
                </w:tcPr>
                <w:p w14:paraId="7404C2BB">
                  <w:pPr>
                    <w:pStyle w:val="115"/>
                    <w:bidi w:val="0"/>
                    <w:rPr>
                      <w:b/>
                      <w:bCs/>
                    </w:rPr>
                  </w:pPr>
                  <w:r>
                    <w:rPr>
                      <w:b/>
                      <w:bCs/>
                    </w:rPr>
                    <w:t>监测值</w:t>
                  </w:r>
                </w:p>
              </w:tc>
              <w:tc>
                <w:tcPr>
                  <w:tcW w:w="915" w:type="pct"/>
                  <w:tcBorders>
                    <w:tl2br w:val="nil"/>
                    <w:tr2bl w:val="nil"/>
                  </w:tcBorders>
                  <w:noWrap w:val="0"/>
                  <w:vAlign w:val="center"/>
                </w:tcPr>
                <w:p w14:paraId="00D189A2">
                  <w:pPr>
                    <w:pStyle w:val="115"/>
                    <w:bidi w:val="0"/>
                    <w:rPr>
                      <w:b/>
                      <w:bCs/>
                    </w:rPr>
                  </w:pPr>
                  <w:r>
                    <w:rPr>
                      <w:b/>
                      <w:bCs/>
                    </w:rPr>
                    <w:t>达标判断</w:t>
                  </w:r>
                </w:p>
              </w:tc>
              <w:tc>
                <w:tcPr>
                  <w:tcW w:w="915" w:type="pct"/>
                  <w:tcBorders>
                    <w:tl2br w:val="nil"/>
                    <w:tr2bl w:val="nil"/>
                  </w:tcBorders>
                  <w:noWrap w:val="0"/>
                  <w:vAlign w:val="center"/>
                </w:tcPr>
                <w:p w14:paraId="2599BD1E">
                  <w:pPr>
                    <w:pStyle w:val="115"/>
                    <w:bidi w:val="0"/>
                    <w:rPr>
                      <w:b/>
                      <w:bCs/>
                    </w:rPr>
                  </w:pPr>
                  <w:r>
                    <w:rPr>
                      <w:b/>
                      <w:bCs/>
                    </w:rPr>
                    <w:t>标准限值</w:t>
                  </w:r>
                </w:p>
              </w:tc>
            </w:tr>
            <w:tr w14:paraId="73429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48" w:type="pct"/>
                  <w:tcBorders>
                    <w:tl2br w:val="nil"/>
                    <w:tr2bl w:val="nil"/>
                  </w:tcBorders>
                  <w:noWrap/>
                  <w:vAlign w:val="center"/>
                </w:tcPr>
                <w:p w14:paraId="3EE8522D">
                  <w:pPr>
                    <w:pStyle w:val="115"/>
                    <w:bidi w:val="0"/>
                  </w:pPr>
                  <w:r>
                    <w:t>1</w:t>
                  </w:r>
                </w:p>
              </w:tc>
              <w:tc>
                <w:tcPr>
                  <w:tcW w:w="1887" w:type="pct"/>
                  <w:tcBorders>
                    <w:tl2br w:val="nil"/>
                    <w:tr2bl w:val="nil"/>
                  </w:tcBorders>
                  <w:noWrap w:val="0"/>
                  <w:vAlign w:val="center"/>
                </w:tcPr>
                <w:p w14:paraId="784378EF">
                  <w:pPr>
                    <w:pStyle w:val="115"/>
                    <w:bidi w:val="0"/>
                  </w:pPr>
                  <w:r>
                    <w:t>砷</w:t>
                  </w:r>
                </w:p>
              </w:tc>
              <w:tc>
                <w:tcPr>
                  <w:tcW w:w="733" w:type="pct"/>
                  <w:tcBorders>
                    <w:tl2br w:val="nil"/>
                    <w:tr2bl w:val="nil"/>
                  </w:tcBorders>
                  <w:noWrap w:val="0"/>
                  <w:vAlign w:val="center"/>
                </w:tcPr>
                <w:p w14:paraId="4C5AE8AD">
                  <w:pPr>
                    <w:pStyle w:val="115"/>
                    <w:bidi w:val="0"/>
                    <w:rPr>
                      <w:rFonts w:hint="default"/>
                      <w:lang w:val="en-US" w:eastAsia="zh-CN"/>
                    </w:rPr>
                  </w:pPr>
                  <w:r>
                    <w:rPr>
                      <w:rFonts w:hint="eastAsia"/>
                      <w:lang w:val="en-US" w:eastAsia="zh-CN"/>
                    </w:rPr>
                    <w:t>10.8</w:t>
                  </w:r>
                </w:p>
              </w:tc>
              <w:tc>
                <w:tcPr>
                  <w:tcW w:w="915" w:type="pct"/>
                  <w:tcBorders>
                    <w:tl2br w:val="nil"/>
                    <w:tr2bl w:val="nil"/>
                  </w:tcBorders>
                  <w:noWrap w:val="0"/>
                  <w:vAlign w:val="center"/>
                </w:tcPr>
                <w:p w14:paraId="413270F4">
                  <w:pPr>
                    <w:pStyle w:val="115"/>
                    <w:bidi w:val="0"/>
                  </w:pPr>
                  <w:r>
                    <w:t>达标</w:t>
                  </w:r>
                </w:p>
              </w:tc>
              <w:tc>
                <w:tcPr>
                  <w:tcW w:w="915" w:type="pct"/>
                  <w:tcBorders>
                    <w:tl2br w:val="nil"/>
                    <w:tr2bl w:val="nil"/>
                  </w:tcBorders>
                  <w:noWrap w:val="0"/>
                  <w:vAlign w:val="center"/>
                </w:tcPr>
                <w:p w14:paraId="729BFC2C">
                  <w:pPr>
                    <w:pStyle w:val="115"/>
                    <w:bidi w:val="0"/>
                  </w:pPr>
                  <w:r>
                    <w:t>60</w:t>
                  </w:r>
                </w:p>
              </w:tc>
            </w:tr>
            <w:tr w14:paraId="1AF64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4300F5FD">
                  <w:pPr>
                    <w:pStyle w:val="115"/>
                    <w:bidi w:val="0"/>
                  </w:pPr>
                  <w:r>
                    <w:t>2</w:t>
                  </w:r>
                </w:p>
              </w:tc>
              <w:tc>
                <w:tcPr>
                  <w:tcW w:w="1887" w:type="pct"/>
                  <w:tcBorders>
                    <w:tl2br w:val="nil"/>
                    <w:tr2bl w:val="nil"/>
                  </w:tcBorders>
                  <w:noWrap w:val="0"/>
                  <w:vAlign w:val="center"/>
                </w:tcPr>
                <w:p w14:paraId="3DD5A619">
                  <w:pPr>
                    <w:pStyle w:val="115"/>
                    <w:bidi w:val="0"/>
                  </w:pPr>
                  <w:r>
                    <w:t>镉</w:t>
                  </w:r>
                </w:p>
              </w:tc>
              <w:tc>
                <w:tcPr>
                  <w:tcW w:w="733" w:type="pct"/>
                  <w:tcBorders>
                    <w:tl2br w:val="nil"/>
                    <w:tr2bl w:val="nil"/>
                  </w:tcBorders>
                  <w:noWrap w:val="0"/>
                  <w:vAlign w:val="center"/>
                </w:tcPr>
                <w:p w14:paraId="1FC4E067">
                  <w:pPr>
                    <w:pStyle w:val="115"/>
                    <w:bidi w:val="0"/>
                    <w:rPr>
                      <w:rFonts w:hint="default"/>
                      <w:lang w:val="en-US" w:eastAsia="zh-CN"/>
                    </w:rPr>
                  </w:pPr>
                  <w:r>
                    <w:rPr>
                      <w:rFonts w:hint="eastAsia"/>
                      <w:lang w:val="en-US" w:eastAsia="zh-CN"/>
                    </w:rPr>
                    <w:t>0.12</w:t>
                  </w:r>
                </w:p>
              </w:tc>
              <w:tc>
                <w:tcPr>
                  <w:tcW w:w="915" w:type="pct"/>
                  <w:tcBorders>
                    <w:tl2br w:val="nil"/>
                    <w:tr2bl w:val="nil"/>
                  </w:tcBorders>
                  <w:noWrap w:val="0"/>
                  <w:vAlign w:val="center"/>
                </w:tcPr>
                <w:p w14:paraId="721D57F4">
                  <w:pPr>
                    <w:pStyle w:val="115"/>
                    <w:bidi w:val="0"/>
                  </w:pPr>
                  <w:r>
                    <w:t>达标</w:t>
                  </w:r>
                </w:p>
              </w:tc>
              <w:tc>
                <w:tcPr>
                  <w:tcW w:w="915" w:type="pct"/>
                  <w:tcBorders>
                    <w:tl2br w:val="nil"/>
                    <w:tr2bl w:val="nil"/>
                  </w:tcBorders>
                  <w:noWrap w:val="0"/>
                  <w:vAlign w:val="center"/>
                </w:tcPr>
                <w:p w14:paraId="2006E976">
                  <w:pPr>
                    <w:pStyle w:val="115"/>
                    <w:bidi w:val="0"/>
                  </w:pPr>
                  <w:r>
                    <w:t>65</w:t>
                  </w:r>
                </w:p>
              </w:tc>
            </w:tr>
            <w:tr w14:paraId="2198A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24A9F58F">
                  <w:pPr>
                    <w:pStyle w:val="115"/>
                    <w:bidi w:val="0"/>
                  </w:pPr>
                  <w:r>
                    <w:t>3</w:t>
                  </w:r>
                </w:p>
              </w:tc>
              <w:tc>
                <w:tcPr>
                  <w:tcW w:w="1887" w:type="pct"/>
                  <w:tcBorders>
                    <w:tl2br w:val="nil"/>
                    <w:tr2bl w:val="nil"/>
                  </w:tcBorders>
                  <w:noWrap w:val="0"/>
                  <w:vAlign w:val="center"/>
                </w:tcPr>
                <w:p w14:paraId="56B30C0E">
                  <w:pPr>
                    <w:pStyle w:val="115"/>
                    <w:bidi w:val="0"/>
                  </w:pPr>
                  <w:r>
                    <w:t>铜</w:t>
                  </w:r>
                </w:p>
              </w:tc>
              <w:tc>
                <w:tcPr>
                  <w:tcW w:w="733" w:type="pct"/>
                  <w:tcBorders>
                    <w:tl2br w:val="nil"/>
                    <w:tr2bl w:val="nil"/>
                  </w:tcBorders>
                  <w:noWrap w:val="0"/>
                  <w:vAlign w:val="center"/>
                </w:tcPr>
                <w:p w14:paraId="1C1A314C">
                  <w:pPr>
                    <w:pStyle w:val="115"/>
                    <w:bidi w:val="0"/>
                    <w:rPr>
                      <w:rFonts w:hint="default"/>
                      <w:lang w:val="en-US" w:eastAsia="zh-CN"/>
                    </w:rPr>
                  </w:pPr>
                  <w:r>
                    <w:rPr>
                      <w:rFonts w:hint="eastAsia"/>
                      <w:lang w:val="en-US" w:eastAsia="zh-CN"/>
                    </w:rPr>
                    <w:t>24</w:t>
                  </w:r>
                </w:p>
              </w:tc>
              <w:tc>
                <w:tcPr>
                  <w:tcW w:w="915" w:type="pct"/>
                  <w:tcBorders>
                    <w:tl2br w:val="nil"/>
                    <w:tr2bl w:val="nil"/>
                  </w:tcBorders>
                  <w:noWrap w:val="0"/>
                  <w:vAlign w:val="center"/>
                </w:tcPr>
                <w:p w14:paraId="3BEDFF52">
                  <w:pPr>
                    <w:pStyle w:val="115"/>
                    <w:bidi w:val="0"/>
                  </w:pPr>
                  <w:r>
                    <w:t>达标</w:t>
                  </w:r>
                </w:p>
              </w:tc>
              <w:tc>
                <w:tcPr>
                  <w:tcW w:w="915" w:type="pct"/>
                  <w:tcBorders>
                    <w:tl2br w:val="nil"/>
                    <w:tr2bl w:val="nil"/>
                  </w:tcBorders>
                  <w:noWrap w:val="0"/>
                  <w:vAlign w:val="center"/>
                </w:tcPr>
                <w:p w14:paraId="73A01EEC">
                  <w:pPr>
                    <w:pStyle w:val="115"/>
                    <w:bidi w:val="0"/>
                  </w:pPr>
                  <w:r>
                    <w:t>18000</w:t>
                  </w:r>
                </w:p>
              </w:tc>
            </w:tr>
            <w:tr w14:paraId="2F81C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48" w:type="pct"/>
                  <w:tcBorders>
                    <w:tl2br w:val="nil"/>
                    <w:tr2bl w:val="nil"/>
                  </w:tcBorders>
                  <w:noWrap/>
                  <w:vAlign w:val="center"/>
                </w:tcPr>
                <w:p w14:paraId="140C9A70">
                  <w:pPr>
                    <w:pStyle w:val="115"/>
                    <w:bidi w:val="0"/>
                  </w:pPr>
                  <w:r>
                    <w:t>4</w:t>
                  </w:r>
                </w:p>
              </w:tc>
              <w:tc>
                <w:tcPr>
                  <w:tcW w:w="1887" w:type="pct"/>
                  <w:tcBorders>
                    <w:tl2br w:val="nil"/>
                    <w:tr2bl w:val="nil"/>
                  </w:tcBorders>
                  <w:noWrap w:val="0"/>
                  <w:vAlign w:val="center"/>
                </w:tcPr>
                <w:p w14:paraId="632C0C71">
                  <w:pPr>
                    <w:pStyle w:val="115"/>
                    <w:bidi w:val="0"/>
                  </w:pPr>
                  <w:r>
                    <w:t>铅</w:t>
                  </w:r>
                </w:p>
              </w:tc>
              <w:tc>
                <w:tcPr>
                  <w:tcW w:w="733" w:type="pct"/>
                  <w:tcBorders>
                    <w:tl2br w:val="nil"/>
                    <w:tr2bl w:val="nil"/>
                  </w:tcBorders>
                  <w:noWrap w:val="0"/>
                  <w:vAlign w:val="center"/>
                </w:tcPr>
                <w:p w14:paraId="7FB2319A">
                  <w:pPr>
                    <w:pStyle w:val="115"/>
                    <w:bidi w:val="0"/>
                    <w:rPr>
                      <w:rFonts w:hint="default"/>
                      <w:lang w:val="en-US" w:eastAsia="zh-CN"/>
                    </w:rPr>
                  </w:pPr>
                  <w:r>
                    <w:rPr>
                      <w:rFonts w:hint="eastAsia"/>
                      <w:lang w:val="en-US" w:eastAsia="zh-CN"/>
                    </w:rPr>
                    <w:t>15.8</w:t>
                  </w:r>
                </w:p>
              </w:tc>
              <w:tc>
                <w:tcPr>
                  <w:tcW w:w="915" w:type="pct"/>
                  <w:tcBorders>
                    <w:tl2br w:val="nil"/>
                    <w:tr2bl w:val="nil"/>
                  </w:tcBorders>
                  <w:noWrap w:val="0"/>
                  <w:vAlign w:val="center"/>
                </w:tcPr>
                <w:p w14:paraId="7E6838B3">
                  <w:pPr>
                    <w:pStyle w:val="115"/>
                    <w:bidi w:val="0"/>
                  </w:pPr>
                  <w:r>
                    <w:t>达标</w:t>
                  </w:r>
                </w:p>
              </w:tc>
              <w:tc>
                <w:tcPr>
                  <w:tcW w:w="915" w:type="pct"/>
                  <w:tcBorders>
                    <w:tl2br w:val="nil"/>
                    <w:tr2bl w:val="nil"/>
                  </w:tcBorders>
                  <w:noWrap w:val="0"/>
                  <w:vAlign w:val="center"/>
                </w:tcPr>
                <w:p w14:paraId="687A3A15">
                  <w:pPr>
                    <w:pStyle w:val="115"/>
                    <w:bidi w:val="0"/>
                  </w:pPr>
                  <w:r>
                    <w:t>800</w:t>
                  </w:r>
                </w:p>
              </w:tc>
            </w:tr>
            <w:tr w14:paraId="53193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48" w:type="pct"/>
                  <w:tcBorders>
                    <w:tl2br w:val="nil"/>
                    <w:tr2bl w:val="nil"/>
                  </w:tcBorders>
                  <w:noWrap/>
                  <w:vAlign w:val="center"/>
                </w:tcPr>
                <w:p w14:paraId="50295393">
                  <w:pPr>
                    <w:pStyle w:val="115"/>
                    <w:bidi w:val="0"/>
                  </w:pPr>
                  <w:r>
                    <w:t>5</w:t>
                  </w:r>
                </w:p>
              </w:tc>
              <w:tc>
                <w:tcPr>
                  <w:tcW w:w="1887" w:type="pct"/>
                  <w:tcBorders>
                    <w:tl2br w:val="nil"/>
                    <w:tr2bl w:val="nil"/>
                  </w:tcBorders>
                  <w:noWrap w:val="0"/>
                  <w:vAlign w:val="center"/>
                </w:tcPr>
                <w:p w14:paraId="619224B6">
                  <w:pPr>
                    <w:pStyle w:val="115"/>
                    <w:bidi w:val="0"/>
                  </w:pPr>
                  <w:r>
                    <w:t>汞</w:t>
                  </w:r>
                </w:p>
              </w:tc>
              <w:tc>
                <w:tcPr>
                  <w:tcW w:w="733" w:type="pct"/>
                  <w:tcBorders>
                    <w:tl2br w:val="nil"/>
                    <w:tr2bl w:val="nil"/>
                  </w:tcBorders>
                  <w:noWrap w:val="0"/>
                  <w:vAlign w:val="center"/>
                </w:tcPr>
                <w:p w14:paraId="6EC771E9">
                  <w:pPr>
                    <w:pStyle w:val="115"/>
                    <w:bidi w:val="0"/>
                    <w:rPr>
                      <w:rFonts w:hint="default"/>
                      <w:lang w:val="en-US" w:eastAsia="zh-CN"/>
                    </w:rPr>
                  </w:pPr>
                  <w:r>
                    <w:rPr>
                      <w:rFonts w:hint="eastAsia"/>
                      <w:lang w:val="en-US" w:eastAsia="zh-CN"/>
                    </w:rPr>
                    <w:t>0.096</w:t>
                  </w:r>
                </w:p>
              </w:tc>
              <w:tc>
                <w:tcPr>
                  <w:tcW w:w="915" w:type="pct"/>
                  <w:tcBorders>
                    <w:tl2br w:val="nil"/>
                    <w:tr2bl w:val="nil"/>
                  </w:tcBorders>
                  <w:noWrap w:val="0"/>
                  <w:vAlign w:val="center"/>
                </w:tcPr>
                <w:p w14:paraId="4D600C4F">
                  <w:pPr>
                    <w:pStyle w:val="115"/>
                    <w:bidi w:val="0"/>
                  </w:pPr>
                  <w:r>
                    <w:t>达标</w:t>
                  </w:r>
                </w:p>
              </w:tc>
              <w:tc>
                <w:tcPr>
                  <w:tcW w:w="915" w:type="pct"/>
                  <w:tcBorders>
                    <w:tl2br w:val="nil"/>
                    <w:tr2bl w:val="nil"/>
                  </w:tcBorders>
                  <w:noWrap w:val="0"/>
                  <w:vAlign w:val="center"/>
                </w:tcPr>
                <w:p w14:paraId="67F5720D">
                  <w:pPr>
                    <w:pStyle w:val="115"/>
                    <w:bidi w:val="0"/>
                  </w:pPr>
                  <w:r>
                    <w:t>38</w:t>
                  </w:r>
                </w:p>
              </w:tc>
            </w:tr>
            <w:tr w14:paraId="02298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548" w:type="pct"/>
                  <w:tcBorders>
                    <w:tl2br w:val="nil"/>
                    <w:tr2bl w:val="nil"/>
                  </w:tcBorders>
                  <w:noWrap/>
                  <w:vAlign w:val="center"/>
                </w:tcPr>
                <w:p w14:paraId="21077F00">
                  <w:pPr>
                    <w:pStyle w:val="115"/>
                    <w:bidi w:val="0"/>
                  </w:pPr>
                  <w:r>
                    <w:t>6</w:t>
                  </w:r>
                </w:p>
              </w:tc>
              <w:tc>
                <w:tcPr>
                  <w:tcW w:w="1887" w:type="pct"/>
                  <w:tcBorders>
                    <w:tl2br w:val="nil"/>
                    <w:tr2bl w:val="nil"/>
                  </w:tcBorders>
                  <w:noWrap w:val="0"/>
                  <w:vAlign w:val="center"/>
                </w:tcPr>
                <w:p w14:paraId="5ED082BE">
                  <w:pPr>
                    <w:pStyle w:val="115"/>
                    <w:bidi w:val="0"/>
                  </w:pPr>
                  <w:r>
                    <w:t>镍</w:t>
                  </w:r>
                </w:p>
              </w:tc>
              <w:tc>
                <w:tcPr>
                  <w:tcW w:w="733" w:type="pct"/>
                  <w:tcBorders>
                    <w:tl2br w:val="nil"/>
                    <w:tr2bl w:val="nil"/>
                  </w:tcBorders>
                  <w:noWrap w:val="0"/>
                  <w:vAlign w:val="center"/>
                </w:tcPr>
                <w:p w14:paraId="7C9DB6E2">
                  <w:pPr>
                    <w:pStyle w:val="115"/>
                    <w:bidi w:val="0"/>
                    <w:rPr>
                      <w:rFonts w:hint="default"/>
                      <w:lang w:val="en-US" w:eastAsia="zh-CN"/>
                    </w:rPr>
                  </w:pPr>
                  <w:r>
                    <w:rPr>
                      <w:rFonts w:hint="eastAsia"/>
                      <w:lang w:val="en-US" w:eastAsia="zh-CN"/>
                    </w:rPr>
                    <w:t>26</w:t>
                  </w:r>
                </w:p>
              </w:tc>
              <w:tc>
                <w:tcPr>
                  <w:tcW w:w="915" w:type="pct"/>
                  <w:tcBorders>
                    <w:tl2br w:val="nil"/>
                    <w:tr2bl w:val="nil"/>
                  </w:tcBorders>
                  <w:noWrap w:val="0"/>
                  <w:vAlign w:val="center"/>
                </w:tcPr>
                <w:p w14:paraId="26FD6272">
                  <w:pPr>
                    <w:pStyle w:val="115"/>
                    <w:bidi w:val="0"/>
                  </w:pPr>
                  <w:r>
                    <w:t>达标</w:t>
                  </w:r>
                </w:p>
              </w:tc>
              <w:tc>
                <w:tcPr>
                  <w:tcW w:w="915" w:type="pct"/>
                  <w:tcBorders>
                    <w:tl2br w:val="nil"/>
                    <w:tr2bl w:val="nil"/>
                  </w:tcBorders>
                  <w:noWrap w:val="0"/>
                  <w:vAlign w:val="center"/>
                </w:tcPr>
                <w:p w14:paraId="1E07D1A5">
                  <w:pPr>
                    <w:pStyle w:val="115"/>
                    <w:bidi w:val="0"/>
                  </w:pPr>
                  <w:r>
                    <w:t>900</w:t>
                  </w:r>
                </w:p>
              </w:tc>
            </w:tr>
            <w:tr w14:paraId="5D7EA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3B75F3D">
                  <w:pPr>
                    <w:pStyle w:val="115"/>
                    <w:bidi w:val="0"/>
                  </w:pPr>
                  <w:r>
                    <w:t>7</w:t>
                  </w:r>
                </w:p>
              </w:tc>
              <w:tc>
                <w:tcPr>
                  <w:tcW w:w="1887" w:type="pct"/>
                  <w:tcBorders>
                    <w:tl2br w:val="nil"/>
                    <w:tr2bl w:val="nil"/>
                  </w:tcBorders>
                  <w:noWrap w:val="0"/>
                  <w:vAlign w:val="center"/>
                </w:tcPr>
                <w:p w14:paraId="0D20BA97">
                  <w:pPr>
                    <w:pStyle w:val="115"/>
                    <w:bidi w:val="0"/>
                  </w:pPr>
                  <w:r>
                    <w:t>六价铬</w:t>
                  </w:r>
                </w:p>
              </w:tc>
              <w:tc>
                <w:tcPr>
                  <w:tcW w:w="733" w:type="pct"/>
                  <w:tcBorders>
                    <w:tl2br w:val="nil"/>
                    <w:tr2bl w:val="nil"/>
                  </w:tcBorders>
                  <w:noWrap w:val="0"/>
                  <w:vAlign w:val="center"/>
                </w:tcPr>
                <w:p w14:paraId="2AE1660A">
                  <w:pPr>
                    <w:pStyle w:val="115"/>
                    <w:bidi w:val="0"/>
                    <w:rPr>
                      <w:rFonts w:hint="eastAsia" w:eastAsia="宋体"/>
                      <w:lang w:val="en-US" w:eastAsia="zh-CN"/>
                    </w:rPr>
                  </w:pPr>
                  <w:r>
                    <w:rPr>
                      <w:rFonts w:hint="eastAsia"/>
                      <w:lang w:val="en-US" w:eastAsia="zh-CN"/>
                    </w:rPr>
                    <w:t>未检出</w:t>
                  </w:r>
                </w:p>
              </w:tc>
              <w:tc>
                <w:tcPr>
                  <w:tcW w:w="915" w:type="pct"/>
                  <w:tcBorders>
                    <w:tl2br w:val="nil"/>
                    <w:tr2bl w:val="nil"/>
                  </w:tcBorders>
                  <w:noWrap w:val="0"/>
                  <w:vAlign w:val="center"/>
                </w:tcPr>
                <w:p w14:paraId="1B5BA3E8">
                  <w:pPr>
                    <w:pStyle w:val="115"/>
                    <w:bidi w:val="0"/>
                  </w:pPr>
                  <w:r>
                    <w:t>达标</w:t>
                  </w:r>
                </w:p>
              </w:tc>
              <w:tc>
                <w:tcPr>
                  <w:tcW w:w="915" w:type="pct"/>
                  <w:tcBorders>
                    <w:tl2br w:val="nil"/>
                    <w:tr2bl w:val="nil"/>
                  </w:tcBorders>
                  <w:noWrap w:val="0"/>
                  <w:vAlign w:val="center"/>
                </w:tcPr>
                <w:p w14:paraId="3D2B4B20">
                  <w:pPr>
                    <w:pStyle w:val="115"/>
                    <w:bidi w:val="0"/>
                  </w:pPr>
                  <w:r>
                    <w:t>5.7</w:t>
                  </w:r>
                </w:p>
              </w:tc>
            </w:tr>
            <w:tr w14:paraId="43A95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80E9006">
                  <w:pPr>
                    <w:pStyle w:val="115"/>
                    <w:bidi w:val="0"/>
                  </w:pPr>
                  <w:r>
                    <w:t>8</w:t>
                  </w:r>
                </w:p>
              </w:tc>
              <w:tc>
                <w:tcPr>
                  <w:tcW w:w="1887" w:type="pct"/>
                  <w:tcBorders>
                    <w:tl2br w:val="nil"/>
                    <w:tr2bl w:val="nil"/>
                  </w:tcBorders>
                  <w:noWrap w:val="0"/>
                  <w:vAlign w:val="center"/>
                </w:tcPr>
                <w:p w14:paraId="4FE29CE4">
                  <w:pPr>
                    <w:pStyle w:val="115"/>
                    <w:bidi w:val="0"/>
                  </w:pPr>
                  <w:r>
                    <w:t>四氯化碳</w:t>
                  </w:r>
                </w:p>
              </w:tc>
              <w:tc>
                <w:tcPr>
                  <w:tcW w:w="733" w:type="pct"/>
                  <w:tcBorders>
                    <w:tl2br w:val="nil"/>
                    <w:tr2bl w:val="nil"/>
                  </w:tcBorders>
                  <w:noWrap w:val="0"/>
                  <w:vAlign w:val="center"/>
                </w:tcPr>
                <w:p w14:paraId="3A4D1AFB">
                  <w:pPr>
                    <w:pStyle w:val="115"/>
                    <w:bidi w:val="0"/>
                  </w:pPr>
                  <w:r>
                    <w:rPr>
                      <w:rFonts w:hint="eastAsia"/>
                      <w:lang w:val="en-US" w:eastAsia="zh-CN"/>
                    </w:rPr>
                    <w:t>未检出</w:t>
                  </w:r>
                </w:p>
              </w:tc>
              <w:tc>
                <w:tcPr>
                  <w:tcW w:w="915" w:type="pct"/>
                  <w:tcBorders>
                    <w:tl2br w:val="nil"/>
                    <w:tr2bl w:val="nil"/>
                  </w:tcBorders>
                  <w:noWrap w:val="0"/>
                  <w:vAlign w:val="center"/>
                </w:tcPr>
                <w:p w14:paraId="4FC1F080">
                  <w:pPr>
                    <w:pStyle w:val="115"/>
                    <w:bidi w:val="0"/>
                  </w:pPr>
                  <w:r>
                    <w:t>达标</w:t>
                  </w:r>
                </w:p>
              </w:tc>
              <w:tc>
                <w:tcPr>
                  <w:tcW w:w="915" w:type="pct"/>
                  <w:tcBorders>
                    <w:tl2br w:val="nil"/>
                    <w:tr2bl w:val="nil"/>
                  </w:tcBorders>
                  <w:noWrap w:val="0"/>
                  <w:vAlign w:val="center"/>
                </w:tcPr>
                <w:p w14:paraId="545193F2">
                  <w:pPr>
                    <w:pStyle w:val="115"/>
                    <w:bidi w:val="0"/>
                  </w:pPr>
                  <w:r>
                    <w:t>2.8</w:t>
                  </w:r>
                </w:p>
              </w:tc>
            </w:tr>
            <w:tr w14:paraId="0D34C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215237F1">
                  <w:pPr>
                    <w:pStyle w:val="115"/>
                    <w:bidi w:val="0"/>
                  </w:pPr>
                  <w:r>
                    <w:t>9</w:t>
                  </w:r>
                </w:p>
              </w:tc>
              <w:tc>
                <w:tcPr>
                  <w:tcW w:w="1887" w:type="pct"/>
                  <w:tcBorders>
                    <w:tl2br w:val="nil"/>
                    <w:tr2bl w:val="nil"/>
                  </w:tcBorders>
                  <w:noWrap w:val="0"/>
                  <w:vAlign w:val="center"/>
                </w:tcPr>
                <w:p w14:paraId="610972ED">
                  <w:pPr>
                    <w:pStyle w:val="115"/>
                    <w:bidi w:val="0"/>
                  </w:pPr>
                  <w:r>
                    <w:t>氯仿</w:t>
                  </w:r>
                </w:p>
              </w:tc>
              <w:tc>
                <w:tcPr>
                  <w:tcW w:w="733" w:type="pct"/>
                  <w:tcBorders>
                    <w:tl2br w:val="nil"/>
                    <w:tr2bl w:val="nil"/>
                  </w:tcBorders>
                  <w:noWrap w:val="0"/>
                  <w:vAlign w:val="center"/>
                </w:tcPr>
                <w:p w14:paraId="12503FC4">
                  <w:pPr>
                    <w:pStyle w:val="115"/>
                    <w:bidi w:val="0"/>
                  </w:pPr>
                  <w:r>
                    <w:rPr>
                      <w:rFonts w:hint="eastAsia"/>
                      <w:lang w:val="en-US" w:eastAsia="zh-CN"/>
                    </w:rPr>
                    <w:t>未检出</w:t>
                  </w:r>
                </w:p>
              </w:tc>
              <w:tc>
                <w:tcPr>
                  <w:tcW w:w="915" w:type="pct"/>
                  <w:tcBorders>
                    <w:tl2br w:val="nil"/>
                    <w:tr2bl w:val="nil"/>
                  </w:tcBorders>
                  <w:noWrap w:val="0"/>
                  <w:vAlign w:val="center"/>
                </w:tcPr>
                <w:p w14:paraId="281E03E1">
                  <w:pPr>
                    <w:pStyle w:val="115"/>
                    <w:bidi w:val="0"/>
                  </w:pPr>
                  <w:r>
                    <w:t>达标</w:t>
                  </w:r>
                </w:p>
              </w:tc>
              <w:tc>
                <w:tcPr>
                  <w:tcW w:w="915" w:type="pct"/>
                  <w:tcBorders>
                    <w:tl2br w:val="nil"/>
                    <w:tr2bl w:val="nil"/>
                  </w:tcBorders>
                  <w:noWrap w:val="0"/>
                  <w:vAlign w:val="center"/>
                </w:tcPr>
                <w:p w14:paraId="42A92EB2">
                  <w:pPr>
                    <w:pStyle w:val="115"/>
                    <w:bidi w:val="0"/>
                  </w:pPr>
                  <w:r>
                    <w:t>0.9</w:t>
                  </w:r>
                </w:p>
              </w:tc>
            </w:tr>
            <w:tr w14:paraId="0D586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FA2F3F5">
                  <w:pPr>
                    <w:pStyle w:val="115"/>
                    <w:bidi w:val="0"/>
                  </w:pPr>
                  <w:r>
                    <w:t>10</w:t>
                  </w:r>
                </w:p>
              </w:tc>
              <w:tc>
                <w:tcPr>
                  <w:tcW w:w="1887" w:type="pct"/>
                  <w:tcBorders>
                    <w:tl2br w:val="nil"/>
                    <w:tr2bl w:val="nil"/>
                  </w:tcBorders>
                  <w:noWrap w:val="0"/>
                  <w:vAlign w:val="center"/>
                </w:tcPr>
                <w:p w14:paraId="7BDE983A">
                  <w:pPr>
                    <w:pStyle w:val="115"/>
                    <w:bidi w:val="0"/>
                  </w:pPr>
                  <w:r>
                    <w:t>氯甲烷</w:t>
                  </w:r>
                </w:p>
              </w:tc>
              <w:tc>
                <w:tcPr>
                  <w:tcW w:w="733" w:type="pct"/>
                  <w:tcBorders>
                    <w:tl2br w:val="nil"/>
                    <w:tr2bl w:val="nil"/>
                  </w:tcBorders>
                  <w:noWrap w:val="0"/>
                  <w:vAlign w:val="center"/>
                </w:tcPr>
                <w:p w14:paraId="147DC74A">
                  <w:pPr>
                    <w:pStyle w:val="115"/>
                    <w:bidi w:val="0"/>
                  </w:pPr>
                  <w:r>
                    <w:rPr>
                      <w:rFonts w:hint="eastAsia"/>
                      <w:lang w:val="en-US" w:eastAsia="zh-CN"/>
                    </w:rPr>
                    <w:t>未检出</w:t>
                  </w:r>
                </w:p>
              </w:tc>
              <w:tc>
                <w:tcPr>
                  <w:tcW w:w="915" w:type="pct"/>
                  <w:tcBorders>
                    <w:tl2br w:val="nil"/>
                    <w:tr2bl w:val="nil"/>
                  </w:tcBorders>
                  <w:noWrap w:val="0"/>
                  <w:vAlign w:val="center"/>
                </w:tcPr>
                <w:p w14:paraId="2A7AA287">
                  <w:pPr>
                    <w:pStyle w:val="115"/>
                    <w:bidi w:val="0"/>
                  </w:pPr>
                  <w:r>
                    <w:t>达标</w:t>
                  </w:r>
                </w:p>
              </w:tc>
              <w:tc>
                <w:tcPr>
                  <w:tcW w:w="915" w:type="pct"/>
                  <w:tcBorders>
                    <w:tl2br w:val="nil"/>
                    <w:tr2bl w:val="nil"/>
                  </w:tcBorders>
                  <w:noWrap w:val="0"/>
                  <w:vAlign w:val="center"/>
                </w:tcPr>
                <w:p w14:paraId="72C23E43">
                  <w:pPr>
                    <w:pStyle w:val="115"/>
                    <w:bidi w:val="0"/>
                  </w:pPr>
                  <w:r>
                    <w:t>37</w:t>
                  </w:r>
                </w:p>
              </w:tc>
            </w:tr>
            <w:tr w14:paraId="08DD5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609AA405">
                  <w:pPr>
                    <w:pStyle w:val="115"/>
                    <w:bidi w:val="0"/>
                  </w:pPr>
                  <w:r>
                    <w:t>11</w:t>
                  </w:r>
                </w:p>
              </w:tc>
              <w:tc>
                <w:tcPr>
                  <w:tcW w:w="1887" w:type="pct"/>
                  <w:tcBorders>
                    <w:tl2br w:val="nil"/>
                    <w:tr2bl w:val="nil"/>
                  </w:tcBorders>
                  <w:noWrap w:val="0"/>
                  <w:vAlign w:val="center"/>
                </w:tcPr>
                <w:p w14:paraId="2E613829">
                  <w:pPr>
                    <w:pStyle w:val="115"/>
                    <w:bidi w:val="0"/>
                  </w:pPr>
                  <w:r>
                    <w:t>1，1-二氯乙烷</w:t>
                  </w:r>
                </w:p>
              </w:tc>
              <w:tc>
                <w:tcPr>
                  <w:tcW w:w="733" w:type="pct"/>
                  <w:tcBorders>
                    <w:tl2br w:val="nil"/>
                    <w:tr2bl w:val="nil"/>
                  </w:tcBorders>
                  <w:noWrap w:val="0"/>
                  <w:vAlign w:val="center"/>
                </w:tcPr>
                <w:p w14:paraId="4D13915E">
                  <w:pPr>
                    <w:pStyle w:val="115"/>
                    <w:bidi w:val="0"/>
                    <w:rPr>
                      <w:b/>
                      <w:bCs/>
                    </w:rPr>
                  </w:pPr>
                  <w:r>
                    <w:rPr>
                      <w:rFonts w:hint="eastAsia"/>
                      <w:lang w:val="en-US" w:eastAsia="zh-CN"/>
                    </w:rPr>
                    <w:t>未检出</w:t>
                  </w:r>
                </w:p>
              </w:tc>
              <w:tc>
                <w:tcPr>
                  <w:tcW w:w="915" w:type="pct"/>
                  <w:tcBorders>
                    <w:tl2br w:val="nil"/>
                    <w:tr2bl w:val="nil"/>
                  </w:tcBorders>
                  <w:noWrap w:val="0"/>
                  <w:vAlign w:val="center"/>
                </w:tcPr>
                <w:p w14:paraId="5609033D">
                  <w:pPr>
                    <w:pStyle w:val="115"/>
                    <w:bidi w:val="0"/>
                  </w:pPr>
                  <w:r>
                    <w:t>达标</w:t>
                  </w:r>
                </w:p>
              </w:tc>
              <w:tc>
                <w:tcPr>
                  <w:tcW w:w="915" w:type="pct"/>
                  <w:tcBorders>
                    <w:tl2br w:val="nil"/>
                    <w:tr2bl w:val="nil"/>
                  </w:tcBorders>
                  <w:noWrap w:val="0"/>
                  <w:vAlign w:val="center"/>
                </w:tcPr>
                <w:p w14:paraId="14E7B014">
                  <w:pPr>
                    <w:pStyle w:val="115"/>
                    <w:bidi w:val="0"/>
                  </w:pPr>
                  <w:r>
                    <w:t>9</w:t>
                  </w:r>
                </w:p>
              </w:tc>
            </w:tr>
            <w:tr w14:paraId="41D7D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625BAD6">
                  <w:pPr>
                    <w:pStyle w:val="115"/>
                    <w:bidi w:val="0"/>
                  </w:pPr>
                  <w:r>
                    <w:t>12</w:t>
                  </w:r>
                </w:p>
              </w:tc>
              <w:tc>
                <w:tcPr>
                  <w:tcW w:w="1887" w:type="pct"/>
                  <w:tcBorders>
                    <w:tl2br w:val="nil"/>
                    <w:tr2bl w:val="nil"/>
                  </w:tcBorders>
                  <w:noWrap w:val="0"/>
                  <w:vAlign w:val="center"/>
                </w:tcPr>
                <w:p w14:paraId="08E8D0F0">
                  <w:pPr>
                    <w:pStyle w:val="115"/>
                    <w:bidi w:val="0"/>
                  </w:pPr>
                  <w:r>
                    <w:t>1，2-二氯乙烷</w:t>
                  </w:r>
                </w:p>
              </w:tc>
              <w:tc>
                <w:tcPr>
                  <w:tcW w:w="733" w:type="pct"/>
                  <w:tcBorders>
                    <w:tl2br w:val="nil"/>
                    <w:tr2bl w:val="nil"/>
                  </w:tcBorders>
                  <w:noWrap w:val="0"/>
                  <w:vAlign w:val="center"/>
                </w:tcPr>
                <w:p w14:paraId="2784524F">
                  <w:pPr>
                    <w:pStyle w:val="115"/>
                    <w:bidi w:val="0"/>
                  </w:pPr>
                  <w:r>
                    <w:rPr>
                      <w:rFonts w:hint="eastAsia"/>
                      <w:lang w:val="en-US" w:eastAsia="zh-CN"/>
                    </w:rPr>
                    <w:t>未检出</w:t>
                  </w:r>
                </w:p>
              </w:tc>
              <w:tc>
                <w:tcPr>
                  <w:tcW w:w="915" w:type="pct"/>
                  <w:tcBorders>
                    <w:tl2br w:val="nil"/>
                    <w:tr2bl w:val="nil"/>
                  </w:tcBorders>
                  <w:noWrap w:val="0"/>
                  <w:vAlign w:val="center"/>
                </w:tcPr>
                <w:p w14:paraId="5F0DC4FC">
                  <w:pPr>
                    <w:pStyle w:val="115"/>
                    <w:bidi w:val="0"/>
                  </w:pPr>
                  <w:r>
                    <w:t>达标</w:t>
                  </w:r>
                </w:p>
              </w:tc>
              <w:tc>
                <w:tcPr>
                  <w:tcW w:w="915" w:type="pct"/>
                  <w:tcBorders>
                    <w:tl2br w:val="nil"/>
                    <w:tr2bl w:val="nil"/>
                  </w:tcBorders>
                  <w:noWrap w:val="0"/>
                  <w:vAlign w:val="center"/>
                </w:tcPr>
                <w:p w14:paraId="3FEC8E4D">
                  <w:pPr>
                    <w:pStyle w:val="115"/>
                    <w:bidi w:val="0"/>
                  </w:pPr>
                  <w:r>
                    <w:t>5</w:t>
                  </w:r>
                </w:p>
              </w:tc>
            </w:tr>
            <w:tr w14:paraId="75B04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6B25F924">
                  <w:pPr>
                    <w:pStyle w:val="115"/>
                    <w:bidi w:val="0"/>
                  </w:pPr>
                  <w:r>
                    <w:t>13</w:t>
                  </w:r>
                </w:p>
              </w:tc>
              <w:tc>
                <w:tcPr>
                  <w:tcW w:w="1887" w:type="pct"/>
                  <w:tcBorders>
                    <w:tl2br w:val="nil"/>
                    <w:tr2bl w:val="nil"/>
                  </w:tcBorders>
                  <w:noWrap w:val="0"/>
                  <w:vAlign w:val="center"/>
                </w:tcPr>
                <w:p w14:paraId="16F4E7ED">
                  <w:pPr>
                    <w:pStyle w:val="115"/>
                    <w:bidi w:val="0"/>
                  </w:pPr>
                  <w:r>
                    <w:t>1，1-二氯乙烯</w:t>
                  </w:r>
                </w:p>
              </w:tc>
              <w:tc>
                <w:tcPr>
                  <w:tcW w:w="733" w:type="pct"/>
                  <w:tcBorders>
                    <w:tl2br w:val="nil"/>
                    <w:tr2bl w:val="nil"/>
                  </w:tcBorders>
                  <w:noWrap w:val="0"/>
                  <w:vAlign w:val="center"/>
                </w:tcPr>
                <w:p w14:paraId="3EF920DA">
                  <w:pPr>
                    <w:pStyle w:val="115"/>
                    <w:bidi w:val="0"/>
                  </w:pPr>
                  <w:r>
                    <w:rPr>
                      <w:rFonts w:hint="eastAsia"/>
                      <w:lang w:val="en-US" w:eastAsia="zh-CN"/>
                    </w:rPr>
                    <w:t>未检出</w:t>
                  </w:r>
                </w:p>
              </w:tc>
              <w:tc>
                <w:tcPr>
                  <w:tcW w:w="915" w:type="pct"/>
                  <w:tcBorders>
                    <w:tl2br w:val="nil"/>
                    <w:tr2bl w:val="nil"/>
                  </w:tcBorders>
                  <w:noWrap w:val="0"/>
                  <w:vAlign w:val="center"/>
                </w:tcPr>
                <w:p w14:paraId="49787CCB">
                  <w:pPr>
                    <w:pStyle w:val="115"/>
                    <w:bidi w:val="0"/>
                  </w:pPr>
                  <w:r>
                    <w:t>达标</w:t>
                  </w:r>
                </w:p>
              </w:tc>
              <w:tc>
                <w:tcPr>
                  <w:tcW w:w="915" w:type="pct"/>
                  <w:tcBorders>
                    <w:tl2br w:val="nil"/>
                    <w:tr2bl w:val="nil"/>
                  </w:tcBorders>
                  <w:noWrap w:val="0"/>
                  <w:vAlign w:val="center"/>
                </w:tcPr>
                <w:p w14:paraId="496A2F30">
                  <w:pPr>
                    <w:pStyle w:val="115"/>
                    <w:bidi w:val="0"/>
                  </w:pPr>
                  <w:r>
                    <w:t>66</w:t>
                  </w:r>
                </w:p>
              </w:tc>
            </w:tr>
            <w:tr w14:paraId="4327D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5FA53E0">
                  <w:pPr>
                    <w:pStyle w:val="115"/>
                    <w:bidi w:val="0"/>
                  </w:pPr>
                  <w:r>
                    <w:t>14</w:t>
                  </w:r>
                </w:p>
              </w:tc>
              <w:tc>
                <w:tcPr>
                  <w:tcW w:w="1887" w:type="pct"/>
                  <w:tcBorders>
                    <w:tl2br w:val="nil"/>
                    <w:tr2bl w:val="nil"/>
                  </w:tcBorders>
                  <w:noWrap w:val="0"/>
                  <w:vAlign w:val="center"/>
                </w:tcPr>
                <w:p w14:paraId="694BFBC6">
                  <w:pPr>
                    <w:pStyle w:val="115"/>
                    <w:bidi w:val="0"/>
                  </w:pPr>
                  <w:r>
                    <w:t>顺-1，2-二氯乙烯</w:t>
                  </w:r>
                </w:p>
              </w:tc>
              <w:tc>
                <w:tcPr>
                  <w:tcW w:w="733" w:type="pct"/>
                  <w:tcBorders>
                    <w:tl2br w:val="nil"/>
                    <w:tr2bl w:val="nil"/>
                  </w:tcBorders>
                  <w:noWrap w:val="0"/>
                  <w:vAlign w:val="center"/>
                </w:tcPr>
                <w:p w14:paraId="6657F472">
                  <w:pPr>
                    <w:pStyle w:val="115"/>
                    <w:bidi w:val="0"/>
                  </w:pPr>
                  <w:r>
                    <w:rPr>
                      <w:rFonts w:hint="eastAsia"/>
                      <w:lang w:val="en-US" w:eastAsia="zh-CN"/>
                    </w:rPr>
                    <w:t>未检出</w:t>
                  </w:r>
                </w:p>
              </w:tc>
              <w:tc>
                <w:tcPr>
                  <w:tcW w:w="915" w:type="pct"/>
                  <w:tcBorders>
                    <w:tl2br w:val="nil"/>
                    <w:tr2bl w:val="nil"/>
                  </w:tcBorders>
                  <w:noWrap w:val="0"/>
                  <w:vAlign w:val="center"/>
                </w:tcPr>
                <w:p w14:paraId="7D1167A5">
                  <w:pPr>
                    <w:pStyle w:val="115"/>
                    <w:bidi w:val="0"/>
                  </w:pPr>
                  <w:r>
                    <w:t>达标</w:t>
                  </w:r>
                </w:p>
              </w:tc>
              <w:tc>
                <w:tcPr>
                  <w:tcW w:w="915" w:type="pct"/>
                  <w:tcBorders>
                    <w:tl2br w:val="nil"/>
                    <w:tr2bl w:val="nil"/>
                  </w:tcBorders>
                  <w:noWrap w:val="0"/>
                  <w:vAlign w:val="center"/>
                </w:tcPr>
                <w:p w14:paraId="7914808C">
                  <w:pPr>
                    <w:pStyle w:val="115"/>
                    <w:bidi w:val="0"/>
                  </w:pPr>
                  <w:r>
                    <w:t>596</w:t>
                  </w:r>
                </w:p>
              </w:tc>
            </w:tr>
            <w:tr w14:paraId="6A42C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094F817E">
                  <w:pPr>
                    <w:pStyle w:val="115"/>
                    <w:bidi w:val="0"/>
                  </w:pPr>
                  <w:r>
                    <w:t>15</w:t>
                  </w:r>
                </w:p>
              </w:tc>
              <w:tc>
                <w:tcPr>
                  <w:tcW w:w="1887" w:type="pct"/>
                  <w:tcBorders>
                    <w:tl2br w:val="nil"/>
                    <w:tr2bl w:val="nil"/>
                  </w:tcBorders>
                  <w:noWrap w:val="0"/>
                  <w:vAlign w:val="center"/>
                </w:tcPr>
                <w:p w14:paraId="5A6ADC38">
                  <w:pPr>
                    <w:pStyle w:val="115"/>
                    <w:bidi w:val="0"/>
                  </w:pPr>
                  <w:r>
                    <w:t>反-1，2-二氯乙烯</w:t>
                  </w:r>
                </w:p>
              </w:tc>
              <w:tc>
                <w:tcPr>
                  <w:tcW w:w="733" w:type="pct"/>
                  <w:tcBorders>
                    <w:tl2br w:val="nil"/>
                    <w:tr2bl w:val="nil"/>
                  </w:tcBorders>
                  <w:noWrap w:val="0"/>
                  <w:vAlign w:val="center"/>
                </w:tcPr>
                <w:p w14:paraId="21903FE1">
                  <w:pPr>
                    <w:pStyle w:val="115"/>
                    <w:bidi w:val="0"/>
                  </w:pPr>
                  <w:r>
                    <w:rPr>
                      <w:rFonts w:hint="eastAsia"/>
                      <w:lang w:val="en-US" w:eastAsia="zh-CN"/>
                    </w:rPr>
                    <w:t>未检出</w:t>
                  </w:r>
                </w:p>
              </w:tc>
              <w:tc>
                <w:tcPr>
                  <w:tcW w:w="915" w:type="pct"/>
                  <w:tcBorders>
                    <w:tl2br w:val="nil"/>
                    <w:tr2bl w:val="nil"/>
                  </w:tcBorders>
                  <w:noWrap w:val="0"/>
                  <w:vAlign w:val="center"/>
                </w:tcPr>
                <w:p w14:paraId="2A036A7A">
                  <w:pPr>
                    <w:pStyle w:val="115"/>
                    <w:bidi w:val="0"/>
                  </w:pPr>
                  <w:r>
                    <w:t>达标</w:t>
                  </w:r>
                </w:p>
              </w:tc>
              <w:tc>
                <w:tcPr>
                  <w:tcW w:w="915" w:type="pct"/>
                  <w:tcBorders>
                    <w:tl2br w:val="nil"/>
                    <w:tr2bl w:val="nil"/>
                  </w:tcBorders>
                  <w:noWrap w:val="0"/>
                  <w:vAlign w:val="center"/>
                </w:tcPr>
                <w:p w14:paraId="1B7D604D">
                  <w:pPr>
                    <w:pStyle w:val="115"/>
                    <w:bidi w:val="0"/>
                  </w:pPr>
                  <w:r>
                    <w:t>54</w:t>
                  </w:r>
                </w:p>
              </w:tc>
            </w:tr>
            <w:tr w14:paraId="647F2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7979884B">
                  <w:pPr>
                    <w:pStyle w:val="115"/>
                    <w:bidi w:val="0"/>
                  </w:pPr>
                  <w:r>
                    <w:t>16</w:t>
                  </w:r>
                </w:p>
              </w:tc>
              <w:tc>
                <w:tcPr>
                  <w:tcW w:w="1887" w:type="pct"/>
                  <w:tcBorders>
                    <w:tl2br w:val="nil"/>
                    <w:tr2bl w:val="nil"/>
                  </w:tcBorders>
                  <w:noWrap w:val="0"/>
                  <w:vAlign w:val="center"/>
                </w:tcPr>
                <w:p w14:paraId="0F42B6D2">
                  <w:pPr>
                    <w:pStyle w:val="115"/>
                    <w:bidi w:val="0"/>
                  </w:pPr>
                  <w:r>
                    <w:t>二氯甲烷</w:t>
                  </w:r>
                </w:p>
              </w:tc>
              <w:tc>
                <w:tcPr>
                  <w:tcW w:w="733" w:type="pct"/>
                  <w:tcBorders>
                    <w:tl2br w:val="nil"/>
                    <w:tr2bl w:val="nil"/>
                  </w:tcBorders>
                  <w:noWrap w:val="0"/>
                  <w:vAlign w:val="center"/>
                </w:tcPr>
                <w:p w14:paraId="4926AA45">
                  <w:pPr>
                    <w:pStyle w:val="115"/>
                    <w:bidi w:val="0"/>
                  </w:pPr>
                  <w:r>
                    <w:rPr>
                      <w:rFonts w:hint="eastAsia"/>
                      <w:lang w:val="en-US" w:eastAsia="zh-CN"/>
                    </w:rPr>
                    <w:t>未检出</w:t>
                  </w:r>
                </w:p>
              </w:tc>
              <w:tc>
                <w:tcPr>
                  <w:tcW w:w="915" w:type="pct"/>
                  <w:tcBorders>
                    <w:tl2br w:val="nil"/>
                    <w:tr2bl w:val="nil"/>
                  </w:tcBorders>
                  <w:noWrap w:val="0"/>
                  <w:vAlign w:val="center"/>
                </w:tcPr>
                <w:p w14:paraId="61F4CDCD">
                  <w:pPr>
                    <w:pStyle w:val="115"/>
                    <w:bidi w:val="0"/>
                  </w:pPr>
                  <w:r>
                    <w:t>达标</w:t>
                  </w:r>
                </w:p>
              </w:tc>
              <w:tc>
                <w:tcPr>
                  <w:tcW w:w="915" w:type="pct"/>
                  <w:tcBorders>
                    <w:tl2br w:val="nil"/>
                    <w:tr2bl w:val="nil"/>
                  </w:tcBorders>
                  <w:noWrap w:val="0"/>
                  <w:vAlign w:val="center"/>
                </w:tcPr>
                <w:p w14:paraId="05EB9FA4">
                  <w:pPr>
                    <w:pStyle w:val="115"/>
                    <w:bidi w:val="0"/>
                  </w:pPr>
                  <w:r>
                    <w:t>616</w:t>
                  </w:r>
                </w:p>
              </w:tc>
            </w:tr>
            <w:tr w14:paraId="7EE8F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3F801376">
                  <w:pPr>
                    <w:pStyle w:val="115"/>
                    <w:bidi w:val="0"/>
                  </w:pPr>
                  <w:r>
                    <w:t>17</w:t>
                  </w:r>
                </w:p>
              </w:tc>
              <w:tc>
                <w:tcPr>
                  <w:tcW w:w="1887" w:type="pct"/>
                  <w:tcBorders>
                    <w:tl2br w:val="nil"/>
                    <w:tr2bl w:val="nil"/>
                  </w:tcBorders>
                  <w:noWrap w:val="0"/>
                  <w:vAlign w:val="center"/>
                </w:tcPr>
                <w:p w14:paraId="66AC7A80">
                  <w:pPr>
                    <w:pStyle w:val="115"/>
                    <w:bidi w:val="0"/>
                  </w:pPr>
                  <w:r>
                    <w:t>1，2-二氯丙烷</w:t>
                  </w:r>
                </w:p>
              </w:tc>
              <w:tc>
                <w:tcPr>
                  <w:tcW w:w="733" w:type="pct"/>
                  <w:tcBorders>
                    <w:tl2br w:val="nil"/>
                    <w:tr2bl w:val="nil"/>
                  </w:tcBorders>
                  <w:noWrap w:val="0"/>
                  <w:vAlign w:val="center"/>
                </w:tcPr>
                <w:p w14:paraId="46B30FB8">
                  <w:pPr>
                    <w:pStyle w:val="115"/>
                    <w:bidi w:val="0"/>
                  </w:pPr>
                  <w:r>
                    <w:rPr>
                      <w:rFonts w:hint="eastAsia"/>
                      <w:lang w:val="en-US" w:eastAsia="zh-CN"/>
                    </w:rPr>
                    <w:t>未检出</w:t>
                  </w:r>
                </w:p>
              </w:tc>
              <w:tc>
                <w:tcPr>
                  <w:tcW w:w="915" w:type="pct"/>
                  <w:tcBorders>
                    <w:tl2br w:val="nil"/>
                    <w:tr2bl w:val="nil"/>
                  </w:tcBorders>
                  <w:noWrap w:val="0"/>
                  <w:vAlign w:val="center"/>
                </w:tcPr>
                <w:p w14:paraId="2F291F23">
                  <w:pPr>
                    <w:pStyle w:val="115"/>
                    <w:bidi w:val="0"/>
                  </w:pPr>
                  <w:r>
                    <w:t>达标</w:t>
                  </w:r>
                </w:p>
              </w:tc>
              <w:tc>
                <w:tcPr>
                  <w:tcW w:w="915" w:type="pct"/>
                  <w:tcBorders>
                    <w:tl2br w:val="nil"/>
                    <w:tr2bl w:val="nil"/>
                  </w:tcBorders>
                  <w:noWrap w:val="0"/>
                  <w:vAlign w:val="center"/>
                </w:tcPr>
                <w:p w14:paraId="24E19AA8">
                  <w:pPr>
                    <w:pStyle w:val="115"/>
                    <w:bidi w:val="0"/>
                  </w:pPr>
                  <w:r>
                    <w:t>5</w:t>
                  </w:r>
                </w:p>
              </w:tc>
            </w:tr>
            <w:tr w14:paraId="1AD7E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78DCA85F">
                  <w:pPr>
                    <w:pStyle w:val="115"/>
                    <w:bidi w:val="0"/>
                  </w:pPr>
                  <w:r>
                    <w:t>18</w:t>
                  </w:r>
                </w:p>
              </w:tc>
              <w:tc>
                <w:tcPr>
                  <w:tcW w:w="1887" w:type="pct"/>
                  <w:tcBorders>
                    <w:tl2br w:val="nil"/>
                    <w:tr2bl w:val="nil"/>
                  </w:tcBorders>
                  <w:noWrap w:val="0"/>
                  <w:vAlign w:val="center"/>
                </w:tcPr>
                <w:p w14:paraId="086948F5">
                  <w:pPr>
                    <w:pStyle w:val="115"/>
                    <w:bidi w:val="0"/>
                  </w:pPr>
                  <w:r>
                    <w:t>1，1，1，2-四氯乙烷</w:t>
                  </w:r>
                </w:p>
              </w:tc>
              <w:tc>
                <w:tcPr>
                  <w:tcW w:w="733" w:type="pct"/>
                  <w:tcBorders>
                    <w:tl2br w:val="nil"/>
                    <w:tr2bl w:val="nil"/>
                  </w:tcBorders>
                  <w:noWrap w:val="0"/>
                  <w:vAlign w:val="center"/>
                </w:tcPr>
                <w:p w14:paraId="7BF12345">
                  <w:pPr>
                    <w:pStyle w:val="115"/>
                    <w:bidi w:val="0"/>
                  </w:pPr>
                  <w:r>
                    <w:rPr>
                      <w:rFonts w:hint="eastAsia"/>
                      <w:lang w:val="en-US" w:eastAsia="zh-CN"/>
                    </w:rPr>
                    <w:t>未检出</w:t>
                  </w:r>
                </w:p>
              </w:tc>
              <w:tc>
                <w:tcPr>
                  <w:tcW w:w="915" w:type="pct"/>
                  <w:tcBorders>
                    <w:tl2br w:val="nil"/>
                    <w:tr2bl w:val="nil"/>
                  </w:tcBorders>
                  <w:noWrap w:val="0"/>
                  <w:vAlign w:val="center"/>
                </w:tcPr>
                <w:p w14:paraId="756FB8D3">
                  <w:pPr>
                    <w:pStyle w:val="115"/>
                    <w:bidi w:val="0"/>
                  </w:pPr>
                  <w:r>
                    <w:t>达标</w:t>
                  </w:r>
                </w:p>
              </w:tc>
              <w:tc>
                <w:tcPr>
                  <w:tcW w:w="915" w:type="pct"/>
                  <w:tcBorders>
                    <w:tl2br w:val="nil"/>
                    <w:tr2bl w:val="nil"/>
                  </w:tcBorders>
                  <w:noWrap w:val="0"/>
                  <w:vAlign w:val="center"/>
                </w:tcPr>
                <w:p w14:paraId="24726BCB">
                  <w:pPr>
                    <w:pStyle w:val="115"/>
                    <w:bidi w:val="0"/>
                  </w:pPr>
                  <w:r>
                    <w:t>10</w:t>
                  </w:r>
                </w:p>
              </w:tc>
            </w:tr>
            <w:tr w14:paraId="478CE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7AC7A70">
                  <w:pPr>
                    <w:pStyle w:val="115"/>
                    <w:bidi w:val="0"/>
                  </w:pPr>
                  <w:r>
                    <w:t>19</w:t>
                  </w:r>
                </w:p>
              </w:tc>
              <w:tc>
                <w:tcPr>
                  <w:tcW w:w="1887" w:type="pct"/>
                  <w:tcBorders>
                    <w:tl2br w:val="nil"/>
                    <w:tr2bl w:val="nil"/>
                  </w:tcBorders>
                  <w:noWrap w:val="0"/>
                  <w:vAlign w:val="center"/>
                </w:tcPr>
                <w:p w14:paraId="57E744E0">
                  <w:pPr>
                    <w:pStyle w:val="115"/>
                    <w:bidi w:val="0"/>
                  </w:pPr>
                  <w:r>
                    <w:t>1，1，2，2-四氯乙烷</w:t>
                  </w:r>
                </w:p>
              </w:tc>
              <w:tc>
                <w:tcPr>
                  <w:tcW w:w="733" w:type="pct"/>
                  <w:tcBorders>
                    <w:tl2br w:val="nil"/>
                    <w:tr2bl w:val="nil"/>
                  </w:tcBorders>
                  <w:noWrap w:val="0"/>
                  <w:vAlign w:val="center"/>
                </w:tcPr>
                <w:p w14:paraId="35B9C227">
                  <w:pPr>
                    <w:pStyle w:val="115"/>
                    <w:bidi w:val="0"/>
                  </w:pPr>
                  <w:r>
                    <w:rPr>
                      <w:rFonts w:hint="eastAsia"/>
                      <w:lang w:val="en-US" w:eastAsia="zh-CN"/>
                    </w:rPr>
                    <w:t>未检出</w:t>
                  </w:r>
                </w:p>
              </w:tc>
              <w:tc>
                <w:tcPr>
                  <w:tcW w:w="915" w:type="pct"/>
                  <w:tcBorders>
                    <w:tl2br w:val="nil"/>
                    <w:tr2bl w:val="nil"/>
                  </w:tcBorders>
                  <w:noWrap w:val="0"/>
                  <w:vAlign w:val="center"/>
                </w:tcPr>
                <w:p w14:paraId="39D168C0">
                  <w:pPr>
                    <w:pStyle w:val="115"/>
                    <w:bidi w:val="0"/>
                  </w:pPr>
                  <w:r>
                    <w:t>达标</w:t>
                  </w:r>
                </w:p>
              </w:tc>
              <w:tc>
                <w:tcPr>
                  <w:tcW w:w="915" w:type="pct"/>
                  <w:tcBorders>
                    <w:tl2br w:val="nil"/>
                    <w:tr2bl w:val="nil"/>
                  </w:tcBorders>
                  <w:noWrap w:val="0"/>
                  <w:vAlign w:val="center"/>
                </w:tcPr>
                <w:p w14:paraId="077C1AA3">
                  <w:pPr>
                    <w:pStyle w:val="115"/>
                    <w:bidi w:val="0"/>
                  </w:pPr>
                  <w:r>
                    <w:t>6.8</w:t>
                  </w:r>
                </w:p>
              </w:tc>
            </w:tr>
            <w:tr w14:paraId="0DB07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357DE630">
                  <w:pPr>
                    <w:pStyle w:val="115"/>
                    <w:bidi w:val="0"/>
                  </w:pPr>
                  <w:r>
                    <w:t>20</w:t>
                  </w:r>
                </w:p>
              </w:tc>
              <w:tc>
                <w:tcPr>
                  <w:tcW w:w="1887" w:type="pct"/>
                  <w:tcBorders>
                    <w:tl2br w:val="nil"/>
                    <w:tr2bl w:val="nil"/>
                  </w:tcBorders>
                  <w:noWrap w:val="0"/>
                  <w:vAlign w:val="center"/>
                </w:tcPr>
                <w:p w14:paraId="561A5FBE">
                  <w:pPr>
                    <w:pStyle w:val="115"/>
                    <w:bidi w:val="0"/>
                  </w:pPr>
                  <w:r>
                    <w:t>四氯乙烯</w:t>
                  </w:r>
                </w:p>
              </w:tc>
              <w:tc>
                <w:tcPr>
                  <w:tcW w:w="733" w:type="pct"/>
                  <w:tcBorders>
                    <w:tl2br w:val="nil"/>
                    <w:tr2bl w:val="nil"/>
                  </w:tcBorders>
                  <w:noWrap w:val="0"/>
                  <w:vAlign w:val="center"/>
                </w:tcPr>
                <w:p w14:paraId="09CF6D18">
                  <w:pPr>
                    <w:pStyle w:val="115"/>
                    <w:bidi w:val="0"/>
                  </w:pPr>
                  <w:r>
                    <w:rPr>
                      <w:rFonts w:hint="eastAsia"/>
                      <w:lang w:val="en-US" w:eastAsia="zh-CN"/>
                    </w:rPr>
                    <w:t>未检出</w:t>
                  </w:r>
                </w:p>
              </w:tc>
              <w:tc>
                <w:tcPr>
                  <w:tcW w:w="915" w:type="pct"/>
                  <w:tcBorders>
                    <w:tl2br w:val="nil"/>
                    <w:tr2bl w:val="nil"/>
                  </w:tcBorders>
                  <w:noWrap w:val="0"/>
                  <w:vAlign w:val="center"/>
                </w:tcPr>
                <w:p w14:paraId="244A8820">
                  <w:pPr>
                    <w:pStyle w:val="115"/>
                    <w:bidi w:val="0"/>
                  </w:pPr>
                  <w:r>
                    <w:t>达标</w:t>
                  </w:r>
                </w:p>
              </w:tc>
              <w:tc>
                <w:tcPr>
                  <w:tcW w:w="915" w:type="pct"/>
                  <w:tcBorders>
                    <w:tl2br w:val="nil"/>
                    <w:tr2bl w:val="nil"/>
                  </w:tcBorders>
                  <w:noWrap w:val="0"/>
                  <w:vAlign w:val="center"/>
                </w:tcPr>
                <w:p w14:paraId="29E3FFEA">
                  <w:pPr>
                    <w:pStyle w:val="115"/>
                    <w:bidi w:val="0"/>
                  </w:pPr>
                  <w:r>
                    <w:t>53</w:t>
                  </w:r>
                </w:p>
              </w:tc>
            </w:tr>
            <w:tr w14:paraId="650CE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3625C105">
                  <w:pPr>
                    <w:pStyle w:val="115"/>
                    <w:bidi w:val="0"/>
                  </w:pPr>
                  <w:r>
                    <w:t>21</w:t>
                  </w:r>
                </w:p>
              </w:tc>
              <w:tc>
                <w:tcPr>
                  <w:tcW w:w="1887" w:type="pct"/>
                  <w:tcBorders>
                    <w:tl2br w:val="nil"/>
                    <w:tr2bl w:val="nil"/>
                  </w:tcBorders>
                  <w:noWrap w:val="0"/>
                  <w:vAlign w:val="center"/>
                </w:tcPr>
                <w:p w14:paraId="65DF27E3">
                  <w:pPr>
                    <w:pStyle w:val="115"/>
                    <w:bidi w:val="0"/>
                  </w:pPr>
                  <w:r>
                    <w:t>1，1，1-三氯乙烷</w:t>
                  </w:r>
                </w:p>
              </w:tc>
              <w:tc>
                <w:tcPr>
                  <w:tcW w:w="733" w:type="pct"/>
                  <w:tcBorders>
                    <w:tl2br w:val="nil"/>
                    <w:tr2bl w:val="nil"/>
                  </w:tcBorders>
                  <w:noWrap w:val="0"/>
                  <w:vAlign w:val="center"/>
                </w:tcPr>
                <w:p w14:paraId="08AA97D8">
                  <w:pPr>
                    <w:pStyle w:val="115"/>
                    <w:bidi w:val="0"/>
                  </w:pPr>
                  <w:r>
                    <w:rPr>
                      <w:rFonts w:hint="eastAsia"/>
                      <w:lang w:val="en-US" w:eastAsia="zh-CN"/>
                    </w:rPr>
                    <w:t>未检出</w:t>
                  </w:r>
                </w:p>
              </w:tc>
              <w:tc>
                <w:tcPr>
                  <w:tcW w:w="915" w:type="pct"/>
                  <w:tcBorders>
                    <w:tl2br w:val="nil"/>
                    <w:tr2bl w:val="nil"/>
                  </w:tcBorders>
                  <w:noWrap w:val="0"/>
                  <w:vAlign w:val="center"/>
                </w:tcPr>
                <w:p w14:paraId="05FB285F">
                  <w:pPr>
                    <w:pStyle w:val="115"/>
                    <w:bidi w:val="0"/>
                  </w:pPr>
                  <w:r>
                    <w:t>达标</w:t>
                  </w:r>
                </w:p>
              </w:tc>
              <w:tc>
                <w:tcPr>
                  <w:tcW w:w="915" w:type="pct"/>
                  <w:tcBorders>
                    <w:tl2br w:val="nil"/>
                    <w:tr2bl w:val="nil"/>
                  </w:tcBorders>
                  <w:noWrap w:val="0"/>
                  <w:vAlign w:val="center"/>
                </w:tcPr>
                <w:p w14:paraId="66CC9418">
                  <w:pPr>
                    <w:pStyle w:val="115"/>
                    <w:bidi w:val="0"/>
                  </w:pPr>
                  <w:r>
                    <w:t>840</w:t>
                  </w:r>
                </w:p>
              </w:tc>
            </w:tr>
            <w:tr w14:paraId="6AF6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453CDB79">
                  <w:pPr>
                    <w:pStyle w:val="115"/>
                    <w:bidi w:val="0"/>
                  </w:pPr>
                  <w:r>
                    <w:t>22</w:t>
                  </w:r>
                </w:p>
              </w:tc>
              <w:tc>
                <w:tcPr>
                  <w:tcW w:w="1887" w:type="pct"/>
                  <w:tcBorders>
                    <w:tl2br w:val="nil"/>
                    <w:tr2bl w:val="nil"/>
                  </w:tcBorders>
                  <w:noWrap w:val="0"/>
                  <w:vAlign w:val="center"/>
                </w:tcPr>
                <w:p w14:paraId="3803DD9D">
                  <w:pPr>
                    <w:pStyle w:val="115"/>
                    <w:bidi w:val="0"/>
                  </w:pPr>
                  <w:r>
                    <w:t>1，1，2-三氯乙烷</w:t>
                  </w:r>
                </w:p>
              </w:tc>
              <w:tc>
                <w:tcPr>
                  <w:tcW w:w="733" w:type="pct"/>
                  <w:tcBorders>
                    <w:tl2br w:val="nil"/>
                    <w:tr2bl w:val="nil"/>
                  </w:tcBorders>
                  <w:noWrap w:val="0"/>
                  <w:vAlign w:val="center"/>
                </w:tcPr>
                <w:p w14:paraId="5397DFD2">
                  <w:pPr>
                    <w:pStyle w:val="115"/>
                    <w:bidi w:val="0"/>
                  </w:pPr>
                  <w:r>
                    <w:rPr>
                      <w:rFonts w:hint="eastAsia"/>
                      <w:lang w:val="en-US" w:eastAsia="zh-CN"/>
                    </w:rPr>
                    <w:t>未检出</w:t>
                  </w:r>
                </w:p>
              </w:tc>
              <w:tc>
                <w:tcPr>
                  <w:tcW w:w="915" w:type="pct"/>
                  <w:tcBorders>
                    <w:tl2br w:val="nil"/>
                    <w:tr2bl w:val="nil"/>
                  </w:tcBorders>
                  <w:noWrap w:val="0"/>
                  <w:vAlign w:val="center"/>
                </w:tcPr>
                <w:p w14:paraId="4B26AF0E">
                  <w:pPr>
                    <w:pStyle w:val="115"/>
                    <w:bidi w:val="0"/>
                  </w:pPr>
                  <w:r>
                    <w:t>达标</w:t>
                  </w:r>
                </w:p>
              </w:tc>
              <w:tc>
                <w:tcPr>
                  <w:tcW w:w="915" w:type="pct"/>
                  <w:tcBorders>
                    <w:tl2br w:val="nil"/>
                    <w:tr2bl w:val="nil"/>
                  </w:tcBorders>
                  <w:noWrap w:val="0"/>
                  <w:vAlign w:val="center"/>
                </w:tcPr>
                <w:p w14:paraId="7E37C210">
                  <w:pPr>
                    <w:pStyle w:val="115"/>
                    <w:bidi w:val="0"/>
                  </w:pPr>
                  <w:r>
                    <w:t>2.8</w:t>
                  </w:r>
                </w:p>
              </w:tc>
            </w:tr>
            <w:tr w14:paraId="19B0A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3E5E63AF">
                  <w:pPr>
                    <w:pStyle w:val="115"/>
                    <w:bidi w:val="0"/>
                  </w:pPr>
                  <w:r>
                    <w:t>23</w:t>
                  </w:r>
                </w:p>
              </w:tc>
              <w:tc>
                <w:tcPr>
                  <w:tcW w:w="1887" w:type="pct"/>
                  <w:tcBorders>
                    <w:tl2br w:val="nil"/>
                    <w:tr2bl w:val="nil"/>
                  </w:tcBorders>
                  <w:noWrap w:val="0"/>
                  <w:vAlign w:val="center"/>
                </w:tcPr>
                <w:p w14:paraId="7D2FA5E2">
                  <w:pPr>
                    <w:pStyle w:val="115"/>
                    <w:bidi w:val="0"/>
                  </w:pPr>
                  <w:r>
                    <w:t>三氯乙烯</w:t>
                  </w:r>
                </w:p>
              </w:tc>
              <w:tc>
                <w:tcPr>
                  <w:tcW w:w="733" w:type="pct"/>
                  <w:tcBorders>
                    <w:tl2br w:val="nil"/>
                    <w:tr2bl w:val="nil"/>
                  </w:tcBorders>
                  <w:noWrap w:val="0"/>
                  <w:vAlign w:val="center"/>
                </w:tcPr>
                <w:p w14:paraId="1E9B92A7">
                  <w:pPr>
                    <w:pStyle w:val="115"/>
                    <w:bidi w:val="0"/>
                  </w:pPr>
                  <w:r>
                    <w:rPr>
                      <w:rFonts w:hint="eastAsia"/>
                      <w:lang w:val="en-US" w:eastAsia="zh-CN"/>
                    </w:rPr>
                    <w:t>未检出</w:t>
                  </w:r>
                </w:p>
              </w:tc>
              <w:tc>
                <w:tcPr>
                  <w:tcW w:w="915" w:type="pct"/>
                  <w:tcBorders>
                    <w:tl2br w:val="nil"/>
                    <w:tr2bl w:val="nil"/>
                  </w:tcBorders>
                  <w:noWrap w:val="0"/>
                  <w:vAlign w:val="center"/>
                </w:tcPr>
                <w:p w14:paraId="4BF40F4D">
                  <w:pPr>
                    <w:pStyle w:val="115"/>
                    <w:bidi w:val="0"/>
                  </w:pPr>
                  <w:r>
                    <w:t>达标</w:t>
                  </w:r>
                </w:p>
              </w:tc>
              <w:tc>
                <w:tcPr>
                  <w:tcW w:w="915" w:type="pct"/>
                  <w:tcBorders>
                    <w:tl2br w:val="nil"/>
                    <w:tr2bl w:val="nil"/>
                  </w:tcBorders>
                  <w:noWrap w:val="0"/>
                  <w:vAlign w:val="center"/>
                </w:tcPr>
                <w:p w14:paraId="6FD37994">
                  <w:pPr>
                    <w:pStyle w:val="115"/>
                    <w:bidi w:val="0"/>
                  </w:pPr>
                  <w:r>
                    <w:t>2.8</w:t>
                  </w:r>
                </w:p>
              </w:tc>
            </w:tr>
            <w:tr w14:paraId="67D14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220871E6">
                  <w:pPr>
                    <w:pStyle w:val="115"/>
                    <w:bidi w:val="0"/>
                  </w:pPr>
                  <w:r>
                    <w:t>24</w:t>
                  </w:r>
                </w:p>
              </w:tc>
              <w:tc>
                <w:tcPr>
                  <w:tcW w:w="1887" w:type="pct"/>
                  <w:tcBorders>
                    <w:tl2br w:val="nil"/>
                    <w:tr2bl w:val="nil"/>
                  </w:tcBorders>
                  <w:noWrap w:val="0"/>
                  <w:vAlign w:val="center"/>
                </w:tcPr>
                <w:p w14:paraId="3244A1D6">
                  <w:pPr>
                    <w:pStyle w:val="115"/>
                    <w:bidi w:val="0"/>
                  </w:pPr>
                  <w:r>
                    <w:t>1，2，3-三氯丙烷</w:t>
                  </w:r>
                </w:p>
              </w:tc>
              <w:tc>
                <w:tcPr>
                  <w:tcW w:w="733" w:type="pct"/>
                  <w:tcBorders>
                    <w:tl2br w:val="nil"/>
                    <w:tr2bl w:val="nil"/>
                  </w:tcBorders>
                  <w:noWrap w:val="0"/>
                  <w:vAlign w:val="center"/>
                </w:tcPr>
                <w:p w14:paraId="22CBB988">
                  <w:pPr>
                    <w:pStyle w:val="115"/>
                    <w:bidi w:val="0"/>
                  </w:pPr>
                  <w:r>
                    <w:rPr>
                      <w:rFonts w:hint="eastAsia"/>
                      <w:lang w:val="en-US" w:eastAsia="zh-CN"/>
                    </w:rPr>
                    <w:t>未检出</w:t>
                  </w:r>
                </w:p>
              </w:tc>
              <w:tc>
                <w:tcPr>
                  <w:tcW w:w="915" w:type="pct"/>
                  <w:tcBorders>
                    <w:tl2br w:val="nil"/>
                    <w:tr2bl w:val="nil"/>
                  </w:tcBorders>
                  <w:noWrap w:val="0"/>
                  <w:vAlign w:val="center"/>
                </w:tcPr>
                <w:p w14:paraId="5C4B455C">
                  <w:pPr>
                    <w:pStyle w:val="115"/>
                    <w:bidi w:val="0"/>
                  </w:pPr>
                  <w:r>
                    <w:t>达标</w:t>
                  </w:r>
                </w:p>
              </w:tc>
              <w:tc>
                <w:tcPr>
                  <w:tcW w:w="915" w:type="pct"/>
                  <w:tcBorders>
                    <w:tl2br w:val="nil"/>
                    <w:tr2bl w:val="nil"/>
                  </w:tcBorders>
                  <w:noWrap w:val="0"/>
                  <w:vAlign w:val="center"/>
                </w:tcPr>
                <w:p w14:paraId="74618C73">
                  <w:pPr>
                    <w:pStyle w:val="115"/>
                    <w:bidi w:val="0"/>
                  </w:pPr>
                  <w:r>
                    <w:t>0.5</w:t>
                  </w:r>
                </w:p>
              </w:tc>
            </w:tr>
            <w:tr w14:paraId="6E11B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33E706E">
                  <w:pPr>
                    <w:pStyle w:val="115"/>
                    <w:bidi w:val="0"/>
                  </w:pPr>
                  <w:r>
                    <w:t>25</w:t>
                  </w:r>
                </w:p>
              </w:tc>
              <w:tc>
                <w:tcPr>
                  <w:tcW w:w="1887" w:type="pct"/>
                  <w:tcBorders>
                    <w:tl2br w:val="nil"/>
                    <w:tr2bl w:val="nil"/>
                  </w:tcBorders>
                  <w:noWrap w:val="0"/>
                  <w:vAlign w:val="center"/>
                </w:tcPr>
                <w:p w14:paraId="70E67E0E">
                  <w:pPr>
                    <w:pStyle w:val="115"/>
                    <w:bidi w:val="0"/>
                  </w:pPr>
                  <w:r>
                    <w:t>氯乙烯</w:t>
                  </w:r>
                </w:p>
              </w:tc>
              <w:tc>
                <w:tcPr>
                  <w:tcW w:w="733" w:type="pct"/>
                  <w:tcBorders>
                    <w:tl2br w:val="nil"/>
                    <w:tr2bl w:val="nil"/>
                  </w:tcBorders>
                  <w:noWrap w:val="0"/>
                  <w:vAlign w:val="center"/>
                </w:tcPr>
                <w:p w14:paraId="39BDE502">
                  <w:pPr>
                    <w:pStyle w:val="115"/>
                    <w:bidi w:val="0"/>
                  </w:pPr>
                  <w:r>
                    <w:rPr>
                      <w:rFonts w:hint="eastAsia"/>
                      <w:lang w:val="en-US" w:eastAsia="zh-CN"/>
                    </w:rPr>
                    <w:t>未检出</w:t>
                  </w:r>
                </w:p>
              </w:tc>
              <w:tc>
                <w:tcPr>
                  <w:tcW w:w="915" w:type="pct"/>
                  <w:tcBorders>
                    <w:tl2br w:val="nil"/>
                    <w:tr2bl w:val="nil"/>
                  </w:tcBorders>
                  <w:noWrap w:val="0"/>
                  <w:vAlign w:val="center"/>
                </w:tcPr>
                <w:p w14:paraId="60D0E451">
                  <w:pPr>
                    <w:pStyle w:val="115"/>
                    <w:bidi w:val="0"/>
                  </w:pPr>
                  <w:r>
                    <w:t>达标</w:t>
                  </w:r>
                </w:p>
              </w:tc>
              <w:tc>
                <w:tcPr>
                  <w:tcW w:w="915" w:type="pct"/>
                  <w:tcBorders>
                    <w:tl2br w:val="nil"/>
                    <w:tr2bl w:val="nil"/>
                  </w:tcBorders>
                  <w:noWrap w:val="0"/>
                  <w:vAlign w:val="center"/>
                </w:tcPr>
                <w:p w14:paraId="4DFBF045">
                  <w:pPr>
                    <w:pStyle w:val="115"/>
                    <w:bidi w:val="0"/>
                  </w:pPr>
                  <w:r>
                    <w:t>0.43</w:t>
                  </w:r>
                </w:p>
              </w:tc>
            </w:tr>
            <w:tr w14:paraId="209F5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4769F8B4">
                  <w:pPr>
                    <w:pStyle w:val="115"/>
                    <w:bidi w:val="0"/>
                  </w:pPr>
                  <w:r>
                    <w:t>26</w:t>
                  </w:r>
                </w:p>
              </w:tc>
              <w:tc>
                <w:tcPr>
                  <w:tcW w:w="1887" w:type="pct"/>
                  <w:tcBorders>
                    <w:tl2br w:val="nil"/>
                    <w:tr2bl w:val="nil"/>
                  </w:tcBorders>
                  <w:noWrap w:val="0"/>
                  <w:vAlign w:val="center"/>
                </w:tcPr>
                <w:p w14:paraId="61A92773">
                  <w:pPr>
                    <w:pStyle w:val="115"/>
                    <w:bidi w:val="0"/>
                  </w:pPr>
                  <w:r>
                    <w:t>苯</w:t>
                  </w:r>
                </w:p>
              </w:tc>
              <w:tc>
                <w:tcPr>
                  <w:tcW w:w="733" w:type="pct"/>
                  <w:tcBorders>
                    <w:tl2br w:val="nil"/>
                    <w:tr2bl w:val="nil"/>
                  </w:tcBorders>
                  <w:noWrap w:val="0"/>
                  <w:vAlign w:val="center"/>
                </w:tcPr>
                <w:p w14:paraId="39E99143">
                  <w:pPr>
                    <w:pStyle w:val="115"/>
                    <w:bidi w:val="0"/>
                  </w:pPr>
                  <w:r>
                    <w:rPr>
                      <w:rFonts w:hint="eastAsia"/>
                      <w:lang w:val="en-US" w:eastAsia="zh-CN"/>
                    </w:rPr>
                    <w:t>未检出</w:t>
                  </w:r>
                </w:p>
              </w:tc>
              <w:tc>
                <w:tcPr>
                  <w:tcW w:w="915" w:type="pct"/>
                  <w:tcBorders>
                    <w:tl2br w:val="nil"/>
                    <w:tr2bl w:val="nil"/>
                  </w:tcBorders>
                  <w:noWrap w:val="0"/>
                  <w:vAlign w:val="center"/>
                </w:tcPr>
                <w:p w14:paraId="106BDD1E">
                  <w:pPr>
                    <w:pStyle w:val="115"/>
                    <w:bidi w:val="0"/>
                  </w:pPr>
                  <w:r>
                    <w:t>达标</w:t>
                  </w:r>
                </w:p>
              </w:tc>
              <w:tc>
                <w:tcPr>
                  <w:tcW w:w="915" w:type="pct"/>
                  <w:tcBorders>
                    <w:tl2br w:val="nil"/>
                    <w:tr2bl w:val="nil"/>
                  </w:tcBorders>
                  <w:noWrap w:val="0"/>
                  <w:vAlign w:val="center"/>
                </w:tcPr>
                <w:p w14:paraId="2DA13B60">
                  <w:pPr>
                    <w:pStyle w:val="115"/>
                    <w:bidi w:val="0"/>
                  </w:pPr>
                  <w:r>
                    <w:t>4</w:t>
                  </w:r>
                </w:p>
              </w:tc>
            </w:tr>
            <w:tr w14:paraId="06C6D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543EF841">
                  <w:pPr>
                    <w:pStyle w:val="115"/>
                    <w:bidi w:val="0"/>
                  </w:pPr>
                  <w:r>
                    <w:t>27</w:t>
                  </w:r>
                </w:p>
              </w:tc>
              <w:tc>
                <w:tcPr>
                  <w:tcW w:w="1887" w:type="pct"/>
                  <w:tcBorders>
                    <w:tl2br w:val="nil"/>
                    <w:tr2bl w:val="nil"/>
                  </w:tcBorders>
                  <w:noWrap w:val="0"/>
                  <w:vAlign w:val="center"/>
                </w:tcPr>
                <w:p w14:paraId="7BC3BB3B">
                  <w:pPr>
                    <w:pStyle w:val="115"/>
                    <w:bidi w:val="0"/>
                  </w:pPr>
                  <w:r>
                    <w:t>氯苯</w:t>
                  </w:r>
                </w:p>
              </w:tc>
              <w:tc>
                <w:tcPr>
                  <w:tcW w:w="733" w:type="pct"/>
                  <w:tcBorders>
                    <w:tl2br w:val="nil"/>
                    <w:tr2bl w:val="nil"/>
                  </w:tcBorders>
                  <w:noWrap w:val="0"/>
                  <w:vAlign w:val="center"/>
                </w:tcPr>
                <w:p w14:paraId="35F8DAB5">
                  <w:pPr>
                    <w:pStyle w:val="115"/>
                    <w:bidi w:val="0"/>
                  </w:pPr>
                  <w:r>
                    <w:rPr>
                      <w:rFonts w:hint="eastAsia"/>
                      <w:lang w:val="en-US" w:eastAsia="zh-CN"/>
                    </w:rPr>
                    <w:t>未检出</w:t>
                  </w:r>
                </w:p>
              </w:tc>
              <w:tc>
                <w:tcPr>
                  <w:tcW w:w="915" w:type="pct"/>
                  <w:tcBorders>
                    <w:tl2br w:val="nil"/>
                    <w:tr2bl w:val="nil"/>
                  </w:tcBorders>
                  <w:noWrap w:val="0"/>
                  <w:vAlign w:val="center"/>
                </w:tcPr>
                <w:p w14:paraId="195EA0D7">
                  <w:pPr>
                    <w:pStyle w:val="115"/>
                    <w:bidi w:val="0"/>
                  </w:pPr>
                  <w:r>
                    <w:t>达标</w:t>
                  </w:r>
                </w:p>
              </w:tc>
              <w:tc>
                <w:tcPr>
                  <w:tcW w:w="915" w:type="pct"/>
                  <w:tcBorders>
                    <w:tl2br w:val="nil"/>
                    <w:tr2bl w:val="nil"/>
                  </w:tcBorders>
                  <w:noWrap w:val="0"/>
                  <w:vAlign w:val="center"/>
                </w:tcPr>
                <w:p w14:paraId="55668793">
                  <w:pPr>
                    <w:pStyle w:val="115"/>
                    <w:bidi w:val="0"/>
                  </w:pPr>
                  <w:r>
                    <w:t>270</w:t>
                  </w:r>
                </w:p>
              </w:tc>
            </w:tr>
            <w:tr w14:paraId="0CFA3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0780CB2F">
                  <w:pPr>
                    <w:pStyle w:val="115"/>
                    <w:bidi w:val="0"/>
                  </w:pPr>
                  <w:r>
                    <w:t>28</w:t>
                  </w:r>
                </w:p>
              </w:tc>
              <w:tc>
                <w:tcPr>
                  <w:tcW w:w="1887" w:type="pct"/>
                  <w:tcBorders>
                    <w:tl2br w:val="nil"/>
                    <w:tr2bl w:val="nil"/>
                  </w:tcBorders>
                  <w:noWrap w:val="0"/>
                  <w:vAlign w:val="center"/>
                </w:tcPr>
                <w:p w14:paraId="1F097118">
                  <w:pPr>
                    <w:pStyle w:val="115"/>
                    <w:bidi w:val="0"/>
                  </w:pPr>
                  <w:r>
                    <w:t>1，2-二氯苯</w:t>
                  </w:r>
                </w:p>
              </w:tc>
              <w:tc>
                <w:tcPr>
                  <w:tcW w:w="733" w:type="pct"/>
                  <w:tcBorders>
                    <w:tl2br w:val="nil"/>
                    <w:tr2bl w:val="nil"/>
                  </w:tcBorders>
                  <w:noWrap w:val="0"/>
                  <w:vAlign w:val="center"/>
                </w:tcPr>
                <w:p w14:paraId="7613EE76">
                  <w:pPr>
                    <w:pStyle w:val="115"/>
                    <w:bidi w:val="0"/>
                  </w:pPr>
                  <w:r>
                    <w:rPr>
                      <w:rFonts w:hint="eastAsia"/>
                      <w:lang w:val="en-US" w:eastAsia="zh-CN"/>
                    </w:rPr>
                    <w:t>未检出</w:t>
                  </w:r>
                </w:p>
              </w:tc>
              <w:tc>
                <w:tcPr>
                  <w:tcW w:w="915" w:type="pct"/>
                  <w:tcBorders>
                    <w:tl2br w:val="nil"/>
                    <w:tr2bl w:val="nil"/>
                  </w:tcBorders>
                  <w:noWrap w:val="0"/>
                  <w:vAlign w:val="center"/>
                </w:tcPr>
                <w:p w14:paraId="23CBA1E9">
                  <w:pPr>
                    <w:pStyle w:val="115"/>
                    <w:bidi w:val="0"/>
                  </w:pPr>
                  <w:r>
                    <w:t>达标</w:t>
                  </w:r>
                </w:p>
              </w:tc>
              <w:tc>
                <w:tcPr>
                  <w:tcW w:w="915" w:type="pct"/>
                  <w:tcBorders>
                    <w:tl2br w:val="nil"/>
                    <w:tr2bl w:val="nil"/>
                  </w:tcBorders>
                  <w:noWrap w:val="0"/>
                  <w:vAlign w:val="center"/>
                </w:tcPr>
                <w:p w14:paraId="7F8FD6FE">
                  <w:pPr>
                    <w:pStyle w:val="115"/>
                    <w:bidi w:val="0"/>
                  </w:pPr>
                  <w:r>
                    <w:t>560</w:t>
                  </w:r>
                </w:p>
              </w:tc>
            </w:tr>
            <w:tr w14:paraId="2E680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123CCCF7">
                  <w:pPr>
                    <w:pStyle w:val="115"/>
                    <w:bidi w:val="0"/>
                  </w:pPr>
                  <w:r>
                    <w:t>29</w:t>
                  </w:r>
                </w:p>
              </w:tc>
              <w:tc>
                <w:tcPr>
                  <w:tcW w:w="1887" w:type="pct"/>
                  <w:tcBorders>
                    <w:tl2br w:val="nil"/>
                    <w:tr2bl w:val="nil"/>
                  </w:tcBorders>
                  <w:noWrap w:val="0"/>
                  <w:vAlign w:val="center"/>
                </w:tcPr>
                <w:p w14:paraId="11140AA9">
                  <w:pPr>
                    <w:pStyle w:val="115"/>
                    <w:bidi w:val="0"/>
                  </w:pPr>
                  <w:r>
                    <w:t>1，4-二氯苯</w:t>
                  </w:r>
                </w:p>
              </w:tc>
              <w:tc>
                <w:tcPr>
                  <w:tcW w:w="733" w:type="pct"/>
                  <w:tcBorders>
                    <w:tl2br w:val="nil"/>
                    <w:tr2bl w:val="nil"/>
                  </w:tcBorders>
                  <w:noWrap w:val="0"/>
                  <w:vAlign w:val="center"/>
                </w:tcPr>
                <w:p w14:paraId="04905211">
                  <w:pPr>
                    <w:pStyle w:val="115"/>
                    <w:bidi w:val="0"/>
                  </w:pPr>
                  <w:r>
                    <w:rPr>
                      <w:rFonts w:hint="eastAsia"/>
                      <w:lang w:val="en-US" w:eastAsia="zh-CN"/>
                    </w:rPr>
                    <w:t>未检出</w:t>
                  </w:r>
                </w:p>
              </w:tc>
              <w:tc>
                <w:tcPr>
                  <w:tcW w:w="915" w:type="pct"/>
                  <w:tcBorders>
                    <w:tl2br w:val="nil"/>
                    <w:tr2bl w:val="nil"/>
                  </w:tcBorders>
                  <w:noWrap w:val="0"/>
                  <w:vAlign w:val="center"/>
                </w:tcPr>
                <w:p w14:paraId="232A9428">
                  <w:pPr>
                    <w:pStyle w:val="115"/>
                    <w:bidi w:val="0"/>
                  </w:pPr>
                  <w:r>
                    <w:t>达标</w:t>
                  </w:r>
                </w:p>
              </w:tc>
              <w:tc>
                <w:tcPr>
                  <w:tcW w:w="915" w:type="pct"/>
                  <w:tcBorders>
                    <w:tl2br w:val="nil"/>
                    <w:tr2bl w:val="nil"/>
                  </w:tcBorders>
                  <w:noWrap w:val="0"/>
                  <w:vAlign w:val="center"/>
                </w:tcPr>
                <w:p w14:paraId="413B0712">
                  <w:pPr>
                    <w:pStyle w:val="115"/>
                    <w:bidi w:val="0"/>
                  </w:pPr>
                  <w:r>
                    <w:t>20</w:t>
                  </w:r>
                </w:p>
              </w:tc>
            </w:tr>
            <w:tr w14:paraId="26A87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61E2A154">
                  <w:pPr>
                    <w:pStyle w:val="115"/>
                    <w:bidi w:val="0"/>
                  </w:pPr>
                  <w:r>
                    <w:t>30</w:t>
                  </w:r>
                </w:p>
              </w:tc>
              <w:tc>
                <w:tcPr>
                  <w:tcW w:w="1887" w:type="pct"/>
                  <w:tcBorders>
                    <w:tl2br w:val="nil"/>
                    <w:tr2bl w:val="nil"/>
                  </w:tcBorders>
                  <w:noWrap w:val="0"/>
                  <w:vAlign w:val="center"/>
                </w:tcPr>
                <w:p w14:paraId="6255DF92">
                  <w:pPr>
                    <w:pStyle w:val="115"/>
                    <w:bidi w:val="0"/>
                  </w:pPr>
                  <w:r>
                    <w:t>乙苯</w:t>
                  </w:r>
                </w:p>
              </w:tc>
              <w:tc>
                <w:tcPr>
                  <w:tcW w:w="733" w:type="pct"/>
                  <w:tcBorders>
                    <w:tl2br w:val="nil"/>
                    <w:tr2bl w:val="nil"/>
                  </w:tcBorders>
                  <w:noWrap w:val="0"/>
                  <w:vAlign w:val="center"/>
                </w:tcPr>
                <w:p w14:paraId="048882BD">
                  <w:pPr>
                    <w:pStyle w:val="115"/>
                    <w:bidi w:val="0"/>
                  </w:pPr>
                  <w:r>
                    <w:rPr>
                      <w:rFonts w:hint="eastAsia"/>
                      <w:lang w:val="en-US" w:eastAsia="zh-CN"/>
                    </w:rPr>
                    <w:t>未检出</w:t>
                  </w:r>
                </w:p>
              </w:tc>
              <w:tc>
                <w:tcPr>
                  <w:tcW w:w="915" w:type="pct"/>
                  <w:tcBorders>
                    <w:tl2br w:val="nil"/>
                    <w:tr2bl w:val="nil"/>
                  </w:tcBorders>
                  <w:noWrap w:val="0"/>
                  <w:vAlign w:val="center"/>
                </w:tcPr>
                <w:p w14:paraId="653B9FEB">
                  <w:pPr>
                    <w:pStyle w:val="115"/>
                    <w:bidi w:val="0"/>
                  </w:pPr>
                  <w:r>
                    <w:t>达标</w:t>
                  </w:r>
                </w:p>
              </w:tc>
              <w:tc>
                <w:tcPr>
                  <w:tcW w:w="915" w:type="pct"/>
                  <w:tcBorders>
                    <w:tl2br w:val="nil"/>
                    <w:tr2bl w:val="nil"/>
                  </w:tcBorders>
                  <w:noWrap w:val="0"/>
                  <w:vAlign w:val="center"/>
                </w:tcPr>
                <w:p w14:paraId="1943CD13">
                  <w:pPr>
                    <w:pStyle w:val="115"/>
                    <w:bidi w:val="0"/>
                  </w:pPr>
                  <w:r>
                    <w:t>28</w:t>
                  </w:r>
                </w:p>
              </w:tc>
            </w:tr>
            <w:tr w14:paraId="2873F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ign w:val="center"/>
                </w:tcPr>
                <w:p w14:paraId="6E1166E4">
                  <w:pPr>
                    <w:pStyle w:val="115"/>
                    <w:bidi w:val="0"/>
                  </w:pPr>
                  <w:r>
                    <w:t>31</w:t>
                  </w:r>
                </w:p>
              </w:tc>
              <w:tc>
                <w:tcPr>
                  <w:tcW w:w="1887" w:type="pct"/>
                  <w:tcBorders>
                    <w:tl2br w:val="nil"/>
                    <w:tr2bl w:val="nil"/>
                  </w:tcBorders>
                  <w:noWrap w:val="0"/>
                  <w:vAlign w:val="center"/>
                </w:tcPr>
                <w:p w14:paraId="588A7461">
                  <w:pPr>
                    <w:pStyle w:val="115"/>
                    <w:bidi w:val="0"/>
                  </w:pPr>
                  <w:r>
                    <w:t>苯乙烯</w:t>
                  </w:r>
                </w:p>
              </w:tc>
              <w:tc>
                <w:tcPr>
                  <w:tcW w:w="733" w:type="pct"/>
                  <w:tcBorders>
                    <w:tl2br w:val="nil"/>
                    <w:tr2bl w:val="nil"/>
                  </w:tcBorders>
                  <w:noWrap w:val="0"/>
                  <w:vAlign w:val="center"/>
                </w:tcPr>
                <w:p w14:paraId="4CB5B1A3">
                  <w:pPr>
                    <w:pStyle w:val="115"/>
                    <w:bidi w:val="0"/>
                  </w:pPr>
                  <w:r>
                    <w:rPr>
                      <w:rFonts w:hint="eastAsia"/>
                      <w:lang w:val="en-US" w:eastAsia="zh-CN"/>
                    </w:rPr>
                    <w:t>未检出</w:t>
                  </w:r>
                </w:p>
              </w:tc>
              <w:tc>
                <w:tcPr>
                  <w:tcW w:w="915" w:type="pct"/>
                  <w:tcBorders>
                    <w:tl2br w:val="nil"/>
                    <w:tr2bl w:val="nil"/>
                  </w:tcBorders>
                  <w:noWrap w:val="0"/>
                  <w:vAlign w:val="center"/>
                </w:tcPr>
                <w:p w14:paraId="1CBE9D7D">
                  <w:pPr>
                    <w:pStyle w:val="115"/>
                    <w:bidi w:val="0"/>
                  </w:pPr>
                  <w:r>
                    <w:t>达标</w:t>
                  </w:r>
                </w:p>
              </w:tc>
              <w:tc>
                <w:tcPr>
                  <w:tcW w:w="915" w:type="pct"/>
                  <w:tcBorders>
                    <w:tl2br w:val="nil"/>
                    <w:tr2bl w:val="nil"/>
                  </w:tcBorders>
                  <w:noWrap w:val="0"/>
                  <w:vAlign w:val="center"/>
                </w:tcPr>
                <w:p w14:paraId="1C241BD9">
                  <w:pPr>
                    <w:pStyle w:val="115"/>
                    <w:bidi w:val="0"/>
                  </w:pPr>
                  <w:r>
                    <w:t>1290</w:t>
                  </w:r>
                </w:p>
              </w:tc>
            </w:tr>
            <w:tr w14:paraId="023F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11E9D240">
                  <w:pPr>
                    <w:pStyle w:val="115"/>
                    <w:bidi w:val="0"/>
                  </w:pPr>
                  <w:r>
                    <w:t>32</w:t>
                  </w:r>
                </w:p>
              </w:tc>
              <w:tc>
                <w:tcPr>
                  <w:tcW w:w="1887" w:type="pct"/>
                  <w:tcBorders>
                    <w:tl2br w:val="nil"/>
                    <w:tr2bl w:val="nil"/>
                  </w:tcBorders>
                  <w:noWrap w:val="0"/>
                  <w:vAlign w:val="center"/>
                </w:tcPr>
                <w:p w14:paraId="45779C8C">
                  <w:pPr>
                    <w:pStyle w:val="115"/>
                    <w:bidi w:val="0"/>
                  </w:pPr>
                  <w:r>
                    <w:t>甲苯</w:t>
                  </w:r>
                </w:p>
              </w:tc>
              <w:tc>
                <w:tcPr>
                  <w:tcW w:w="733" w:type="pct"/>
                  <w:tcBorders>
                    <w:tl2br w:val="nil"/>
                    <w:tr2bl w:val="nil"/>
                  </w:tcBorders>
                  <w:noWrap w:val="0"/>
                  <w:vAlign w:val="center"/>
                </w:tcPr>
                <w:p w14:paraId="0F29B540">
                  <w:pPr>
                    <w:pStyle w:val="115"/>
                    <w:bidi w:val="0"/>
                  </w:pPr>
                  <w:r>
                    <w:rPr>
                      <w:rFonts w:hint="eastAsia"/>
                      <w:lang w:val="en-US" w:eastAsia="zh-CN"/>
                    </w:rPr>
                    <w:t>未检出</w:t>
                  </w:r>
                </w:p>
              </w:tc>
              <w:tc>
                <w:tcPr>
                  <w:tcW w:w="915" w:type="pct"/>
                  <w:tcBorders>
                    <w:tl2br w:val="nil"/>
                    <w:tr2bl w:val="nil"/>
                  </w:tcBorders>
                  <w:noWrap w:val="0"/>
                  <w:vAlign w:val="center"/>
                </w:tcPr>
                <w:p w14:paraId="59499CC5">
                  <w:pPr>
                    <w:pStyle w:val="115"/>
                    <w:bidi w:val="0"/>
                  </w:pPr>
                  <w:r>
                    <w:t>达标</w:t>
                  </w:r>
                </w:p>
              </w:tc>
              <w:tc>
                <w:tcPr>
                  <w:tcW w:w="915" w:type="pct"/>
                  <w:tcBorders>
                    <w:tl2br w:val="nil"/>
                    <w:tr2bl w:val="nil"/>
                  </w:tcBorders>
                  <w:noWrap w:val="0"/>
                  <w:vAlign w:val="center"/>
                </w:tcPr>
                <w:p w14:paraId="0C88E5EE">
                  <w:pPr>
                    <w:pStyle w:val="115"/>
                    <w:bidi w:val="0"/>
                  </w:pPr>
                  <w:r>
                    <w:t>1200</w:t>
                  </w:r>
                </w:p>
              </w:tc>
            </w:tr>
            <w:tr w14:paraId="632F0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40D09659">
                  <w:pPr>
                    <w:pStyle w:val="115"/>
                    <w:bidi w:val="0"/>
                  </w:pPr>
                  <w:r>
                    <w:t>33</w:t>
                  </w:r>
                </w:p>
              </w:tc>
              <w:tc>
                <w:tcPr>
                  <w:tcW w:w="1887" w:type="pct"/>
                  <w:tcBorders>
                    <w:tl2br w:val="nil"/>
                    <w:tr2bl w:val="nil"/>
                  </w:tcBorders>
                  <w:noWrap w:val="0"/>
                  <w:vAlign w:val="center"/>
                </w:tcPr>
                <w:p w14:paraId="0EA1C996">
                  <w:pPr>
                    <w:pStyle w:val="115"/>
                    <w:bidi w:val="0"/>
                  </w:pPr>
                  <w:r>
                    <w:t>间二甲苯+对二甲苯</w:t>
                  </w:r>
                </w:p>
              </w:tc>
              <w:tc>
                <w:tcPr>
                  <w:tcW w:w="733" w:type="pct"/>
                  <w:tcBorders>
                    <w:tl2br w:val="nil"/>
                    <w:tr2bl w:val="nil"/>
                  </w:tcBorders>
                  <w:noWrap w:val="0"/>
                  <w:vAlign w:val="center"/>
                </w:tcPr>
                <w:p w14:paraId="510DF89B">
                  <w:pPr>
                    <w:pStyle w:val="115"/>
                    <w:bidi w:val="0"/>
                  </w:pPr>
                  <w:r>
                    <w:rPr>
                      <w:rFonts w:hint="eastAsia"/>
                      <w:lang w:val="en-US" w:eastAsia="zh-CN"/>
                    </w:rPr>
                    <w:t>未检出</w:t>
                  </w:r>
                </w:p>
              </w:tc>
              <w:tc>
                <w:tcPr>
                  <w:tcW w:w="915" w:type="pct"/>
                  <w:tcBorders>
                    <w:tl2br w:val="nil"/>
                    <w:tr2bl w:val="nil"/>
                  </w:tcBorders>
                  <w:noWrap w:val="0"/>
                  <w:vAlign w:val="center"/>
                </w:tcPr>
                <w:p w14:paraId="6448368C">
                  <w:pPr>
                    <w:pStyle w:val="115"/>
                    <w:bidi w:val="0"/>
                  </w:pPr>
                  <w:r>
                    <w:t>达标</w:t>
                  </w:r>
                </w:p>
              </w:tc>
              <w:tc>
                <w:tcPr>
                  <w:tcW w:w="915" w:type="pct"/>
                  <w:tcBorders>
                    <w:tl2br w:val="nil"/>
                    <w:tr2bl w:val="nil"/>
                  </w:tcBorders>
                  <w:noWrap w:val="0"/>
                  <w:vAlign w:val="center"/>
                </w:tcPr>
                <w:p w14:paraId="6B377482">
                  <w:pPr>
                    <w:pStyle w:val="115"/>
                    <w:bidi w:val="0"/>
                  </w:pPr>
                  <w:r>
                    <w:t>570</w:t>
                  </w:r>
                </w:p>
              </w:tc>
            </w:tr>
            <w:tr w14:paraId="252B1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6FC8AF08">
                  <w:pPr>
                    <w:pStyle w:val="115"/>
                    <w:bidi w:val="0"/>
                  </w:pPr>
                  <w:r>
                    <w:t>34</w:t>
                  </w:r>
                </w:p>
              </w:tc>
              <w:tc>
                <w:tcPr>
                  <w:tcW w:w="1887" w:type="pct"/>
                  <w:tcBorders>
                    <w:tl2br w:val="nil"/>
                    <w:tr2bl w:val="nil"/>
                  </w:tcBorders>
                  <w:noWrap w:val="0"/>
                  <w:vAlign w:val="center"/>
                </w:tcPr>
                <w:p w14:paraId="50659F32">
                  <w:pPr>
                    <w:pStyle w:val="115"/>
                    <w:bidi w:val="0"/>
                  </w:pPr>
                  <w:r>
                    <w:t>邻二甲苯</w:t>
                  </w:r>
                </w:p>
              </w:tc>
              <w:tc>
                <w:tcPr>
                  <w:tcW w:w="733" w:type="pct"/>
                  <w:tcBorders>
                    <w:tl2br w:val="nil"/>
                    <w:tr2bl w:val="nil"/>
                  </w:tcBorders>
                  <w:noWrap w:val="0"/>
                  <w:vAlign w:val="center"/>
                </w:tcPr>
                <w:p w14:paraId="24C23EF9">
                  <w:pPr>
                    <w:pStyle w:val="115"/>
                    <w:bidi w:val="0"/>
                  </w:pPr>
                  <w:r>
                    <w:rPr>
                      <w:rFonts w:hint="eastAsia"/>
                      <w:lang w:val="en-US" w:eastAsia="zh-CN"/>
                    </w:rPr>
                    <w:t>未检出</w:t>
                  </w:r>
                </w:p>
              </w:tc>
              <w:tc>
                <w:tcPr>
                  <w:tcW w:w="915" w:type="pct"/>
                  <w:tcBorders>
                    <w:tl2br w:val="nil"/>
                    <w:tr2bl w:val="nil"/>
                  </w:tcBorders>
                  <w:noWrap w:val="0"/>
                  <w:vAlign w:val="center"/>
                </w:tcPr>
                <w:p w14:paraId="32D4A717">
                  <w:pPr>
                    <w:pStyle w:val="115"/>
                    <w:bidi w:val="0"/>
                  </w:pPr>
                  <w:r>
                    <w:t>达标</w:t>
                  </w:r>
                </w:p>
              </w:tc>
              <w:tc>
                <w:tcPr>
                  <w:tcW w:w="915" w:type="pct"/>
                  <w:tcBorders>
                    <w:tl2br w:val="nil"/>
                    <w:tr2bl w:val="nil"/>
                  </w:tcBorders>
                  <w:noWrap w:val="0"/>
                  <w:vAlign w:val="center"/>
                </w:tcPr>
                <w:p w14:paraId="75C8CBFE">
                  <w:pPr>
                    <w:pStyle w:val="115"/>
                    <w:bidi w:val="0"/>
                  </w:pPr>
                  <w:r>
                    <w:t>640</w:t>
                  </w:r>
                </w:p>
              </w:tc>
            </w:tr>
            <w:tr w14:paraId="353E7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2A3DF3A4">
                  <w:pPr>
                    <w:pStyle w:val="115"/>
                    <w:bidi w:val="0"/>
                  </w:pPr>
                  <w:r>
                    <w:t>35</w:t>
                  </w:r>
                </w:p>
              </w:tc>
              <w:tc>
                <w:tcPr>
                  <w:tcW w:w="1887" w:type="pct"/>
                  <w:tcBorders>
                    <w:tl2br w:val="nil"/>
                    <w:tr2bl w:val="nil"/>
                  </w:tcBorders>
                  <w:noWrap w:val="0"/>
                  <w:vAlign w:val="center"/>
                </w:tcPr>
                <w:p w14:paraId="43921525">
                  <w:pPr>
                    <w:pStyle w:val="115"/>
                    <w:bidi w:val="0"/>
                  </w:pPr>
                  <w:r>
                    <w:t>硝基苯</w:t>
                  </w:r>
                </w:p>
              </w:tc>
              <w:tc>
                <w:tcPr>
                  <w:tcW w:w="733" w:type="pct"/>
                  <w:tcBorders>
                    <w:tl2br w:val="nil"/>
                    <w:tr2bl w:val="nil"/>
                  </w:tcBorders>
                  <w:noWrap w:val="0"/>
                  <w:vAlign w:val="center"/>
                </w:tcPr>
                <w:p w14:paraId="575DF494">
                  <w:pPr>
                    <w:pStyle w:val="115"/>
                    <w:bidi w:val="0"/>
                  </w:pPr>
                  <w:r>
                    <w:rPr>
                      <w:rFonts w:hint="eastAsia"/>
                      <w:lang w:val="en-US" w:eastAsia="zh-CN"/>
                    </w:rPr>
                    <w:t>未检出</w:t>
                  </w:r>
                </w:p>
              </w:tc>
              <w:tc>
                <w:tcPr>
                  <w:tcW w:w="915" w:type="pct"/>
                  <w:tcBorders>
                    <w:tl2br w:val="nil"/>
                    <w:tr2bl w:val="nil"/>
                  </w:tcBorders>
                  <w:noWrap w:val="0"/>
                  <w:vAlign w:val="center"/>
                </w:tcPr>
                <w:p w14:paraId="5A60D866">
                  <w:pPr>
                    <w:pStyle w:val="115"/>
                    <w:bidi w:val="0"/>
                  </w:pPr>
                  <w:r>
                    <w:t>达标</w:t>
                  </w:r>
                </w:p>
              </w:tc>
              <w:tc>
                <w:tcPr>
                  <w:tcW w:w="915" w:type="pct"/>
                  <w:tcBorders>
                    <w:tl2br w:val="nil"/>
                    <w:tr2bl w:val="nil"/>
                  </w:tcBorders>
                  <w:noWrap w:val="0"/>
                  <w:vAlign w:val="center"/>
                </w:tcPr>
                <w:p w14:paraId="65108BDD">
                  <w:pPr>
                    <w:pStyle w:val="115"/>
                    <w:bidi w:val="0"/>
                  </w:pPr>
                  <w:r>
                    <w:t>76</w:t>
                  </w:r>
                </w:p>
              </w:tc>
            </w:tr>
            <w:tr w14:paraId="70233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4E4DB34C">
                  <w:pPr>
                    <w:pStyle w:val="115"/>
                    <w:bidi w:val="0"/>
                  </w:pPr>
                  <w:r>
                    <w:t>36</w:t>
                  </w:r>
                </w:p>
              </w:tc>
              <w:tc>
                <w:tcPr>
                  <w:tcW w:w="1887" w:type="pct"/>
                  <w:tcBorders>
                    <w:tl2br w:val="nil"/>
                    <w:tr2bl w:val="nil"/>
                  </w:tcBorders>
                  <w:noWrap w:val="0"/>
                  <w:vAlign w:val="center"/>
                </w:tcPr>
                <w:p w14:paraId="612FEFC7">
                  <w:pPr>
                    <w:pStyle w:val="115"/>
                    <w:bidi w:val="0"/>
                  </w:pPr>
                  <w:r>
                    <w:t>苯胺</w:t>
                  </w:r>
                </w:p>
              </w:tc>
              <w:tc>
                <w:tcPr>
                  <w:tcW w:w="733" w:type="pct"/>
                  <w:tcBorders>
                    <w:tl2br w:val="nil"/>
                    <w:tr2bl w:val="nil"/>
                  </w:tcBorders>
                  <w:noWrap w:val="0"/>
                  <w:vAlign w:val="center"/>
                </w:tcPr>
                <w:p w14:paraId="185EA7AB">
                  <w:pPr>
                    <w:pStyle w:val="115"/>
                    <w:bidi w:val="0"/>
                  </w:pPr>
                  <w:r>
                    <w:rPr>
                      <w:rFonts w:hint="eastAsia"/>
                      <w:lang w:val="en-US" w:eastAsia="zh-CN"/>
                    </w:rPr>
                    <w:t>未检出</w:t>
                  </w:r>
                </w:p>
              </w:tc>
              <w:tc>
                <w:tcPr>
                  <w:tcW w:w="915" w:type="pct"/>
                  <w:tcBorders>
                    <w:tl2br w:val="nil"/>
                    <w:tr2bl w:val="nil"/>
                  </w:tcBorders>
                  <w:noWrap w:val="0"/>
                  <w:vAlign w:val="center"/>
                </w:tcPr>
                <w:p w14:paraId="494F0C99">
                  <w:pPr>
                    <w:pStyle w:val="115"/>
                    <w:bidi w:val="0"/>
                  </w:pPr>
                  <w:r>
                    <w:t>达标</w:t>
                  </w:r>
                </w:p>
              </w:tc>
              <w:tc>
                <w:tcPr>
                  <w:tcW w:w="915" w:type="pct"/>
                  <w:tcBorders>
                    <w:tl2br w:val="nil"/>
                    <w:tr2bl w:val="nil"/>
                  </w:tcBorders>
                  <w:noWrap w:val="0"/>
                  <w:vAlign w:val="center"/>
                </w:tcPr>
                <w:p w14:paraId="1E395B09">
                  <w:pPr>
                    <w:pStyle w:val="115"/>
                    <w:bidi w:val="0"/>
                  </w:pPr>
                  <w:r>
                    <w:t>260</w:t>
                  </w:r>
                </w:p>
              </w:tc>
            </w:tr>
            <w:tr w14:paraId="11343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6B2A516A">
                  <w:pPr>
                    <w:pStyle w:val="115"/>
                    <w:bidi w:val="0"/>
                  </w:pPr>
                  <w:r>
                    <w:t>37</w:t>
                  </w:r>
                </w:p>
              </w:tc>
              <w:tc>
                <w:tcPr>
                  <w:tcW w:w="1887" w:type="pct"/>
                  <w:tcBorders>
                    <w:tl2br w:val="nil"/>
                    <w:tr2bl w:val="nil"/>
                  </w:tcBorders>
                  <w:noWrap w:val="0"/>
                  <w:vAlign w:val="center"/>
                </w:tcPr>
                <w:p w14:paraId="0D4F8CAF">
                  <w:pPr>
                    <w:pStyle w:val="115"/>
                    <w:bidi w:val="0"/>
                  </w:pPr>
                  <w:r>
                    <w:t>2-氯酚</w:t>
                  </w:r>
                </w:p>
              </w:tc>
              <w:tc>
                <w:tcPr>
                  <w:tcW w:w="733" w:type="pct"/>
                  <w:tcBorders>
                    <w:tl2br w:val="nil"/>
                    <w:tr2bl w:val="nil"/>
                  </w:tcBorders>
                  <w:noWrap w:val="0"/>
                  <w:vAlign w:val="center"/>
                </w:tcPr>
                <w:p w14:paraId="79FF8B84">
                  <w:pPr>
                    <w:pStyle w:val="115"/>
                    <w:bidi w:val="0"/>
                  </w:pPr>
                  <w:r>
                    <w:rPr>
                      <w:rFonts w:hint="eastAsia"/>
                      <w:lang w:val="en-US" w:eastAsia="zh-CN"/>
                    </w:rPr>
                    <w:t>未检出</w:t>
                  </w:r>
                </w:p>
              </w:tc>
              <w:tc>
                <w:tcPr>
                  <w:tcW w:w="915" w:type="pct"/>
                  <w:tcBorders>
                    <w:tl2br w:val="nil"/>
                    <w:tr2bl w:val="nil"/>
                  </w:tcBorders>
                  <w:noWrap w:val="0"/>
                  <w:vAlign w:val="center"/>
                </w:tcPr>
                <w:p w14:paraId="54D4F8F4">
                  <w:pPr>
                    <w:pStyle w:val="115"/>
                    <w:bidi w:val="0"/>
                  </w:pPr>
                  <w:r>
                    <w:t>达标</w:t>
                  </w:r>
                </w:p>
              </w:tc>
              <w:tc>
                <w:tcPr>
                  <w:tcW w:w="915" w:type="pct"/>
                  <w:tcBorders>
                    <w:tl2br w:val="nil"/>
                    <w:tr2bl w:val="nil"/>
                  </w:tcBorders>
                  <w:noWrap w:val="0"/>
                  <w:vAlign w:val="center"/>
                </w:tcPr>
                <w:p w14:paraId="6654FBA5">
                  <w:pPr>
                    <w:pStyle w:val="115"/>
                    <w:bidi w:val="0"/>
                  </w:pPr>
                  <w:r>
                    <w:t>2256</w:t>
                  </w:r>
                </w:p>
              </w:tc>
            </w:tr>
            <w:tr w14:paraId="63702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206C8247">
                  <w:pPr>
                    <w:pStyle w:val="115"/>
                    <w:bidi w:val="0"/>
                  </w:pPr>
                  <w:r>
                    <w:t>38</w:t>
                  </w:r>
                </w:p>
              </w:tc>
              <w:tc>
                <w:tcPr>
                  <w:tcW w:w="1887" w:type="pct"/>
                  <w:tcBorders>
                    <w:tl2br w:val="nil"/>
                    <w:tr2bl w:val="nil"/>
                  </w:tcBorders>
                  <w:noWrap w:val="0"/>
                  <w:vAlign w:val="center"/>
                </w:tcPr>
                <w:p w14:paraId="50A0EC97">
                  <w:pPr>
                    <w:pStyle w:val="115"/>
                    <w:bidi w:val="0"/>
                  </w:pPr>
                  <w:r>
                    <w:t>苯并[a]蒽</w:t>
                  </w:r>
                </w:p>
              </w:tc>
              <w:tc>
                <w:tcPr>
                  <w:tcW w:w="733" w:type="pct"/>
                  <w:tcBorders>
                    <w:tl2br w:val="nil"/>
                    <w:tr2bl w:val="nil"/>
                  </w:tcBorders>
                  <w:noWrap w:val="0"/>
                  <w:vAlign w:val="center"/>
                </w:tcPr>
                <w:p w14:paraId="7940F659">
                  <w:pPr>
                    <w:pStyle w:val="115"/>
                    <w:bidi w:val="0"/>
                  </w:pPr>
                  <w:r>
                    <w:rPr>
                      <w:rFonts w:hint="eastAsia"/>
                      <w:lang w:val="en-US" w:eastAsia="zh-CN"/>
                    </w:rPr>
                    <w:t>未检出</w:t>
                  </w:r>
                </w:p>
              </w:tc>
              <w:tc>
                <w:tcPr>
                  <w:tcW w:w="915" w:type="pct"/>
                  <w:tcBorders>
                    <w:tl2br w:val="nil"/>
                    <w:tr2bl w:val="nil"/>
                  </w:tcBorders>
                  <w:noWrap w:val="0"/>
                  <w:vAlign w:val="center"/>
                </w:tcPr>
                <w:p w14:paraId="311BACFE">
                  <w:pPr>
                    <w:pStyle w:val="115"/>
                    <w:bidi w:val="0"/>
                  </w:pPr>
                  <w:r>
                    <w:t>达标</w:t>
                  </w:r>
                </w:p>
              </w:tc>
              <w:tc>
                <w:tcPr>
                  <w:tcW w:w="915" w:type="pct"/>
                  <w:tcBorders>
                    <w:tl2br w:val="nil"/>
                    <w:tr2bl w:val="nil"/>
                  </w:tcBorders>
                  <w:noWrap w:val="0"/>
                  <w:vAlign w:val="center"/>
                </w:tcPr>
                <w:p w14:paraId="29D48390">
                  <w:pPr>
                    <w:pStyle w:val="115"/>
                    <w:bidi w:val="0"/>
                  </w:pPr>
                  <w:r>
                    <w:t>15</w:t>
                  </w:r>
                </w:p>
              </w:tc>
            </w:tr>
            <w:tr w14:paraId="1C7F8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49FDBB4E">
                  <w:pPr>
                    <w:pStyle w:val="115"/>
                    <w:bidi w:val="0"/>
                  </w:pPr>
                  <w:r>
                    <w:t>39</w:t>
                  </w:r>
                </w:p>
              </w:tc>
              <w:tc>
                <w:tcPr>
                  <w:tcW w:w="1887" w:type="pct"/>
                  <w:tcBorders>
                    <w:tl2br w:val="nil"/>
                    <w:tr2bl w:val="nil"/>
                  </w:tcBorders>
                  <w:noWrap w:val="0"/>
                  <w:vAlign w:val="center"/>
                </w:tcPr>
                <w:p w14:paraId="18E80401">
                  <w:pPr>
                    <w:pStyle w:val="115"/>
                    <w:bidi w:val="0"/>
                  </w:pPr>
                  <w:r>
                    <w:t>苯并[a]芘</w:t>
                  </w:r>
                </w:p>
              </w:tc>
              <w:tc>
                <w:tcPr>
                  <w:tcW w:w="733" w:type="pct"/>
                  <w:tcBorders>
                    <w:tl2br w:val="nil"/>
                    <w:tr2bl w:val="nil"/>
                  </w:tcBorders>
                  <w:noWrap w:val="0"/>
                  <w:vAlign w:val="center"/>
                </w:tcPr>
                <w:p w14:paraId="4B27813E">
                  <w:pPr>
                    <w:pStyle w:val="115"/>
                    <w:bidi w:val="0"/>
                  </w:pPr>
                  <w:r>
                    <w:rPr>
                      <w:rFonts w:hint="eastAsia"/>
                      <w:lang w:val="en-US" w:eastAsia="zh-CN"/>
                    </w:rPr>
                    <w:t>未检出</w:t>
                  </w:r>
                </w:p>
              </w:tc>
              <w:tc>
                <w:tcPr>
                  <w:tcW w:w="915" w:type="pct"/>
                  <w:tcBorders>
                    <w:tl2br w:val="nil"/>
                    <w:tr2bl w:val="nil"/>
                  </w:tcBorders>
                  <w:noWrap w:val="0"/>
                  <w:vAlign w:val="center"/>
                </w:tcPr>
                <w:p w14:paraId="25DA05BA">
                  <w:pPr>
                    <w:pStyle w:val="115"/>
                    <w:bidi w:val="0"/>
                  </w:pPr>
                  <w:r>
                    <w:t>达标</w:t>
                  </w:r>
                </w:p>
              </w:tc>
              <w:tc>
                <w:tcPr>
                  <w:tcW w:w="915" w:type="pct"/>
                  <w:tcBorders>
                    <w:tl2br w:val="nil"/>
                    <w:tr2bl w:val="nil"/>
                  </w:tcBorders>
                  <w:noWrap w:val="0"/>
                  <w:vAlign w:val="center"/>
                </w:tcPr>
                <w:p w14:paraId="62632320">
                  <w:pPr>
                    <w:pStyle w:val="115"/>
                    <w:bidi w:val="0"/>
                  </w:pPr>
                  <w:r>
                    <w:t>1.5</w:t>
                  </w:r>
                </w:p>
              </w:tc>
            </w:tr>
            <w:tr w14:paraId="7A3C4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1C795CE2">
                  <w:pPr>
                    <w:pStyle w:val="115"/>
                    <w:bidi w:val="0"/>
                  </w:pPr>
                  <w:r>
                    <w:t>40</w:t>
                  </w:r>
                </w:p>
              </w:tc>
              <w:tc>
                <w:tcPr>
                  <w:tcW w:w="1887" w:type="pct"/>
                  <w:tcBorders>
                    <w:tl2br w:val="nil"/>
                    <w:tr2bl w:val="nil"/>
                  </w:tcBorders>
                  <w:noWrap w:val="0"/>
                  <w:vAlign w:val="center"/>
                </w:tcPr>
                <w:p w14:paraId="27F52885">
                  <w:pPr>
                    <w:pStyle w:val="115"/>
                    <w:bidi w:val="0"/>
                  </w:pPr>
                  <w:r>
                    <w:t>苯并[b]荧蒽</w:t>
                  </w:r>
                </w:p>
              </w:tc>
              <w:tc>
                <w:tcPr>
                  <w:tcW w:w="733" w:type="pct"/>
                  <w:tcBorders>
                    <w:tl2br w:val="nil"/>
                    <w:tr2bl w:val="nil"/>
                  </w:tcBorders>
                  <w:noWrap w:val="0"/>
                  <w:vAlign w:val="center"/>
                </w:tcPr>
                <w:p w14:paraId="3D474328">
                  <w:pPr>
                    <w:pStyle w:val="115"/>
                    <w:bidi w:val="0"/>
                  </w:pPr>
                  <w:r>
                    <w:rPr>
                      <w:rFonts w:hint="eastAsia"/>
                      <w:lang w:val="en-US" w:eastAsia="zh-CN"/>
                    </w:rPr>
                    <w:t>未检出</w:t>
                  </w:r>
                </w:p>
              </w:tc>
              <w:tc>
                <w:tcPr>
                  <w:tcW w:w="915" w:type="pct"/>
                  <w:tcBorders>
                    <w:tl2br w:val="nil"/>
                    <w:tr2bl w:val="nil"/>
                  </w:tcBorders>
                  <w:noWrap w:val="0"/>
                  <w:vAlign w:val="center"/>
                </w:tcPr>
                <w:p w14:paraId="75708D9C">
                  <w:pPr>
                    <w:pStyle w:val="115"/>
                    <w:bidi w:val="0"/>
                  </w:pPr>
                  <w:r>
                    <w:t>达标</w:t>
                  </w:r>
                </w:p>
              </w:tc>
              <w:tc>
                <w:tcPr>
                  <w:tcW w:w="915" w:type="pct"/>
                  <w:tcBorders>
                    <w:tl2br w:val="nil"/>
                    <w:tr2bl w:val="nil"/>
                  </w:tcBorders>
                  <w:noWrap w:val="0"/>
                  <w:vAlign w:val="center"/>
                </w:tcPr>
                <w:p w14:paraId="6C6A9B3D">
                  <w:pPr>
                    <w:pStyle w:val="115"/>
                    <w:bidi w:val="0"/>
                  </w:pPr>
                  <w:r>
                    <w:t>15</w:t>
                  </w:r>
                </w:p>
              </w:tc>
            </w:tr>
            <w:tr w14:paraId="04B78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5F1D1087">
                  <w:pPr>
                    <w:pStyle w:val="115"/>
                    <w:bidi w:val="0"/>
                  </w:pPr>
                  <w:r>
                    <w:t>41</w:t>
                  </w:r>
                </w:p>
              </w:tc>
              <w:tc>
                <w:tcPr>
                  <w:tcW w:w="1887" w:type="pct"/>
                  <w:tcBorders>
                    <w:tl2br w:val="nil"/>
                    <w:tr2bl w:val="nil"/>
                  </w:tcBorders>
                  <w:noWrap w:val="0"/>
                  <w:vAlign w:val="center"/>
                </w:tcPr>
                <w:p w14:paraId="7A5A328A">
                  <w:pPr>
                    <w:pStyle w:val="115"/>
                    <w:bidi w:val="0"/>
                  </w:pPr>
                  <w:r>
                    <w:t>苯并[k]荧蒽</w:t>
                  </w:r>
                </w:p>
              </w:tc>
              <w:tc>
                <w:tcPr>
                  <w:tcW w:w="733" w:type="pct"/>
                  <w:tcBorders>
                    <w:tl2br w:val="nil"/>
                    <w:tr2bl w:val="nil"/>
                  </w:tcBorders>
                  <w:noWrap w:val="0"/>
                  <w:vAlign w:val="center"/>
                </w:tcPr>
                <w:p w14:paraId="578856D8">
                  <w:pPr>
                    <w:pStyle w:val="115"/>
                    <w:bidi w:val="0"/>
                  </w:pPr>
                  <w:r>
                    <w:rPr>
                      <w:rFonts w:hint="eastAsia"/>
                      <w:lang w:val="en-US" w:eastAsia="zh-CN"/>
                    </w:rPr>
                    <w:t>未检出</w:t>
                  </w:r>
                </w:p>
              </w:tc>
              <w:tc>
                <w:tcPr>
                  <w:tcW w:w="915" w:type="pct"/>
                  <w:tcBorders>
                    <w:tl2br w:val="nil"/>
                    <w:tr2bl w:val="nil"/>
                  </w:tcBorders>
                  <w:noWrap w:val="0"/>
                  <w:vAlign w:val="center"/>
                </w:tcPr>
                <w:p w14:paraId="66DD7FD7">
                  <w:pPr>
                    <w:pStyle w:val="115"/>
                    <w:bidi w:val="0"/>
                  </w:pPr>
                  <w:r>
                    <w:t>达标</w:t>
                  </w:r>
                </w:p>
              </w:tc>
              <w:tc>
                <w:tcPr>
                  <w:tcW w:w="915" w:type="pct"/>
                  <w:tcBorders>
                    <w:tl2br w:val="nil"/>
                    <w:tr2bl w:val="nil"/>
                  </w:tcBorders>
                  <w:noWrap w:val="0"/>
                  <w:vAlign w:val="center"/>
                </w:tcPr>
                <w:p w14:paraId="0D041C28">
                  <w:pPr>
                    <w:pStyle w:val="115"/>
                    <w:bidi w:val="0"/>
                  </w:pPr>
                  <w:r>
                    <w:t>151</w:t>
                  </w:r>
                </w:p>
              </w:tc>
            </w:tr>
            <w:tr w14:paraId="57E85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7C5192A1">
                  <w:pPr>
                    <w:pStyle w:val="115"/>
                    <w:bidi w:val="0"/>
                  </w:pPr>
                  <w:r>
                    <w:t>42</w:t>
                  </w:r>
                </w:p>
              </w:tc>
              <w:tc>
                <w:tcPr>
                  <w:tcW w:w="1887" w:type="pct"/>
                  <w:tcBorders>
                    <w:tl2br w:val="nil"/>
                    <w:tr2bl w:val="nil"/>
                  </w:tcBorders>
                  <w:noWrap w:val="0"/>
                  <w:vAlign w:val="center"/>
                </w:tcPr>
                <w:p w14:paraId="4CCA88C5">
                  <w:pPr>
                    <w:pStyle w:val="115"/>
                    <w:bidi w:val="0"/>
                  </w:pPr>
                  <w:r>
                    <w:t>䓛</w:t>
                  </w:r>
                </w:p>
              </w:tc>
              <w:tc>
                <w:tcPr>
                  <w:tcW w:w="733" w:type="pct"/>
                  <w:tcBorders>
                    <w:tl2br w:val="nil"/>
                    <w:tr2bl w:val="nil"/>
                  </w:tcBorders>
                  <w:noWrap w:val="0"/>
                  <w:vAlign w:val="center"/>
                </w:tcPr>
                <w:p w14:paraId="5063FD16">
                  <w:pPr>
                    <w:pStyle w:val="115"/>
                    <w:bidi w:val="0"/>
                  </w:pPr>
                  <w:r>
                    <w:rPr>
                      <w:rFonts w:hint="eastAsia"/>
                      <w:lang w:val="en-US" w:eastAsia="zh-CN"/>
                    </w:rPr>
                    <w:t>未检出</w:t>
                  </w:r>
                </w:p>
              </w:tc>
              <w:tc>
                <w:tcPr>
                  <w:tcW w:w="915" w:type="pct"/>
                  <w:tcBorders>
                    <w:tl2br w:val="nil"/>
                    <w:tr2bl w:val="nil"/>
                  </w:tcBorders>
                  <w:noWrap w:val="0"/>
                  <w:vAlign w:val="center"/>
                </w:tcPr>
                <w:p w14:paraId="11D65124">
                  <w:pPr>
                    <w:pStyle w:val="115"/>
                    <w:bidi w:val="0"/>
                  </w:pPr>
                  <w:r>
                    <w:t>达标</w:t>
                  </w:r>
                </w:p>
              </w:tc>
              <w:tc>
                <w:tcPr>
                  <w:tcW w:w="915" w:type="pct"/>
                  <w:tcBorders>
                    <w:tl2br w:val="nil"/>
                    <w:tr2bl w:val="nil"/>
                  </w:tcBorders>
                  <w:noWrap w:val="0"/>
                  <w:vAlign w:val="center"/>
                </w:tcPr>
                <w:p w14:paraId="44342DA3">
                  <w:pPr>
                    <w:pStyle w:val="115"/>
                    <w:bidi w:val="0"/>
                  </w:pPr>
                  <w:r>
                    <w:t>1293</w:t>
                  </w:r>
                </w:p>
              </w:tc>
            </w:tr>
            <w:tr w14:paraId="39B38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232E0D04">
                  <w:pPr>
                    <w:pStyle w:val="115"/>
                    <w:bidi w:val="0"/>
                  </w:pPr>
                  <w:r>
                    <w:t>43</w:t>
                  </w:r>
                </w:p>
              </w:tc>
              <w:tc>
                <w:tcPr>
                  <w:tcW w:w="1887" w:type="pct"/>
                  <w:tcBorders>
                    <w:tl2br w:val="nil"/>
                    <w:tr2bl w:val="nil"/>
                  </w:tcBorders>
                  <w:noWrap w:val="0"/>
                  <w:vAlign w:val="center"/>
                </w:tcPr>
                <w:p w14:paraId="05B74919">
                  <w:pPr>
                    <w:pStyle w:val="115"/>
                    <w:bidi w:val="0"/>
                  </w:pPr>
                  <w:r>
                    <w:t>二苯并[a，h]蒽</w:t>
                  </w:r>
                </w:p>
              </w:tc>
              <w:tc>
                <w:tcPr>
                  <w:tcW w:w="733" w:type="pct"/>
                  <w:tcBorders>
                    <w:tl2br w:val="nil"/>
                    <w:tr2bl w:val="nil"/>
                  </w:tcBorders>
                  <w:noWrap w:val="0"/>
                  <w:vAlign w:val="center"/>
                </w:tcPr>
                <w:p w14:paraId="060F4013">
                  <w:pPr>
                    <w:pStyle w:val="115"/>
                    <w:bidi w:val="0"/>
                  </w:pPr>
                  <w:r>
                    <w:rPr>
                      <w:rFonts w:hint="eastAsia"/>
                      <w:lang w:val="en-US" w:eastAsia="zh-CN"/>
                    </w:rPr>
                    <w:t>未检出</w:t>
                  </w:r>
                </w:p>
              </w:tc>
              <w:tc>
                <w:tcPr>
                  <w:tcW w:w="915" w:type="pct"/>
                  <w:tcBorders>
                    <w:tl2br w:val="nil"/>
                    <w:tr2bl w:val="nil"/>
                  </w:tcBorders>
                  <w:noWrap w:val="0"/>
                  <w:vAlign w:val="center"/>
                </w:tcPr>
                <w:p w14:paraId="5743E389">
                  <w:pPr>
                    <w:pStyle w:val="115"/>
                    <w:bidi w:val="0"/>
                  </w:pPr>
                  <w:r>
                    <w:t>达标</w:t>
                  </w:r>
                </w:p>
              </w:tc>
              <w:tc>
                <w:tcPr>
                  <w:tcW w:w="915" w:type="pct"/>
                  <w:tcBorders>
                    <w:tl2br w:val="nil"/>
                    <w:tr2bl w:val="nil"/>
                  </w:tcBorders>
                  <w:noWrap w:val="0"/>
                  <w:vAlign w:val="center"/>
                </w:tcPr>
                <w:p w14:paraId="7B260904">
                  <w:pPr>
                    <w:pStyle w:val="115"/>
                    <w:bidi w:val="0"/>
                  </w:pPr>
                  <w:r>
                    <w:t>1.5</w:t>
                  </w:r>
                </w:p>
              </w:tc>
            </w:tr>
            <w:tr w14:paraId="09D9C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1BE1A9A3">
                  <w:pPr>
                    <w:pStyle w:val="115"/>
                    <w:bidi w:val="0"/>
                  </w:pPr>
                  <w:r>
                    <w:t>44</w:t>
                  </w:r>
                </w:p>
              </w:tc>
              <w:tc>
                <w:tcPr>
                  <w:tcW w:w="1887" w:type="pct"/>
                  <w:tcBorders>
                    <w:tl2br w:val="nil"/>
                    <w:tr2bl w:val="nil"/>
                  </w:tcBorders>
                  <w:noWrap w:val="0"/>
                  <w:vAlign w:val="center"/>
                </w:tcPr>
                <w:p w14:paraId="63C62713">
                  <w:pPr>
                    <w:pStyle w:val="115"/>
                    <w:bidi w:val="0"/>
                  </w:pPr>
                  <w:r>
                    <w:t>茚并[1，2，3-cd]芘</w:t>
                  </w:r>
                </w:p>
              </w:tc>
              <w:tc>
                <w:tcPr>
                  <w:tcW w:w="733" w:type="pct"/>
                  <w:tcBorders>
                    <w:tl2br w:val="nil"/>
                    <w:tr2bl w:val="nil"/>
                  </w:tcBorders>
                  <w:noWrap w:val="0"/>
                  <w:vAlign w:val="center"/>
                </w:tcPr>
                <w:p w14:paraId="704348E7">
                  <w:pPr>
                    <w:pStyle w:val="115"/>
                    <w:bidi w:val="0"/>
                  </w:pPr>
                  <w:r>
                    <w:rPr>
                      <w:rFonts w:hint="eastAsia"/>
                      <w:lang w:val="en-US" w:eastAsia="zh-CN"/>
                    </w:rPr>
                    <w:t>未检出</w:t>
                  </w:r>
                </w:p>
              </w:tc>
              <w:tc>
                <w:tcPr>
                  <w:tcW w:w="915" w:type="pct"/>
                  <w:tcBorders>
                    <w:tl2br w:val="nil"/>
                    <w:tr2bl w:val="nil"/>
                  </w:tcBorders>
                  <w:noWrap w:val="0"/>
                  <w:vAlign w:val="center"/>
                </w:tcPr>
                <w:p w14:paraId="1F3B8060">
                  <w:pPr>
                    <w:pStyle w:val="115"/>
                    <w:bidi w:val="0"/>
                  </w:pPr>
                  <w:r>
                    <w:t>达标</w:t>
                  </w:r>
                </w:p>
              </w:tc>
              <w:tc>
                <w:tcPr>
                  <w:tcW w:w="915" w:type="pct"/>
                  <w:tcBorders>
                    <w:tl2br w:val="nil"/>
                    <w:tr2bl w:val="nil"/>
                  </w:tcBorders>
                  <w:noWrap w:val="0"/>
                  <w:vAlign w:val="center"/>
                </w:tcPr>
                <w:p w14:paraId="692FD631">
                  <w:pPr>
                    <w:pStyle w:val="115"/>
                    <w:bidi w:val="0"/>
                  </w:pPr>
                  <w:r>
                    <w:t>15</w:t>
                  </w:r>
                </w:p>
              </w:tc>
            </w:tr>
            <w:tr w14:paraId="50E89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4327015F">
                  <w:pPr>
                    <w:pStyle w:val="115"/>
                    <w:bidi w:val="0"/>
                  </w:pPr>
                  <w:r>
                    <w:t>45</w:t>
                  </w:r>
                </w:p>
              </w:tc>
              <w:tc>
                <w:tcPr>
                  <w:tcW w:w="1887" w:type="pct"/>
                  <w:tcBorders>
                    <w:tl2br w:val="nil"/>
                    <w:tr2bl w:val="nil"/>
                  </w:tcBorders>
                  <w:noWrap w:val="0"/>
                  <w:vAlign w:val="center"/>
                </w:tcPr>
                <w:p w14:paraId="37CC0BA7">
                  <w:pPr>
                    <w:pStyle w:val="115"/>
                    <w:bidi w:val="0"/>
                  </w:pPr>
                  <w:r>
                    <w:t>萘</w:t>
                  </w:r>
                </w:p>
              </w:tc>
              <w:tc>
                <w:tcPr>
                  <w:tcW w:w="733" w:type="pct"/>
                  <w:tcBorders>
                    <w:tl2br w:val="nil"/>
                    <w:tr2bl w:val="nil"/>
                  </w:tcBorders>
                  <w:noWrap w:val="0"/>
                  <w:vAlign w:val="center"/>
                </w:tcPr>
                <w:p w14:paraId="2A56D836">
                  <w:pPr>
                    <w:pStyle w:val="115"/>
                    <w:bidi w:val="0"/>
                  </w:pPr>
                  <w:r>
                    <w:rPr>
                      <w:rFonts w:hint="eastAsia"/>
                      <w:lang w:val="en-US" w:eastAsia="zh-CN"/>
                    </w:rPr>
                    <w:t>未检出</w:t>
                  </w:r>
                </w:p>
              </w:tc>
              <w:tc>
                <w:tcPr>
                  <w:tcW w:w="915" w:type="pct"/>
                  <w:tcBorders>
                    <w:tl2br w:val="nil"/>
                    <w:tr2bl w:val="nil"/>
                  </w:tcBorders>
                  <w:noWrap w:val="0"/>
                  <w:vAlign w:val="center"/>
                </w:tcPr>
                <w:p w14:paraId="43AD47F8">
                  <w:pPr>
                    <w:pStyle w:val="115"/>
                    <w:bidi w:val="0"/>
                  </w:pPr>
                  <w:r>
                    <w:t>达标</w:t>
                  </w:r>
                </w:p>
              </w:tc>
              <w:tc>
                <w:tcPr>
                  <w:tcW w:w="915" w:type="pct"/>
                  <w:tcBorders>
                    <w:tl2br w:val="nil"/>
                    <w:tr2bl w:val="nil"/>
                  </w:tcBorders>
                  <w:noWrap w:val="0"/>
                  <w:vAlign w:val="center"/>
                </w:tcPr>
                <w:p w14:paraId="1A1ABD4D">
                  <w:pPr>
                    <w:pStyle w:val="115"/>
                    <w:bidi w:val="0"/>
                  </w:pPr>
                  <w:r>
                    <w:t>70</w:t>
                  </w:r>
                </w:p>
              </w:tc>
            </w:tr>
            <w:tr w14:paraId="5554D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jc w:val="center"/>
              </w:trPr>
              <w:tc>
                <w:tcPr>
                  <w:tcW w:w="548" w:type="pct"/>
                  <w:tcBorders>
                    <w:tl2br w:val="nil"/>
                    <w:tr2bl w:val="nil"/>
                  </w:tcBorders>
                  <w:noWrap w:val="0"/>
                  <w:vAlign w:val="center"/>
                </w:tcPr>
                <w:p w14:paraId="52A193C5">
                  <w:pPr>
                    <w:pStyle w:val="115"/>
                    <w:bidi w:val="0"/>
                    <w:rPr>
                      <w:rFonts w:hint="default" w:eastAsia="宋体"/>
                      <w:lang w:val="en-US" w:eastAsia="zh-CN"/>
                    </w:rPr>
                  </w:pPr>
                  <w:r>
                    <w:rPr>
                      <w:rFonts w:hint="eastAsia"/>
                      <w:lang w:val="en-US" w:eastAsia="zh-CN"/>
                    </w:rPr>
                    <w:t>46</w:t>
                  </w:r>
                </w:p>
              </w:tc>
              <w:tc>
                <w:tcPr>
                  <w:tcW w:w="1887" w:type="pct"/>
                  <w:tcBorders>
                    <w:tl2br w:val="nil"/>
                    <w:tr2bl w:val="nil"/>
                  </w:tcBorders>
                  <w:noWrap w:val="0"/>
                  <w:vAlign w:val="center"/>
                </w:tcPr>
                <w:p w14:paraId="035BF889">
                  <w:pPr>
                    <w:pStyle w:val="115"/>
                    <w:bidi w:val="0"/>
                    <w:rPr>
                      <w:rFonts w:hint="default" w:eastAsia="宋体"/>
                      <w:lang w:val="en-US" w:eastAsia="zh-CN"/>
                    </w:rPr>
                  </w:pPr>
                  <w:r>
                    <w:rPr>
                      <w:rFonts w:hint="eastAsia"/>
                      <w:lang w:val="en-US" w:eastAsia="zh-CN"/>
                    </w:rPr>
                    <w:t>pH</w:t>
                  </w:r>
                </w:p>
              </w:tc>
              <w:tc>
                <w:tcPr>
                  <w:tcW w:w="733" w:type="pct"/>
                  <w:tcBorders>
                    <w:tl2br w:val="nil"/>
                    <w:tr2bl w:val="nil"/>
                  </w:tcBorders>
                  <w:noWrap w:val="0"/>
                  <w:vAlign w:val="center"/>
                </w:tcPr>
                <w:p w14:paraId="60491E2F">
                  <w:pPr>
                    <w:pStyle w:val="115"/>
                    <w:bidi w:val="0"/>
                    <w:rPr>
                      <w:rFonts w:hint="default"/>
                      <w:lang w:val="en-US" w:eastAsia="zh-CN"/>
                    </w:rPr>
                  </w:pPr>
                  <w:r>
                    <w:rPr>
                      <w:rFonts w:hint="eastAsia"/>
                      <w:lang w:val="en-US" w:eastAsia="zh-CN"/>
                    </w:rPr>
                    <w:t>6.63</w:t>
                  </w:r>
                </w:p>
              </w:tc>
              <w:tc>
                <w:tcPr>
                  <w:tcW w:w="915" w:type="pct"/>
                  <w:tcBorders>
                    <w:tl2br w:val="nil"/>
                    <w:tr2bl w:val="nil"/>
                  </w:tcBorders>
                  <w:noWrap w:val="0"/>
                  <w:vAlign w:val="center"/>
                </w:tcPr>
                <w:p w14:paraId="51C731E7">
                  <w:pPr>
                    <w:pStyle w:val="115"/>
                    <w:bidi w:val="0"/>
                    <w:rPr>
                      <w:rFonts w:hint="default" w:eastAsia="宋体"/>
                      <w:lang w:val="en-US" w:eastAsia="zh-CN"/>
                    </w:rPr>
                  </w:pPr>
                  <w:r>
                    <w:rPr>
                      <w:rFonts w:hint="eastAsia"/>
                      <w:lang w:val="en-US" w:eastAsia="zh-CN"/>
                    </w:rPr>
                    <w:t>-</w:t>
                  </w:r>
                </w:p>
              </w:tc>
              <w:tc>
                <w:tcPr>
                  <w:tcW w:w="915" w:type="pct"/>
                  <w:tcBorders>
                    <w:tl2br w:val="nil"/>
                    <w:tr2bl w:val="nil"/>
                  </w:tcBorders>
                  <w:noWrap w:val="0"/>
                  <w:vAlign w:val="center"/>
                </w:tcPr>
                <w:p w14:paraId="4503891E">
                  <w:pPr>
                    <w:pStyle w:val="115"/>
                    <w:bidi w:val="0"/>
                    <w:rPr>
                      <w:rFonts w:hint="eastAsia" w:eastAsia="宋体"/>
                      <w:lang w:val="en-US" w:eastAsia="zh-CN"/>
                    </w:rPr>
                  </w:pPr>
                  <w:r>
                    <w:rPr>
                      <w:rFonts w:hint="eastAsia"/>
                      <w:lang w:val="en-US" w:eastAsia="zh-CN"/>
                    </w:rPr>
                    <w:t>-</w:t>
                  </w:r>
                </w:p>
              </w:tc>
            </w:tr>
          </w:tbl>
          <w:p w14:paraId="50AE6FEC">
            <w:pPr>
              <w:bidi w:val="0"/>
              <w:rPr>
                <w:rFonts w:hint="eastAsia"/>
                <w:lang w:val="en-US" w:eastAsia="zh-CN"/>
              </w:rPr>
            </w:pPr>
            <w:r>
              <w:rPr>
                <w:rFonts w:hint="eastAsia"/>
                <w:lang w:val="en-US" w:eastAsia="zh-CN"/>
              </w:rPr>
              <w:t>由以上监测数据可知，各监测因子均低于《土壤环境质量 建设用地土壤污染风险管控标准（试行）》（GB36600-2018）中相应风险筛选值，区域土壤环境质量均能达到相应功能要求。</w:t>
            </w:r>
          </w:p>
          <w:p w14:paraId="6C10F16B">
            <w:pPr>
              <w:pStyle w:val="4"/>
              <w:bidi w:val="0"/>
              <w:rPr>
                <w:rFonts w:hint="default" w:ascii="Times New Roman" w:hAnsi="Times New Roman" w:cs="Times New Roman"/>
                <w:color w:val="auto"/>
                <w:highlight w:val="yellow"/>
                <w:u w:val="none" w:color="auto"/>
              </w:rPr>
            </w:pPr>
            <w:r>
              <w:rPr>
                <w:rFonts w:hint="eastAsia" w:ascii="Times New Roman" w:hAnsi="Times New Roman" w:cs="Times New Roman"/>
                <w:color w:val="auto"/>
                <w:highlight w:val="none"/>
                <w:u w:val="none" w:color="auto"/>
                <w:lang w:val="en-US" w:eastAsia="zh-CN"/>
              </w:rPr>
              <w:t>3.6地下水</w:t>
            </w:r>
            <w:r>
              <w:rPr>
                <w:rFonts w:hint="default" w:ascii="Times New Roman" w:hAnsi="Times New Roman" w:cs="Times New Roman"/>
                <w:color w:val="000000"/>
                <w:highlight w:val="none"/>
              </w:rPr>
              <w:t>环</w:t>
            </w:r>
            <w:r>
              <w:rPr>
                <w:rFonts w:hint="default" w:ascii="Times New Roman" w:hAnsi="Times New Roman" w:cs="Times New Roman"/>
                <w:color w:val="000000"/>
              </w:rPr>
              <w:t>境质量现状</w:t>
            </w:r>
          </w:p>
          <w:p w14:paraId="6C01C817">
            <w:pPr>
              <w:bidi w:val="0"/>
              <w:rPr>
                <w:rFonts w:hint="default"/>
                <w:lang w:val="en-US" w:eastAsia="zh-CN"/>
              </w:rPr>
            </w:pPr>
            <w:r>
              <w:rPr>
                <w:rFonts w:hint="default"/>
                <w:lang w:val="en-US" w:eastAsia="zh-CN"/>
              </w:rPr>
              <w:t>根据《建设项目环境影响报告表编制技术指南》（污染影响类）（试行），土壤原则上不开展环境质量现状调查。建设项目存在</w:t>
            </w:r>
            <w:r>
              <w:rPr>
                <w:rFonts w:hint="eastAsia"/>
                <w:lang w:val="en-US" w:eastAsia="zh-CN"/>
              </w:rPr>
              <w:t>地下水</w:t>
            </w:r>
            <w:r>
              <w:rPr>
                <w:rFonts w:hint="default"/>
                <w:lang w:val="en-US" w:eastAsia="zh-CN"/>
              </w:rPr>
              <w:t>环境污染途径的，应结合污染源、保护目标分布情况开展现状调查以留作背景值。</w:t>
            </w:r>
          </w:p>
          <w:p w14:paraId="2D95CE8E">
            <w:pPr>
              <w:bidi w:val="0"/>
              <w:rPr>
                <w:rFonts w:hint="default"/>
                <w:lang w:val="en-US" w:eastAsia="zh-CN"/>
              </w:rPr>
            </w:pPr>
            <w:r>
              <w:rPr>
                <w:rFonts w:hint="eastAsia"/>
                <w:lang w:val="en-US" w:eastAsia="zh-CN"/>
              </w:rPr>
              <w:t>同时结合《建筑垃圾污染控制技术规范》（HJ1462-2026）第7.2.3堆填利用前应开展环境本底调查，包括堆填利用区域的土壤环境、地下水环境以及地表水环境等，可参考已有的环境影响评价以及相关水文地质资料。因此本环评对项目建筑垃圾消纳场下游进行了地下水环境现状本底调查。</w:t>
            </w:r>
          </w:p>
          <w:p w14:paraId="4C8C9DB5">
            <w:pPr>
              <w:bidi w:val="0"/>
              <w:rPr>
                <w:rFonts w:hint="eastAsia"/>
                <w:lang w:val="en-US" w:eastAsia="zh-CN"/>
              </w:rPr>
            </w:pPr>
            <w:r>
              <w:rPr>
                <w:rFonts w:hint="eastAsia"/>
                <w:lang w:val="en-US" w:eastAsia="zh-CN"/>
              </w:rPr>
              <w:t>1、监测点位布设及监测因子见下表。</w:t>
            </w:r>
          </w:p>
          <w:p w14:paraId="072029DA">
            <w:pPr>
              <w:pStyle w:val="44"/>
              <w:bidi w:val="0"/>
            </w:pPr>
            <w:r>
              <w:t>表</w:t>
            </w:r>
            <w:r>
              <w:rPr>
                <w:rFonts w:hint="eastAsia"/>
                <w:lang w:val="en-US" w:eastAsia="zh-CN"/>
              </w:rPr>
              <w:t>3.6-1：地下水</w:t>
            </w:r>
            <w:r>
              <w:t>环境质量监测布点及监测因子一览表</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81"/>
              <w:gridCol w:w="988"/>
              <w:gridCol w:w="3792"/>
              <w:gridCol w:w="1752"/>
            </w:tblGrid>
            <w:tr w14:paraId="77EA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56D452E6">
                  <w:pPr>
                    <w:pStyle w:val="115"/>
                    <w:bidi w:val="0"/>
                    <w:rPr>
                      <w:rFonts w:hint="default"/>
                      <w:b/>
                      <w:bCs/>
                      <w:lang w:val="en-US" w:eastAsia="zh-CN"/>
                    </w:rPr>
                  </w:pPr>
                  <w:r>
                    <w:rPr>
                      <w:rFonts w:hint="eastAsia"/>
                      <w:b/>
                      <w:bCs/>
                      <w:lang w:val="en-US" w:eastAsia="zh-CN"/>
                    </w:rPr>
                    <w:t>编号</w:t>
                  </w:r>
                </w:p>
              </w:tc>
              <w:tc>
                <w:tcPr>
                  <w:tcW w:w="1281" w:type="dxa"/>
                  <w:noWrap w:val="0"/>
                  <w:vAlign w:val="center"/>
                </w:tcPr>
                <w:p w14:paraId="3C001770">
                  <w:pPr>
                    <w:pStyle w:val="115"/>
                    <w:bidi w:val="0"/>
                    <w:rPr>
                      <w:rFonts w:hint="default"/>
                      <w:b/>
                      <w:bCs/>
                      <w:lang w:val="en-US" w:eastAsia="zh-CN"/>
                    </w:rPr>
                  </w:pPr>
                  <w:r>
                    <w:rPr>
                      <w:rFonts w:hint="eastAsia"/>
                      <w:b/>
                      <w:bCs/>
                      <w:lang w:val="en-US" w:eastAsia="zh-CN"/>
                    </w:rPr>
                    <w:t>监测点位</w:t>
                  </w:r>
                </w:p>
              </w:tc>
              <w:tc>
                <w:tcPr>
                  <w:tcW w:w="988" w:type="dxa"/>
                  <w:noWrap w:val="0"/>
                  <w:vAlign w:val="center"/>
                </w:tcPr>
                <w:p w14:paraId="140E73D1">
                  <w:pPr>
                    <w:pStyle w:val="115"/>
                    <w:bidi w:val="0"/>
                    <w:rPr>
                      <w:rFonts w:hint="default"/>
                      <w:b/>
                      <w:bCs/>
                      <w:lang w:val="en-US" w:eastAsia="zh-CN"/>
                    </w:rPr>
                  </w:pPr>
                  <w:r>
                    <w:rPr>
                      <w:rFonts w:hint="eastAsia"/>
                      <w:b/>
                      <w:bCs/>
                      <w:lang w:val="en-US" w:eastAsia="zh-CN"/>
                    </w:rPr>
                    <w:t>方位</w:t>
                  </w:r>
                </w:p>
              </w:tc>
              <w:tc>
                <w:tcPr>
                  <w:tcW w:w="3792" w:type="dxa"/>
                  <w:noWrap w:val="0"/>
                  <w:vAlign w:val="center"/>
                </w:tcPr>
                <w:p w14:paraId="34A34ADB">
                  <w:pPr>
                    <w:pStyle w:val="115"/>
                    <w:bidi w:val="0"/>
                    <w:rPr>
                      <w:rFonts w:hint="default"/>
                      <w:b/>
                      <w:bCs/>
                      <w:lang w:val="en-US" w:eastAsia="zh-CN"/>
                    </w:rPr>
                  </w:pPr>
                  <w:r>
                    <w:rPr>
                      <w:rFonts w:hint="eastAsia"/>
                      <w:b/>
                      <w:bCs/>
                      <w:lang w:val="en-US" w:eastAsia="zh-CN"/>
                    </w:rPr>
                    <w:t>监测项目</w:t>
                  </w:r>
                </w:p>
              </w:tc>
              <w:tc>
                <w:tcPr>
                  <w:tcW w:w="1752" w:type="dxa"/>
                  <w:noWrap w:val="0"/>
                  <w:vAlign w:val="center"/>
                </w:tcPr>
                <w:p w14:paraId="2C6C8621">
                  <w:pPr>
                    <w:pStyle w:val="115"/>
                    <w:bidi w:val="0"/>
                    <w:rPr>
                      <w:rFonts w:hint="default"/>
                      <w:b/>
                      <w:bCs/>
                      <w:lang w:val="en-US" w:eastAsia="zh-CN"/>
                    </w:rPr>
                  </w:pPr>
                  <w:r>
                    <w:rPr>
                      <w:rFonts w:hint="eastAsia"/>
                      <w:b/>
                      <w:bCs/>
                      <w:lang w:val="en-US" w:eastAsia="zh-CN"/>
                    </w:rPr>
                    <w:t>执行标准</w:t>
                  </w:r>
                </w:p>
              </w:tc>
            </w:tr>
            <w:tr w14:paraId="0199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0"/>
                  <w:vAlign w:val="center"/>
                </w:tcPr>
                <w:p w14:paraId="6563E76D">
                  <w:pPr>
                    <w:pStyle w:val="115"/>
                    <w:bidi w:val="0"/>
                    <w:rPr>
                      <w:rFonts w:hint="default"/>
                      <w:lang w:val="en-US" w:eastAsia="zh-CN"/>
                    </w:rPr>
                  </w:pPr>
                  <w:r>
                    <w:rPr>
                      <w:rFonts w:hint="eastAsia"/>
                      <w:lang w:val="en-US" w:eastAsia="zh-CN"/>
                    </w:rPr>
                    <w:t>D1</w:t>
                  </w:r>
                </w:p>
              </w:tc>
              <w:tc>
                <w:tcPr>
                  <w:tcW w:w="1281" w:type="dxa"/>
                  <w:noWrap w:val="0"/>
                  <w:vAlign w:val="center"/>
                </w:tcPr>
                <w:p w14:paraId="6C56933F">
                  <w:pPr>
                    <w:pStyle w:val="115"/>
                    <w:bidi w:val="0"/>
                    <w:rPr>
                      <w:rFonts w:hint="default"/>
                      <w:lang w:val="en-US" w:eastAsia="zh-CN"/>
                    </w:rPr>
                  </w:pPr>
                  <w:r>
                    <w:rPr>
                      <w:rFonts w:hint="eastAsia"/>
                      <w:lang w:val="en-US" w:eastAsia="zh-CN"/>
                    </w:rPr>
                    <w:t>海龙形水井</w:t>
                  </w:r>
                </w:p>
              </w:tc>
              <w:tc>
                <w:tcPr>
                  <w:tcW w:w="988" w:type="dxa"/>
                  <w:noWrap w:val="0"/>
                  <w:vAlign w:val="center"/>
                </w:tcPr>
                <w:p w14:paraId="5BBAB725">
                  <w:pPr>
                    <w:pStyle w:val="115"/>
                    <w:bidi w:val="0"/>
                    <w:rPr>
                      <w:rFonts w:hint="default"/>
                      <w:lang w:val="en-US" w:eastAsia="zh-CN"/>
                    </w:rPr>
                  </w:pPr>
                  <w:r>
                    <w:rPr>
                      <w:rFonts w:hint="eastAsia"/>
                      <w:lang w:val="en-US" w:eastAsia="zh-CN"/>
                    </w:rPr>
                    <w:t>堆填区下游东南侧</w:t>
                  </w:r>
                </w:p>
              </w:tc>
              <w:tc>
                <w:tcPr>
                  <w:tcW w:w="3792" w:type="dxa"/>
                  <w:noWrap w:val="0"/>
                  <w:vAlign w:val="center"/>
                </w:tcPr>
                <w:p w14:paraId="32227FCD">
                  <w:pPr>
                    <w:pStyle w:val="115"/>
                    <w:bidi w:val="0"/>
                    <w:rPr>
                      <w:rFonts w:hint="default"/>
                      <w:lang w:val="en-US" w:eastAsia="zh-CN"/>
                    </w:rPr>
                  </w:pPr>
                  <w:r>
                    <w:rPr>
                      <w:rFonts w:hint="eastAsia"/>
                    </w:rPr>
                    <w:t>pH值</w:t>
                  </w:r>
                  <w:r>
                    <w:rPr>
                      <w:rFonts w:hint="eastAsia"/>
                      <w:lang w:eastAsia="zh-CN"/>
                    </w:rPr>
                    <w:t>、</w:t>
                  </w:r>
                  <w:r>
                    <w:rPr>
                      <w:rFonts w:hint="eastAsia"/>
                    </w:rPr>
                    <w:t>水位</w:t>
                  </w:r>
                  <w:r>
                    <w:rPr>
                      <w:rFonts w:hint="eastAsia"/>
                      <w:lang w:eastAsia="zh-CN"/>
                    </w:rPr>
                    <w:t>、</w:t>
                  </w:r>
                  <w:r>
                    <w:rPr>
                      <w:rFonts w:hint="eastAsia"/>
                    </w:rPr>
                    <w:t>总硬度</w:t>
                  </w:r>
                  <w:r>
                    <w:rPr>
                      <w:rFonts w:hint="eastAsia"/>
                      <w:lang w:eastAsia="zh-CN"/>
                    </w:rPr>
                    <w:t>、</w:t>
                  </w:r>
                  <w:r>
                    <w:rPr>
                      <w:rFonts w:hint="eastAsia"/>
                    </w:rPr>
                    <w:t>溶解性总固体</w:t>
                  </w:r>
                  <w:r>
                    <w:rPr>
                      <w:rFonts w:hint="eastAsia"/>
                      <w:lang w:eastAsia="zh-CN"/>
                    </w:rPr>
                    <w:t>、</w:t>
                  </w:r>
                  <w:r>
                    <w:rPr>
                      <w:rFonts w:hint="eastAsia"/>
                    </w:rPr>
                    <w:t>氨氮</w:t>
                  </w:r>
                  <w:r>
                    <w:rPr>
                      <w:rFonts w:hint="eastAsia"/>
                      <w:lang w:eastAsia="zh-CN"/>
                    </w:rPr>
                    <w:t>、</w:t>
                  </w:r>
                  <w:r>
                    <w:rPr>
                      <w:rFonts w:hint="eastAsia"/>
                    </w:rPr>
                    <w:t>挥发酚</w:t>
                  </w:r>
                  <w:r>
                    <w:rPr>
                      <w:rFonts w:hint="eastAsia"/>
                      <w:lang w:eastAsia="zh-CN"/>
                    </w:rPr>
                    <w:t>、</w:t>
                  </w:r>
                  <w:r>
                    <w:rPr>
                      <w:rFonts w:hint="eastAsia"/>
                    </w:rPr>
                    <w:t>氰化物</w:t>
                  </w:r>
                  <w:r>
                    <w:rPr>
                      <w:rFonts w:hint="eastAsia"/>
                      <w:lang w:eastAsia="zh-CN"/>
                    </w:rPr>
                    <w:t>、</w:t>
                  </w:r>
                  <w:r>
                    <w:rPr>
                      <w:rFonts w:hint="eastAsia"/>
                    </w:rPr>
                    <w:t>高锰酸盐指数</w:t>
                  </w:r>
                  <w:r>
                    <w:rPr>
                      <w:rFonts w:hint="eastAsia"/>
                      <w:lang w:eastAsia="zh-CN"/>
                    </w:rPr>
                    <w:t>、</w:t>
                  </w:r>
                  <w:r>
                    <w:rPr>
                      <w:rFonts w:hint="eastAsia"/>
                    </w:rPr>
                    <w:t>六价铬</w:t>
                  </w:r>
                  <w:r>
                    <w:rPr>
                      <w:rFonts w:hint="eastAsia"/>
                      <w:lang w:eastAsia="zh-CN"/>
                    </w:rPr>
                    <w:t>、</w:t>
                  </w:r>
                  <w:r>
                    <w:rPr>
                      <w:rFonts w:hint="eastAsia"/>
                    </w:rPr>
                    <w:t>氟化物</w:t>
                  </w:r>
                  <w:r>
                    <w:rPr>
                      <w:rFonts w:hint="eastAsia"/>
                      <w:lang w:eastAsia="zh-CN"/>
                    </w:rPr>
                    <w:t>、</w:t>
                  </w:r>
                  <w:r>
                    <w:rPr>
                      <w:rFonts w:hint="eastAsia"/>
                    </w:rPr>
                    <w:t>氯化物</w:t>
                  </w:r>
                  <w:r>
                    <w:rPr>
                      <w:rFonts w:hint="eastAsia"/>
                      <w:lang w:eastAsia="zh-CN"/>
                    </w:rPr>
                    <w:t>、</w:t>
                  </w:r>
                  <w:r>
                    <w:rPr>
                      <w:rFonts w:hint="eastAsia"/>
                    </w:rPr>
                    <w:t>亚硝酸盐（以N计）</w:t>
                  </w:r>
                  <w:r>
                    <w:rPr>
                      <w:rFonts w:hint="eastAsia"/>
                      <w:lang w:eastAsia="zh-CN"/>
                    </w:rPr>
                    <w:t>、</w:t>
                  </w:r>
                  <w:r>
                    <w:rPr>
                      <w:rFonts w:hint="eastAsia"/>
                    </w:rPr>
                    <w:t>硝酸盐（以N计）</w:t>
                  </w:r>
                  <w:r>
                    <w:rPr>
                      <w:rFonts w:hint="eastAsia"/>
                      <w:lang w:eastAsia="zh-CN"/>
                    </w:rPr>
                    <w:t>、</w:t>
                  </w:r>
                  <w:r>
                    <w:rPr>
                      <w:rFonts w:hint="eastAsia"/>
                    </w:rPr>
                    <w:t>硫酸盐</w:t>
                  </w:r>
                  <w:r>
                    <w:rPr>
                      <w:rFonts w:hint="eastAsia"/>
                      <w:lang w:eastAsia="zh-CN"/>
                    </w:rPr>
                    <w:t>、</w:t>
                  </w:r>
                  <w:r>
                    <w:rPr>
                      <w:rFonts w:hint="eastAsia"/>
                    </w:rPr>
                    <w:t>铁</w:t>
                  </w:r>
                  <w:r>
                    <w:rPr>
                      <w:rFonts w:hint="eastAsia"/>
                      <w:lang w:eastAsia="zh-CN"/>
                    </w:rPr>
                    <w:t>、</w:t>
                  </w:r>
                  <w:r>
                    <w:rPr>
                      <w:rFonts w:hint="eastAsia"/>
                    </w:rPr>
                    <w:t>锰</w:t>
                  </w:r>
                  <w:r>
                    <w:rPr>
                      <w:rFonts w:hint="eastAsia"/>
                      <w:lang w:eastAsia="zh-CN"/>
                    </w:rPr>
                    <w:t>、</w:t>
                  </w:r>
                  <w:r>
                    <w:rPr>
                      <w:rFonts w:hint="eastAsia"/>
                    </w:rPr>
                    <w:t>铅</w:t>
                  </w:r>
                  <w:r>
                    <w:rPr>
                      <w:rFonts w:hint="eastAsia"/>
                      <w:lang w:eastAsia="zh-CN"/>
                    </w:rPr>
                    <w:t>、</w:t>
                  </w:r>
                  <w:r>
                    <w:rPr>
                      <w:rFonts w:hint="eastAsia"/>
                    </w:rPr>
                    <w:t>镉</w:t>
                  </w:r>
                  <w:r>
                    <w:rPr>
                      <w:rFonts w:hint="eastAsia"/>
                      <w:lang w:eastAsia="zh-CN"/>
                    </w:rPr>
                    <w:t>、</w:t>
                  </w:r>
                  <w:r>
                    <w:rPr>
                      <w:rFonts w:hint="eastAsia"/>
                    </w:rPr>
                    <w:t>砷</w:t>
                  </w:r>
                  <w:r>
                    <w:rPr>
                      <w:rFonts w:hint="eastAsia"/>
                      <w:lang w:eastAsia="zh-CN"/>
                    </w:rPr>
                    <w:t>、</w:t>
                  </w:r>
                  <w:r>
                    <w:rPr>
                      <w:rFonts w:hint="eastAsia"/>
                    </w:rPr>
                    <w:t>汞</w:t>
                  </w:r>
                </w:p>
              </w:tc>
              <w:tc>
                <w:tcPr>
                  <w:tcW w:w="1752" w:type="dxa"/>
                  <w:noWrap w:val="0"/>
                  <w:vAlign w:val="center"/>
                </w:tcPr>
                <w:p w14:paraId="6B8E7D40">
                  <w:pPr>
                    <w:pStyle w:val="115"/>
                    <w:bidi w:val="0"/>
                    <w:rPr>
                      <w:rFonts w:hint="default"/>
                      <w:lang w:val="en-US" w:eastAsia="zh-CN"/>
                    </w:rPr>
                  </w:pPr>
                  <w:r>
                    <w:rPr>
                      <w:rFonts w:hint="default"/>
                      <w:lang w:val="en-US" w:eastAsia="zh-CN"/>
                    </w:rPr>
                    <w:t>《地下水质量标准》（GB/T14848-2017）Ⅲ类标准值</w:t>
                  </w:r>
                </w:p>
              </w:tc>
            </w:tr>
          </w:tbl>
          <w:p w14:paraId="1C541B66">
            <w:pPr>
              <w:pStyle w:val="171"/>
              <w:adjustRightInd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2、监测时间和频次</w:t>
            </w:r>
          </w:p>
          <w:p w14:paraId="314AD5E8">
            <w:pPr>
              <w:pStyle w:val="171"/>
              <w:adjustRightInd w:val="0"/>
              <w:ind w:firstLine="480"/>
              <w:rPr>
                <w:rFonts w:hint="default" w:ascii="Times New Roman" w:hAnsi="Times New Roman" w:eastAsia="宋体" w:cs="Times New Roman"/>
                <w:color w:val="auto"/>
                <w:highlight w:val="none"/>
                <w:u w:val="none" w:color="auto"/>
                <w:lang w:val="en-US" w:eastAsia="zh-CN"/>
              </w:rPr>
            </w:pPr>
            <w:r>
              <w:rPr>
                <w:rFonts w:ascii="Times New Roman" w:hAnsi="Times New Roman" w:cs="Times New Roman"/>
                <w:color w:val="auto"/>
                <w:highlight w:val="none"/>
                <w:u w:val="none" w:color="auto"/>
              </w:rPr>
              <w:t>20</w:t>
            </w:r>
            <w:r>
              <w:rPr>
                <w:rFonts w:hint="eastAsia" w:ascii="Times New Roman" w:hAnsi="Times New Roman" w:cs="Times New Roman"/>
                <w:color w:val="auto"/>
                <w:highlight w:val="none"/>
                <w:u w:val="none" w:color="auto"/>
                <w:lang w:val="en-US" w:eastAsia="zh-CN"/>
              </w:rPr>
              <w:t>26</w:t>
            </w:r>
            <w:r>
              <w:rPr>
                <w:rFonts w:ascii="Times New Roman" w:hAnsi="Times New Roman" w:cs="Times New Roman"/>
                <w:color w:val="auto"/>
                <w:highlight w:val="none"/>
                <w:u w:val="none" w:color="auto"/>
              </w:rPr>
              <w:t>年</w:t>
            </w:r>
            <w:r>
              <w:rPr>
                <w:rFonts w:hint="eastAsia" w:cs="Times New Roman"/>
                <w:color w:val="auto"/>
                <w:highlight w:val="none"/>
                <w:u w:val="none" w:color="auto"/>
                <w:lang w:val="en-US" w:eastAsia="zh-CN"/>
              </w:rPr>
              <w:t>4</w:t>
            </w:r>
            <w:r>
              <w:rPr>
                <w:rFonts w:ascii="Times New Roman" w:hAnsi="Times New Roman" w:cs="Times New Roman"/>
                <w:color w:val="auto"/>
                <w:highlight w:val="none"/>
                <w:u w:val="none" w:color="auto"/>
              </w:rPr>
              <w:t>月</w:t>
            </w:r>
            <w:r>
              <w:rPr>
                <w:rFonts w:hint="eastAsia" w:cs="Times New Roman"/>
                <w:color w:val="auto"/>
                <w:highlight w:val="none"/>
                <w:u w:val="none" w:color="auto"/>
                <w:lang w:val="en-US" w:eastAsia="zh-CN"/>
              </w:rPr>
              <w:t>08</w:t>
            </w:r>
            <w:r>
              <w:rPr>
                <w:rFonts w:ascii="Times New Roman" w:hAnsi="Times New Roman" w:cs="Times New Roman"/>
                <w:color w:val="auto"/>
                <w:highlight w:val="none"/>
                <w:u w:val="none" w:color="auto"/>
              </w:rPr>
              <w:t>日采样一次</w:t>
            </w:r>
            <w:r>
              <w:rPr>
                <w:rFonts w:hint="default" w:ascii="Times New Roman" w:hAnsi="Times New Roman" w:cs="Times New Roman"/>
                <w:color w:val="auto"/>
                <w:highlight w:val="none"/>
                <w:u w:val="none" w:color="auto"/>
                <w:lang w:val="en-US" w:eastAsia="zh-CN"/>
              </w:rPr>
              <w:t>。</w:t>
            </w:r>
          </w:p>
          <w:p w14:paraId="5B507101">
            <w:pPr>
              <w:pStyle w:val="171"/>
              <w:adjustRightInd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3、分析方法</w:t>
            </w:r>
          </w:p>
          <w:p w14:paraId="11E4E878">
            <w:pPr>
              <w:pStyle w:val="171"/>
              <w:adjustRightInd w:val="0"/>
              <w:ind w:firstLine="480"/>
              <w:rPr>
                <w:rFonts w:hint="eastAsia" w:ascii="Times New Roman" w:hAnsi="Times New Roman" w:eastAsia="宋体" w:cs="Times New Roman"/>
                <w:color w:val="auto"/>
                <w:u w:val="none" w:color="auto"/>
                <w:lang w:eastAsia="zh-CN"/>
              </w:rPr>
            </w:pPr>
            <w:r>
              <w:rPr>
                <w:rFonts w:ascii="Times New Roman" w:hAnsi="Times New Roman" w:cs="Times New Roman"/>
                <w:color w:val="auto"/>
                <w:u w:val="none" w:color="auto"/>
              </w:rPr>
              <w:t>按照《地下水质量标准》中有关规定执行</w:t>
            </w:r>
            <w:r>
              <w:rPr>
                <w:rFonts w:hint="eastAsia" w:ascii="Times New Roman" w:hAnsi="Times New Roman" w:cs="Times New Roman"/>
                <w:color w:val="auto"/>
                <w:u w:val="none" w:color="auto"/>
                <w:lang w:eastAsia="zh-CN"/>
              </w:rPr>
              <w:t>。</w:t>
            </w:r>
          </w:p>
          <w:p w14:paraId="77511239">
            <w:pPr>
              <w:pStyle w:val="171"/>
              <w:adjustRightInd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4、评价标准及方法</w:t>
            </w:r>
          </w:p>
          <w:p w14:paraId="46D7EB82">
            <w:pPr>
              <w:bidi w:val="0"/>
              <w:rPr>
                <w:rFonts w:hint="eastAsia"/>
                <w:lang w:eastAsia="zh-CN"/>
              </w:rPr>
            </w:pPr>
            <w:r>
              <w:t>评价标准：《地下水质量标准》（GB/T14848-2017）Ⅲ类标准</w:t>
            </w:r>
            <w:r>
              <w:rPr>
                <w:rFonts w:hint="eastAsia"/>
                <w:lang w:eastAsia="zh-CN"/>
              </w:rPr>
              <w:t>。</w:t>
            </w:r>
          </w:p>
          <w:p w14:paraId="5E8E3C83">
            <w:pPr>
              <w:bidi w:val="0"/>
            </w:pPr>
            <w:r>
              <w:t>评价方法：采用标准指数法，对照各污染物环境质量标准，分析其达标率、超标率和最大超标倍数。</w:t>
            </w:r>
          </w:p>
          <w:p w14:paraId="51AA2A5C">
            <w:pPr>
              <w:bidi w:val="0"/>
              <w:rPr>
                <w:rFonts w:hint="eastAsia"/>
                <w:lang w:val="en-US" w:eastAsia="zh-CN"/>
              </w:rPr>
            </w:pPr>
            <w:r>
              <w:rPr>
                <w:rFonts w:hint="eastAsia"/>
                <w:lang w:val="en-US" w:eastAsia="zh-CN"/>
              </w:rPr>
              <w:t>5、监测数据统计及评价</w:t>
            </w:r>
          </w:p>
          <w:p w14:paraId="034E8BCF">
            <w:pPr>
              <w:bidi w:val="0"/>
            </w:pPr>
            <w:r>
              <w:rPr>
                <w:rFonts w:hint="eastAsia"/>
                <w:lang w:val="en-US" w:eastAsia="zh-CN"/>
              </w:rPr>
              <w:t>地下水</w:t>
            </w:r>
            <w:r>
              <w:t>环境质量现状监测数据统计与分析见下表。</w:t>
            </w:r>
          </w:p>
          <w:p w14:paraId="30493BD7">
            <w:pPr>
              <w:pStyle w:val="44"/>
              <w:bidi w:val="0"/>
            </w:pPr>
            <w:r>
              <w:t>表</w:t>
            </w:r>
            <w:r>
              <w:rPr>
                <w:rFonts w:hint="eastAsia"/>
                <w:lang w:val="en-US" w:eastAsia="zh-CN"/>
              </w:rPr>
              <w:t>3.6-2：地下水</w:t>
            </w:r>
            <w:r>
              <w:t>现状监测数据统计与分析（单位：mg/L）</w:t>
            </w:r>
          </w:p>
          <w:tbl>
            <w:tblPr>
              <w:tblStyle w:val="3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2"/>
              <w:gridCol w:w="2549"/>
              <w:gridCol w:w="1415"/>
              <w:gridCol w:w="1766"/>
              <w:gridCol w:w="1770"/>
            </w:tblGrid>
            <w:tr w14:paraId="255BA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771F44FB">
                  <w:pPr>
                    <w:pStyle w:val="79"/>
                    <w:wordWrap/>
                    <w:topLinePunct w:val="0"/>
                    <w:adjustRightInd w:val="0"/>
                    <w:snapToGrid w:val="0"/>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序号</w:t>
                  </w:r>
                </w:p>
              </w:tc>
              <w:tc>
                <w:tcPr>
                  <w:tcW w:w="1488" w:type="pct"/>
                  <w:tcBorders>
                    <w:tl2br w:val="nil"/>
                    <w:tr2bl w:val="nil"/>
                  </w:tcBorders>
                  <w:noWrap w:val="0"/>
                  <w:vAlign w:val="center"/>
                </w:tcPr>
                <w:p w14:paraId="69ED7C92">
                  <w:pPr>
                    <w:pStyle w:val="79"/>
                    <w:wordWrap/>
                    <w:topLinePunct w:val="0"/>
                    <w:adjustRightInd w:val="0"/>
                    <w:snapToGrid w:val="0"/>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监测项目</w:t>
                  </w:r>
                </w:p>
              </w:tc>
              <w:tc>
                <w:tcPr>
                  <w:tcW w:w="826" w:type="pct"/>
                  <w:tcBorders>
                    <w:tl2br w:val="nil"/>
                    <w:tr2bl w:val="nil"/>
                  </w:tcBorders>
                  <w:noWrap w:val="0"/>
                  <w:vAlign w:val="center"/>
                </w:tcPr>
                <w:p w14:paraId="6761FDF2">
                  <w:pPr>
                    <w:pStyle w:val="79"/>
                    <w:wordWrap/>
                    <w:topLinePunct w:val="0"/>
                    <w:adjustRightInd w:val="0"/>
                    <w:snapToGrid w:val="0"/>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监测值</w:t>
                  </w:r>
                </w:p>
              </w:tc>
              <w:tc>
                <w:tcPr>
                  <w:tcW w:w="1031" w:type="pct"/>
                  <w:tcBorders>
                    <w:tl2br w:val="nil"/>
                    <w:tr2bl w:val="nil"/>
                  </w:tcBorders>
                  <w:noWrap w:val="0"/>
                  <w:vAlign w:val="center"/>
                </w:tcPr>
                <w:p w14:paraId="7CD8C25D">
                  <w:pPr>
                    <w:pStyle w:val="79"/>
                    <w:wordWrap/>
                    <w:topLinePunct w:val="0"/>
                    <w:adjustRightInd w:val="0"/>
                    <w:snapToGrid w:val="0"/>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达标判断</w:t>
                  </w:r>
                </w:p>
              </w:tc>
              <w:tc>
                <w:tcPr>
                  <w:tcW w:w="1033" w:type="pct"/>
                  <w:tcBorders>
                    <w:tl2br w:val="nil"/>
                    <w:tr2bl w:val="nil"/>
                  </w:tcBorders>
                  <w:noWrap w:val="0"/>
                  <w:vAlign w:val="center"/>
                </w:tcPr>
                <w:p w14:paraId="3CE6A5F2">
                  <w:pPr>
                    <w:pStyle w:val="79"/>
                    <w:wordWrap/>
                    <w:topLinePunct w:val="0"/>
                    <w:adjustRightInd w:val="0"/>
                    <w:snapToGrid w:val="0"/>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标准限值</w:t>
                  </w:r>
                </w:p>
              </w:tc>
            </w:tr>
            <w:tr w14:paraId="5D7F2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72880FE0">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w:t>
                  </w:r>
                </w:p>
              </w:tc>
              <w:tc>
                <w:tcPr>
                  <w:tcW w:w="1488" w:type="pct"/>
                  <w:tcBorders>
                    <w:tl2br w:val="nil"/>
                    <w:tr2bl w:val="nil"/>
                  </w:tcBorders>
                  <w:noWrap w:val="0"/>
                  <w:vAlign w:val="center"/>
                </w:tcPr>
                <w:p w14:paraId="70633F35">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pH值</w:t>
                  </w:r>
                </w:p>
              </w:tc>
              <w:tc>
                <w:tcPr>
                  <w:tcW w:w="826" w:type="pct"/>
                  <w:tcBorders>
                    <w:tl2br w:val="nil"/>
                    <w:tr2bl w:val="nil"/>
                  </w:tcBorders>
                  <w:noWrap w:val="0"/>
                  <w:vAlign w:val="center"/>
                </w:tcPr>
                <w:p w14:paraId="6AF7DC5F">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6.5</w:t>
                  </w:r>
                </w:p>
              </w:tc>
              <w:tc>
                <w:tcPr>
                  <w:tcW w:w="1031" w:type="pct"/>
                  <w:tcBorders>
                    <w:tl2br w:val="nil"/>
                    <w:tr2bl w:val="nil"/>
                  </w:tcBorders>
                  <w:noWrap w:val="0"/>
                  <w:vAlign w:val="center"/>
                </w:tcPr>
                <w:p w14:paraId="7FF7A4DC">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32941D18">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6.5</w:t>
                  </w:r>
                  <w:r>
                    <w:rPr>
                      <w:rFonts w:hint="eastAsia" w:ascii="Times New Roman" w:hAnsi="Times New Roman" w:eastAsia="宋体" w:cs="Times New Roman"/>
                      <w:b w:val="0"/>
                      <w:bCs w:val="0"/>
                      <w:i w:val="0"/>
                      <w:color w:val="auto"/>
                      <w:kern w:val="2"/>
                      <w:sz w:val="21"/>
                      <w:szCs w:val="21"/>
                      <w:u w:val="none"/>
                      <w:lang w:val="en-US" w:eastAsia="zh-CN" w:bidi="ar"/>
                    </w:rPr>
                    <w:t>≤</w:t>
                  </w:r>
                  <w:r>
                    <w:rPr>
                      <w:rFonts w:hint="eastAsia" w:ascii="Times New Roman" w:hAnsi="Times New Roman" w:eastAsia="宋体" w:cs="Times New Roman"/>
                      <w:b w:val="0"/>
                      <w:color w:val="auto"/>
                      <w:kern w:val="2"/>
                      <w:sz w:val="21"/>
                      <w:szCs w:val="21"/>
                      <w:lang w:val="en-US" w:eastAsia="zh-CN" w:bidi="ar-SA"/>
                    </w:rPr>
                    <w:t>pH</w:t>
                  </w:r>
                  <w:r>
                    <w:rPr>
                      <w:rFonts w:hint="eastAsia" w:ascii="Times New Roman" w:hAnsi="Times New Roman" w:eastAsia="宋体" w:cs="Times New Roman"/>
                      <w:b w:val="0"/>
                      <w:bCs w:val="0"/>
                      <w:i w:val="0"/>
                      <w:color w:val="auto"/>
                      <w:kern w:val="2"/>
                      <w:sz w:val="21"/>
                      <w:szCs w:val="21"/>
                      <w:u w:val="none"/>
                      <w:lang w:val="en-US" w:eastAsia="zh-CN" w:bidi="ar"/>
                    </w:rPr>
                    <w:t>≤</w:t>
                  </w:r>
                  <w:r>
                    <w:rPr>
                      <w:rFonts w:hint="eastAsia" w:ascii="Times New Roman" w:hAnsi="Times New Roman" w:eastAsia="宋体" w:cs="Times New Roman"/>
                      <w:b w:val="0"/>
                      <w:color w:val="auto"/>
                      <w:kern w:val="2"/>
                      <w:sz w:val="21"/>
                      <w:szCs w:val="21"/>
                      <w:lang w:val="en-US" w:eastAsia="zh-CN" w:bidi="ar-SA"/>
                    </w:rPr>
                    <w:t>8.5</w:t>
                  </w:r>
                </w:p>
              </w:tc>
            </w:tr>
            <w:tr w14:paraId="70B42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060BE94C">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2</w:t>
                  </w:r>
                </w:p>
              </w:tc>
              <w:tc>
                <w:tcPr>
                  <w:tcW w:w="1488" w:type="pct"/>
                  <w:tcBorders>
                    <w:tl2br w:val="nil"/>
                    <w:tr2bl w:val="nil"/>
                  </w:tcBorders>
                  <w:noWrap w:val="0"/>
                  <w:vAlign w:val="center"/>
                </w:tcPr>
                <w:p w14:paraId="6AE910EE">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水位</w:t>
                  </w:r>
                </w:p>
              </w:tc>
              <w:tc>
                <w:tcPr>
                  <w:tcW w:w="826" w:type="pct"/>
                  <w:tcBorders>
                    <w:tl2br w:val="nil"/>
                    <w:tr2bl w:val="nil"/>
                  </w:tcBorders>
                  <w:noWrap w:val="0"/>
                  <w:vAlign w:val="center"/>
                </w:tcPr>
                <w:p w14:paraId="65C5981E">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w:t>
                  </w:r>
                </w:p>
              </w:tc>
              <w:tc>
                <w:tcPr>
                  <w:tcW w:w="1031" w:type="pct"/>
                  <w:tcBorders>
                    <w:tl2br w:val="nil"/>
                    <w:tr2bl w:val="nil"/>
                  </w:tcBorders>
                  <w:noWrap w:val="0"/>
                  <w:vAlign w:val="center"/>
                </w:tcPr>
                <w:p w14:paraId="0EBEBDDB">
                  <w:pPr>
                    <w:pStyle w:val="79"/>
                    <w:wordWrap/>
                    <w:topLinePunct w:val="0"/>
                    <w:adjustRightInd w:val="0"/>
                    <w:snapToGrid w:val="0"/>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w:t>
                  </w:r>
                </w:p>
              </w:tc>
              <w:tc>
                <w:tcPr>
                  <w:tcW w:w="1033" w:type="pct"/>
                  <w:tcBorders>
                    <w:tl2br w:val="nil"/>
                    <w:tr2bl w:val="nil"/>
                  </w:tcBorders>
                  <w:noWrap w:val="0"/>
                  <w:vAlign w:val="center"/>
                </w:tcPr>
                <w:p w14:paraId="650794E1">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w:t>
                  </w:r>
                </w:p>
              </w:tc>
            </w:tr>
            <w:tr w14:paraId="3DAFD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5EBB357A">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3</w:t>
                  </w:r>
                </w:p>
              </w:tc>
              <w:tc>
                <w:tcPr>
                  <w:tcW w:w="1488" w:type="pct"/>
                  <w:tcBorders>
                    <w:tl2br w:val="nil"/>
                    <w:tr2bl w:val="nil"/>
                  </w:tcBorders>
                  <w:noWrap w:val="0"/>
                  <w:vAlign w:val="center"/>
                </w:tcPr>
                <w:p w14:paraId="494BDCC8">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总硬度</w:t>
                  </w:r>
                </w:p>
              </w:tc>
              <w:tc>
                <w:tcPr>
                  <w:tcW w:w="826" w:type="pct"/>
                  <w:tcBorders>
                    <w:tl2br w:val="nil"/>
                    <w:tr2bl w:val="nil"/>
                  </w:tcBorders>
                  <w:noWrap w:val="0"/>
                  <w:vAlign w:val="center"/>
                </w:tcPr>
                <w:p w14:paraId="0A2A19FF">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23.6</w:t>
                  </w:r>
                </w:p>
              </w:tc>
              <w:tc>
                <w:tcPr>
                  <w:tcW w:w="1031" w:type="pct"/>
                  <w:tcBorders>
                    <w:tl2br w:val="nil"/>
                    <w:tr2bl w:val="nil"/>
                  </w:tcBorders>
                  <w:noWrap w:val="0"/>
                  <w:vAlign w:val="center"/>
                </w:tcPr>
                <w:p w14:paraId="2E83E2A8">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31588AED">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≤450</w:t>
                  </w:r>
                </w:p>
              </w:tc>
            </w:tr>
            <w:tr w14:paraId="158D3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72C716FC">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4</w:t>
                  </w:r>
                </w:p>
              </w:tc>
              <w:tc>
                <w:tcPr>
                  <w:tcW w:w="1488" w:type="pct"/>
                  <w:tcBorders>
                    <w:tl2br w:val="nil"/>
                    <w:tr2bl w:val="nil"/>
                  </w:tcBorders>
                  <w:noWrap w:val="0"/>
                  <w:vAlign w:val="center"/>
                </w:tcPr>
                <w:p w14:paraId="40434E43">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溶解性总固体</w:t>
                  </w:r>
                </w:p>
              </w:tc>
              <w:tc>
                <w:tcPr>
                  <w:tcW w:w="826" w:type="pct"/>
                  <w:tcBorders>
                    <w:tl2br w:val="nil"/>
                    <w:tr2bl w:val="nil"/>
                  </w:tcBorders>
                  <w:noWrap w:val="0"/>
                  <w:vAlign w:val="center"/>
                </w:tcPr>
                <w:p w14:paraId="265DBB34">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60</w:t>
                  </w:r>
                </w:p>
              </w:tc>
              <w:tc>
                <w:tcPr>
                  <w:tcW w:w="1031" w:type="pct"/>
                  <w:tcBorders>
                    <w:tl2br w:val="nil"/>
                    <w:tr2bl w:val="nil"/>
                  </w:tcBorders>
                  <w:noWrap w:val="0"/>
                  <w:vAlign w:val="center"/>
                </w:tcPr>
                <w:p w14:paraId="19C48CA7">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68762AA4">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≤1000</w:t>
                  </w:r>
                </w:p>
              </w:tc>
            </w:tr>
            <w:tr w14:paraId="031C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5FA297A5">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5</w:t>
                  </w:r>
                </w:p>
              </w:tc>
              <w:tc>
                <w:tcPr>
                  <w:tcW w:w="1488" w:type="pct"/>
                  <w:tcBorders>
                    <w:tl2br w:val="nil"/>
                    <w:tr2bl w:val="nil"/>
                  </w:tcBorders>
                  <w:noWrap w:val="0"/>
                  <w:vAlign w:val="center"/>
                </w:tcPr>
                <w:p w14:paraId="5496362C">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氨氮</w:t>
                  </w:r>
                </w:p>
              </w:tc>
              <w:tc>
                <w:tcPr>
                  <w:tcW w:w="826" w:type="pct"/>
                  <w:tcBorders>
                    <w:tl2br w:val="nil"/>
                    <w:tr2bl w:val="nil"/>
                  </w:tcBorders>
                  <w:noWrap w:val="0"/>
                  <w:vAlign w:val="center"/>
                </w:tcPr>
                <w:p w14:paraId="2134876C">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0.025L</w:t>
                  </w:r>
                </w:p>
              </w:tc>
              <w:tc>
                <w:tcPr>
                  <w:tcW w:w="1031" w:type="pct"/>
                  <w:tcBorders>
                    <w:tl2br w:val="nil"/>
                    <w:tr2bl w:val="nil"/>
                  </w:tcBorders>
                  <w:noWrap w:val="0"/>
                  <w:vAlign w:val="center"/>
                </w:tcPr>
                <w:p w14:paraId="58AC3839">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573B2D06">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≤0.50</w:t>
                  </w:r>
                </w:p>
              </w:tc>
            </w:tr>
            <w:tr w14:paraId="54E73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352566C5">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6</w:t>
                  </w:r>
                </w:p>
              </w:tc>
              <w:tc>
                <w:tcPr>
                  <w:tcW w:w="1488" w:type="pct"/>
                  <w:tcBorders>
                    <w:tl2br w:val="nil"/>
                    <w:tr2bl w:val="nil"/>
                  </w:tcBorders>
                  <w:noWrap w:val="0"/>
                  <w:vAlign w:val="center"/>
                </w:tcPr>
                <w:p w14:paraId="0ACA3DE8">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挥发酚</w:t>
                  </w:r>
                </w:p>
              </w:tc>
              <w:tc>
                <w:tcPr>
                  <w:tcW w:w="826" w:type="pct"/>
                  <w:tcBorders>
                    <w:tl2br w:val="nil"/>
                    <w:tr2bl w:val="nil"/>
                  </w:tcBorders>
                  <w:noWrap w:val="0"/>
                  <w:vAlign w:val="center"/>
                </w:tcPr>
                <w:p w14:paraId="1DF488F5">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0.0003L</w:t>
                  </w:r>
                </w:p>
              </w:tc>
              <w:tc>
                <w:tcPr>
                  <w:tcW w:w="1031" w:type="pct"/>
                  <w:tcBorders>
                    <w:tl2br w:val="nil"/>
                    <w:tr2bl w:val="nil"/>
                  </w:tcBorders>
                  <w:noWrap w:val="0"/>
                  <w:vAlign w:val="center"/>
                </w:tcPr>
                <w:p w14:paraId="5FE0F0C3">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0D4FA92F">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≤0.002</w:t>
                  </w:r>
                </w:p>
              </w:tc>
            </w:tr>
            <w:tr w14:paraId="52460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1AA10C4F">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7</w:t>
                  </w:r>
                </w:p>
              </w:tc>
              <w:tc>
                <w:tcPr>
                  <w:tcW w:w="1488" w:type="pct"/>
                  <w:tcBorders>
                    <w:tl2br w:val="nil"/>
                    <w:tr2bl w:val="nil"/>
                  </w:tcBorders>
                  <w:noWrap w:val="0"/>
                  <w:vAlign w:val="center"/>
                </w:tcPr>
                <w:p w14:paraId="2884E55F">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氰化物</w:t>
                  </w:r>
                </w:p>
              </w:tc>
              <w:tc>
                <w:tcPr>
                  <w:tcW w:w="826" w:type="pct"/>
                  <w:tcBorders>
                    <w:tl2br w:val="nil"/>
                    <w:tr2bl w:val="nil"/>
                  </w:tcBorders>
                  <w:noWrap w:val="0"/>
                  <w:vAlign w:val="center"/>
                </w:tcPr>
                <w:p w14:paraId="3D676378">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0.002L</w:t>
                  </w:r>
                </w:p>
              </w:tc>
              <w:tc>
                <w:tcPr>
                  <w:tcW w:w="1031" w:type="pct"/>
                  <w:tcBorders>
                    <w:tl2br w:val="nil"/>
                    <w:tr2bl w:val="nil"/>
                  </w:tcBorders>
                  <w:noWrap w:val="0"/>
                  <w:vAlign w:val="center"/>
                </w:tcPr>
                <w:p w14:paraId="67576510">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7AC290D6">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≤0.05</w:t>
                  </w:r>
                </w:p>
              </w:tc>
            </w:tr>
            <w:tr w14:paraId="34545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22AD9298">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8</w:t>
                  </w:r>
                </w:p>
              </w:tc>
              <w:tc>
                <w:tcPr>
                  <w:tcW w:w="1488" w:type="pct"/>
                  <w:tcBorders>
                    <w:tl2br w:val="nil"/>
                    <w:tr2bl w:val="nil"/>
                  </w:tcBorders>
                  <w:noWrap w:val="0"/>
                  <w:vAlign w:val="center"/>
                </w:tcPr>
                <w:p w14:paraId="16936500">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高锰酸盐指数</w:t>
                  </w:r>
                </w:p>
              </w:tc>
              <w:tc>
                <w:tcPr>
                  <w:tcW w:w="826" w:type="pct"/>
                  <w:tcBorders>
                    <w:tl2br w:val="nil"/>
                    <w:tr2bl w:val="nil"/>
                  </w:tcBorders>
                  <w:noWrap w:val="0"/>
                  <w:vAlign w:val="center"/>
                </w:tcPr>
                <w:p w14:paraId="2816767C">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1.04</w:t>
                  </w:r>
                </w:p>
              </w:tc>
              <w:tc>
                <w:tcPr>
                  <w:tcW w:w="1031" w:type="pct"/>
                  <w:tcBorders>
                    <w:tl2br w:val="nil"/>
                    <w:tr2bl w:val="nil"/>
                  </w:tcBorders>
                  <w:noWrap w:val="0"/>
                  <w:vAlign w:val="center"/>
                </w:tcPr>
                <w:p w14:paraId="40BCE3CE">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74F39CE7">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≤3.0</w:t>
                  </w:r>
                </w:p>
              </w:tc>
            </w:tr>
            <w:tr w14:paraId="1DCC0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1984648E">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9</w:t>
                  </w:r>
                </w:p>
              </w:tc>
              <w:tc>
                <w:tcPr>
                  <w:tcW w:w="1488" w:type="pct"/>
                  <w:tcBorders>
                    <w:tl2br w:val="nil"/>
                    <w:tr2bl w:val="nil"/>
                  </w:tcBorders>
                  <w:noWrap w:val="0"/>
                  <w:vAlign w:val="center"/>
                </w:tcPr>
                <w:p w14:paraId="0521EE36">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六价铬</w:t>
                  </w:r>
                </w:p>
              </w:tc>
              <w:tc>
                <w:tcPr>
                  <w:tcW w:w="826" w:type="pct"/>
                  <w:tcBorders>
                    <w:tl2br w:val="nil"/>
                    <w:tr2bl w:val="nil"/>
                  </w:tcBorders>
                  <w:noWrap w:val="0"/>
                  <w:vAlign w:val="center"/>
                </w:tcPr>
                <w:p w14:paraId="27A3F1CF">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0.004L</w:t>
                  </w:r>
                </w:p>
              </w:tc>
              <w:tc>
                <w:tcPr>
                  <w:tcW w:w="1031" w:type="pct"/>
                  <w:tcBorders>
                    <w:tl2br w:val="nil"/>
                    <w:tr2bl w:val="nil"/>
                  </w:tcBorders>
                  <w:noWrap w:val="0"/>
                  <w:vAlign w:val="center"/>
                </w:tcPr>
                <w:p w14:paraId="0DA5BEF9">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4C1A11CD">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≤0.05</w:t>
                  </w:r>
                </w:p>
              </w:tc>
            </w:tr>
            <w:tr w14:paraId="71334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002FF48F">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10</w:t>
                  </w:r>
                </w:p>
              </w:tc>
              <w:tc>
                <w:tcPr>
                  <w:tcW w:w="1488" w:type="pct"/>
                  <w:tcBorders>
                    <w:tl2br w:val="nil"/>
                    <w:tr2bl w:val="nil"/>
                  </w:tcBorders>
                  <w:noWrap w:val="0"/>
                  <w:vAlign w:val="center"/>
                </w:tcPr>
                <w:p w14:paraId="2C47633B">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氟化物</w:t>
                  </w:r>
                </w:p>
              </w:tc>
              <w:tc>
                <w:tcPr>
                  <w:tcW w:w="826" w:type="pct"/>
                  <w:tcBorders>
                    <w:tl2br w:val="nil"/>
                    <w:tr2bl w:val="nil"/>
                  </w:tcBorders>
                  <w:noWrap w:val="0"/>
                  <w:vAlign w:val="center"/>
                </w:tcPr>
                <w:p w14:paraId="17FB8FBC">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0.1L</w:t>
                  </w:r>
                </w:p>
              </w:tc>
              <w:tc>
                <w:tcPr>
                  <w:tcW w:w="1031" w:type="pct"/>
                  <w:tcBorders>
                    <w:tl2br w:val="nil"/>
                    <w:tr2bl w:val="nil"/>
                  </w:tcBorders>
                  <w:noWrap w:val="0"/>
                  <w:vAlign w:val="center"/>
                </w:tcPr>
                <w:p w14:paraId="13866401">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194A5C81">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≤1.0</w:t>
                  </w:r>
                </w:p>
              </w:tc>
            </w:tr>
            <w:tr w14:paraId="10EEC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4CA55A3F">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11</w:t>
                  </w:r>
                </w:p>
              </w:tc>
              <w:tc>
                <w:tcPr>
                  <w:tcW w:w="1488" w:type="pct"/>
                  <w:tcBorders>
                    <w:tl2br w:val="nil"/>
                    <w:tr2bl w:val="nil"/>
                  </w:tcBorders>
                  <w:noWrap w:val="0"/>
                  <w:vAlign w:val="center"/>
                </w:tcPr>
                <w:p w14:paraId="62E9F4B1">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氯化物</w:t>
                  </w:r>
                </w:p>
              </w:tc>
              <w:tc>
                <w:tcPr>
                  <w:tcW w:w="826" w:type="pct"/>
                  <w:tcBorders>
                    <w:tl2br w:val="nil"/>
                    <w:tr2bl w:val="nil"/>
                  </w:tcBorders>
                  <w:noWrap w:val="0"/>
                  <w:vAlign w:val="center"/>
                </w:tcPr>
                <w:p w14:paraId="632C5588">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1.02</w:t>
                  </w:r>
                </w:p>
              </w:tc>
              <w:tc>
                <w:tcPr>
                  <w:tcW w:w="1031" w:type="pct"/>
                  <w:tcBorders>
                    <w:tl2br w:val="nil"/>
                    <w:tr2bl w:val="nil"/>
                  </w:tcBorders>
                  <w:noWrap w:val="0"/>
                  <w:vAlign w:val="center"/>
                </w:tcPr>
                <w:p w14:paraId="1DEA5E23">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44B9022A">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≤250</w:t>
                  </w:r>
                </w:p>
              </w:tc>
            </w:tr>
            <w:tr w14:paraId="6F5C1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2511BC3D">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12</w:t>
                  </w:r>
                </w:p>
              </w:tc>
              <w:tc>
                <w:tcPr>
                  <w:tcW w:w="1488" w:type="pct"/>
                  <w:tcBorders>
                    <w:tl2br w:val="nil"/>
                    <w:tr2bl w:val="nil"/>
                  </w:tcBorders>
                  <w:noWrap w:val="0"/>
                  <w:vAlign w:val="center"/>
                </w:tcPr>
                <w:p w14:paraId="7D39DD46">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亚硝酸盐（以N计）</w:t>
                  </w:r>
                </w:p>
              </w:tc>
              <w:tc>
                <w:tcPr>
                  <w:tcW w:w="826" w:type="pct"/>
                  <w:tcBorders>
                    <w:tl2br w:val="nil"/>
                    <w:tr2bl w:val="nil"/>
                  </w:tcBorders>
                  <w:noWrap w:val="0"/>
                  <w:vAlign w:val="center"/>
                </w:tcPr>
                <w:p w14:paraId="0370D4FD">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0.001L</w:t>
                  </w:r>
                </w:p>
              </w:tc>
              <w:tc>
                <w:tcPr>
                  <w:tcW w:w="1031" w:type="pct"/>
                  <w:tcBorders>
                    <w:tl2br w:val="nil"/>
                    <w:tr2bl w:val="nil"/>
                  </w:tcBorders>
                  <w:noWrap w:val="0"/>
                  <w:vAlign w:val="center"/>
                </w:tcPr>
                <w:p w14:paraId="29258944">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0B3F9AEE">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≤1.0</w:t>
                  </w:r>
                </w:p>
              </w:tc>
            </w:tr>
            <w:tr w14:paraId="09B76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1B9C9F68">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13</w:t>
                  </w:r>
                </w:p>
              </w:tc>
              <w:tc>
                <w:tcPr>
                  <w:tcW w:w="1488" w:type="pct"/>
                  <w:tcBorders>
                    <w:tl2br w:val="nil"/>
                    <w:tr2bl w:val="nil"/>
                  </w:tcBorders>
                  <w:noWrap w:val="0"/>
                  <w:vAlign w:val="center"/>
                </w:tcPr>
                <w:p w14:paraId="151E7899">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硝酸盐（以N计）</w:t>
                  </w:r>
                </w:p>
              </w:tc>
              <w:tc>
                <w:tcPr>
                  <w:tcW w:w="826" w:type="pct"/>
                  <w:tcBorders>
                    <w:tl2br w:val="nil"/>
                    <w:tr2bl w:val="nil"/>
                  </w:tcBorders>
                  <w:noWrap w:val="0"/>
                  <w:vAlign w:val="center"/>
                </w:tcPr>
                <w:p w14:paraId="2A86634C">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1.53</w:t>
                  </w:r>
                </w:p>
              </w:tc>
              <w:tc>
                <w:tcPr>
                  <w:tcW w:w="1031" w:type="pct"/>
                  <w:tcBorders>
                    <w:tl2br w:val="nil"/>
                    <w:tr2bl w:val="nil"/>
                  </w:tcBorders>
                  <w:noWrap w:val="0"/>
                  <w:vAlign w:val="center"/>
                </w:tcPr>
                <w:p w14:paraId="23F4B49C">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0C6C960B">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≤20.0</w:t>
                  </w:r>
                </w:p>
              </w:tc>
            </w:tr>
            <w:tr w14:paraId="57896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5B1F188D">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14</w:t>
                  </w:r>
                </w:p>
              </w:tc>
              <w:tc>
                <w:tcPr>
                  <w:tcW w:w="1488" w:type="pct"/>
                  <w:tcBorders>
                    <w:tl2br w:val="nil"/>
                    <w:tr2bl w:val="nil"/>
                  </w:tcBorders>
                  <w:noWrap w:val="0"/>
                  <w:vAlign w:val="center"/>
                </w:tcPr>
                <w:p w14:paraId="0D763588">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硫酸盐</w:t>
                  </w:r>
                </w:p>
              </w:tc>
              <w:tc>
                <w:tcPr>
                  <w:tcW w:w="826" w:type="pct"/>
                  <w:tcBorders>
                    <w:tl2br w:val="nil"/>
                    <w:tr2bl w:val="nil"/>
                  </w:tcBorders>
                  <w:noWrap w:val="0"/>
                  <w:vAlign w:val="center"/>
                </w:tcPr>
                <w:p w14:paraId="23480E2D">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4.52</w:t>
                  </w:r>
                </w:p>
              </w:tc>
              <w:tc>
                <w:tcPr>
                  <w:tcW w:w="1031" w:type="pct"/>
                  <w:tcBorders>
                    <w:tl2br w:val="nil"/>
                    <w:tr2bl w:val="nil"/>
                  </w:tcBorders>
                  <w:noWrap w:val="0"/>
                  <w:vAlign w:val="center"/>
                </w:tcPr>
                <w:p w14:paraId="0BE2436E">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22407AFB">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≤250</w:t>
                  </w:r>
                </w:p>
              </w:tc>
            </w:tr>
            <w:tr w14:paraId="49356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17CD65F6">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15</w:t>
                  </w:r>
                </w:p>
              </w:tc>
              <w:tc>
                <w:tcPr>
                  <w:tcW w:w="1488" w:type="pct"/>
                  <w:tcBorders>
                    <w:tl2br w:val="nil"/>
                    <w:tr2bl w:val="nil"/>
                  </w:tcBorders>
                  <w:noWrap w:val="0"/>
                  <w:vAlign w:val="center"/>
                </w:tcPr>
                <w:p w14:paraId="5C459518">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铁</w:t>
                  </w:r>
                </w:p>
              </w:tc>
              <w:tc>
                <w:tcPr>
                  <w:tcW w:w="826" w:type="pct"/>
                  <w:tcBorders>
                    <w:tl2br w:val="nil"/>
                    <w:tr2bl w:val="nil"/>
                  </w:tcBorders>
                  <w:noWrap w:val="0"/>
                  <w:vAlign w:val="center"/>
                </w:tcPr>
                <w:p w14:paraId="6CEC1059">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0.03L</w:t>
                  </w:r>
                </w:p>
              </w:tc>
              <w:tc>
                <w:tcPr>
                  <w:tcW w:w="1031" w:type="pct"/>
                  <w:tcBorders>
                    <w:tl2br w:val="nil"/>
                    <w:tr2bl w:val="nil"/>
                  </w:tcBorders>
                  <w:noWrap w:val="0"/>
                  <w:vAlign w:val="center"/>
                </w:tcPr>
                <w:p w14:paraId="706453EE">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71467076">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≤0.3</w:t>
                  </w:r>
                </w:p>
              </w:tc>
            </w:tr>
            <w:tr w14:paraId="594E8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2C5E9842">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16</w:t>
                  </w:r>
                </w:p>
              </w:tc>
              <w:tc>
                <w:tcPr>
                  <w:tcW w:w="1488" w:type="pct"/>
                  <w:tcBorders>
                    <w:tl2br w:val="nil"/>
                    <w:tr2bl w:val="nil"/>
                  </w:tcBorders>
                  <w:noWrap w:val="0"/>
                  <w:vAlign w:val="center"/>
                </w:tcPr>
                <w:p w14:paraId="3C296DDB">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锰</w:t>
                  </w:r>
                </w:p>
              </w:tc>
              <w:tc>
                <w:tcPr>
                  <w:tcW w:w="826" w:type="pct"/>
                  <w:tcBorders>
                    <w:tl2br w:val="nil"/>
                    <w:tr2bl w:val="nil"/>
                  </w:tcBorders>
                  <w:noWrap w:val="0"/>
                  <w:vAlign w:val="center"/>
                </w:tcPr>
                <w:p w14:paraId="40E0B3F2">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color w:val="auto"/>
                      <w:kern w:val="2"/>
                      <w:sz w:val="21"/>
                      <w:szCs w:val="21"/>
                      <w:lang w:val="en-US" w:eastAsia="zh-CN" w:bidi="ar-SA"/>
                    </w:rPr>
                    <w:t>0.01L</w:t>
                  </w:r>
                </w:p>
              </w:tc>
              <w:tc>
                <w:tcPr>
                  <w:tcW w:w="1031" w:type="pct"/>
                  <w:tcBorders>
                    <w:tl2br w:val="nil"/>
                    <w:tr2bl w:val="nil"/>
                  </w:tcBorders>
                  <w:noWrap w:val="0"/>
                  <w:vAlign w:val="center"/>
                </w:tcPr>
                <w:p w14:paraId="2FF51C56">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0A1B5723">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≤0.10</w:t>
                  </w:r>
                </w:p>
              </w:tc>
            </w:tr>
            <w:tr w14:paraId="730BA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6C092189">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17</w:t>
                  </w:r>
                </w:p>
              </w:tc>
              <w:tc>
                <w:tcPr>
                  <w:tcW w:w="1488" w:type="pct"/>
                  <w:tcBorders>
                    <w:tl2br w:val="nil"/>
                    <w:tr2bl w:val="nil"/>
                  </w:tcBorders>
                  <w:noWrap w:val="0"/>
                  <w:vAlign w:val="center"/>
                </w:tcPr>
                <w:p w14:paraId="18288A2C">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铅</w:t>
                  </w:r>
                </w:p>
              </w:tc>
              <w:tc>
                <w:tcPr>
                  <w:tcW w:w="826" w:type="pct"/>
                  <w:tcBorders>
                    <w:tl2br w:val="nil"/>
                    <w:tr2bl w:val="nil"/>
                  </w:tcBorders>
                  <w:noWrap w:val="0"/>
                  <w:vAlign w:val="center"/>
                </w:tcPr>
                <w:p w14:paraId="0181A199">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0.001L</w:t>
                  </w:r>
                </w:p>
              </w:tc>
              <w:tc>
                <w:tcPr>
                  <w:tcW w:w="1031" w:type="pct"/>
                  <w:tcBorders>
                    <w:tl2br w:val="nil"/>
                    <w:tr2bl w:val="nil"/>
                  </w:tcBorders>
                  <w:noWrap w:val="0"/>
                  <w:vAlign w:val="center"/>
                </w:tcPr>
                <w:p w14:paraId="11331A37">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44DE6A35">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≤0.01</w:t>
                  </w:r>
                </w:p>
              </w:tc>
            </w:tr>
            <w:tr w14:paraId="5CBC2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17B8A3DF">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18</w:t>
                  </w:r>
                </w:p>
              </w:tc>
              <w:tc>
                <w:tcPr>
                  <w:tcW w:w="1488" w:type="pct"/>
                  <w:tcBorders>
                    <w:tl2br w:val="nil"/>
                    <w:tr2bl w:val="nil"/>
                  </w:tcBorders>
                  <w:noWrap w:val="0"/>
                  <w:vAlign w:val="center"/>
                </w:tcPr>
                <w:p w14:paraId="38DAB049">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镉</w:t>
                  </w:r>
                </w:p>
              </w:tc>
              <w:tc>
                <w:tcPr>
                  <w:tcW w:w="826" w:type="pct"/>
                  <w:tcBorders>
                    <w:tl2br w:val="nil"/>
                    <w:tr2bl w:val="nil"/>
                  </w:tcBorders>
                  <w:noWrap w:val="0"/>
                  <w:vAlign w:val="center"/>
                </w:tcPr>
                <w:p w14:paraId="56A59CBF">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0.0001</w:t>
                  </w:r>
                </w:p>
              </w:tc>
              <w:tc>
                <w:tcPr>
                  <w:tcW w:w="1031" w:type="pct"/>
                  <w:tcBorders>
                    <w:tl2br w:val="nil"/>
                    <w:tr2bl w:val="nil"/>
                  </w:tcBorders>
                  <w:noWrap w:val="0"/>
                  <w:vAlign w:val="center"/>
                </w:tcPr>
                <w:p w14:paraId="6CBEB34A">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24DAC5D6">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≤0.005</w:t>
                  </w:r>
                </w:p>
              </w:tc>
            </w:tr>
            <w:tr w14:paraId="196A1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35FFD9B9">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19</w:t>
                  </w:r>
                </w:p>
              </w:tc>
              <w:tc>
                <w:tcPr>
                  <w:tcW w:w="1488" w:type="pct"/>
                  <w:tcBorders>
                    <w:tl2br w:val="nil"/>
                    <w:tr2bl w:val="nil"/>
                  </w:tcBorders>
                  <w:noWrap w:val="0"/>
                  <w:vAlign w:val="center"/>
                </w:tcPr>
                <w:p w14:paraId="1B165896">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sz w:val="21"/>
                      <w:szCs w:val="21"/>
                      <w:lang w:val="en-US" w:eastAsia="zh-CN"/>
                    </w:rPr>
                    <w:t>砷</w:t>
                  </w:r>
                </w:p>
              </w:tc>
              <w:tc>
                <w:tcPr>
                  <w:tcW w:w="826" w:type="pct"/>
                  <w:tcBorders>
                    <w:tl2br w:val="nil"/>
                    <w:tr2bl w:val="nil"/>
                  </w:tcBorders>
                  <w:noWrap w:val="0"/>
                  <w:vAlign w:val="center"/>
                </w:tcPr>
                <w:p w14:paraId="145AE00D">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0.0004</w:t>
                  </w:r>
                </w:p>
              </w:tc>
              <w:tc>
                <w:tcPr>
                  <w:tcW w:w="1031" w:type="pct"/>
                  <w:tcBorders>
                    <w:tl2br w:val="nil"/>
                    <w:tr2bl w:val="nil"/>
                  </w:tcBorders>
                  <w:noWrap w:val="0"/>
                  <w:vAlign w:val="center"/>
                </w:tcPr>
                <w:p w14:paraId="1D6215CF">
                  <w:pPr>
                    <w:pStyle w:val="79"/>
                    <w:wordWrap/>
                    <w:topLinePunct w:val="0"/>
                    <w:adjustRightInd w:val="0"/>
                    <w:snapToGrid w:val="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达标</w:t>
                  </w:r>
                </w:p>
              </w:tc>
              <w:tc>
                <w:tcPr>
                  <w:tcW w:w="1033" w:type="pct"/>
                  <w:tcBorders>
                    <w:tl2br w:val="nil"/>
                    <w:tr2bl w:val="nil"/>
                  </w:tcBorders>
                  <w:noWrap w:val="0"/>
                  <w:vAlign w:val="center"/>
                </w:tcPr>
                <w:p w14:paraId="2D1C7F56">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≤0.01</w:t>
                  </w:r>
                </w:p>
              </w:tc>
            </w:tr>
            <w:tr w14:paraId="1092C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620" w:type="pct"/>
                  <w:tcBorders>
                    <w:tl2br w:val="nil"/>
                    <w:tr2bl w:val="nil"/>
                  </w:tcBorders>
                  <w:noWrap/>
                  <w:vAlign w:val="center"/>
                </w:tcPr>
                <w:p w14:paraId="746E942D">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20</w:t>
                  </w:r>
                </w:p>
              </w:tc>
              <w:tc>
                <w:tcPr>
                  <w:tcW w:w="1488" w:type="pct"/>
                  <w:tcBorders>
                    <w:tl2br w:val="nil"/>
                    <w:tr2bl w:val="nil"/>
                  </w:tcBorders>
                  <w:noWrap w:val="0"/>
                  <w:vAlign w:val="center"/>
                </w:tcPr>
                <w:p w14:paraId="65DD27A3">
                  <w:pPr>
                    <w:pStyle w:val="79"/>
                    <w:keepNext w:val="0"/>
                    <w:keepLines w:val="0"/>
                    <w:pageBreakBefore w:val="0"/>
                    <w:widowControl w:val="0"/>
                    <w:kinsoku/>
                    <w:wordWrap/>
                    <w:overflowPunct/>
                    <w:topLinePunct w:val="0"/>
                    <w:autoSpaceDE/>
                    <w:autoSpaceDN/>
                    <w:bidi w:val="0"/>
                    <w:adjustRightInd w:val="0"/>
                    <w:snapToGrid w:val="0"/>
                    <w:ind w:left="0" w:leftChars="0" w:right="0" w:rightChars="0"/>
                    <w:jc w:val="center"/>
                    <w:textAlignment w:val="auto"/>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汞</w:t>
                  </w:r>
                </w:p>
              </w:tc>
              <w:tc>
                <w:tcPr>
                  <w:tcW w:w="826" w:type="pct"/>
                  <w:tcBorders>
                    <w:tl2br w:val="nil"/>
                    <w:tr2bl w:val="nil"/>
                  </w:tcBorders>
                  <w:noWrap w:val="0"/>
                  <w:vAlign w:val="center"/>
                </w:tcPr>
                <w:p w14:paraId="6A959493">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color w:val="auto"/>
                      <w:kern w:val="2"/>
                      <w:sz w:val="21"/>
                      <w:szCs w:val="21"/>
                      <w:lang w:val="en-US" w:eastAsia="zh-CN" w:bidi="ar-SA"/>
                    </w:rPr>
                    <w:t>0.00004L</w:t>
                  </w:r>
                </w:p>
              </w:tc>
              <w:tc>
                <w:tcPr>
                  <w:tcW w:w="1031" w:type="pct"/>
                  <w:tcBorders>
                    <w:tl2br w:val="nil"/>
                    <w:tr2bl w:val="nil"/>
                  </w:tcBorders>
                  <w:noWrap w:val="0"/>
                  <w:vAlign w:val="center"/>
                </w:tcPr>
                <w:p w14:paraId="44074D0C">
                  <w:pPr>
                    <w:pStyle w:val="79"/>
                    <w:wordWrap/>
                    <w:topLinePunct w:val="0"/>
                    <w:adjustRightInd w:val="0"/>
                    <w:snapToGrid w:val="0"/>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达标</w:t>
                  </w:r>
                </w:p>
              </w:tc>
              <w:tc>
                <w:tcPr>
                  <w:tcW w:w="1033" w:type="pct"/>
                  <w:tcBorders>
                    <w:tl2br w:val="nil"/>
                    <w:tr2bl w:val="nil"/>
                  </w:tcBorders>
                  <w:noWrap w:val="0"/>
                  <w:vAlign w:val="center"/>
                </w:tcPr>
                <w:p w14:paraId="727292F1">
                  <w:pPr>
                    <w:pStyle w:val="79"/>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b w:val="0"/>
                      <w:bCs w:val="0"/>
                      <w:i w:val="0"/>
                      <w:color w:val="auto"/>
                      <w:kern w:val="2"/>
                      <w:sz w:val="21"/>
                      <w:szCs w:val="21"/>
                      <w:u w:val="none"/>
                      <w:lang w:val="en-US" w:eastAsia="zh-CN" w:bidi="ar"/>
                    </w:rPr>
                    <w:t>≤0.001</w:t>
                  </w:r>
                </w:p>
              </w:tc>
            </w:tr>
          </w:tbl>
          <w:p w14:paraId="0D992AE3">
            <w:pPr>
              <w:pStyle w:val="21"/>
              <w:rPr>
                <w:rFonts w:hint="eastAsia" w:eastAsia="宋体"/>
                <w:lang w:val="en-US" w:eastAsia="zh-CN"/>
              </w:rPr>
            </w:pPr>
            <w:r>
              <w:rPr>
                <w:rFonts w:ascii="Times New Roman" w:hAnsi="Times New Roman" w:cs="Times New Roman"/>
                <w:color w:val="auto"/>
                <w:u w:val="none" w:color="auto"/>
              </w:rPr>
              <w:t>由以</w:t>
            </w:r>
            <w:r>
              <w:rPr>
                <w:rFonts w:hint="eastAsia" w:ascii="Times New Roman" w:hAnsi="Times New Roman" w:cs="Times New Roman"/>
                <w:color w:val="auto"/>
                <w:u w:val="none" w:color="auto"/>
                <w:lang w:val="en-US" w:eastAsia="zh-CN"/>
              </w:rPr>
              <w:t>上</w:t>
            </w:r>
            <w:r>
              <w:rPr>
                <w:rFonts w:ascii="Times New Roman" w:hAnsi="Times New Roman" w:cs="Times New Roman"/>
                <w:color w:val="auto"/>
                <w:u w:val="none" w:color="auto"/>
              </w:rPr>
              <w:t>监测数据可知：地下水各监测因子监测值均低于《地下水质量标准》（GB14848-2017）Ⅲ类标准限值，地下水</w:t>
            </w:r>
            <w:r>
              <w:rPr>
                <w:rFonts w:hint="eastAsia" w:ascii="Times New Roman" w:hAnsi="Times New Roman" w:cs="Times New Roman"/>
                <w:color w:val="auto"/>
                <w:u w:val="none" w:color="auto"/>
                <w:lang w:val="en-US" w:eastAsia="zh-CN"/>
              </w:rPr>
              <w:t>环境</w:t>
            </w:r>
            <w:r>
              <w:rPr>
                <w:rFonts w:ascii="Times New Roman" w:hAnsi="Times New Roman" w:cs="Times New Roman"/>
                <w:color w:val="auto"/>
                <w:u w:val="none" w:color="auto"/>
              </w:rPr>
              <w:t>质量较好</w:t>
            </w:r>
            <w:r>
              <w:rPr>
                <w:rFonts w:hint="eastAsia" w:ascii="Times New Roman" w:hAnsi="Times New Roman" w:cs="Times New Roman"/>
                <w:color w:val="auto"/>
                <w:u w:val="none" w:color="auto"/>
                <w:lang w:eastAsia="zh-CN"/>
              </w:rPr>
              <w:t>。</w:t>
            </w:r>
          </w:p>
          <w:p w14:paraId="63DB6698">
            <w:pPr>
              <w:pStyle w:val="4"/>
              <w:bidi w:val="0"/>
              <w:rPr>
                <w:rFonts w:hint="eastAsia"/>
              </w:rPr>
            </w:pPr>
            <w:r>
              <w:rPr>
                <w:rFonts w:hint="eastAsia"/>
                <w:lang w:val="en-US" w:eastAsia="zh-CN"/>
              </w:rPr>
              <w:t>3.7</w:t>
            </w:r>
            <w:r>
              <w:rPr>
                <w:rFonts w:hint="eastAsia"/>
              </w:rPr>
              <w:t>电磁辐射</w:t>
            </w:r>
          </w:p>
          <w:p w14:paraId="02CE9997">
            <w:pPr>
              <w:bidi w:val="0"/>
              <w:rPr>
                <w:rFonts w:hint="eastAsia"/>
              </w:rPr>
            </w:pPr>
            <w:r>
              <w:rPr>
                <w:rFonts w:hint="eastAsia"/>
              </w:rPr>
              <w:t>本项目不涉及电磁辐射设备，不进行电磁辐射影响评价，因此无需进行电磁辐射环境现状调查。</w:t>
            </w:r>
          </w:p>
          <w:p w14:paraId="52FD3971"/>
        </w:tc>
      </w:tr>
      <w:tr w14:paraId="7C46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3" w:hRule="atLeast"/>
          <w:jc w:val="center"/>
        </w:trPr>
        <w:tc>
          <w:tcPr>
            <w:tcW w:w="1287" w:type="dxa"/>
            <w:vAlign w:val="center"/>
          </w:tcPr>
          <w:p w14:paraId="64E5E2EA">
            <w:pPr>
              <w:ind w:firstLine="0" w:firstLineChars="0"/>
              <w:jc w:val="center"/>
            </w:pPr>
            <w:r>
              <w:rPr>
                <w:rFonts w:hint="eastAsia"/>
              </w:rPr>
              <w:t>环境保护目标</w:t>
            </w:r>
          </w:p>
        </w:tc>
        <w:tc>
          <w:tcPr>
            <w:tcW w:w="8606" w:type="dxa"/>
          </w:tcPr>
          <w:p w14:paraId="3799C3ED">
            <w:pPr>
              <w:pStyle w:val="21"/>
              <w:rPr>
                <w:rFonts w:hint="default" w:ascii="Times New Roman" w:hAnsi="Times New Roman" w:eastAsia="宋体" w:cs="Times New Roman"/>
                <w:color w:val="auto"/>
                <w:u w:val="none" w:color="auto"/>
              </w:rPr>
            </w:pPr>
            <w:bookmarkStart w:id="58" w:name="_Toc83310854"/>
            <w:bookmarkStart w:id="59" w:name="_Toc5982"/>
            <w:bookmarkStart w:id="60" w:name="_Toc87004904"/>
            <w:bookmarkStart w:id="61" w:name="_Toc478"/>
            <w:bookmarkStart w:id="62" w:name="_Toc83395051"/>
            <w:bookmarkStart w:id="63" w:name="_Toc4997"/>
            <w:bookmarkStart w:id="64" w:name="_Toc86999243"/>
            <w:bookmarkStart w:id="65" w:name="_Toc87004826"/>
            <w:r>
              <w:rPr>
                <w:rFonts w:hint="default" w:ascii="Times New Roman" w:hAnsi="Times New Roman" w:eastAsia="宋体" w:cs="Times New Roman"/>
                <w:color w:val="auto"/>
                <w:u w:val="none" w:color="auto"/>
              </w:rPr>
              <w:t>依据现场勘查情况，</w:t>
            </w:r>
            <w:r>
              <w:rPr>
                <w:rFonts w:hint="default" w:ascii="Times New Roman" w:hAnsi="Times New Roman" w:eastAsia="宋体" w:cs="Times New Roman"/>
                <w:color w:val="auto"/>
                <w:u w:val="none" w:color="auto"/>
                <w:lang w:val="en-US" w:eastAsia="zh-CN"/>
              </w:rPr>
              <w:t>项目拟建地位于</w:t>
            </w:r>
            <w:r>
              <w:rPr>
                <w:rFonts w:hint="eastAsia" w:ascii="Times New Roman" w:hAnsi="Times New Roman" w:eastAsia="宋体" w:cs="Times New Roman"/>
                <w:color w:val="auto"/>
                <w:u w:val="none" w:color="auto"/>
                <w:lang w:val="en-US" w:eastAsia="zh-CN"/>
              </w:rPr>
              <w:t>洪江市</w:t>
            </w:r>
            <w:r>
              <w:rPr>
                <w:rFonts w:hint="eastAsia" w:ascii="Times New Roman" w:hAnsi="Times New Roman" w:cs="Times New Roman"/>
                <w:color w:val="auto"/>
                <w:u w:val="none" w:color="auto"/>
                <w:lang w:val="en-US" w:eastAsia="zh-CN"/>
              </w:rPr>
              <w:t>安江镇</w:t>
            </w:r>
            <w:r>
              <w:rPr>
                <w:rFonts w:hint="eastAsia" w:ascii="Times New Roman" w:hAnsi="Times New Roman" w:eastAsia="宋体" w:cs="Times New Roman"/>
                <w:color w:val="auto"/>
                <w:u w:val="none" w:color="auto"/>
                <w:lang w:val="en-US" w:eastAsia="zh-CN"/>
              </w:rPr>
              <w:t>龙田村海龙形</w:t>
            </w:r>
            <w:r>
              <w:rPr>
                <w:rFonts w:hint="default" w:ascii="Times New Roman" w:hAnsi="Times New Roman" w:eastAsia="宋体" w:cs="Times New Roman"/>
                <w:color w:val="auto"/>
                <w:u w:val="none" w:color="auto"/>
                <w:lang w:val="en-US" w:eastAsia="zh-CN"/>
              </w:rPr>
              <w:t>，</w:t>
            </w:r>
            <w:r>
              <w:rPr>
                <w:rFonts w:hint="default" w:ascii="Times New Roman" w:hAnsi="Times New Roman" w:eastAsia="宋体" w:cs="Times New Roman"/>
                <w:color w:val="auto"/>
                <w:u w:val="none" w:color="auto"/>
              </w:rPr>
              <w:t>结合项目排污特点、区域环境情况，本项目主要环境保护目标</w:t>
            </w:r>
            <w:r>
              <w:rPr>
                <w:rFonts w:hint="default" w:ascii="Times New Roman" w:hAnsi="Times New Roman" w:eastAsia="宋体" w:cs="Times New Roman"/>
                <w:color w:val="auto"/>
                <w:u w:val="none" w:color="auto"/>
                <w:lang w:val="en-US" w:eastAsia="zh-CN"/>
              </w:rPr>
              <w:t>分别</w:t>
            </w:r>
            <w:r>
              <w:rPr>
                <w:rFonts w:hint="default" w:ascii="Times New Roman" w:hAnsi="Times New Roman" w:eastAsia="宋体" w:cs="Times New Roman"/>
                <w:color w:val="auto"/>
                <w:u w:val="none" w:color="auto"/>
              </w:rPr>
              <w:t>如下：</w:t>
            </w:r>
          </w:p>
          <w:p w14:paraId="60027653">
            <w:pPr>
              <w:pStyle w:val="4"/>
              <w:bidi w:val="0"/>
              <w:rPr>
                <w:rFonts w:hint="default"/>
                <w:u w:val="single"/>
              </w:rPr>
            </w:pPr>
            <w:r>
              <w:rPr>
                <w:rFonts w:hint="eastAsia"/>
                <w:u w:val="single"/>
                <w:lang w:val="en-US" w:eastAsia="zh-CN"/>
              </w:rPr>
              <w:t>3.8</w:t>
            </w:r>
            <w:r>
              <w:rPr>
                <w:rFonts w:hint="default"/>
                <w:u w:val="single"/>
              </w:rPr>
              <w:t>大气环境保护目标</w:t>
            </w:r>
          </w:p>
          <w:p w14:paraId="7220D657">
            <w:pPr>
              <w:bidi w:val="0"/>
              <w:rPr>
                <w:rFonts w:hint="default"/>
                <w:u w:val="single"/>
                <w:lang w:val="en-US" w:eastAsia="zh-CN"/>
              </w:rPr>
            </w:pPr>
            <w:r>
              <w:rPr>
                <w:rFonts w:hint="default"/>
                <w:u w:val="single"/>
              </w:rPr>
              <w:t>通过现场调查，本项目</w:t>
            </w:r>
            <w:r>
              <w:rPr>
                <w:rFonts w:hint="eastAsia"/>
                <w:u w:val="single"/>
                <w:lang w:val="en-US" w:eastAsia="zh-CN"/>
              </w:rPr>
              <w:t>建筑垃圾堆填场</w:t>
            </w:r>
            <w:r>
              <w:rPr>
                <w:rFonts w:hint="default"/>
                <w:u w:val="single"/>
              </w:rPr>
              <w:t>选址</w:t>
            </w:r>
            <w:r>
              <w:rPr>
                <w:rFonts w:hint="eastAsia"/>
                <w:u w:val="single"/>
                <w:lang w:val="en-US" w:eastAsia="zh-CN"/>
              </w:rPr>
              <w:t>位于洪江市安江镇龙田村海龙形</w:t>
            </w:r>
            <w:r>
              <w:rPr>
                <w:rFonts w:hint="default"/>
                <w:u w:val="single"/>
              </w:rPr>
              <w:t>，位于G</w:t>
            </w:r>
            <w:r>
              <w:rPr>
                <w:rFonts w:hint="eastAsia"/>
                <w:u w:val="single"/>
                <w:lang w:val="en-US" w:eastAsia="zh-CN"/>
              </w:rPr>
              <w:t>320</w:t>
            </w:r>
            <w:r>
              <w:rPr>
                <w:rFonts w:hint="default"/>
                <w:u w:val="single"/>
              </w:rPr>
              <w:t>国道</w:t>
            </w:r>
            <w:r>
              <w:rPr>
                <w:rFonts w:hint="eastAsia"/>
                <w:u w:val="single"/>
                <w:lang w:val="en-US" w:eastAsia="zh-CN"/>
              </w:rPr>
              <w:t>西</w:t>
            </w:r>
            <w:r>
              <w:rPr>
                <w:rFonts w:hint="default"/>
                <w:u w:val="single"/>
              </w:rPr>
              <w:t>侧，</w:t>
            </w:r>
            <w:r>
              <w:rPr>
                <w:rFonts w:hint="default"/>
                <w:u w:val="single"/>
                <w:lang w:val="en-US" w:eastAsia="zh-CN"/>
              </w:rPr>
              <w:t>500m范围内存在</w:t>
            </w:r>
            <w:r>
              <w:rPr>
                <w:rFonts w:hint="eastAsia"/>
                <w:u w:val="single"/>
                <w:lang w:val="en-US" w:eastAsia="zh-CN"/>
              </w:rPr>
              <w:t>2</w:t>
            </w:r>
            <w:r>
              <w:rPr>
                <w:rFonts w:hint="default"/>
                <w:u w:val="single"/>
                <w:lang w:val="en-US" w:eastAsia="zh-CN"/>
              </w:rPr>
              <w:t>处环境空气敏感点</w:t>
            </w:r>
            <w:r>
              <w:rPr>
                <w:rFonts w:hint="eastAsia"/>
                <w:u w:val="single"/>
                <w:lang w:val="en-US" w:eastAsia="zh-CN"/>
              </w:rPr>
              <w:t>，G320至堆填场堆填区厂内进场道路沿线无居民点分布。</w:t>
            </w:r>
          </w:p>
          <w:p w14:paraId="1CE3989B">
            <w:pPr>
              <w:pStyle w:val="44"/>
              <w:bidi w:val="0"/>
              <w:rPr>
                <w:rFonts w:hint="default"/>
                <w:u w:val="single"/>
              </w:rPr>
            </w:pPr>
            <w:r>
              <w:rPr>
                <w:rFonts w:hint="default"/>
                <w:u w:val="single"/>
              </w:rPr>
              <w:t>表</w:t>
            </w:r>
            <w:r>
              <w:rPr>
                <w:rFonts w:hint="eastAsia"/>
                <w:u w:val="single"/>
                <w:lang w:val="en-US" w:eastAsia="zh-CN"/>
              </w:rPr>
              <w:t>3.8-1：</w:t>
            </w:r>
            <w:r>
              <w:rPr>
                <w:rFonts w:hint="default"/>
                <w:u w:val="single"/>
              </w:rPr>
              <w:t>项目大气环境保护目标一览表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774"/>
              <w:gridCol w:w="1232"/>
              <w:gridCol w:w="981"/>
              <w:gridCol w:w="1211"/>
              <w:gridCol w:w="826"/>
              <w:gridCol w:w="809"/>
              <w:gridCol w:w="1197"/>
              <w:gridCol w:w="1540"/>
            </w:tblGrid>
            <w:tr w14:paraId="3A0FFE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0" w:type="auto"/>
                  <w:vMerge w:val="restart"/>
                  <w:noWrap w:val="0"/>
                  <w:vAlign w:val="center"/>
                </w:tcPr>
                <w:p w14:paraId="72A9EFEB">
                  <w:pPr>
                    <w:pStyle w:val="115"/>
                    <w:bidi w:val="0"/>
                    <w:rPr>
                      <w:rFonts w:hint="default"/>
                      <w:b/>
                      <w:bCs/>
                      <w:u w:val="single"/>
                    </w:rPr>
                  </w:pPr>
                  <w:r>
                    <w:rPr>
                      <w:rFonts w:hint="default"/>
                      <w:b/>
                      <w:bCs/>
                      <w:u w:val="single"/>
                    </w:rPr>
                    <w:t>环境要素</w:t>
                  </w:r>
                </w:p>
              </w:tc>
              <w:tc>
                <w:tcPr>
                  <w:tcW w:w="0" w:type="auto"/>
                  <w:vMerge w:val="restart"/>
                  <w:noWrap w:val="0"/>
                  <w:vAlign w:val="center"/>
                </w:tcPr>
                <w:p w14:paraId="1173ED2A">
                  <w:pPr>
                    <w:pStyle w:val="115"/>
                    <w:bidi w:val="0"/>
                    <w:rPr>
                      <w:rFonts w:hint="default"/>
                      <w:b/>
                      <w:bCs/>
                      <w:u w:val="single"/>
                    </w:rPr>
                  </w:pPr>
                  <w:r>
                    <w:rPr>
                      <w:rFonts w:hint="default"/>
                      <w:b/>
                      <w:bCs/>
                      <w:u w:val="single"/>
                    </w:rPr>
                    <w:t>环境保护目标</w:t>
                  </w:r>
                </w:p>
              </w:tc>
              <w:tc>
                <w:tcPr>
                  <w:tcW w:w="2192" w:type="dxa"/>
                  <w:gridSpan w:val="2"/>
                  <w:tcBorders>
                    <w:right w:val="single" w:color="auto" w:sz="4" w:space="0"/>
                  </w:tcBorders>
                  <w:noWrap w:val="0"/>
                  <w:vAlign w:val="center"/>
                </w:tcPr>
                <w:p w14:paraId="4C2F28EF">
                  <w:pPr>
                    <w:pStyle w:val="115"/>
                    <w:bidi w:val="0"/>
                    <w:rPr>
                      <w:rFonts w:hint="default"/>
                      <w:b/>
                      <w:bCs/>
                      <w:u w:val="single"/>
                    </w:rPr>
                  </w:pPr>
                  <w:r>
                    <w:rPr>
                      <w:rFonts w:hint="default"/>
                      <w:b/>
                      <w:bCs/>
                      <w:u w:val="single"/>
                    </w:rPr>
                    <w:t>与本项目的相对位置关系</w:t>
                  </w:r>
                </w:p>
              </w:tc>
              <w:tc>
                <w:tcPr>
                  <w:tcW w:w="826" w:type="dxa"/>
                  <w:vMerge w:val="restart"/>
                  <w:noWrap w:val="0"/>
                  <w:vAlign w:val="center"/>
                </w:tcPr>
                <w:p w14:paraId="6C8C66EE">
                  <w:pPr>
                    <w:pStyle w:val="115"/>
                    <w:bidi w:val="0"/>
                    <w:rPr>
                      <w:rFonts w:hint="default"/>
                      <w:b/>
                      <w:bCs/>
                      <w:u w:val="single"/>
                    </w:rPr>
                  </w:pPr>
                  <w:r>
                    <w:rPr>
                      <w:rFonts w:hint="default"/>
                      <w:b/>
                      <w:bCs/>
                      <w:u w:val="single"/>
                    </w:rPr>
                    <w:t>有无山体阻隔</w:t>
                  </w:r>
                </w:p>
              </w:tc>
              <w:tc>
                <w:tcPr>
                  <w:tcW w:w="809" w:type="dxa"/>
                  <w:vMerge w:val="restart"/>
                  <w:noWrap w:val="0"/>
                  <w:vAlign w:val="center"/>
                </w:tcPr>
                <w:p w14:paraId="3CF90BCC">
                  <w:pPr>
                    <w:pStyle w:val="115"/>
                    <w:bidi w:val="0"/>
                    <w:rPr>
                      <w:rFonts w:hint="default"/>
                      <w:b/>
                      <w:bCs/>
                      <w:u w:val="single"/>
                    </w:rPr>
                  </w:pPr>
                  <w:r>
                    <w:rPr>
                      <w:rFonts w:hint="default"/>
                      <w:b/>
                      <w:bCs/>
                      <w:u w:val="single"/>
                    </w:rPr>
                    <w:t>功能</w:t>
                  </w:r>
                </w:p>
              </w:tc>
              <w:tc>
                <w:tcPr>
                  <w:tcW w:w="1197" w:type="dxa"/>
                  <w:vMerge w:val="restart"/>
                  <w:noWrap w:val="0"/>
                  <w:vAlign w:val="center"/>
                </w:tcPr>
                <w:p w14:paraId="38F4E1EE">
                  <w:pPr>
                    <w:pStyle w:val="115"/>
                    <w:bidi w:val="0"/>
                    <w:rPr>
                      <w:rFonts w:hint="default"/>
                      <w:b/>
                      <w:bCs/>
                      <w:u w:val="single"/>
                    </w:rPr>
                  </w:pPr>
                  <w:r>
                    <w:rPr>
                      <w:rFonts w:hint="default"/>
                      <w:b/>
                      <w:bCs/>
                      <w:u w:val="single"/>
                    </w:rPr>
                    <w:t>规模</w:t>
                  </w:r>
                </w:p>
              </w:tc>
              <w:tc>
                <w:tcPr>
                  <w:tcW w:w="1540" w:type="dxa"/>
                  <w:vMerge w:val="restart"/>
                  <w:noWrap w:val="0"/>
                  <w:vAlign w:val="center"/>
                </w:tcPr>
                <w:p w14:paraId="3E987B4C">
                  <w:pPr>
                    <w:pStyle w:val="115"/>
                    <w:bidi w:val="0"/>
                    <w:rPr>
                      <w:rFonts w:hint="default"/>
                      <w:b/>
                      <w:bCs/>
                      <w:u w:val="single"/>
                    </w:rPr>
                  </w:pPr>
                  <w:r>
                    <w:rPr>
                      <w:rFonts w:hint="default"/>
                      <w:b/>
                      <w:bCs/>
                      <w:u w:val="single"/>
                    </w:rPr>
                    <w:t>保护内容</w:t>
                  </w:r>
                </w:p>
              </w:tc>
            </w:tr>
            <w:tr w14:paraId="0E79F3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0" w:type="auto"/>
                  <w:vMerge w:val="continue"/>
                  <w:noWrap w:val="0"/>
                  <w:vAlign w:val="center"/>
                </w:tcPr>
                <w:p w14:paraId="331BC4AA">
                  <w:pPr>
                    <w:pStyle w:val="115"/>
                    <w:bidi w:val="0"/>
                    <w:rPr>
                      <w:rFonts w:hint="default"/>
                      <w:b/>
                      <w:bCs/>
                      <w:u w:val="single"/>
                    </w:rPr>
                  </w:pPr>
                </w:p>
              </w:tc>
              <w:tc>
                <w:tcPr>
                  <w:tcW w:w="0" w:type="auto"/>
                  <w:vMerge w:val="continue"/>
                  <w:noWrap w:val="0"/>
                  <w:vAlign w:val="center"/>
                </w:tcPr>
                <w:p w14:paraId="560CAB26">
                  <w:pPr>
                    <w:pStyle w:val="115"/>
                    <w:bidi w:val="0"/>
                    <w:rPr>
                      <w:rFonts w:hint="default"/>
                      <w:b/>
                      <w:bCs/>
                      <w:u w:val="single"/>
                    </w:rPr>
                  </w:pPr>
                </w:p>
              </w:tc>
              <w:tc>
                <w:tcPr>
                  <w:tcW w:w="981" w:type="dxa"/>
                  <w:noWrap w:val="0"/>
                  <w:vAlign w:val="center"/>
                </w:tcPr>
                <w:p w14:paraId="44340772">
                  <w:pPr>
                    <w:pStyle w:val="115"/>
                    <w:bidi w:val="0"/>
                    <w:rPr>
                      <w:rFonts w:hint="default"/>
                      <w:b/>
                      <w:bCs/>
                      <w:u w:val="single"/>
                    </w:rPr>
                  </w:pPr>
                  <w:r>
                    <w:rPr>
                      <w:rFonts w:hint="default"/>
                      <w:b/>
                      <w:bCs/>
                      <w:u w:val="single"/>
                    </w:rPr>
                    <w:t>方位</w:t>
                  </w:r>
                </w:p>
              </w:tc>
              <w:tc>
                <w:tcPr>
                  <w:tcW w:w="1211" w:type="dxa"/>
                  <w:tcBorders>
                    <w:right w:val="single" w:color="auto" w:sz="4" w:space="0"/>
                  </w:tcBorders>
                  <w:noWrap w:val="0"/>
                  <w:vAlign w:val="center"/>
                </w:tcPr>
                <w:p w14:paraId="4E24132F">
                  <w:pPr>
                    <w:pStyle w:val="115"/>
                    <w:bidi w:val="0"/>
                    <w:rPr>
                      <w:rFonts w:hint="default"/>
                      <w:b/>
                      <w:bCs/>
                      <w:u w:val="single"/>
                      <w:lang w:eastAsia="zh-CN"/>
                    </w:rPr>
                  </w:pPr>
                  <w:r>
                    <w:rPr>
                      <w:rFonts w:hint="default"/>
                      <w:b/>
                      <w:bCs/>
                      <w:u w:val="single"/>
                      <w:lang w:eastAsia="zh-CN"/>
                    </w:rPr>
                    <w:t>距离</w:t>
                  </w:r>
                </w:p>
              </w:tc>
              <w:tc>
                <w:tcPr>
                  <w:tcW w:w="826" w:type="dxa"/>
                  <w:vMerge w:val="continue"/>
                  <w:noWrap w:val="0"/>
                  <w:vAlign w:val="top"/>
                </w:tcPr>
                <w:p w14:paraId="2E987825">
                  <w:pPr>
                    <w:pStyle w:val="115"/>
                    <w:bidi w:val="0"/>
                    <w:rPr>
                      <w:rFonts w:hint="default"/>
                      <w:u w:val="single"/>
                    </w:rPr>
                  </w:pPr>
                </w:p>
              </w:tc>
              <w:tc>
                <w:tcPr>
                  <w:tcW w:w="809" w:type="dxa"/>
                  <w:vMerge w:val="continue"/>
                  <w:noWrap w:val="0"/>
                  <w:vAlign w:val="center"/>
                </w:tcPr>
                <w:p w14:paraId="0B05165D">
                  <w:pPr>
                    <w:pStyle w:val="115"/>
                    <w:bidi w:val="0"/>
                    <w:rPr>
                      <w:rFonts w:hint="default"/>
                      <w:u w:val="single"/>
                    </w:rPr>
                  </w:pPr>
                </w:p>
              </w:tc>
              <w:tc>
                <w:tcPr>
                  <w:tcW w:w="1197" w:type="dxa"/>
                  <w:vMerge w:val="continue"/>
                  <w:noWrap w:val="0"/>
                  <w:vAlign w:val="center"/>
                </w:tcPr>
                <w:p w14:paraId="409FB5CF">
                  <w:pPr>
                    <w:pStyle w:val="115"/>
                    <w:bidi w:val="0"/>
                    <w:rPr>
                      <w:rFonts w:hint="default"/>
                      <w:u w:val="single"/>
                    </w:rPr>
                  </w:pPr>
                </w:p>
              </w:tc>
              <w:tc>
                <w:tcPr>
                  <w:tcW w:w="1540" w:type="dxa"/>
                  <w:vMerge w:val="continue"/>
                  <w:noWrap w:val="0"/>
                  <w:vAlign w:val="center"/>
                </w:tcPr>
                <w:p w14:paraId="793E7162">
                  <w:pPr>
                    <w:pStyle w:val="115"/>
                    <w:bidi w:val="0"/>
                    <w:rPr>
                      <w:rFonts w:hint="default"/>
                      <w:u w:val="single"/>
                    </w:rPr>
                  </w:pPr>
                </w:p>
              </w:tc>
            </w:tr>
            <w:tr w14:paraId="0BCDC3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774" w:type="dxa"/>
                  <w:vMerge w:val="restart"/>
                  <w:noWrap w:val="0"/>
                  <w:vAlign w:val="center"/>
                </w:tcPr>
                <w:p w14:paraId="752EBBD3">
                  <w:pPr>
                    <w:pStyle w:val="115"/>
                    <w:bidi w:val="0"/>
                    <w:rPr>
                      <w:rFonts w:hint="default"/>
                      <w:u w:val="single"/>
                    </w:rPr>
                  </w:pPr>
                  <w:r>
                    <w:rPr>
                      <w:rFonts w:hint="default"/>
                      <w:u w:val="single"/>
                    </w:rPr>
                    <w:t>大气环境</w:t>
                  </w:r>
                </w:p>
              </w:tc>
              <w:tc>
                <w:tcPr>
                  <w:tcW w:w="0" w:type="auto"/>
                  <w:gridSpan w:val="7"/>
                  <w:noWrap w:val="0"/>
                  <w:vAlign w:val="center"/>
                </w:tcPr>
                <w:p w14:paraId="70A52AB0">
                  <w:pPr>
                    <w:pStyle w:val="115"/>
                    <w:bidi w:val="0"/>
                    <w:rPr>
                      <w:rFonts w:hint="default"/>
                      <w:u w:val="single"/>
                      <w:lang w:val="en-US" w:eastAsia="zh-CN"/>
                    </w:rPr>
                  </w:pPr>
                  <w:r>
                    <w:rPr>
                      <w:rFonts w:hint="eastAsia"/>
                      <w:u w:val="single"/>
                      <w:lang w:val="en-US" w:eastAsia="zh-CN"/>
                    </w:rPr>
                    <w:t>建筑垃圾堆填场</w:t>
                  </w:r>
                </w:p>
              </w:tc>
            </w:tr>
            <w:tr w14:paraId="2682C8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774" w:type="dxa"/>
                  <w:vMerge w:val="continue"/>
                  <w:noWrap w:val="0"/>
                  <w:vAlign w:val="center"/>
                </w:tcPr>
                <w:p w14:paraId="55E6ED50">
                  <w:pPr>
                    <w:pStyle w:val="115"/>
                    <w:bidi w:val="0"/>
                    <w:rPr>
                      <w:rFonts w:hint="default"/>
                      <w:u w:val="single"/>
                    </w:rPr>
                  </w:pPr>
                </w:p>
              </w:tc>
              <w:tc>
                <w:tcPr>
                  <w:tcW w:w="0" w:type="auto"/>
                  <w:noWrap w:val="0"/>
                  <w:vAlign w:val="center"/>
                </w:tcPr>
                <w:p w14:paraId="4BF273AC">
                  <w:pPr>
                    <w:pStyle w:val="115"/>
                    <w:bidi w:val="0"/>
                    <w:rPr>
                      <w:rFonts w:hint="default"/>
                      <w:u w:val="single"/>
                    </w:rPr>
                  </w:pPr>
                  <w:r>
                    <w:rPr>
                      <w:rFonts w:hint="default"/>
                      <w:u w:val="single"/>
                      <w:lang w:val="en-US" w:eastAsia="zh-CN"/>
                    </w:rPr>
                    <w:t>海龙形散户</w:t>
                  </w:r>
                  <w:r>
                    <w:rPr>
                      <w:rFonts w:hint="default"/>
                      <w:u w:val="single"/>
                      <w:lang w:eastAsia="zh-CN"/>
                    </w:rPr>
                    <w:t>居民点</w:t>
                  </w:r>
                </w:p>
              </w:tc>
              <w:tc>
                <w:tcPr>
                  <w:tcW w:w="981" w:type="dxa"/>
                  <w:noWrap w:val="0"/>
                  <w:vAlign w:val="center"/>
                </w:tcPr>
                <w:p w14:paraId="0A0AE395">
                  <w:pPr>
                    <w:pStyle w:val="115"/>
                    <w:bidi w:val="0"/>
                    <w:rPr>
                      <w:rFonts w:hint="default"/>
                      <w:u w:val="single"/>
                      <w:lang w:val="en-US" w:eastAsia="zh-CN"/>
                    </w:rPr>
                  </w:pPr>
                  <w:r>
                    <w:rPr>
                      <w:rFonts w:hint="eastAsia"/>
                      <w:u w:val="single"/>
                      <w:lang w:val="en-US" w:eastAsia="zh-CN"/>
                    </w:rPr>
                    <w:t>东</w:t>
                  </w:r>
                </w:p>
              </w:tc>
              <w:tc>
                <w:tcPr>
                  <w:tcW w:w="1211" w:type="dxa"/>
                  <w:tcBorders>
                    <w:right w:val="single" w:color="auto" w:sz="4" w:space="0"/>
                  </w:tcBorders>
                  <w:noWrap w:val="0"/>
                  <w:vAlign w:val="center"/>
                </w:tcPr>
                <w:p w14:paraId="15035D1A">
                  <w:pPr>
                    <w:pStyle w:val="115"/>
                    <w:bidi w:val="0"/>
                    <w:rPr>
                      <w:rFonts w:hint="default"/>
                      <w:u w:val="single"/>
                      <w:lang w:val="en-US" w:eastAsia="zh-CN"/>
                    </w:rPr>
                  </w:pPr>
                  <w:r>
                    <w:rPr>
                      <w:rFonts w:hint="eastAsia"/>
                      <w:u w:val="single"/>
                      <w:lang w:val="en-US" w:eastAsia="zh-CN"/>
                    </w:rPr>
                    <w:t>200</w:t>
                  </w:r>
                  <w:r>
                    <w:rPr>
                      <w:rFonts w:hint="default"/>
                      <w:u w:val="single"/>
                      <w:lang w:val="en-US" w:eastAsia="zh-CN"/>
                    </w:rPr>
                    <w:t>m</w:t>
                  </w:r>
                </w:p>
              </w:tc>
              <w:tc>
                <w:tcPr>
                  <w:tcW w:w="826" w:type="dxa"/>
                  <w:noWrap w:val="0"/>
                  <w:vAlign w:val="center"/>
                </w:tcPr>
                <w:p w14:paraId="1690FC73">
                  <w:pPr>
                    <w:pStyle w:val="115"/>
                    <w:bidi w:val="0"/>
                    <w:rPr>
                      <w:rFonts w:hint="eastAsia"/>
                      <w:u w:val="single"/>
                      <w:lang w:eastAsia="zh-CN"/>
                    </w:rPr>
                  </w:pPr>
                  <w:r>
                    <w:rPr>
                      <w:rFonts w:hint="eastAsia"/>
                      <w:u w:val="single"/>
                      <w:lang w:val="en-US" w:eastAsia="zh-CN"/>
                    </w:rPr>
                    <w:t>有</w:t>
                  </w:r>
                </w:p>
              </w:tc>
              <w:tc>
                <w:tcPr>
                  <w:tcW w:w="809" w:type="dxa"/>
                  <w:noWrap w:val="0"/>
                  <w:vAlign w:val="center"/>
                </w:tcPr>
                <w:p w14:paraId="5C0A4B64">
                  <w:pPr>
                    <w:pStyle w:val="115"/>
                    <w:bidi w:val="0"/>
                    <w:rPr>
                      <w:rFonts w:hint="default"/>
                      <w:u w:val="single"/>
                      <w:lang w:val="en-US" w:eastAsia="zh-CN"/>
                    </w:rPr>
                  </w:pPr>
                  <w:r>
                    <w:rPr>
                      <w:rFonts w:hint="default"/>
                      <w:u w:val="single"/>
                      <w:lang w:val="en-US" w:eastAsia="zh-CN"/>
                    </w:rPr>
                    <w:t>居住</w:t>
                  </w:r>
                </w:p>
              </w:tc>
              <w:tc>
                <w:tcPr>
                  <w:tcW w:w="1197" w:type="dxa"/>
                  <w:noWrap w:val="0"/>
                  <w:vAlign w:val="center"/>
                </w:tcPr>
                <w:p w14:paraId="75E1288F">
                  <w:pPr>
                    <w:pStyle w:val="115"/>
                    <w:bidi w:val="0"/>
                    <w:rPr>
                      <w:rFonts w:hint="default"/>
                      <w:u w:val="single"/>
                    </w:rPr>
                  </w:pPr>
                  <w:r>
                    <w:rPr>
                      <w:rFonts w:hint="default"/>
                      <w:u w:val="single"/>
                    </w:rPr>
                    <w:t>约</w:t>
                  </w:r>
                  <w:r>
                    <w:rPr>
                      <w:rFonts w:hint="default"/>
                      <w:u w:val="single"/>
                      <w:lang w:val="en-US" w:eastAsia="zh-CN"/>
                    </w:rPr>
                    <w:t>10</w:t>
                  </w:r>
                  <w:r>
                    <w:rPr>
                      <w:rFonts w:hint="default"/>
                      <w:u w:val="single"/>
                    </w:rPr>
                    <w:t>人</w:t>
                  </w:r>
                </w:p>
              </w:tc>
              <w:tc>
                <w:tcPr>
                  <w:tcW w:w="1540" w:type="dxa"/>
                  <w:vMerge w:val="restart"/>
                  <w:noWrap w:val="0"/>
                  <w:vAlign w:val="center"/>
                </w:tcPr>
                <w:p w14:paraId="035DF4AA">
                  <w:pPr>
                    <w:pStyle w:val="115"/>
                    <w:bidi w:val="0"/>
                    <w:rPr>
                      <w:rFonts w:hint="default"/>
                      <w:u w:val="single"/>
                    </w:rPr>
                  </w:pPr>
                  <w:r>
                    <w:rPr>
                      <w:rFonts w:hint="default"/>
                      <w:u w:val="single"/>
                    </w:rPr>
                    <w:t>《环境空气质量标准》</w:t>
                  </w:r>
                  <w:r>
                    <w:rPr>
                      <w:rFonts w:hint="default"/>
                      <w:u w:val="single"/>
                      <w:lang w:val="en-US" w:eastAsia="zh-CN"/>
                    </w:rPr>
                    <w:t>（GB3095-2026）</w:t>
                  </w:r>
                  <w:r>
                    <w:rPr>
                      <w:rFonts w:hint="eastAsia"/>
                      <w:u w:val="single"/>
                      <w:lang w:val="en-US" w:eastAsia="zh-CN"/>
                    </w:rPr>
                    <w:t>中的</w:t>
                  </w:r>
                  <w:r>
                    <w:rPr>
                      <w:rFonts w:hint="default"/>
                      <w:u w:val="single"/>
                    </w:rPr>
                    <w:t>二级标准</w:t>
                  </w:r>
                </w:p>
              </w:tc>
            </w:tr>
            <w:tr w14:paraId="2B181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774" w:type="dxa"/>
                  <w:vMerge w:val="continue"/>
                  <w:noWrap w:val="0"/>
                  <w:vAlign w:val="center"/>
                </w:tcPr>
                <w:p w14:paraId="4092A954">
                  <w:pPr>
                    <w:pStyle w:val="115"/>
                    <w:bidi w:val="0"/>
                    <w:rPr>
                      <w:rFonts w:hint="default"/>
                      <w:u w:val="single"/>
                    </w:rPr>
                  </w:pPr>
                </w:p>
              </w:tc>
              <w:tc>
                <w:tcPr>
                  <w:tcW w:w="0" w:type="auto"/>
                  <w:noWrap w:val="0"/>
                  <w:vAlign w:val="center"/>
                </w:tcPr>
                <w:p w14:paraId="0209FD90">
                  <w:pPr>
                    <w:pStyle w:val="115"/>
                    <w:bidi w:val="0"/>
                    <w:rPr>
                      <w:rFonts w:hint="default"/>
                      <w:u w:val="single"/>
                      <w:lang w:val="en-US" w:eastAsia="zh-CN"/>
                    </w:rPr>
                  </w:pPr>
                  <w:r>
                    <w:rPr>
                      <w:rFonts w:hint="eastAsia"/>
                      <w:u w:val="single"/>
                      <w:lang w:val="en-US" w:eastAsia="zh-CN"/>
                    </w:rPr>
                    <w:t>城西村居民点</w:t>
                  </w:r>
                </w:p>
              </w:tc>
              <w:tc>
                <w:tcPr>
                  <w:tcW w:w="981" w:type="dxa"/>
                  <w:noWrap w:val="0"/>
                  <w:vAlign w:val="center"/>
                </w:tcPr>
                <w:p w14:paraId="0A927DB6">
                  <w:pPr>
                    <w:pStyle w:val="115"/>
                    <w:bidi w:val="0"/>
                    <w:rPr>
                      <w:rFonts w:hint="default"/>
                      <w:u w:val="single"/>
                      <w:lang w:val="en-US" w:eastAsia="zh-CN"/>
                    </w:rPr>
                  </w:pPr>
                  <w:r>
                    <w:rPr>
                      <w:rFonts w:hint="eastAsia"/>
                      <w:u w:val="single"/>
                      <w:lang w:val="en-US" w:eastAsia="zh-CN"/>
                    </w:rPr>
                    <w:t>东北</w:t>
                  </w:r>
                </w:p>
              </w:tc>
              <w:tc>
                <w:tcPr>
                  <w:tcW w:w="1211" w:type="dxa"/>
                  <w:tcBorders>
                    <w:right w:val="single" w:color="auto" w:sz="4" w:space="0"/>
                  </w:tcBorders>
                  <w:noWrap w:val="0"/>
                  <w:vAlign w:val="center"/>
                </w:tcPr>
                <w:p w14:paraId="3E20C53C">
                  <w:pPr>
                    <w:pStyle w:val="115"/>
                    <w:bidi w:val="0"/>
                    <w:rPr>
                      <w:rFonts w:hint="default"/>
                      <w:u w:val="single"/>
                      <w:lang w:val="en-US" w:eastAsia="zh-CN"/>
                    </w:rPr>
                  </w:pPr>
                  <w:r>
                    <w:rPr>
                      <w:rFonts w:hint="eastAsia"/>
                      <w:u w:val="single"/>
                      <w:lang w:val="en-US" w:eastAsia="zh-CN"/>
                    </w:rPr>
                    <w:t>430-500m</w:t>
                  </w:r>
                </w:p>
              </w:tc>
              <w:tc>
                <w:tcPr>
                  <w:tcW w:w="826" w:type="dxa"/>
                  <w:noWrap w:val="0"/>
                  <w:vAlign w:val="center"/>
                </w:tcPr>
                <w:p w14:paraId="5806AB5B">
                  <w:pPr>
                    <w:pStyle w:val="115"/>
                    <w:bidi w:val="0"/>
                    <w:rPr>
                      <w:rFonts w:hint="default"/>
                      <w:u w:val="single"/>
                      <w:lang w:val="en-US" w:eastAsia="zh-CN"/>
                    </w:rPr>
                  </w:pPr>
                  <w:r>
                    <w:rPr>
                      <w:rFonts w:hint="eastAsia"/>
                      <w:u w:val="single"/>
                      <w:lang w:val="en-US" w:eastAsia="zh-CN"/>
                    </w:rPr>
                    <w:t>有</w:t>
                  </w:r>
                </w:p>
              </w:tc>
              <w:tc>
                <w:tcPr>
                  <w:tcW w:w="809" w:type="dxa"/>
                  <w:noWrap w:val="0"/>
                  <w:vAlign w:val="center"/>
                </w:tcPr>
                <w:p w14:paraId="661646A8">
                  <w:pPr>
                    <w:pStyle w:val="115"/>
                    <w:bidi w:val="0"/>
                    <w:rPr>
                      <w:rFonts w:hint="default"/>
                      <w:u w:val="single"/>
                      <w:lang w:val="en-US" w:eastAsia="zh-CN"/>
                    </w:rPr>
                  </w:pPr>
                  <w:r>
                    <w:rPr>
                      <w:rFonts w:hint="eastAsia"/>
                      <w:u w:val="single"/>
                      <w:lang w:val="en-US" w:eastAsia="zh-CN"/>
                    </w:rPr>
                    <w:t>居住</w:t>
                  </w:r>
                </w:p>
              </w:tc>
              <w:tc>
                <w:tcPr>
                  <w:tcW w:w="1197" w:type="dxa"/>
                  <w:noWrap w:val="0"/>
                  <w:vAlign w:val="center"/>
                </w:tcPr>
                <w:p w14:paraId="0D8F9334">
                  <w:pPr>
                    <w:pStyle w:val="115"/>
                    <w:bidi w:val="0"/>
                    <w:rPr>
                      <w:rFonts w:hint="default" w:eastAsia="宋体"/>
                      <w:u w:val="single"/>
                      <w:lang w:val="en-US" w:eastAsia="zh-CN"/>
                    </w:rPr>
                  </w:pPr>
                  <w:r>
                    <w:rPr>
                      <w:rFonts w:hint="eastAsia"/>
                      <w:u w:val="single"/>
                      <w:lang w:val="en-US" w:eastAsia="zh-CN"/>
                    </w:rPr>
                    <w:t>约400人</w:t>
                  </w:r>
                </w:p>
              </w:tc>
              <w:tc>
                <w:tcPr>
                  <w:tcW w:w="1540" w:type="dxa"/>
                  <w:vMerge w:val="continue"/>
                  <w:noWrap w:val="0"/>
                  <w:vAlign w:val="center"/>
                </w:tcPr>
                <w:p w14:paraId="15824FB4">
                  <w:pPr>
                    <w:pStyle w:val="115"/>
                    <w:bidi w:val="0"/>
                    <w:rPr>
                      <w:rFonts w:hint="default"/>
                      <w:u w:val="single"/>
                    </w:rPr>
                  </w:pPr>
                </w:p>
              </w:tc>
            </w:tr>
          </w:tbl>
          <w:p w14:paraId="0C5FAEC3">
            <w:pPr>
              <w:pStyle w:val="4"/>
              <w:bidi w:val="0"/>
              <w:rPr>
                <w:rFonts w:hint="default"/>
              </w:rPr>
            </w:pPr>
            <w:r>
              <w:rPr>
                <w:rFonts w:hint="eastAsia"/>
                <w:lang w:val="en-US" w:eastAsia="zh-CN"/>
              </w:rPr>
              <w:t>3.9</w:t>
            </w:r>
            <w:r>
              <w:rPr>
                <w:rFonts w:hint="default"/>
              </w:rPr>
              <w:t>声环境保护目标</w:t>
            </w:r>
          </w:p>
          <w:p w14:paraId="7CF142E3">
            <w:pPr>
              <w:bidi w:val="0"/>
              <w:rPr>
                <w:rFonts w:hint="eastAsia"/>
                <w:lang w:eastAsia="zh-CN"/>
              </w:rPr>
            </w:pPr>
            <w:r>
              <w:rPr>
                <w:rFonts w:hint="eastAsia"/>
                <w:lang w:val="en-US" w:eastAsia="zh-CN"/>
              </w:rPr>
              <w:t>本项目建筑垃圾堆填场内选址周边</w:t>
            </w:r>
            <w:r>
              <w:rPr>
                <w:rFonts w:hint="default"/>
              </w:rPr>
              <w:t>50米范围内</w:t>
            </w:r>
            <w:r>
              <w:rPr>
                <w:rFonts w:hint="default"/>
                <w:lang w:val="en-US" w:eastAsia="zh-CN"/>
              </w:rPr>
              <w:t>均</w:t>
            </w:r>
            <w:r>
              <w:rPr>
                <w:rFonts w:hint="default"/>
              </w:rPr>
              <w:t>无声环境保护目标</w:t>
            </w:r>
            <w:r>
              <w:rPr>
                <w:rFonts w:hint="eastAsia"/>
                <w:lang w:eastAsia="zh-CN"/>
              </w:rPr>
              <w:t>，G320至堆填场堆填区厂内进场道路沿线</w:t>
            </w:r>
            <w:r>
              <w:rPr>
                <w:rFonts w:hint="eastAsia"/>
                <w:lang w:val="en-US" w:eastAsia="zh-CN"/>
              </w:rPr>
              <w:t>50米范围内</w:t>
            </w:r>
            <w:r>
              <w:rPr>
                <w:rFonts w:hint="eastAsia"/>
                <w:lang w:eastAsia="zh-CN"/>
              </w:rPr>
              <w:t>无居民点分布。</w:t>
            </w:r>
          </w:p>
          <w:p w14:paraId="0354C7B8">
            <w:pPr>
              <w:pStyle w:val="4"/>
              <w:bidi w:val="0"/>
              <w:rPr>
                <w:rFonts w:hint="default"/>
              </w:rPr>
            </w:pPr>
            <w:r>
              <w:rPr>
                <w:rFonts w:hint="eastAsia"/>
                <w:lang w:val="en-US" w:eastAsia="zh-CN"/>
              </w:rPr>
              <w:t>3.10</w:t>
            </w:r>
            <w:r>
              <w:rPr>
                <w:rFonts w:hint="default"/>
              </w:rPr>
              <w:t>地表水环境保护目标</w:t>
            </w:r>
          </w:p>
          <w:p w14:paraId="594158DE">
            <w:pPr>
              <w:bidi w:val="0"/>
              <w:rPr>
                <w:rFonts w:hint="default"/>
              </w:rPr>
            </w:pPr>
            <w:r>
              <w:rPr>
                <w:rFonts w:hint="default"/>
              </w:rPr>
              <w:t>根据现场踏勘表明，项目周边地表水环境保护目标详见下表。</w:t>
            </w:r>
          </w:p>
          <w:p w14:paraId="5A032C3C">
            <w:pPr>
              <w:pStyle w:val="44"/>
              <w:bidi w:val="0"/>
              <w:rPr>
                <w:rFonts w:hint="default" w:ascii="Times New Roman" w:hAnsi="Times New Roman" w:cs="Times New Roman"/>
                <w:color w:val="auto"/>
                <w:u w:val="none" w:color="auto"/>
                <w:lang w:val="zh-CN"/>
              </w:rPr>
            </w:pPr>
            <w:r>
              <w:rPr>
                <w:rFonts w:hint="default" w:ascii="Times New Roman" w:hAnsi="Times New Roman" w:cs="Times New Roman"/>
                <w:color w:val="auto"/>
                <w:u w:val="none" w:color="auto"/>
                <w:lang w:val="zh-CN"/>
              </w:rPr>
              <w:t>表</w:t>
            </w:r>
            <w:r>
              <w:rPr>
                <w:rFonts w:hint="eastAsia" w:cs="Times New Roman"/>
                <w:color w:val="auto"/>
                <w:u w:val="none" w:color="auto"/>
                <w:lang w:val="en-US" w:eastAsia="zh-CN"/>
              </w:rPr>
              <w:t>3.10-1：</w:t>
            </w:r>
            <w:r>
              <w:rPr>
                <w:rFonts w:hint="default" w:ascii="Times New Roman" w:hAnsi="Times New Roman" w:cs="Times New Roman"/>
                <w:color w:val="auto"/>
                <w:u w:val="none" w:color="auto"/>
                <w:lang w:val="zh-CN"/>
              </w:rPr>
              <w:t>地表水环境保护目标</w:t>
            </w:r>
          </w:p>
          <w:tbl>
            <w:tblPr>
              <w:tblStyle w:val="38"/>
              <w:tblW w:w="849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190"/>
              <w:gridCol w:w="1189"/>
              <w:gridCol w:w="1950"/>
              <w:gridCol w:w="2250"/>
              <w:gridCol w:w="1917"/>
            </w:tblGrid>
            <w:tr w14:paraId="45566E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1190" w:type="dxa"/>
                  <w:noWrap w:val="0"/>
                  <w:vAlign w:val="center"/>
                </w:tcPr>
                <w:p w14:paraId="7A433673">
                  <w:pPr>
                    <w:pStyle w:val="115"/>
                    <w:bidi w:val="0"/>
                    <w:rPr>
                      <w:rFonts w:hint="default"/>
                      <w:b/>
                      <w:bCs/>
                    </w:rPr>
                  </w:pPr>
                  <w:r>
                    <w:rPr>
                      <w:rFonts w:hint="default"/>
                      <w:b/>
                      <w:bCs/>
                    </w:rPr>
                    <w:t>环境</w:t>
                  </w:r>
                  <w:r>
                    <w:rPr>
                      <w:rFonts w:hint="eastAsia"/>
                      <w:b/>
                      <w:bCs/>
                      <w:lang w:val="en-US" w:eastAsia="zh-CN"/>
                    </w:rPr>
                    <w:t>要素</w:t>
                  </w:r>
                  <w:r>
                    <w:rPr>
                      <w:rFonts w:hint="default"/>
                      <w:b/>
                      <w:bCs/>
                    </w:rPr>
                    <w:cr/>
                  </w:r>
                </w:p>
              </w:tc>
              <w:tc>
                <w:tcPr>
                  <w:tcW w:w="1189" w:type="dxa"/>
                  <w:noWrap w:val="0"/>
                  <w:vAlign w:val="center"/>
                </w:tcPr>
                <w:p w14:paraId="39864685">
                  <w:pPr>
                    <w:pStyle w:val="115"/>
                    <w:bidi w:val="0"/>
                    <w:rPr>
                      <w:rFonts w:hint="default"/>
                      <w:b/>
                      <w:bCs/>
                    </w:rPr>
                  </w:pPr>
                  <w:r>
                    <w:rPr>
                      <w:rFonts w:hint="default"/>
                      <w:b/>
                      <w:bCs/>
                    </w:rPr>
                    <w:t>保护目标</w:t>
                  </w:r>
                </w:p>
              </w:tc>
              <w:tc>
                <w:tcPr>
                  <w:tcW w:w="1950" w:type="dxa"/>
                  <w:noWrap w:val="0"/>
                  <w:vAlign w:val="center"/>
                </w:tcPr>
                <w:p w14:paraId="61C0CECB">
                  <w:pPr>
                    <w:pStyle w:val="115"/>
                    <w:bidi w:val="0"/>
                    <w:rPr>
                      <w:rFonts w:hint="default"/>
                      <w:b/>
                      <w:bCs/>
                    </w:rPr>
                  </w:pPr>
                  <w:r>
                    <w:rPr>
                      <w:rFonts w:hint="default"/>
                      <w:b/>
                      <w:bCs/>
                    </w:rPr>
                    <w:t>方位及距离</w:t>
                  </w:r>
                </w:p>
              </w:tc>
              <w:tc>
                <w:tcPr>
                  <w:tcW w:w="2250" w:type="dxa"/>
                  <w:noWrap w:val="0"/>
                  <w:vAlign w:val="center"/>
                </w:tcPr>
                <w:p w14:paraId="1B204C9C">
                  <w:pPr>
                    <w:pStyle w:val="115"/>
                    <w:bidi w:val="0"/>
                    <w:rPr>
                      <w:rFonts w:hint="default"/>
                      <w:b/>
                      <w:bCs/>
                    </w:rPr>
                  </w:pPr>
                  <w:r>
                    <w:rPr>
                      <w:rFonts w:hint="default"/>
                      <w:b/>
                      <w:bCs/>
                    </w:rPr>
                    <w:t>功</w:t>
                  </w:r>
                  <w:r>
                    <w:rPr>
                      <w:rFonts w:hint="default"/>
                      <w:b/>
                      <w:bCs/>
                      <w:lang w:val="en-US" w:eastAsia="zh-CN"/>
                    </w:rPr>
                    <w:t>能</w:t>
                  </w:r>
                  <w:r>
                    <w:rPr>
                      <w:rFonts w:hint="default"/>
                      <w:b/>
                      <w:bCs/>
                    </w:rPr>
                    <w:cr/>
                  </w:r>
                  <w:r>
                    <w:rPr>
                      <w:rFonts w:hint="default"/>
                      <w:b/>
                      <w:bCs/>
                    </w:rPr>
                    <w:t>及规模</w:t>
                  </w:r>
                </w:p>
              </w:tc>
              <w:tc>
                <w:tcPr>
                  <w:tcW w:w="1917" w:type="dxa"/>
                  <w:noWrap w:val="0"/>
                  <w:vAlign w:val="center"/>
                </w:tcPr>
                <w:p w14:paraId="1DAA8509">
                  <w:pPr>
                    <w:pStyle w:val="115"/>
                    <w:bidi w:val="0"/>
                    <w:rPr>
                      <w:rFonts w:hint="default"/>
                      <w:b/>
                      <w:bCs/>
                    </w:rPr>
                  </w:pPr>
                  <w:r>
                    <w:rPr>
                      <w:rFonts w:hint="default"/>
                      <w:b/>
                      <w:bCs/>
                    </w:rPr>
                    <w:t>保护级别</w:t>
                  </w:r>
                </w:p>
              </w:tc>
            </w:tr>
            <w:tr w14:paraId="46B57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1190" w:type="dxa"/>
                  <w:vMerge w:val="restart"/>
                  <w:noWrap w:val="0"/>
                  <w:vAlign w:val="center"/>
                </w:tcPr>
                <w:p w14:paraId="16E09D97">
                  <w:pPr>
                    <w:pStyle w:val="115"/>
                    <w:bidi w:val="0"/>
                    <w:rPr>
                      <w:rFonts w:hint="default"/>
                    </w:rPr>
                  </w:pPr>
                  <w:r>
                    <w:rPr>
                      <w:rFonts w:hint="default"/>
                    </w:rPr>
                    <w:t>水环境</w:t>
                  </w:r>
                </w:p>
              </w:tc>
              <w:tc>
                <w:tcPr>
                  <w:tcW w:w="1189" w:type="dxa"/>
                  <w:noWrap w:val="0"/>
                  <w:vAlign w:val="center"/>
                </w:tcPr>
                <w:p w14:paraId="37246492">
                  <w:pPr>
                    <w:pStyle w:val="115"/>
                    <w:bidi w:val="0"/>
                    <w:rPr>
                      <w:rFonts w:hint="default"/>
                    </w:rPr>
                  </w:pPr>
                  <w:r>
                    <w:rPr>
                      <w:rFonts w:hint="default"/>
                    </w:rPr>
                    <w:t>无名小溪</w:t>
                  </w:r>
                </w:p>
              </w:tc>
              <w:tc>
                <w:tcPr>
                  <w:tcW w:w="1950" w:type="dxa"/>
                  <w:noWrap w:val="0"/>
                  <w:vAlign w:val="center"/>
                </w:tcPr>
                <w:p w14:paraId="58BF8E36">
                  <w:pPr>
                    <w:pStyle w:val="115"/>
                    <w:bidi w:val="0"/>
                    <w:rPr>
                      <w:rFonts w:hint="default"/>
                      <w:lang w:val="en-US" w:eastAsia="zh-CN"/>
                    </w:rPr>
                  </w:pPr>
                  <w:r>
                    <w:rPr>
                      <w:rFonts w:hint="eastAsia"/>
                      <w:lang w:val="en-US" w:eastAsia="zh-CN"/>
                    </w:rPr>
                    <w:t>项目地范围内</w:t>
                  </w:r>
                </w:p>
              </w:tc>
              <w:tc>
                <w:tcPr>
                  <w:tcW w:w="2250" w:type="dxa"/>
                  <w:noWrap w:val="0"/>
                  <w:vAlign w:val="center"/>
                </w:tcPr>
                <w:p w14:paraId="2275C162">
                  <w:pPr>
                    <w:pStyle w:val="115"/>
                    <w:bidi w:val="0"/>
                    <w:rPr>
                      <w:rFonts w:hint="default"/>
                      <w:lang w:val="en-US" w:eastAsia="zh-CN"/>
                    </w:rPr>
                  </w:pPr>
                  <w:r>
                    <w:rPr>
                      <w:rFonts w:hint="eastAsia"/>
                      <w:lang w:val="en-US" w:eastAsia="zh-CN"/>
                    </w:rPr>
                    <w:t>行洪通道</w:t>
                  </w:r>
                </w:p>
              </w:tc>
              <w:tc>
                <w:tcPr>
                  <w:tcW w:w="1917" w:type="dxa"/>
                  <w:vMerge w:val="restart"/>
                  <w:noWrap w:val="0"/>
                  <w:vAlign w:val="center"/>
                </w:tcPr>
                <w:p w14:paraId="78370EC7">
                  <w:pPr>
                    <w:pStyle w:val="115"/>
                    <w:bidi w:val="0"/>
                    <w:rPr>
                      <w:rFonts w:hint="default"/>
                    </w:rPr>
                  </w:pPr>
                  <w:r>
                    <w:rPr>
                      <w:rFonts w:hint="default"/>
                    </w:rPr>
                    <w:t>《地表水环境质量标准》（GB3838-2002）中Ⅲ类标准</w:t>
                  </w:r>
                </w:p>
              </w:tc>
            </w:tr>
            <w:tr w14:paraId="13A58D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1190" w:type="dxa"/>
                  <w:vMerge w:val="continue"/>
                  <w:noWrap w:val="0"/>
                  <w:vAlign w:val="center"/>
                </w:tcPr>
                <w:p w14:paraId="469A3FDD">
                  <w:pPr>
                    <w:pStyle w:val="115"/>
                    <w:bidi w:val="0"/>
                    <w:rPr>
                      <w:rFonts w:hint="default"/>
                    </w:rPr>
                  </w:pPr>
                </w:p>
              </w:tc>
              <w:tc>
                <w:tcPr>
                  <w:tcW w:w="1189" w:type="dxa"/>
                  <w:noWrap w:val="0"/>
                  <w:vAlign w:val="center"/>
                </w:tcPr>
                <w:p w14:paraId="003B2F41">
                  <w:pPr>
                    <w:pStyle w:val="115"/>
                    <w:bidi w:val="0"/>
                    <w:rPr>
                      <w:rFonts w:hint="eastAsia"/>
                      <w:lang w:eastAsia="zh-CN"/>
                    </w:rPr>
                  </w:pPr>
                  <w:r>
                    <w:rPr>
                      <w:rFonts w:hint="eastAsia"/>
                      <w:lang w:val="en-US" w:eastAsia="zh-CN"/>
                    </w:rPr>
                    <w:t>洪溪</w:t>
                  </w:r>
                </w:p>
              </w:tc>
              <w:tc>
                <w:tcPr>
                  <w:tcW w:w="1950" w:type="dxa"/>
                  <w:noWrap w:val="0"/>
                  <w:vAlign w:val="center"/>
                </w:tcPr>
                <w:p w14:paraId="7F0E1746">
                  <w:pPr>
                    <w:pStyle w:val="115"/>
                    <w:bidi w:val="0"/>
                    <w:rPr>
                      <w:rFonts w:hint="default"/>
                    </w:rPr>
                  </w:pPr>
                  <w:r>
                    <w:rPr>
                      <w:rFonts w:hint="eastAsia"/>
                      <w:lang w:val="en-US" w:eastAsia="zh-CN"/>
                    </w:rPr>
                    <w:t>东北侧345</w:t>
                  </w:r>
                  <w:r>
                    <w:rPr>
                      <w:rFonts w:hint="default"/>
                    </w:rPr>
                    <w:t>m</w:t>
                  </w:r>
                </w:p>
              </w:tc>
              <w:tc>
                <w:tcPr>
                  <w:tcW w:w="2250" w:type="dxa"/>
                  <w:noWrap w:val="0"/>
                  <w:vAlign w:val="center"/>
                </w:tcPr>
                <w:p w14:paraId="33768D1C">
                  <w:pPr>
                    <w:pStyle w:val="115"/>
                    <w:bidi w:val="0"/>
                    <w:rPr>
                      <w:rFonts w:hint="default"/>
                    </w:rPr>
                  </w:pPr>
                  <w:r>
                    <w:rPr>
                      <w:rFonts w:hint="default"/>
                    </w:rPr>
                    <w:t>小河，农业灌溉用水</w:t>
                  </w:r>
                </w:p>
              </w:tc>
              <w:tc>
                <w:tcPr>
                  <w:tcW w:w="1917" w:type="dxa"/>
                  <w:vMerge w:val="continue"/>
                  <w:noWrap w:val="0"/>
                  <w:vAlign w:val="center"/>
                </w:tcPr>
                <w:p w14:paraId="2B379F46">
                  <w:pPr>
                    <w:pStyle w:val="115"/>
                    <w:bidi w:val="0"/>
                    <w:rPr>
                      <w:rFonts w:hint="default"/>
                    </w:rPr>
                  </w:pPr>
                </w:p>
              </w:tc>
            </w:tr>
          </w:tbl>
          <w:p w14:paraId="346A0AC5">
            <w:pPr>
              <w:pStyle w:val="4"/>
              <w:bidi w:val="0"/>
              <w:rPr>
                <w:rFonts w:hint="default"/>
              </w:rPr>
            </w:pPr>
            <w:r>
              <w:rPr>
                <w:rFonts w:hint="eastAsia"/>
                <w:lang w:val="en-US" w:eastAsia="zh-CN"/>
              </w:rPr>
              <w:t>3.11</w:t>
            </w:r>
            <w:r>
              <w:rPr>
                <w:rFonts w:hint="default"/>
              </w:rPr>
              <w:t>地下水环境及土壤保护目标</w:t>
            </w:r>
          </w:p>
          <w:p w14:paraId="5B3241DC">
            <w:pPr>
              <w:bidi w:val="0"/>
              <w:rPr>
                <w:rFonts w:hint="eastAsia" w:ascii="Times New Roman" w:hAnsi="Times New Roman" w:cs="Times New Roman"/>
                <w:color w:val="auto"/>
                <w:u w:val="none" w:color="auto"/>
                <w:lang w:val="en-US" w:eastAsia="zh-CN"/>
              </w:rPr>
            </w:pPr>
            <w:r>
              <w:rPr>
                <w:rFonts w:hint="eastAsia" w:ascii="Times New Roman" w:hAnsi="Times New Roman" w:eastAsia="宋体" w:cs="Times New Roman"/>
                <w:lang w:val="en-US" w:eastAsia="zh-CN"/>
              </w:rPr>
              <w:t>在建筑垃圾填埋场下游东南侧约320米处有一口地下水水井，该水井仅作为生活杂用水源，用于冲洗、绿化等非饮用用途，不具备饮用水功能</w:t>
            </w:r>
            <w:r>
              <w:rPr>
                <w:rFonts w:hint="eastAsia" w:cs="Times New Roman"/>
                <w:lang w:val="en-US" w:eastAsia="zh-CN"/>
              </w:rPr>
              <w:t>，周边无饮用水源分布</w:t>
            </w:r>
            <w:r>
              <w:rPr>
                <w:rFonts w:hint="eastAsia" w:ascii="Times New Roman" w:hAnsi="Times New Roman" w:eastAsia="宋体" w:cs="Times New Roman"/>
                <w:lang w:val="en-US" w:eastAsia="zh-CN"/>
              </w:rPr>
              <w:t>。</w:t>
            </w:r>
          </w:p>
          <w:p w14:paraId="3BDA1385">
            <w:pPr>
              <w:pStyle w:val="44"/>
              <w:bidi w:val="0"/>
            </w:pPr>
            <w:r>
              <w:t>表</w:t>
            </w:r>
            <w:r>
              <w:rPr>
                <w:rFonts w:hint="eastAsia"/>
                <w:lang w:val="en-US" w:eastAsia="zh-CN"/>
              </w:rPr>
              <w:t>3.11-1：地下</w:t>
            </w:r>
            <w:r>
              <w:t>水环境保护目标表</w:t>
            </w:r>
          </w:p>
          <w:tbl>
            <w:tblPr>
              <w:tblStyle w:val="38"/>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78"/>
              <w:gridCol w:w="1585"/>
              <w:gridCol w:w="1844"/>
              <w:gridCol w:w="2406"/>
              <w:gridCol w:w="2049"/>
            </w:tblGrid>
            <w:tr w14:paraId="2CE92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78" w:type="dxa"/>
                  <w:noWrap w:val="0"/>
                  <w:vAlign w:val="center"/>
                </w:tcPr>
                <w:p w14:paraId="36375693">
                  <w:pPr>
                    <w:pStyle w:val="115"/>
                    <w:bidi w:val="0"/>
                    <w:rPr>
                      <w:b/>
                      <w:bCs/>
                    </w:rPr>
                  </w:pPr>
                  <w:r>
                    <w:rPr>
                      <w:b/>
                      <w:bCs/>
                    </w:rPr>
                    <w:t>类别</w:t>
                  </w:r>
                </w:p>
              </w:tc>
              <w:tc>
                <w:tcPr>
                  <w:tcW w:w="1583" w:type="dxa"/>
                  <w:noWrap w:val="0"/>
                  <w:vAlign w:val="center"/>
                </w:tcPr>
                <w:p w14:paraId="4F4D46E1">
                  <w:pPr>
                    <w:pStyle w:val="115"/>
                    <w:bidi w:val="0"/>
                    <w:rPr>
                      <w:b/>
                      <w:bCs/>
                    </w:rPr>
                  </w:pPr>
                  <w:r>
                    <w:rPr>
                      <w:b/>
                      <w:bCs/>
                    </w:rPr>
                    <w:t>保护目标</w:t>
                  </w:r>
                </w:p>
              </w:tc>
              <w:tc>
                <w:tcPr>
                  <w:tcW w:w="1842" w:type="dxa"/>
                  <w:noWrap w:val="0"/>
                  <w:vAlign w:val="center"/>
                </w:tcPr>
                <w:p w14:paraId="2B04C5B4">
                  <w:pPr>
                    <w:pStyle w:val="115"/>
                    <w:bidi w:val="0"/>
                    <w:rPr>
                      <w:b/>
                      <w:bCs/>
                    </w:rPr>
                  </w:pPr>
                  <w:r>
                    <w:rPr>
                      <w:b/>
                      <w:bCs/>
                    </w:rPr>
                    <w:t>与厂界方位距离</w:t>
                  </w:r>
                </w:p>
              </w:tc>
              <w:tc>
                <w:tcPr>
                  <w:tcW w:w="2403" w:type="dxa"/>
                  <w:noWrap w:val="0"/>
                  <w:vAlign w:val="center"/>
                </w:tcPr>
                <w:p w14:paraId="48BD998D">
                  <w:pPr>
                    <w:pStyle w:val="115"/>
                    <w:bidi w:val="0"/>
                    <w:rPr>
                      <w:b/>
                      <w:bCs/>
                    </w:rPr>
                  </w:pPr>
                  <w:r>
                    <w:rPr>
                      <w:b/>
                      <w:bCs/>
                    </w:rPr>
                    <w:t>规模及功能</w:t>
                  </w:r>
                </w:p>
              </w:tc>
              <w:tc>
                <w:tcPr>
                  <w:tcW w:w="2047" w:type="dxa"/>
                  <w:noWrap w:val="0"/>
                  <w:vAlign w:val="center"/>
                </w:tcPr>
                <w:p w14:paraId="09D50B7F">
                  <w:pPr>
                    <w:pStyle w:val="115"/>
                    <w:bidi w:val="0"/>
                    <w:rPr>
                      <w:b/>
                      <w:bCs/>
                    </w:rPr>
                  </w:pPr>
                  <w:r>
                    <w:rPr>
                      <w:b/>
                      <w:bCs/>
                    </w:rPr>
                    <w:t>保护级别</w:t>
                  </w:r>
                </w:p>
              </w:tc>
            </w:tr>
            <w:tr w14:paraId="5A1A7A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678" w:type="dxa"/>
                  <w:noWrap w:val="0"/>
                  <w:vAlign w:val="center"/>
                </w:tcPr>
                <w:p w14:paraId="3FB6FCF6">
                  <w:pPr>
                    <w:pStyle w:val="115"/>
                    <w:bidi w:val="0"/>
                  </w:pPr>
                  <w:r>
                    <w:t>地下水</w:t>
                  </w:r>
                </w:p>
              </w:tc>
              <w:tc>
                <w:tcPr>
                  <w:tcW w:w="1583" w:type="dxa"/>
                  <w:noWrap w:val="0"/>
                  <w:vAlign w:val="center"/>
                </w:tcPr>
                <w:p w14:paraId="255D8874">
                  <w:pPr>
                    <w:pStyle w:val="115"/>
                    <w:bidi w:val="0"/>
                  </w:pPr>
                  <w:r>
                    <w:rPr>
                      <w:rFonts w:hint="eastAsia"/>
                      <w:lang w:val="en-US" w:eastAsia="zh-CN"/>
                    </w:rPr>
                    <w:t>海龙形</w:t>
                  </w:r>
                  <w:r>
                    <w:rPr>
                      <w:rFonts w:hint="default"/>
                      <w:lang w:val="en-US" w:eastAsia="zh-CN"/>
                    </w:rPr>
                    <w:t>水井</w:t>
                  </w:r>
                </w:p>
              </w:tc>
              <w:tc>
                <w:tcPr>
                  <w:tcW w:w="1842" w:type="dxa"/>
                  <w:noWrap w:val="0"/>
                  <w:vAlign w:val="center"/>
                </w:tcPr>
                <w:p w14:paraId="3D46DF63">
                  <w:pPr>
                    <w:pStyle w:val="115"/>
                    <w:bidi w:val="0"/>
                    <w:rPr>
                      <w:rFonts w:hint="default"/>
                      <w:lang w:val="en-US"/>
                    </w:rPr>
                  </w:pPr>
                  <w:r>
                    <w:rPr>
                      <w:rFonts w:hint="eastAsia"/>
                      <w:lang w:val="en-US" w:eastAsia="zh-CN"/>
                    </w:rPr>
                    <w:t>填埋场下游、东南侧320m</w:t>
                  </w:r>
                </w:p>
              </w:tc>
              <w:tc>
                <w:tcPr>
                  <w:tcW w:w="2403" w:type="dxa"/>
                  <w:noWrap w:val="0"/>
                  <w:vAlign w:val="center"/>
                </w:tcPr>
                <w:p w14:paraId="14BC0D58">
                  <w:pPr>
                    <w:pStyle w:val="115"/>
                    <w:bidi w:val="0"/>
                  </w:pPr>
                  <w:r>
                    <w:rPr>
                      <w:rFonts w:hint="eastAsia"/>
                      <w:lang w:val="en-US" w:eastAsia="zh-CN"/>
                    </w:rPr>
                    <w:t>中间有山体阻隔，作为生活杂用水水源</w:t>
                  </w:r>
                </w:p>
              </w:tc>
              <w:tc>
                <w:tcPr>
                  <w:tcW w:w="2047" w:type="dxa"/>
                  <w:noWrap w:val="0"/>
                  <w:vAlign w:val="center"/>
                </w:tcPr>
                <w:p w14:paraId="131C0D21">
                  <w:pPr>
                    <w:pStyle w:val="115"/>
                    <w:bidi w:val="0"/>
                  </w:pPr>
                  <w:r>
                    <w:t>《地下水质量标准》（GB/T14848-2017）Ⅲ类标准</w:t>
                  </w:r>
                </w:p>
              </w:tc>
            </w:tr>
          </w:tbl>
          <w:p w14:paraId="28FE1B3B">
            <w:pPr>
              <w:pStyle w:val="4"/>
              <w:bidi w:val="0"/>
              <w:rPr>
                <w:rFonts w:hint="default"/>
              </w:rPr>
            </w:pPr>
            <w:r>
              <w:rPr>
                <w:rFonts w:hint="eastAsia"/>
                <w:lang w:val="en-US" w:eastAsia="zh-CN"/>
              </w:rPr>
              <w:t>3.12</w:t>
            </w:r>
            <w:r>
              <w:rPr>
                <w:rFonts w:hint="default"/>
              </w:rPr>
              <w:t>生态环境保护目标</w:t>
            </w:r>
          </w:p>
          <w:p w14:paraId="7081074A">
            <w:pPr>
              <w:bidi w:val="0"/>
              <w:rPr>
                <w:rFonts w:hint="eastAsia"/>
              </w:rPr>
            </w:pPr>
            <w:r>
              <w:rPr>
                <w:rFonts w:hint="default"/>
              </w:rPr>
              <w:t>根据现场调查，项目拟建地位于洪江市安江镇龙田村海龙形。项目用地范围内无珍稀濒危动植物分布，未发现列入国家重点保护名录的野生动物及其栖息地，无名木古树、珍稀濒危植物或其他需要特殊保护的物种。区域不涉及自然生态保护区、生态保护红线等敏感区域。植被类型以人工种植的草本植物为主，少量次生灌丛，群落结构较为单一，生物多样性水平较低，项目区域生态系统敏感程度不高。</w:t>
            </w:r>
            <w:bookmarkEnd w:id="58"/>
            <w:bookmarkEnd w:id="59"/>
            <w:bookmarkEnd w:id="60"/>
            <w:bookmarkEnd w:id="61"/>
            <w:bookmarkEnd w:id="62"/>
            <w:bookmarkEnd w:id="63"/>
            <w:bookmarkEnd w:id="64"/>
            <w:bookmarkEnd w:id="65"/>
          </w:p>
        </w:tc>
      </w:tr>
      <w:tr w14:paraId="5C25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1287" w:type="dxa"/>
            <w:vAlign w:val="center"/>
          </w:tcPr>
          <w:p w14:paraId="7EB5E6B2">
            <w:pPr>
              <w:ind w:firstLine="0" w:firstLineChars="0"/>
              <w:jc w:val="center"/>
            </w:pPr>
            <w:r>
              <w:rPr>
                <w:rFonts w:hint="eastAsia"/>
              </w:rPr>
              <w:t>污染物排放控制标准</w:t>
            </w:r>
          </w:p>
        </w:tc>
        <w:tc>
          <w:tcPr>
            <w:tcW w:w="8606" w:type="dxa"/>
          </w:tcPr>
          <w:p w14:paraId="15E1CC3E">
            <w:pPr>
              <w:pStyle w:val="4"/>
            </w:pPr>
            <w:bookmarkStart w:id="66" w:name="_Toc294"/>
            <w:bookmarkStart w:id="67" w:name="_Toc2136"/>
            <w:bookmarkStart w:id="68" w:name="_Toc11855"/>
            <w:r>
              <w:rPr>
                <w:rFonts w:hint="eastAsia"/>
                <w:lang w:val="en-US" w:eastAsia="zh-CN"/>
              </w:rPr>
              <w:t>3.13</w:t>
            </w:r>
            <w:r>
              <w:t>废气</w:t>
            </w:r>
            <w:r>
              <w:rPr>
                <w:rFonts w:hint="eastAsia"/>
              </w:rPr>
              <w:t>排放</w:t>
            </w:r>
            <w:r>
              <w:t>标准</w:t>
            </w:r>
            <w:bookmarkEnd w:id="66"/>
            <w:bookmarkEnd w:id="67"/>
            <w:bookmarkEnd w:id="68"/>
          </w:p>
          <w:p w14:paraId="44ECB8ED">
            <w:pPr>
              <w:ind w:firstLine="480"/>
            </w:pPr>
            <w:r>
              <w:rPr>
                <w:rFonts w:hint="eastAsia" w:ascii="宋体" w:hAnsi="宋体" w:cs="宋体"/>
              </w:rPr>
              <w:t>①</w:t>
            </w:r>
            <w:r>
              <w:t>施工期</w:t>
            </w:r>
          </w:p>
          <w:p w14:paraId="643C355A">
            <w:pPr>
              <w:ind w:firstLine="480"/>
              <w:rPr>
                <w:rFonts w:hint="eastAsia" w:eastAsia="宋体"/>
                <w:lang w:eastAsia="zh-CN"/>
              </w:rPr>
            </w:pPr>
            <w:r>
              <w:t>施工期施工产生的扬尘、来往施工车辆的尾气、施工器械的尾气执行《大气污染物综合排放标准》（GB16297-1996）表2新污染源大气污染物排放限值中无组织排放监控浓度限值</w:t>
            </w:r>
            <w:r>
              <w:rPr>
                <w:rFonts w:hint="eastAsia"/>
                <w:lang w:eastAsia="zh-CN"/>
              </w:rPr>
              <w:t>；</w:t>
            </w:r>
            <w:r>
              <w:rPr>
                <w:rFonts w:hint="eastAsia"/>
              </w:rPr>
              <w:t>施工机械和运输车辆尾气排放还应满足《非道路移动机械用柴油机排气污染物排放限值及测量方法》（GB 20891-2014）及其修改单的相关要求</w:t>
            </w:r>
            <w:r>
              <w:rPr>
                <w:rFonts w:hint="eastAsia"/>
                <w:lang w:eastAsia="zh-CN"/>
              </w:rPr>
              <w:t>。</w:t>
            </w:r>
          </w:p>
          <w:p w14:paraId="64D29110">
            <w:pPr>
              <w:ind w:firstLine="480"/>
              <w:rPr>
                <w:rFonts w:hint="eastAsia"/>
              </w:rPr>
            </w:pPr>
            <w:r>
              <w:rPr>
                <w:rFonts w:hint="eastAsia" w:ascii="Times New Roman" w:hAnsi="Times New Roman" w:eastAsia="宋体" w:cs="Times New Roman"/>
                <w:lang w:val="en-US" w:eastAsia="zh-CN"/>
              </w:rPr>
              <w:t>②</w:t>
            </w:r>
            <w:r>
              <w:rPr>
                <w:rFonts w:hint="eastAsia"/>
              </w:rPr>
              <w:t>营运期</w:t>
            </w:r>
          </w:p>
          <w:p w14:paraId="517A871D">
            <w:pPr>
              <w:ind w:firstLine="480"/>
              <w:rPr>
                <w:lang w:bidi="ar"/>
              </w:rPr>
            </w:pPr>
            <w:r>
              <w:rPr>
                <w:rFonts w:hint="eastAsia"/>
              </w:rPr>
              <w:t>本项目无组织废气执行《大气污染物综合排放标准》（GB16297-1996）中表2新污染源大气污染物排放限值中无组织排放监控浓度限值</w:t>
            </w:r>
            <w:r>
              <w:rPr>
                <w:rFonts w:hint="eastAsia"/>
                <w:lang w:eastAsia="zh-CN"/>
              </w:rPr>
              <w:t>，</w:t>
            </w:r>
            <w:r>
              <w:t>见表</w:t>
            </w:r>
            <w:r>
              <w:rPr>
                <w:rFonts w:hint="eastAsia"/>
                <w:lang w:val="en-US" w:eastAsia="zh-CN"/>
              </w:rPr>
              <w:t>3.11-1</w:t>
            </w:r>
            <w:r>
              <w:t>。</w:t>
            </w:r>
          </w:p>
          <w:p w14:paraId="6D60E63C">
            <w:pPr>
              <w:pStyle w:val="44"/>
              <w:keepNext/>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u w:val="none"/>
                <w:lang w:bidi="ar"/>
              </w:rPr>
            </w:pPr>
            <w:r>
              <w:rPr>
                <w:rFonts w:hint="eastAsia" w:ascii="Times New Roman" w:hAnsi="Times New Roman" w:eastAsia="宋体" w:cs="Times New Roman"/>
                <w:u w:val="none"/>
                <w:lang w:bidi="ar"/>
              </w:rPr>
              <w:t>表</w:t>
            </w:r>
            <w:r>
              <w:rPr>
                <w:rFonts w:hint="eastAsia" w:cs="Times New Roman"/>
                <w:u w:val="none"/>
                <w:lang w:val="en-US" w:eastAsia="zh-CN" w:bidi="ar"/>
              </w:rPr>
              <w:t>3.13-1</w:t>
            </w:r>
            <w:r>
              <w:rPr>
                <w:rFonts w:hint="eastAsia" w:ascii="Times New Roman" w:hAnsi="Times New Roman" w:eastAsia="宋体" w:cs="Times New Roman"/>
                <w:u w:val="none"/>
                <w:lang w:bidi="ar"/>
              </w:rPr>
              <w:t>：新污染源大气污染物排放限值 单位：mg/m</w:t>
            </w:r>
            <w:r>
              <w:rPr>
                <w:rFonts w:hint="eastAsia" w:ascii="Times New Roman" w:hAnsi="Times New Roman" w:eastAsia="宋体" w:cs="Times New Roman"/>
                <w:u w:val="none"/>
                <w:vertAlign w:val="superscript"/>
                <w:lang w:bidi="ar"/>
              </w:rPr>
              <w:t>3</w:t>
            </w:r>
          </w:p>
          <w:tbl>
            <w:tblPr>
              <w:tblStyle w:val="39"/>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94"/>
              <w:gridCol w:w="2795"/>
              <w:gridCol w:w="2796"/>
            </w:tblGrid>
            <w:tr w14:paraId="67F7C8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94" w:type="dxa"/>
                  <w:vMerge w:val="restart"/>
                  <w:vAlign w:val="center"/>
                </w:tcPr>
                <w:p w14:paraId="4ADB8357">
                  <w:pPr>
                    <w:pStyle w:val="115"/>
                    <w:bidi w:val="0"/>
                    <w:jc w:val="center"/>
                    <w:rPr>
                      <w:rFonts w:hint="eastAsia" w:eastAsia="宋体"/>
                      <w:b/>
                      <w:bCs/>
                      <w:lang w:val="en-US" w:eastAsia="zh-CN"/>
                    </w:rPr>
                  </w:pPr>
                  <w:r>
                    <w:rPr>
                      <w:rFonts w:hint="eastAsia"/>
                      <w:b/>
                      <w:bCs/>
                      <w:lang w:val="en-US" w:eastAsia="zh-CN"/>
                    </w:rPr>
                    <w:t>污染物</w:t>
                  </w:r>
                </w:p>
              </w:tc>
              <w:tc>
                <w:tcPr>
                  <w:tcW w:w="5591" w:type="dxa"/>
                  <w:gridSpan w:val="2"/>
                  <w:vAlign w:val="center"/>
                </w:tcPr>
                <w:p w14:paraId="1137CAAB">
                  <w:pPr>
                    <w:pStyle w:val="115"/>
                    <w:bidi w:val="0"/>
                    <w:jc w:val="center"/>
                    <w:rPr>
                      <w:b/>
                      <w:bCs/>
                    </w:rPr>
                  </w:pPr>
                  <w:r>
                    <w:rPr>
                      <w:rFonts w:hint="eastAsia"/>
                      <w:b/>
                      <w:bCs/>
                      <w:lang w:val="en-US" w:eastAsia="zh-CN"/>
                    </w:rPr>
                    <w:t>无组织排放标准浓度限值</w:t>
                  </w:r>
                </w:p>
              </w:tc>
            </w:tr>
            <w:tr w14:paraId="381BD8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94" w:type="dxa"/>
                  <w:vMerge w:val="continue"/>
                  <w:vAlign w:val="center"/>
                </w:tcPr>
                <w:p w14:paraId="289BB870">
                  <w:pPr>
                    <w:pStyle w:val="115"/>
                    <w:bidi w:val="0"/>
                    <w:jc w:val="center"/>
                    <w:rPr>
                      <w:b/>
                      <w:bCs/>
                    </w:rPr>
                  </w:pPr>
                </w:p>
              </w:tc>
              <w:tc>
                <w:tcPr>
                  <w:tcW w:w="2795" w:type="dxa"/>
                  <w:vAlign w:val="center"/>
                </w:tcPr>
                <w:p w14:paraId="49D2DC69">
                  <w:pPr>
                    <w:pStyle w:val="115"/>
                    <w:bidi w:val="0"/>
                    <w:jc w:val="center"/>
                    <w:rPr>
                      <w:rFonts w:hint="eastAsia" w:eastAsia="宋体"/>
                      <w:b/>
                      <w:bCs/>
                      <w:lang w:val="en-US" w:eastAsia="zh-CN"/>
                    </w:rPr>
                  </w:pPr>
                  <w:r>
                    <w:rPr>
                      <w:rFonts w:hint="eastAsia"/>
                      <w:b/>
                      <w:bCs/>
                      <w:lang w:val="en-US" w:eastAsia="zh-CN"/>
                    </w:rPr>
                    <w:t>监控点</w:t>
                  </w:r>
                </w:p>
              </w:tc>
              <w:tc>
                <w:tcPr>
                  <w:tcW w:w="2796" w:type="dxa"/>
                  <w:vAlign w:val="center"/>
                </w:tcPr>
                <w:p w14:paraId="660BD69A">
                  <w:pPr>
                    <w:pStyle w:val="115"/>
                    <w:bidi w:val="0"/>
                    <w:jc w:val="center"/>
                    <w:rPr>
                      <w:rFonts w:hint="default" w:eastAsia="宋体"/>
                      <w:b/>
                      <w:bCs/>
                      <w:lang w:val="en-US" w:eastAsia="zh-CN"/>
                    </w:rPr>
                  </w:pPr>
                  <w:r>
                    <w:rPr>
                      <w:rFonts w:hint="eastAsia"/>
                      <w:b/>
                      <w:bCs/>
                      <w:lang w:val="en-US" w:eastAsia="zh-CN"/>
                    </w:rPr>
                    <w:t>浓度mg/Nm</w:t>
                  </w:r>
                  <w:r>
                    <w:rPr>
                      <w:rFonts w:hint="eastAsia"/>
                      <w:b/>
                      <w:bCs/>
                      <w:vertAlign w:val="superscript"/>
                      <w:lang w:val="en-US" w:eastAsia="zh-CN"/>
                    </w:rPr>
                    <w:t>3</w:t>
                  </w:r>
                </w:p>
              </w:tc>
            </w:tr>
            <w:tr w14:paraId="5BBCFF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94" w:type="dxa"/>
                  <w:vAlign w:val="center"/>
                </w:tcPr>
                <w:p w14:paraId="14F243DB">
                  <w:pPr>
                    <w:pStyle w:val="115"/>
                    <w:bidi w:val="0"/>
                    <w:jc w:val="center"/>
                    <w:rPr>
                      <w:rFonts w:hint="default"/>
                      <w:lang w:val="en-US" w:eastAsia="zh-CN"/>
                    </w:rPr>
                  </w:pPr>
                  <w:r>
                    <w:rPr>
                      <w:rFonts w:hint="eastAsia"/>
                      <w:lang w:val="en-US" w:eastAsia="zh-CN"/>
                    </w:rPr>
                    <w:t>颗粒物</w:t>
                  </w:r>
                </w:p>
              </w:tc>
              <w:tc>
                <w:tcPr>
                  <w:tcW w:w="2795" w:type="dxa"/>
                  <w:vAlign w:val="center"/>
                </w:tcPr>
                <w:p w14:paraId="0D7C0048">
                  <w:pPr>
                    <w:pStyle w:val="115"/>
                    <w:bidi w:val="0"/>
                    <w:jc w:val="center"/>
                  </w:pPr>
                  <w:r>
                    <w:t>周界外浓度最高点</w:t>
                  </w:r>
                </w:p>
              </w:tc>
              <w:tc>
                <w:tcPr>
                  <w:tcW w:w="2796" w:type="dxa"/>
                  <w:vAlign w:val="center"/>
                </w:tcPr>
                <w:p w14:paraId="2AB12107">
                  <w:pPr>
                    <w:pStyle w:val="115"/>
                    <w:bidi w:val="0"/>
                    <w:jc w:val="center"/>
                    <w:rPr>
                      <w:rFonts w:hint="default" w:eastAsia="宋体"/>
                      <w:lang w:val="en-US" w:eastAsia="zh-CN"/>
                    </w:rPr>
                  </w:pPr>
                  <w:r>
                    <w:rPr>
                      <w:rFonts w:hint="eastAsia"/>
                      <w:lang w:val="en-US" w:eastAsia="zh-CN"/>
                    </w:rPr>
                    <w:t>1.0</w:t>
                  </w:r>
                </w:p>
              </w:tc>
            </w:tr>
          </w:tbl>
          <w:p w14:paraId="78046674">
            <w:pPr>
              <w:pStyle w:val="4"/>
            </w:pPr>
            <w:bookmarkStart w:id="69" w:name="_Toc8529"/>
            <w:bookmarkStart w:id="70" w:name="_Toc12929"/>
            <w:bookmarkStart w:id="71" w:name="_Toc16687"/>
            <w:r>
              <w:rPr>
                <w:rFonts w:hint="eastAsia"/>
                <w:lang w:val="en-US" w:eastAsia="zh-CN"/>
              </w:rPr>
              <w:t>3.14</w:t>
            </w:r>
            <w:r>
              <w:rPr>
                <w:rFonts w:hint="eastAsia"/>
              </w:rPr>
              <w:t>废水排放</w:t>
            </w:r>
            <w:r>
              <w:t>标准</w:t>
            </w:r>
            <w:bookmarkEnd w:id="69"/>
            <w:bookmarkEnd w:id="70"/>
            <w:bookmarkEnd w:id="71"/>
          </w:p>
          <w:p w14:paraId="291B0866">
            <w:pPr>
              <w:bidi w:val="0"/>
              <w:rPr>
                <w:rFonts w:hint="default" w:ascii="Times New Roman" w:hAnsi="Times New Roman" w:eastAsia="宋体" w:cs="Times New Roman"/>
                <w:lang w:val="en-US" w:eastAsia="zh-CN"/>
              </w:rPr>
            </w:pPr>
            <w:r>
              <w:rPr>
                <w:rFonts w:hint="default" w:ascii="Times New Roman" w:hAnsi="Times New Roman" w:eastAsia="宋体" w:cs="Times New Roman"/>
              </w:rPr>
              <w:t>施工期：本项目施工</w:t>
            </w:r>
            <w:r>
              <w:rPr>
                <w:rFonts w:hint="eastAsia" w:ascii="Times New Roman" w:hAnsi="Times New Roman" w:eastAsia="宋体" w:cs="Times New Roman"/>
                <w:lang w:val="en-US" w:eastAsia="zh-CN"/>
              </w:rPr>
              <w:t>产生的员工生活</w:t>
            </w:r>
            <w:r>
              <w:rPr>
                <w:rFonts w:hint="default" w:ascii="Times New Roman" w:hAnsi="Times New Roman" w:eastAsia="宋体" w:cs="Times New Roman"/>
              </w:rPr>
              <w:t>废水依托</w:t>
            </w:r>
            <w:r>
              <w:rPr>
                <w:rFonts w:hint="default" w:ascii="Times New Roman" w:hAnsi="Times New Roman" w:eastAsia="宋体" w:cs="Times New Roman"/>
                <w:lang w:val="en-US" w:eastAsia="zh-CN"/>
              </w:rPr>
              <w:t>周边居民</w:t>
            </w:r>
            <w:r>
              <w:rPr>
                <w:rFonts w:hint="default" w:ascii="Times New Roman" w:hAnsi="Times New Roman" w:eastAsia="宋体" w:cs="Times New Roman"/>
              </w:rPr>
              <w:t>化粪池收集定期清掏作农肥，无外排</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施工废水经临时沉淀池收集处理后回用，不外排</w:t>
            </w:r>
            <w:r>
              <w:rPr>
                <w:rFonts w:hint="default" w:ascii="Times New Roman" w:hAnsi="Times New Roman" w:eastAsia="宋体" w:cs="Times New Roman"/>
              </w:rPr>
              <w:t>。</w:t>
            </w:r>
            <w:r>
              <w:rPr>
                <w:rFonts w:hint="eastAsia" w:cs="Times New Roman"/>
                <w:u w:val="single"/>
                <w:lang w:val="en-US" w:eastAsia="zh-CN"/>
              </w:rPr>
              <w:t>现有矿坑积水达到《污水综合排放标准》（GB8978-1996）一级标准后外排至洪溪。</w:t>
            </w:r>
          </w:p>
          <w:p w14:paraId="06A7CCD4">
            <w:pPr>
              <w:bidi w:val="0"/>
              <w:rPr>
                <w:rFonts w:hint="default" w:ascii="Times New Roman" w:hAnsi="Times New Roman" w:eastAsia="宋体" w:cs="Times New Roman"/>
                <w:u w:val="single"/>
              </w:rPr>
            </w:pPr>
            <w:r>
              <w:rPr>
                <w:rFonts w:hint="default" w:ascii="Times New Roman" w:hAnsi="Times New Roman" w:eastAsia="宋体" w:cs="Times New Roman"/>
              </w:rPr>
              <w:t>营运期：项目</w:t>
            </w:r>
            <w:r>
              <w:rPr>
                <w:rFonts w:hint="eastAsia" w:ascii="Times New Roman" w:hAnsi="Times New Roman" w:eastAsia="宋体" w:cs="Times New Roman"/>
                <w:lang w:val="en-US" w:eastAsia="zh-CN"/>
              </w:rPr>
              <w:t>建筑垃圾消纳场洗车废水</w:t>
            </w:r>
            <w:r>
              <w:rPr>
                <w:rFonts w:hint="default" w:ascii="Times New Roman" w:hAnsi="Times New Roman" w:eastAsia="宋体" w:cs="Times New Roman"/>
              </w:rPr>
              <w:t>循环使用不外排</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生活污水经化粪池收集后外运作为农肥</w:t>
            </w:r>
            <w:r>
              <w:rPr>
                <w:rFonts w:hint="eastAsia" w:ascii="Times New Roman" w:hAnsi="Times New Roman" w:eastAsia="宋体" w:cs="Times New Roman"/>
                <w:lang w:val="en-US" w:eastAsia="zh-CN"/>
              </w:rPr>
              <w:t>，</w:t>
            </w:r>
            <w:r>
              <w:rPr>
                <w:rFonts w:hint="eastAsia" w:ascii="Times New Roman" w:hAnsi="Times New Roman" w:eastAsia="宋体" w:cs="Times New Roman"/>
                <w:u w:val="single"/>
                <w:lang w:val="en-US" w:eastAsia="zh-CN"/>
              </w:rPr>
              <w:t>下雨导致建筑垃圾</w:t>
            </w:r>
            <w:r>
              <w:rPr>
                <w:rFonts w:hint="eastAsia" w:cs="Times New Roman"/>
                <w:u w:val="single"/>
                <w:lang w:val="en-US" w:eastAsia="zh-CN"/>
              </w:rPr>
              <w:t>堆填场</w:t>
            </w:r>
            <w:r>
              <w:rPr>
                <w:rFonts w:hint="eastAsia" w:ascii="Times New Roman" w:hAnsi="Times New Roman" w:eastAsia="宋体" w:cs="Times New Roman"/>
                <w:u w:val="single"/>
                <w:lang w:val="en-US" w:eastAsia="zh-CN"/>
              </w:rPr>
              <w:t>坑底产生的</w:t>
            </w:r>
            <w:r>
              <w:rPr>
                <w:rFonts w:hint="eastAsia" w:cs="Times New Roman"/>
                <w:u w:val="single"/>
                <w:lang w:val="en-US" w:eastAsia="zh-CN"/>
              </w:rPr>
              <w:t>淋滤水</w:t>
            </w:r>
            <w:r>
              <w:rPr>
                <w:rFonts w:hint="eastAsia" w:ascii="Times New Roman" w:hAnsi="Times New Roman" w:eastAsia="宋体" w:cs="Times New Roman"/>
                <w:u w:val="single"/>
                <w:lang w:val="en-US" w:eastAsia="zh-CN"/>
              </w:rPr>
              <w:t>将经抽水泵抽取</w:t>
            </w:r>
            <w:r>
              <w:rPr>
                <w:rFonts w:hint="eastAsia" w:cs="Times New Roman"/>
                <w:u w:val="single"/>
                <w:lang w:val="en-US" w:eastAsia="zh-CN"/>
              </w:rPr>
              <w:t>后沉淀后达到《污水综合排放标准》（GB8978-1996）一级标准后汇入沟渠排放至洪溪</w:t>
            </w:r>
            <w:r>
              <w:rPr>
                <w:rFonts w:hint="default" w:ascii="Times New Roman" w:hAnsi="Times New Roman" w:eastAsia="宋体" w:cs="Times New Roman"/>
                <w:u w:val="single"/>
              </w:rPr>
              <w:t>。</w:t>
            </w:r>
          </w:p>
          <w:p w14:paraId="7BB8A1FC">
            <w:pPr>
              <w:pStyle w:val="44"/>
              <w:bidi w:val="0"/>
              <w:rPr>
                <w:rFonts w:hint="default"/>
                <w:u w:val="single"/>
              </w:rPr>
            </w:pPr>
            <w:r>
              <w:rPr>
                <w:rFonts w:hint="default"/>
                <w:u w:val="single"/>
              </w:rPr>
              <w:t>表</w:t>
            </w:r>
            <w:r>
              <w:rPr>
                <w:rFonts w:hint="eastAsia"/>
                <w:u w:val="single"/>
                <w:lang w:val="en-US" w:eastAsia="zh-CN"/>
              </w:rPr>
              <w:t>3.14-1</w:t>
            </w:r>
            <w:r>
              <w:rPr>
                <w:rFonts w:hint="default"/>
                <w:u w:val="single"/>
              </w:rPr>
              <w:t>：《污水综合排放标准》（GB8978-1996）一级标准</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3957"/>
              <w:gridCol w:w="3547"/>
            </w:tblGrid>
            <w:tr w14:paraId="4489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36780193">
                  <w:pPr>
                    <w:pStyle w:val="115"/>
                    <w:bidi w:val="0"/>
                    <w:jc w:val="center"/>
                    <w:rPr>
                      <w:rFonts w:hint="default"/>
                      <w:b/>
                      <w:bCs/>
                      <w:u w:val="single"/>
                    </w:rPr>
                  </w:pPr>
                  <w:r>
                    <w:rPr>
                      <w:rFonts w:hint="default"/>
                      <w:b/>
                      <w:bCs/>
                      <w:u w:val="single"/>
                    </w:rPr>
                    <w:t>序号</w:t>
                  </w:r>
                </w:p>
              </w:tc>
              <w:tc>
                <w:tcPr>
                  <w:tcW w:w="3957" w:type="dxa"/>
                  <w:noWrap w:val="0"/>
                  <w:vAlign w:val="center"/>
                </w:tcPr>
                <w:p w14:paraId="45514099">
                  <w:pPr>
                    <w:pStyle w:val="115"/>
                    <w:bidi w:val="0"/>
                    <w:jc w:val="center"/>
                    <w:rPr>
                      <w:rFonts w:hint="default"/>
                      <w:b/>
                      <w:bCs/>
                      <w:u w:val="single"/>
                    </w:rPr>
                  </w:pPr>
                  <w:r>
                    <w:rPr>
                      <w:rFonts w:hint="default"/>
                      <w:b/>
                      <w:bCs/>
                      <w:u w:val="single"/>
                    </w:rPr>
                    <w:t>基本控制项目</w:t>
                  </w:r>
                </w:p>
              </w:tc>
              <w:tc>
                <w:tcPr>
                  <w:tcW w:w="3547" w:type="dxa"/>
                  <w:noWrap w:val="0"/>
                  <w:vAlign w:val="center"/>
                </w:tcPr>
                <w:p w14:paraId="4914A9D2">
                  <w:pPr>
                    <w:pStyle w:val="115"/>
                    <w:bidi w:val="0"/>
                    <w:jc w:val="center"/>
                    <w:rPr>
                      <w:rFonts w:hint="default"/>
                      <w:b/>
                      <w:bCs/>
                      <w:u w:val="single"/>
                    </w:rPr>
                  </w:pPr>
                  <w:r>
                    <w:rPr>
                      <w:rFonts w:hint="default"/>
                      <w:b/>
                      <w:bCs/>
                      <w:u w:val="single"/>
                    </w:rPr>
                    <w:t>一级标准（mg/L）</w:t>
                  </w:r>
                </w:p>
              </w:tc>
            </w:tr>
            <w:tr w14:paraId="6631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shd w:val="clear" w:color="auto" w:fill="auto"/>
                  <w:noWrap w:val="0"/>
                  <w:vAlign w:val="center"/>
                </w:tcPr>
                <w:p w14:paraId="6B6C3337">
                  <w:pPr>
                    <w:pStyle w:val="115"/>
                    <w:bidi w:val="0"/>
                    <w:ind w:firstLine="0" w:firstLineChars="0"/>
                    <w:jc w:val="center"/>
                    <w:rPr>
                      <w:rFonts w:hint="default" w:ascii="Times New Roman" w:hAnsi="Times New Roman" w:eastAsia="宋体" w:cs="Times New Roman"/>
                      <w:kern w:val="0"/>
                      <w:sz w:val="21"/>
                      <w:szCs w:val="24"/>
                      <w:u w:val="single"/>
                      <w:lang w:val="en-US" w:eastAsia="zh-CN" w:bidi="ar-SA"/>
                    </w:rPr>
                  </w:pPr>
                  <w:r>
                    <w:rPr>
                      <w:rFonts w:hint="default"/>
                      <w:u w:val="single"/>
                    </w:rPr>
                    <w:t>1</w:t>
                  </w:r>
                </w:p>
              </w:tc>
              <w:tc>
                <w:tcPr>
                  <w:tcW w:w="3957" w:type="dxa"/>
                  <w:shd w:val="clear" w:color="auto" w:fill="auto"/>
                  <w:noWrap w:val="0"/>
                  <w:vAlign w:val="center"/>
                </w:tcPr>
                <w:p w14:paraId="3814BD6B">
                  <w:pPr>
                    <w:pStyle w:val="115"/>
                    <w:bidi w:val="0"/>
                    <w:ind w:firstLine="0" w:firstLineChars="0"/>
                    <w:jc w:val="center"/>
                    <w:rPr>
                      <w:rFonts w:hint="default" w:ascii="Times New Roman" w:hAnsi="Times New Roman" w:eastAsia="宋体" w:cs="Times New Roman"/>
                      <w:kern w:val="0"/>
                      <w:sz w:val="21"/>
                      <w:szCs w:val="24"/>
                      <w:u w:val="single"/>
                      <w:lang w:val="en-US" w:eastAsia="zh-CN" w:bidi="ar-SA"/>
                    </w:rPr>
                  </w:pPr>
                  <w:r>
                    <w:rPr>
                      <w:rFonts w:hint="default"/>
                      <w:u w:val="single"/>
                    </w:rPr>
                    <w:t>pH（无量纲）</w:t>
                  </w:r>
                </w:p>
              </w:tc>
              <w:tc>
                <w:tcPr>
                  <w:tcW w:w="3547" w:type="dxa"/>
                  <w:shd w:val="clear" w:color="auto" w:fill="auto"/>
                  <w:noWrap w:val="0"/>
                  <w:vAlign w:val="center"/>
                </w:tcPr>
                <w:p w14:paraId="3095BA38">
                  <w:pPr>
                    <w:pStyle w:val="115"/>
                    <w:bidi w:val="0"/>
                    <w:ind w:firstLine="0" w:firstLineChars="0"/>
                    <w:jc w:val="center"/>
                    <w:rPr>
                      <w:rFonts w:hint="default" w:ascii="Times New Roman" w:hAnsi="Times New Roman" w:eastAsia="宋体" w:cs="Times New Roman"/>
                      <w:kern w:val="0"/>
                      <w:sz w:val="21"/>
                      <w:szCs w:val="24"/>
                      <w:u w:val="single"/>
                      <w:lang w:val="en-US" w:eastAsia="zh-CN" w:bidi="ar-SA"/>
                    </w:rPr>
                  </w:pPr>
                  <w:r>
                    <w:rPr>
                      <w:rFonts w:hint="default"/>
                      <w:u w:val="single"/>
                    </w:rPr>
                    <w:t>6-9</w:t>
                  </w:r>
                </w:p>
              </w:tc>
            </w:tr>
            <w:tr w14:paraId="5EB2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shd w:val="clear" w:color="auto" w:fill="auto"/>
                  <w:noWrap w:val="0"/>
                  <w:vAlign w:val="center"/>
                </w:tcPr>
                <w:p w14:paraId="3BFD69C2">
                  <w:pPr>
                    <w:pStyle w:val="115"/>
                    <w:bidi w:val="0"/>
                    <w:ind w:firstLine="0" w:firstLineChars="0"/>
                    <w:jc w:val="center"/>
                    <w:rPr>
                      <w:rFonts w:hint="default" w:ascii="Times New Roman" w:hAnsi="Times New Roman" w:eastAsia="宋体" w:cs="Times New Roman"/>
                      <w:kern w:val="0"/>
                      <w:sz w:val="21"/>
                      <w:szCs w:val="24"/>
                      <w:u w:val="single"/>
                      <w:lang w:val="en-US" w:eastAsia="zh-CN" w:bidi="ar-SA"/>
                    </w:rPr>
                  </w:pPr>
                  <w:r>
                    <w:rPr>
                      <w:rFonts w:hint="default"/>
                      <w:u w:val="single"/>
                    </w:rPr>
                    <w:t>2</w:t>
                  </w:r>
                </w:p>
              </w:tc>
              <w:tc>
                <w:tcPr>
                  <w:tcW w:w="3957" w:type="dxa"/>
                  <w:shd w:val="clear" w:color="auto" w:fill="auto"/>
                  <w:noWrap w:val="0"/>
                  <w:vAlign w:val="center"/>
                </w:tcPr>
                <w:p w14:paraId="0B062C26">
                  <w:pPr>
                    <w:pStyle w:val="115"/>
                    <w:bidi w:val="0"/>
                    <w:ind w:firstLine="0" w:firstLineChars="0"/>
                    <w:jc w:val="center"/>
                    <w:rPr>
                      <w:rFonts w:hint="default" w:ascii="Times New Roman" w:hAnsi="Times New Roman" w:eastAsia="宋体" w:cs="Times New Roman"/>
                      <w:kern w:val="0"/>
                      <w:sz w:val="21"/>
                      <w:szCs w:val="24"/>
                      <w:u w:val="single"/>
                      <w:lang w:val="en-US" w:eastAsia="zh-CN" w:bidi="ar-SA"/>
                    </w:rPr>
                  </w:pPr>
                  <w:r>
                    <w:rPr>
                      <w:rFonts w:hint="default"/>
                      <w:u w:val="single"/>
                    </w:rPr>
                    <w:t>化学需氧量</w:t>
                  </w:r>
                </w:p>
              </w:tc>
              <w:tc>
                <w:tcPr>
                  <w:tcW w:w="3547" w:type="dxa"/>
                  <w:shd w:val="clear" w:color="auto" w:fill="auto"/>
                  <w:noWrap w:val="0"/>
                  <w:vAlign w:val="center"/>
                </w:tcPr>
                <w:p w14:paraId="029FCB4F">
                  <w:pPr>
                    <w:pStyle w:val="115"/>
                    <w:bidi w:val="0"/>
                    <w:ind w:firstLine="0" w:firstLineChars="0"/>
                    <w:jc w:val="center"/>
                    <w:rPr>
                      <w:rFonts w:hint="eastAsia" w:ascii="Times New Roman" w:hAnsi="Times New Roman" w:eastAsia="宋体" w:cs="Times New Roman"/>
                      <w:kern w:val="0"/>
                      <w:sz w:val="21"/>
                      <w:szCs w:val="24"/>
                      <w:u w:val="single"/>
                      <w:lang w:val="en-US" w:eastAsia="zh-CN" w:bidi="ar-SA"/>
                    </w:rPr>
                  </w:pPr>
                  <w:r>
                    <w:rPr>
                      <w:rFonts w:hint="eastAsia"/>
                      <w:u w:val="single"/>
                      <w:lang w:val="en-US" w:eastAsia="zh-CN"/>
                    </w:rPr>
                    <w:t>100</w:t>
                  </w:r>
                </w:p>
              </w:tc>
            </w:tr>
            <w:tr w14:paraId="47F7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73B0545E">
                  <w:pPr>
                    <w:pStyle w:val="115"/>
                    <w:bidi w:val="0"/>
                    <w:ind w:firstLine="0" w:firstLineChars="0"/>
                    <w:jc w:val="center"/>
                    <w:rPr>
                      <w:rFonts w:hint="default"/>
                      <w:u w:val="single"/>
                    </w:rPr>
                  </w:pPr>
                  <w:r>
                    <w:rPr>
                      <w:rFonts w:hint="default"/>
                      <w:u w:val="single"/>
                    </w:rPr>
                    <w:t>3</w:t>
                  </w:r>
                </w:p>
              </w:tc>
              <w:tc>
                <w:tcPr>
                  <w:tcW w:w="3957" w:type="dxa"/>
                  <w:noWrap w:val="0"/>
                  <w:vAlign w:val="center"/>
                </w:tcPr>
                <w:p w14:paraId="0EA1522E">
                  <w:pPr>
                    <w:pStyle w:val="115"/>
                    <w:bidi w:val="0"/>
                    <w:jc w:val="center"/>
                    <w:rPr>
                      <w:rFonts w:hint="default"/>
                      <w:u w:val="single"/>
                    </w:rPr>
                  </w:pPr>
                  <w:r>
                    <w:rPr>
                      <w:rFonts w:hint="default"/>
                      <w:u w:val="single"/>
                    </w:rPr>
                    <w:t>五日生化需氧量</w:t>
                  </w:r>
                </w:p>
              </w:tc>
              <w:tc>
                <w:tcPr>
                  <w:tcW w:w="3547" w:type="dxa"/>
                  <w:noWrap w:val="0"/>
                  <w:vAlign w:val="center"/>
                </w:tcPr>
                <w:p w14:paraId="7CE44265">
                  <w:pPr>
                    <w:pStyle w:val="115"/>
                    <w:bidi w:val="0"/>
                    <w:jc w:val="center"/>
                    <w:rPr>
                      <w:rFonts w:hint="default" w:eastAsia="宋体"/>
                      <w:u w:val="single"/>
                      <w:lang w:val="en-US" w:eastAsia="zh-CN"/>
                    </w:rPr>
                  </w:pPr>
                  <w:r>
                    <w:rPr>
                      <w:rFonts w:hint="eastAsia"/>
                      <w:u w:val="single"/>
                      <w:lang w:val="en-US" w:eastAsia="zh-CN"/>
                    </w:rPr>
                    <w:t>20</w:t>
                  </w:r>
                </w:p>
              </w:tc>
            </w:tr>
            <w:tr w14:paraId="2A6D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6B549550">
                  <w:pPr>
                    <w:pStyle w:val="115"/>
                    <w:bidi w:val="0"/>
                    <w:ind w:firstLine="0" w:firstLineChars="0"/>
                    <w:jc w:val="center"/>
                    <w:rPr>
                      <w:rFonts w:hint="default"/>
                      <w:u w:val="single"/>
                    </w:rPr>
                  </w:pPr>
                  <w:r>
                    <w:rPr>
                      <w:rFonts w:hint="default"/>
                      <w:u w:val="single"/>
                    </w:rPr>
                    <w:t>4</w:t>
                  </w:r>
                </w:p>
              </w:tc>
              <w:tc>
                <w:tcPr>
                  <w:tcW w:w="3957" w:type="dxa"/>
                  <w:noWrap w:val="0"/>
                  <w:vAlign w:val="center"/>
                </w:tcPr>
                <w:p w14:paraId="5DF1D9C1">
                  <w:pPr>
                    <w:pStyle w:val="115"/>
                    <w:bidi w:val="0"/>
                    <w:jc w:val="center"/>
                    <w:rPr>
                      <w:rFonts w:hint="default"/>
                      <w:u w:val="single"/>
                    </w:rPr>
                  </w:pPr>
                  <w:r>
                    <w:rPr>
                      <w:rFonts w:hint="default"/>
                      <w:u w:val="single"/>
                    </w:rPr>
                    <w:t>悬浮物</w:t>
                  </w:r>
                </w:p>
              </w:tc>
              <w:tc>
                <w:tcPr>
                  <w:tcW w:w="3547" w:type="dxa"/>
                  <w:noWrap w:val="0"/>
                  <w:vAlign w:val="center"/>
                </w:tcPr>
                <w:p w14:paraId="0334481A">
                  <w:pPr>
                    <w:pStyle w:val="115"/>
                    <w:bidi w:val="0"/>
                    <w:jc w:val="center"/>
                    <w:rPr>
                      <w:rFonts w:hint="default" w:eastAsia="宋体"/>
                      <w:u w:val="single"/>
                      <w:lang w:val="en-US" w:eastAsia="zh-CN"/>
                    </w:rPr>
                  </w:pPr>
                  <w:r>
                    <w:rPr>
                      <w:rFonts w:hint="eastAsia"/>
                      <w:u w:val="single"/>
                      <w:lang w:val="en-US" w:eastAsia="zh-CN"/>
                    </w:rPr>
                    <w:t>70</w:t>
                  </w:r>
                </w:p>
              </w:tc>
            </w:tr>
            <w:tr w14:paraId="173A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441B21E2">
                  <w:pPr>
                    <w:pStyle w:val="115"/>
                    <w:bidi w:val="0"/>
                    <w:ind w:firstLine="0" w:firstLineChars="0"/>
                    <w:jc w:val="center"/>
                    <w:rPr>
                      <w:rFonts w:hint="default"/>
                      <w:u w:val="single"/>
                    </w:rPr>
                  </w:pPr>
                  <w:r>
                    <w:rPr>
                      <w:rFonts w:hint="default"/>
                      <w:u w:val="single"/>
                    </w:rPr>
                    <w:t>5</w:t>
                  </w:r>
                </w:p>
              </w:tc>
              <w:tc>
                <w:tcPr>
                  <w:tcW w:w="3957" w:type="dxa"/>
                  <w:noWrap w:val="0"/>
                  <w:vAlign w:val="center"/>
                </w:tcPr>
                <w:p w14:paraId="48C0EF70">
                  <w:pPr>
                    <w:pStyle w:val="115"/>
                    <w:bidi w:val="0"/>
                    <w:jc w:val="center"/>
                    <w:rPr>
                      <w:rFonts w:hint="default"/>
                      <w:u w:val="single"/>
                    </w:rPr>
                  </w:pPr>
                  <w:r>
                    <w:rPr>
                      <w:rFonts w:hint="default"/>
                      <w:u w:val="single"/>
                    </w:rPr>
                    <w:t>动植物油</w:t>
                  </w:r>
                </w:p>
              </w:tc>
              <w:tc>
                <w:tcPr>
                  <w:tcW w:w="3547" w:type="dxa"/>
                  <w:noWrap w:val="0"/>
                  <w:vAlign w:val="center"/>
                </w:tcPr>
                <w:p w14:paraId="35A51340">
                  <w:pPr>
                    <w:pStyle w:val="115"/>
                    <w:bidi w:val="0"/>
                    <w:jc w:val="center"/>
                    <w:rPr>
                      <w:rFonts w:hint="default" w:eastAsia="宋体"/>
                      <w:u w:val="single"/>
                      <w:lang w:val="en-US" w:eastAsia="zh-CN"/>
                    </w:rPr>
                  </w:pPr>
                  <w:r>
                    <w:rPr>
                      <w:rFonts w:hint="eastAsia"/>
                      <w:u w:val="single"/>
                      <w:lang w:val="en-US" w:eastAsia="zh-CN"/>
                    </w:rPr>
                    <w:t>10</w:t>
                  </w:r>
                </w:p>
              </w:tc>
            </w:tr>
            <w:tr w14:paraId="3C6F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5A7FC321">
                  <w:pPr>
                    <w:pStyle w:val="115"/>
                    <w:bidi w:val="0"/>
                    <w:ind w:firstLine="0" w:firstLineChars="0"/>
                    <w:jc w:val="center"/>
                    <w:rPr>
                      <w:rFonts w:hint="default"/>
                      <w:u w:val="single"/>
                    </w:rPr>
                  </w:pPr>
                  <w:r>
                    <w:rPr>
                      <w:rFonts w:hint="default"/>
                      <w:u w:val="single"/>
                    </w:rPr>
                    <w:t>6</w:t>
                  </w:r>
                </w:p>
              </w:tc>
              <w:tc>
                <w:tcPr>
                  <w:tcW w:w="3957" w:type="dxa"/>
                  <w:noWrap w:val="0"/>
                  <w:vAlign w:val="center"/>
                </w:tcPr>
                <w:p w14:paraId="7C9412BE">
                  <w:pPr>
                    <w:pStyle w:val="115"/>
                    <w:bidi w:val="0"/>
                    <w:jc w:val="center"/>
                    <w:rPr>
                      <w:rFonts w:hint="default"/>
                      <w:u w:val="single"/>
                    </w:rPr>
                  </w:pPr>
                  <w:r>
                    <w:rPr>
                      <w:rFonts w:hint="default"/>
                      <w:u w:val="single"/>
                    </w:rPr>
                    <w:t>石油类</w:t>
                  </w:r>
                </w:p>
              </w:tc>
              <w:tc>
                <w:tcPr>
                  <w:tcW w:w="3547" w:type="dxa"/>
                  <w:noWrap w:val="0"/>
                  <w:vAlign w:val="center"/>
                </w:tcPr>
                <w:p w14:paraId="07150B93">
                  <w:pPr>
                    <w:pStyle w:val="115"/>
                    <w:bidi w:val="0"/>
                    <w:jc w:val="center"/>
                    <w:rPr>
                      <w:rFonts w:hint="eastAsia" w:eastAsia="宋体"/>
                      <w:u w:val="single"/>
                      <w:lang w:eastAsia="zh-CN"/>
                    </w:rPr>
                  </w:pPr>
                  <w:r>
                    <w:rPr>
                      <w:rFonts w:hint="eastAsia"/>
                      <w:u w:val="single"/>
                      <w:lang w:val="en-US" w:eastAsia="zh-CN"/>
                    </w:rPr>
                    <w:t>5</w:t>
                  </w:r>
                </w:p>
              </w:tc>
            </w:tr>
            <w:tr w14:paraId="77E6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dxa"/>
                  <w:noWrap w:val="0"/>
                  <w:vAlign w:val="center"/>
                </w:tcPr>
                <w:p w14:paraId="13E994D5">
                  <w:pPr>
                    <w:pStyle w:val="115"/>
                    <w:bidi w:val="0"/>
                    <w:jc w:val="center"/>
                    <w:rPr>
                      <w:rFonts w:hint="eastAsia" w:eastAsia="宋体"/>
                      <w:u w:val="single"/>
                      <w:lang w:val="en-US" w:eastAsia="zh-CN"/>
                    </w:rPr>
                  </w:pPr>
                  <w:r>
                    <w:rPr>
                      <w:rFonts w:hint="eastAsia"/>
                      <w:u w:val="single"/>
                      <w:lang w:val="en-US" w:eastAsia="zh-CN"/>
                    </w:rPr>
                    <w:t>7</w:t>
                  </w:r>
                </w:p>
              </w:tc>
              <w:tc>
                <w:tcPr>
                  <w:tcW w:w="3957" w:type="dxa"/>
                  <w:noWrap w:val="0"/>
                  <w:vAlign w:val="center"/>
                </w:tcPr>
                <w:p w14:paraId="13E2B028">
                  <w:pPr>
                    <w:pStyle w:val="115"/>
                    <w:bidi w:val="0"/>
                    <w:jc w:val="center"/>
                    <w:rPr>
                      <w:rFonts w:hint="default"/>
                      <w:u w:val="single"/>
                    </w:rPr>
                  </w:pPr>
                  <w:r>
                    <w:rPr>
                      <w:rFonts w:hint="default"/>
                      <w:u w:val="single"/>
                    </w:rPr>
                    <w:t>氨氮</w:t>
                  </w:r>
                </w:p>
              </w:tc>
              <w:tc>
                <w:tcPr>
                  <w:tcW w:w="3547" w:type="dxa"/>
                  <w:noWrap w:val="0"/>
                  <w:vAlign w:val="center"/>
                </w:tcPr>
                <w:p w14:paraId="7216252A">
                  <w:pPr>
                    <w:pStyle w:val="115"/>
                    <w:bidi w:val="0"/>
                    <w:jc w:val="center"/>
                    <w:rPr>
                      <w:rFonts w:hint="default" w:eastAsia="宋体"/>
                      <w:u w:val="single"/>
                      <w:lang w:val="en-US" w:eastAsia="zh-CN"/>
                    </w:rPr>
                  </w:pPr>
                  <w:r>
                    <w:rPr>
                      <w:rFonts w:hint="eastAsia"/>
                      <w:u w:val="single"/>
                      <w:lang w:val="en-US" w:eastAsia="zh-CN"/>
                    </w:rPr>
                    <w:t>15</w:t>
                  </w:r>
                </w:p>
              </w:tc>
            </w:tr>
          </w:tbl>
          <w:p w14:paraId="13DC06D3">
            <w:pPr>
              <w:pStyle w:val="4"/>
            </w:pPr>
            <w:bookmarkStart w:id="72" w:name="_Toc12282"/>
            <w:bookmarkStart w:id="73" w:name="_Toc20281"/>
            <w:bookmarkStart w:id="74" w:name="_Toc23549"/>
            <w:r>
              <w:rPr>
                <w:rFonts w:hint="eastAsia"/>
                <w:lang w:val="en-US" w:eastAsia="zh-CN"/>
              </w:rPr>
              <w:t>3.15</w:t>
            </w:r>
            <w:r>
              <w:t>噪声</w:t>
            </w:r>
            <w:r>
              <w:rPr>
                <w:rFonts w:hint="eastAsia"/>
              </w:rPr>
              <w:t>排放</w:t>
            </w:r>
            <w:r>
              <w:t>标准</w:t>
            </w:r>
            <w:bookmarkEnd w:id="72"/>
            <w:bookmarkEnd w:id="73"/>
            <w:bookmarkEnd w:id="74"/>
          </w:p>
          <w:p w14:paraId="70B3E6B7">
            <w:pPr>
              <w:bidi w:val="0"/>
              <w:rPr>
                <w:rFonts w:hint="default" w:ascii="Times New Roman" w:hAnsi="Times New Roman" w:eastAsia="宋体" w:cs="Times New Roman"/>
              </w:rPr>
            </w:pPr>
            <w:r>
              <w:rPr>
                <w:rFonts w:hint="default" w:ascii="Times New Roman" w:hAnsi="Times New Roman" w:eastAsia="宋体" w:cs="Times New Roman"/>
              </w:rPr>
              <w:t>施工期执行《建筑施工</w:t>
            </w:r>
            <w:r>
              <w:rPr>
                <w:rFonts w:hint="eastAsia" w:cs="Times New Roman"/>
                <w:lang w:val="en-US" w:eastAsia="zh-CN"/>
              </w:rPr>
              <w:t>场界</w:t>
            </w:r>
            <w:r>
              <w:rPr>
                <w:rFonts w:hint="default" w:ascii="Times New Roman" w:hAnsi="Times New Roman" w:eastAsia="宋体" w:cs="Times New Roman"/>
              </w:rPr>
              <w:t>噪声排放标准》（GB12523-</w:t>
            </w:r>
            <w:r>
              <w:rPr>
                <w:rFonts w:hint="eastAsia" w:ascii="Times New Roman" w:hAnsi="Times New Roman" w:eastAsia="宋体" w:cs="Times New Roman"/>
                <w:lang w:val="en-US" w:eastAsia="zh-CN"/>
              </w:rPr>
              <w:t>2025</w:t>
            </w:r>
            <w:r>
              <w:rPr>
                <w:rFonts w:hint="default" w:ascii="Times New Roman" w:hAnsi="Times New Roman" w:eastAsia="宋体" w:cs="Times New Roman"/>
              </w:rPr>
              <w:t>）中表1规定的排放规定，运营期执行《工业企业厂界环境噪声排放标准》（GB12348-2008）表1中2类标准</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其中</w:t>
            </w:r>
            <w:r>
              <w:rPr>
                <w:rFonts w:hint="eastAsia" w:ascii="Times New Roman" w:hAnsi="Times New Roman" w:eastAsia="宋体" w:cs="Times New Roman"/>
                <w:lang w:val="en-US" w:eastAsia="zh-CN"/>
              </w:rPr>
              <w:t>建筑垃圾</w:t>
            </w:r>
            <w:r>
              <w:rPr>
                <w:rFonts w:hint="eastAsia" w:cs="Times New Roman"/>
                <w:lang w:val="en-US" w:eastAsia="zh-CN"/>
              </w:rPr>
              <w:t>堆填场</w:t>
            </w:r>
            <w:r>
              <w:rPr>
                <w:rFonts w:hint="default" w:ascii="Times New Roman" w:hAnsi="Times New Roman" w:eastAsia="宋体" w:cs="Times New Roman"/>
              </w:rPr>
              <w:t>靠近G</w:t>
            </w:r>
            <w:r>
              <w:rPr>
                <w:rFonts w:hint="eastAsia" w:ascii="Times New Roman" w:hAnsi="Times New Roman" w:eastAsia="宋体" w:cs="Times New Roman"/>
                <w:lang w:val="en-US" w:eastAsia="zh-CN"/>
              </w:rPr>
              <w:t>320</w:t>
            </w:r>
            <w:r>
              <w:rPr>
                <w:rFonts w:hint="default" w:ascii="Times New Roman" w:hAnsi="Times New Roman" w:eastAsia="宋体" w:cs="Times New Roman"/>
              </w:rPr>
              <w:t>国道35米范围内执行4类标准。</w:t>
            </w:r>
          </w:p>
          <w:p w14:paraId="5A8019EA">
            <w:pPr>
              <w:pStyle w:val="44"/>
              <w:bidi w:val="0"/>
              <w:rPr>
                <w:rFonts w:hint="default"/>
                <w:lang w:val="en-US" w:eastAsia="zh-CN"/>
              </w:rPr>
            </w:pPr>
            <w:r>
              <w:rPr>
                <w:rFonts w:hint="default"/>
                <w:lang w:val="en-US" w:eastAsia="zh-CN"/>
              </w:rPr>
              <w:t>表</w:t>
            </w:r>
            <w:r>
              <w:rPr>
                <w:rFonts w:hint="eastAsia"/>
                <w:lang w:val="en-US" w:eastAsia="zh-CN"/>
              </w:rPr>
              <w:t>3.15-1：</w:t>
            </w:r>
            <w:r>
              <w:rPr>
                <w:rFonts w:hint="default"/>
                <w:lang w:val="en-US" w:eastAsia="zh-CN"/>
              </w:rPr>
              <w:t>《建筑施工</w:t>
            </w:r>
            <w:r>
              <w:rPr>
                <w:rFonts w:hint="eastAsia"/>
                <w:lang w:val="en-US" w:eastAsia="zh-CN"/>
              </w:rPr>
              <w:t>场界</w:t>
            </w:r>
            <w:r>
              <w:rPr>
                <w:rFonts w:hint="default"/>
                <w:lang w:val="en-US" w:eastAsia="zh-CN"/>
              </w:rPr>
              <w:t>噪声排放标准》（GB12523-</w:t>
            </w:r>
            <w:r>
              <w:rPr>
                <w:rFonts w:hint="eastAsia"/>
                <w:lang w:val="en-US" w:eastAsia="zh-CN"/>
              </w:rPr>
              <w:t>2025</w:t>
            </w:r>
            <w:r>
              <w:rPr>
                <w:rFonts w:hint="default"/>
                <w:lang w:val="en-US" w:eastAsia="zh-CN"/>
              </w:rPr>
              <w:t xml:space="preserve">） </w:t>
            </w:r>
            <w:r>
              <w:rPr>
                <w:rFonts w:hint="eastAsia"/>
                <w:lang w:val="en-US" w:eastAsia="zh-CN"/>
              </w:rPr>
              <w:t>单位：</w:t>
            </w:r>
            <w:r>
              <w:rPr>
                <w:rFonts w:hint="default"/>
                <w:lang w:val="en-US" w:eastAsia="zh-CN"/>
              </w:rPr>
              <w:t>dB(A)</w:t>
            </w:r>
          </w:p>
          <w:tbl>
            <w:tblPr>
              <w:tblStyle w:val="3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1"/>
              <w:gridCol w:w="4287"/>
            </w:tblGrid>
            <w:tr w14:paraId="4A66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8" w:type="pct"/>
                  <w:noWrap w:val="0"/>
                  <w:vAlign w:val="center"/>
                </w:tcPr>
                <w:p w14:paraId="44703709">
                  <w:pPr>
                    <w:pStyle w:val="115"/>
                    <w:bidi w:val="0"/>
                    <w:rPr>
                      <w:rFonts w:hint="default"/>
                      <w:b/>
                      <w:bCs/>
                    </w:rPr>
                  </w:pPr>
                  <w:r>
                    <w:rPr>
                      <w:rFonts w:hint="default"/>
                      <w:b/>
                      <w:bCs/>
                    </w:rPr>
                    <w:t>昼间</w:t>
                  </w:r>
                </w:p>
              </w:tc>
              <w:tc>
                <w:tcPr>
                  <w:tcW w:w="2501" w:type="pct"/>
                  <w:noWrap w:val="0"/>
                  <w:vAlign w:val="center"/>
                </w:tcPr>
                <w:p w14:paraId="5EE6DAE4">
                  <w:pPr>
                    <w:pStyle w:val="115"/>
                    <w:bidi w:val="0"/>
                    <w:rPr>
                      <w:rFonts w:hint="default"/>
                      <w:b/>
                      <w:bCs/>
                    </w:rPr>
                  </w:pPr>
                  <w:r>
                    <w:rPr>
                      <w:rFonts w:hint="default"/>
                      <w:b/>
                      <w:bCs/>
                    </w:rPr>
                    <w:t>夜间</w:t>
                  </w:r>
                </w:p>
              </w:tc>
            </w:tr>
            <w:tr w14:paraId="43F8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8" w:type="pct"/>
                  <w:noWrap w:val="0"/>
                  <w:vAlign w:val="center"/>
                </w:tcPr>
                <w:p w14:paraId="0D8B4DF2">
                  <w:pPr>
                    <w:pStyle w:val="115"/>
                    <w:bidi w:val="0"/>
                    <w:rPr>
                      <w:rFonts w:hint="default"/>
                      <w:lang w:val="en-US" w:eastAsia="zh-CN"/>
                    </w:rPr>
                  </w:pPr>
                  <w:r>
                    <w:rPr>
                      <w:rFonts w:hint="eastAsia"/>
                      <w:lang w:val="en-US" w:eastAsia="zh-CN"/>
                    </w:rPr>
                    <w:t>70</w:t>
                  </w:r>
                </w:p>
              </w:tc>
              <w:tc>
                <w:tcPr>
                  <w:tcW w:w="2501" w:type="pct"/>
                  <w:noWrap w:val="0"/>
                  <w:vAlign w:val="center"/>
                </w:tcPr>
                <w:p w14:paraId="77E31189">
                  <w:pPr>
                    <w:pStyle w:val="115"/>
                    <w:bidi w:val="0"/>
                    <w:rPr>
                      <w:rFonts w:hint="default"/>
                      <w:lang w:val="en-US" w:eastAsia="zh-CN"/>
                    </w:rPr>
                  </w:pPr>
                  <w:r>
                    <w:rPr>
                      <w:rFonts w:hint="eastAsia"/>
                      <w:lang w:val="en-US" w:eastAsia="zh-CN"/>
                    </w:rPr>
                    <w:t>55</w:t>
                  </w:r>
                </w:p>
              </w:tc>
            </w:tr>
          </w:tbl>
          <w:p w14:paraId="32AF565A">
            <w:pPr>
              <w:pStyle w:val="44"/>
              <w:bidi w:val="0"/>
              <w:rPr>
                <w:rFonts w:hint="default" w:ascii="Times New Roman" w:hAnsi="Times New Roman" w:eastAsia="宋体" w:cs="Times New Roman"/>
                <w:lang w:val="en-US" w:eastAsia="zh-CN"/>
              </w:rPr>
            </w:pPr>
            <w:bookmarkStart w:id="75" w:name="_Ref381182064"/>
            <w:r>
              <w:rPr>
                <w:rFonts w:hint="default" w:ascii="Times New Roman" w:hAnsi="Times New Roman" w:eastAsia="宋体" w:cs="Times New Roman"/>
                <w:lang w:val="en-US" w:eastAsia="zh-CN"/>
              </w:rPr>
              <w:t>表</w:t>
            </w:r>
            <w:bookmarkEnd w:id="75"/>
            <w:r>
              <w:rPr>
                <w:rFonts w:hint="eastAsia" w:cs="Times New Roman"/>
                <w:lang w:val="en-US" w:eastAsia="zh-CN"/>
              </w:rPr>
              <w:t>3.15-2</w:t>
            </w:r>
            <w:r>
              <w:rPr>
                <w:rFonts w:hint="eastAsia" w:cs="Times New Roman"/>
                <w:lang w:val="zh-CN" w:eastAsia="zh-CN"/>
              </w:rPr>
              <w:t>：</w:t>
            </w:r>
            <w:r>
              <w:rPr>
                <w:rFonts w:hint="default" w:ascii="Times New Roman" w:hAnsi="Times New Roman" w:eastAsia="宋体" w:cs="Times New Roman"/>
                <w:lang w:val="zh-CN" w:eastAsia="zh-CN"/>
              </w:rPr>
              <w:t>工业企业厂界噪声排放标准</w:t>
            </w:r>
            <w:r>
              <w:rPr>
                <w:rFonts w:hint="default" w:ascii="Times New Roman" w:hAnsi="Times New Roman" w:eastAsia="宋体" w:cs="Times New Roman"/>
                <w:lang w:val="en-US" w:eastAsia="zh-CN"/>
              </w:rPr>
              <w:t xml:space="preserve">  单位：dB(A)</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33"/>
              <w:gridCol w:w="1123"/>
              <w:gridCol w:w="1011"/>
            </w:tblGrid>
            <w:tr w14:paraId="58B57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754" w:type="pct"/>
                  <w:noWrap w:val="0"/>
                  <w:vAlign w:val="center"/>
                </w:tcPr>
                <w:p w14:paraId="277FA261">
                  <w:pPr>
                    <w:pStyle w:val="115"/>
                    <w:bidi w:val="0"/>
                    <w:rPr>
                      <w:rFonts w:hint="default"/>
                      <w:b/>
                      <w:bCs/>
                    </w:rPr>
                  </w:pPr>
                  <w:r>
                    <w:rPr>
                      <w:rFonts w:hint="default"/>
                      <w:b/>
                      <w:bCs/>
                    </w:rPr>
                    <w:t>类别</w:t>
                  </w:r>
                </w:p>
              </w:tc>
              <w:tc>
                <w:tcPr>
                  <w:tcW w:w="655" w:type="pct"/>
                  <w:noWrap w:val="0"/>
                  <w:vAlign w:val="center"/>
                </w:tcPr>
                <w:p w14:paraId="4021FCE1">
                  <w:pPr>
                    <w:pStyle w:val="115"/>
                    <w:bidi w:val="0"/>
                    <w:rPr>
                      <w:rFonts w:hint="default"/>
                      <w:b/>
                      <w:bCs/>
                    </w:rPr>
                  </w:pPr>
                  <w:r>
                    <w:rPr>
                      <w:rFonts w:hint="default"/>
                      <w:b/>
                      <w:bCs/>
                    </w:rPr>
                    <w:t>昼间</w:t>
                  </w:r>
                </w:p>
              </w:tc>
              <w:tc>
                <w:tcPr>
                  <w:tcW w:w="590" w:type="pct"/>
                  <w:noWrap w:val="0"/>
                  <w:vAlign w:val="center"/>
                </w:tcPr>
                <w:p w14:paraId="2DB9A72D">
                  <w:pPr>
                    <w:pStyle w:val="115"/>
                    <w:bidi w:val="0"/>
                    <w:rPr>
                      <w:rFonts w:hint="default"/>
                      <w:b/>
                      <w:bCs/>
                    </w:rPr>
                  </w:pPr>
                  <w:r>
                    <w:rPr>
                      <w:rFonts w:hint="default"/>
                      <w:b/>
                      <w:bCs/>
                    </w:rPr>
                    <w:t>夜间</w:t>
                  </w:r>
                </w:p>
              </w:tc>
            </w:tr>
            <w:tr w14:paraId="397A92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754" w:type="pct"/>
                  <w:noWrap w:val="0"/>
                  <w:vAlign w:val="center"/>
                </w:tcPr>
                <w:p w14:paraId="3901CFCE">
                  <w:pPr>
                    <w:pStyle w:val="115"/>
                    <w:bidi w:val="0"/>
                    <w:rPr>
                      <w:rFonts w:hint="default"/>
                    </w:rPr>
                  </w:pPr>
                  <w:r>
                    <w:rPr>
                      <w:rFonts w:hint="default"/>
                    </w:rPr>
                    <w:t>《工业企业厂界环境噪声排放标准》（GB12348-2008）中2类标准</w:t>
                  </w:r>
                </w:p>
              </w:tc>
              <w:tc>
                <w:tcPr>
                  <w:tcW w:w="655" w:type="pct"/>
                  <w:noWrap w:val="0"/>
                  <w:vAlign w:val="center"/>
                </w:tcPr>
                <w:p w14:paraId="2CC2A6F8">
                  <w:pPr>
                    <w:pStyle w:val="115"/>
                    <w:bidi w:val="0"/>
                    <w:rPr>
                      <w:rFonts w:hint="default"/>
                    </w:rPr>
                  </w:pPr>
                  <w:r>
                    <w:rPr>
                      <w:rFonts w:hint="default"/>
                    </w:rPr>
                    <w:t>60</w:t>
                  </w:r>
                </w:p>
              </w:tc>
              <w:tc>
                <w:tcPr>
                  <w:tcW w:w="590" w:type="pct"/>
                  <w:noWrap w:val="0"/>
                  <w:vAlign w:val="center"/>
                </w:tcPr>
                <w:p w14:paraId="0A8B3FA2">
                  <w:pPr>
                    <w:pStyle w:val="115"/>
                    <w:bidi w:val="0"/>
                    <w:rPr>
                      <w:rFonts w:hint="default"/>
                    </w:rPr>
                  </w:pPr>
                  <w:r>
                    <w:rPr>
                      <w:rFonts w:hint="default"/>
                    </w:rPr>
                    <w:t>50</w:t>
                  </w:r>
                </w:p>
              </w:tc>
            </w:tr>
            <w:tr w14:paraId="2641FC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754" w:type="pct"/>
                  <w:noWrap w:val="0"/>
                  <w:vAlign w:val="center"/>
                </w:tcPr>
                <w:p w14:paraId="72EAC440">
                  <w:pPr>
                    <w:pStyle w:val="115"/>
                    <w:bidi w:val="0"/>
                    <w:rPr>
                      <w:rFonts w:hint="default"/>
                      <w:lang w:val="en-US" w:eastAsia="zh-CN"/>
                    </w:rPr>
                  </w:pPr>
                  <w:r>
                    <w:rPr>
                      <w:rFonts w:hint="default"/>
                    </w:rPr>
                    <w:t>《工业企业厂界环境噪声排放标准》（GB12348-2008）</w:t>
                  </w:r>
                  <w:r>
                    <w:rPr>
                      <w:rFonts w:hint="default"/>
                      <w:lang w:val="en-US" w:eastAsia="zh-CN"/>
                    </w:rPr>
                    <w:t>4类标准</w:t>
                  </w:r>
                </w:p>
              </w:tc>
              <w:tc>
                <w:tcPr>
                  <w:tcW w:w="655" w:type="pct"/>
                  <w:noWrap w:val="0"/>
                  <w:vAlign w:val="center"/>
                </w:tcPr>
                <w:p w14:paraId="7C165129">
                  <w:pPr>
                    <w:pStyle w:val="115"/>
                    <w:bidi w:val="0"/>
                    <w:rPr>
                      <w:rFonts w:hint="default"/>
                      <w:lang w:val="en-US" w:eastAsia="zh-CN"/>
                    </w:rPr>
                  </w:pPr>
                  <w:r>
                    <w:rPr>
                      <w:rFonts w:hint="default"/>
                      <w:lang w:val="en-US" w:eastAsia="zh-CN"/>
                    </w:rPr>
                    <w:t>70</w:t>
                  </w:r>
                </w:p>
              </w:tc>
              <w:tc>
                <w:tcPr>
                  <w:tcW w:w="590" w:type="pct"/>
                  <w:noWrap w:val="0"/>
                  <w:vAlign w:val="center"/>
                </w:tcPr>
                <w:p w14:paraId="1EBDE15D">
                  <w:pPr>
                    <w:pStyle w:val="115"/>
                    <w:bidi w:val="0"/>
                    <w:rPr>
                      <w:rFonts w:hint="default"/>
                      <w:lang w:val="en-US" w:eastAsia="zh-CN"/>
                    </w:rPr>
                  </w:pPr>
                  <w:r>
                    <w:rPr>
                      <w:rFonts w:hint="default"/>
                      <w:lang w:val="en-US" w:eastAsia="zh-CN"/>
                    </w:rPr>
                    <w:t>55</w:t>
                  </w:r>
                </w:p>
              </w:tc>
            </w:tr>
          </w:tbl>
          <w:p w14:paraId="07437A66">
            <w:pPr>
              <w:pStyle w:val="4"/>
              <w:rPr>
                <w:u w:val="none"/>
              </w:rPr>
            </w:pPr>
            <w:bookmarkStart w:id="76" w:name="_Toc1442"/>
            <w:bookmarkStart w:id="77" w:name="_Toc6925"/>
            <w:bookmarkStart w:id="78" w:name="_Toc989"/>
            <w:r>
              <w:rPr>
                <w:rFonts w:hint="eastAsia"/>
                <w:u w:val="none"/>
                <w:lang w:val="en-US" w:eastAsia="zh-CN"/>
              </w:rPr>
              <w:t>3.16</w:t>
            </w:r>
            <w:r>
              <w:rPr>
                <w:u w:val="none"/>
              </w:rPr>
              <w:t>固体废物</w:t>
            </w:r>
            <w:bookmarkEnd w:id="76"/>
            <w:bookmarkEnd w:id="77"/>
            <w:bookmarkEnd w:id="78"/>
          </w:p>
          <w:p w14:paraId="3B5EEE7E">
            <w:pPr>
              <w:ind w:firstLine="480"/>
            </w:pPr>
            <w:r>
              <w:rPr>
                <w:rFonts w:hint="eastAsia"/>
                <w:u w:val="none"/>
              </w:rPr>
              <w:t>一般固体废物执行《一般工业固体废物贮存和填埋污染控制标准》（GB18599-2020）；生活垃圾执行《生活垃圾焚烧污染控制标准》（GB18485-2014）及其修改单；危险固体废物执行《危险废物贮存污染控制标准》（GB18597-2023）中有关规定。</w:t>
            </w:r>
            <w:r>
              <w:rPr>
                <w:rFonts w:hint="eastAsia"/>
                <w:u w:val="single"/>
              </w:rPr>
              <w:t>建筑垃圾堆填执行《建筑垃圾处理技术标准》（CJJ/T134-2019）中的相关内容要求。</w:t>
            </w:r>
          </w:p>
        </w:tc>
      </w:tr>
      <w:tr w14:paraId="46D0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7" w:type="dxa"/>
            <w:vAlign w:val="center"/>
          </w:tcPr>
          <w:p w14:paraId="39A71270">
            <w:pPr>
              <w:ind w:firstLine="0" w:firstLineChars="0"/>
              <w:jc w:val="center"/>
            </w:pPr>
            <w:r>
              <w:rPr>
                <w:rFonts w:hint="eastAsia"/>
              </w:rPr>
              <w:t>总量控制指标</w:t>
            </w:r>
          </w:p>
        </w:tc>
        <w:tc>
          <w:tcPr>
            <w:tcW w:w="8606" w:type="dxa"/>
          </w:tcPr>
          <w:p w14:paraId="2E800F97">
            <w:pPr>
              <w:ind w:firstLine="480"/>
              <w:rPr>
                <w:rFonts w:hint="eastAsia"/>
              </w:rPr>
            </w:pPr>
            <w:r>
              <w:rPr>
                <w:rFonts w:hint="eastAsia"/>
              </w:rPr>
              <w:t>依据《湖南省主要污染物排污权有偿使用和交易管理办法》（湘政办发〔2022〕23号），湖南省对COD、NH</w:t>
            </w:r>
            <w:r>
              <w:rPr>
                <w:rFonts w:hint="eastAsia"/>
                <w:vertAlign w:val="subscript"/>
              </w:rPr>
              <w:t>3</w:t>
            </w:r>
            <w:r>
              <w:rPr>
                <w:rFonts w:hint="eastAsia"/>
              </w:rPr>
              <w:t>-N、SO</w:t>
            </w:r>
            <w:r>
              <w:rPr>
                <w:rFonts w:hint="eastAsia"/>
                <w:vertAlign w:val="subscript"/>
              </w:rPr>
              <w:t>2</w:t>
            </w:r>
            <w:r>
              <w:rPr>
                <w:rFonts w:hint="eastAsia"/>
              </w:rPr>
              <w:t>、NO</w:t>
            </w:r>
            <w:r>
              <w:rPr>
                <w:rFonts w:hint="eastAsia"/>
                <w:vertAlign w:val="subscript"/>
              </w:rPr>
              <w:t>X</w:t>
            </w:r>
            <w:r>
              <w:rPr>
                <w:rFonts w:hint="eastAsia"/>
              </w:rPr>
              <w:t>、VOCs五项污染物实施总量控制，其中COD、NH</w:t>
            </w:r>
            <w:r>
              <w:rPr>
                <w:rFonts w:hint="eastAsia"/>
                <w:vertAlign w:val="subscript"/>
              </w:rPr>
              <w:t>3</w:t>
            </w:r>
            <w:r>
              <w:rPr>
                <w:rFonts w:hint="eastAsia"/>
              </w:rPr>
              <w:t>-N、SO</w:t>
            </w:r>
            <w:r>
              <w:rPr>
                <w:rFonts w:hint="eastAsia"/>
                <w:vertAlign w:val="subscript"/>
              </w:rPr>
              <w:t>2</w:t>
            </w:r>
            <w:r>
              <w:rPr>
                <w:rFonts w:hint="eastAsia"/>
              </w:rPr>
              <w:t>、NO</w:t>
            </w:r>
            <w:r>
              <w:rPr>
                <w:rFonts w:hint="eastAsia"/>
                <w:vertAlign w:val="subscript"/>
              </w:rPr>
              <w:t>X</w:t>
            </w:r>
            <w:r>
              <w:rPr>
                <w:rFonts w:hint="eastAsia"/>
              </w:rPr>
              <w:t>为约束性指标，VOCs为指导性指标。</w:t>
            </w:r>
          </w:p>
          <w:p w14:paraId="3F9C4F8E">
            <w:pPr>
              <w:ind w:firstLine="480"/>
              <w:rPr>
                <w:rFonts w:hint="eastAsia"/>
              </w:rPr>
            </w:pPr>
            <w:r>
              <w:rPr>
                <w:rFonts w:hint="eastAsia"/>
              </w:rPr>
              <w:t>（1）水污染物总量控制因子：</w:t>
            </w:r>
          </w:p>
          <w:p w14:paraId="4D5486A1">
            <w:pPr>
              <w:ind w:firstLine="480"/>
              <w:rPr>
                <w:rFonts w:hint="eastAsia"/>
              </w:rPr>
            </w:pPr>
            <w:r>
              <w:rPr>
                <w:rFonts w:hint="eastAsia"/>
              </w:rPr>
              <w:t>本项目运营期水污染物排放情况如下：</w:t>
            </w:r>
          </w:p>
          <w:p w14:paraId="23764AC7">
            <w:pPr>
              <w:ind w:firstLine="480"/>
              <w:rPr>
                <w:rFonts w:hint="eastAsia"/>
              </w:rPr>
            </w:pPr>
            <w:r>
              <w:rPr>
                <w:rFonts w:hint="eastAsia"/>
              </w:rPr>
              <w:t>生活污水：经化粪池收集后定期清掏用作周边林地农肥，不外排。</w:t>
            </w:r>
          </w:p>
          <w:p w14:paraId="0BAECBB5">
            <w:pPr>
              <w:ind w:firstLine="480"/>
              <w:rPr>
                <w:rFonts w:hint="eastAsia"/>
              </w:rPr>
            </w:pPr>
            <w:r>
              <w:rPr>
                <w:rFonts w:hint="eastAsia"/>
              </w:rPr>
              <w:t>车辆冲洗废水：经沉淀处理后循环回用，不外排。</w:t>
            </w:r>
          </w:p>
          <w:p w14:paraId="5EDB6BF4">
            <w:pPr>
              <w:ind w:firstLine="480"/>
              <w:rPr>
                <w:rFonts w:hint="eastAsia"/>
                <w:u w:val="single"/>
              </w:rPr>
            </w:pPr>
            <w:r>
              <w:rPr>
                <w:rFonts w:hint="eastAsia"/>
                <w:u w:val="single"/>
              </w:rPr>
              <w:t>淋滤水（堆填场矿坑积水）：在坑底设置潜污泵，收集后经30m</w:t>
            </w:r>
            <w:r>
              <w:rPr>
                <w:rFonts w:hint="eastAsia"/>
                <w:u w:val="single"/>
                <w:vertAlign w:val="superscript"/>
                <w:lang w:val="en-US" w:eastAsia="zh-CN"/>
              </w:rPr>
              <w:t>3</w:t>
            </w:r>
            <w:r>
              <w:rPr>
                <w:rFonts w:hint="eastAsia"/>
                <w:u w:val="single"/>
              </w:rPr>
              <w:t>沉淀池处理，达到《污水综合排放标准》（GB8978-1996）一级标准后，优先回用于车辆冲洗、堆填作业降尘及道路洒水，剩余部分排入项目东北侧</w:t>
            </w:r>
            <w:r>
              <w:rPr>
                <w:rFonts w:hint="eastAsia"/>
                <w:u w:val="single"/>
                <w:lang w:val="en-US" w:eastAsia="zh-CN"/>
              </w:rPr>
              <w:t>沟渠中汇入洪溪</w:t>
            </w:r>
            <w:r>
              <w:rPr>
                <w:rFonts w:hint="eastAsia"/>
                <w:u w:val="single"/>
              </w:rPr>
              <w:t>。</w:t>
            </w:r>
          </w:p>
          <w:p w14:paraId="1EDDB8C0">
            <w:pPr>
              <w:ind w:firstLine="480"/>
              <w:rPr>
                <w:rFonts w:hint="eastAsia"/>
              </w:rPr>
            </w:pPr>
            <w:r>
              <w:rPr>
                <w:rFonts w:hint="eastAsia"/>
              </w:rPr>
              <w:t>根据《入河排污口监督管理办法》（生态环境部令第35号，自2025年1月1日起施行）第六条，入河排污口分为工业排污口、城镇污水处理厂排污口、农业排口、其他排口四种类型，其中工业排污口包括工矿企业排污口和雨洪排口等。本项目淋滤水来源于矿坑内雨水径流，经沉淀处理后排放，无工业废水、生活污水混入，其排放特征属于单纯的雨水排放。因此，本项目在东北侧</w:t>
            </w:r>
            <w:r>
              <w:rPr>
                <w:rFonts w:hint="eastAsia"/>
                <w:lang w:val="en-US" w:eastAsia="zh-CN"/>
              </w:rPr>
              <w:t>沟渠</w:t>
            </w:r>
            <w:r>
              <w:rPr>
                <w:rFonts w:hint="eastAsia"/>
              </w:rPr>
              <w:t>处设置的排放口属于雨洪排口，纳入入河排污口监管体系，按相关要求履行登记或备案手续。</w:t>
            </w:r>
          </w:p>
          <w:p w14:paraId="63B3E273">
            <w:pPr>
              <w:ind w:firstLine="480"/>
              <w:rPr>
                <w:rFonts w:hint="eastAsia"/>
              </w:rPr>
            </w:pPr>
            <w:r>
              <w:rPr>
                <w:rFonts w:hint="eastAsia"/>
              </w:rPr>
              <w:t>根据《湖南省主要污染物排污权有偿使用和交易管理办法》（湘政办发〔2022〕23号）第二条的规定，湖南省实施排污权有偿使用和交易的主要污染物为化学需氧量、氨氮、二氧化硫、氮氧化物、铅、镉、砷、汞、铬、挥发性有机物、总磷等十一类污染物。该办法第十二条明确，化学需氧量、氨氮等四类污染物的管理对象为本行政区域内纳入固定污染源排污许可分类管理名录的、除公共基础设施类之外的工业类排污单位。本项目为建筑垃圾</w:t>
            </w:r>
            <w:r>
              <w:rPr>
                <w:rFonts w:hint="eastAsia"/>
                <w:lang w:val="en-US" w:eastAsia="zh-CN"/>
              </w:rPr>
              <w:t>堆填场</w:t>
            </w:r>
            <w:r>
              <w:rPr>
                <w:rFonts w:hint="eastAsia"/>
              </w:rPr>
              <w:t>，属于固体废物治理行业（N7723），不属于工业类排污单位。</w:t>
            </w:r>
          </w:p>
          <w:p w14:paraId="41BE8FAF">
            <w:pPr>
              <w:ind w:firstLine="480"/>
              <w:rPr>
                <w:rFonts w:hint="eastAsia"/>
              </w:rPr>
            </w:pPr>
            <w:r>
              <w:rPr>
                <w:rFonts w:hint="eastAsia"/>
              </w:rPr>
              <w:t>此外，根据该办法第十一条规定，有下列情形之一的排污单位，暂不纳入排污权管理范围：（一）仅排放生活污水的；（二）仅排放雨水的；（三）其他不符合排污权管理条件的。本项目生活污水经化粪池收集后外运农肥，不外排；淋滤水排放口属于单纯雨水排放的雨洪排口，不属于工业废水排放口。综合以上分析，本项目不属于排污权管理对象范围，故不申请COD、NH</w:t>
            </w:r>
            <w:r>
              <w:rPr>
                <w:rFonts w:hint="eastAsia"/>
                <w:vertAlign w:val="subscript"/>
              </w:rPr>
              <w:t>3</w:t>
            </w:r>
            <w:r>
              <w:rPr>
                <w:rFonts w:hint="eastAsia"/>
              </w:rPr>
              <w:t>-N废水总量控制指标。</w:t>
            </w:r>
          </w:p>
          <w:p w14:paraId="10F68810">
            <w:pPr>
              <w:ind w:firstLine="480"/>
              <w:rPr>
                <w:rFonts w:hint="eastAsia"/>
              </w:rPr>
            </w:pPr>
            <w:r>
              <w:rPr>
                <w:rFonts w:hint="eastAsia"/>
              </w:rPr>
              <w:t>（2）大气污染物总量控制因子：</w:t>
            </w:r>
          </w:p>
          <w:p w14:paraId="7D400588">
            <w:pPr>
              <w:ind w:firstLine="480"/>
            </w:pPr>
            <w:r>
              <w:rPr>
                <w:rFonts w:hint="eastAsia"/>
              </w:rPr>
              <w:t>本项目运营期废气污染物主要为建筑垃圾卸料、堆填作业及运输过程产生的无组织粉尘（颗粒物）。根据《湖南省主要污染物排污权有偿使用和交易管理办法》（湘政办发〔2022〕23号）第二条的规定，湖南省纳入排污权管理的废气污染物为二氧化硫、氮氧化物和挥发性有机物，颗粒物不在此列。因此，本项目无需设置废气总量控制指标。</w:t>
            </w:r>
          </w:p>
          <w:p w14:paraId="5EF00542">
            <w:pPr>
              <w:pStyle w:val="170"/>
            </w:pPr>
          </w:p>
          <w:p w14:paraId="78DBB5EF">
            <w:pPr>
              <w:pStyle w:val="170"/>
            </w:pPr>
          </w:p>
          <w:p w14:paraId="744A2C5F">
            <w:pPr>
              <w:pStyle w:val="170"/>
            </w:pPr>
          </w:p>
          <w:p w14:paraId="39FD5F50">
            <w:pPr>
              <w:pStyle w:val="170"/>
            </w:pPr>
          </w:p>
          <w:p w14:paraId="21820D87">
            <w:pPr>
              <w:pStyle w:val="170"/>
            </w:pPr>
          </w:p>
          <w:p w14:paraId="63D5B7FC">
            <w:pPr>
              <w:pStyle w:val="170"/>
            </w:pPr>
          </w:p>
          <w:p w14:paraId="076076A8">
            <w:pPr>
              <w:pStyle w:val="170"/>
            </w:pPr>
          </w:p>
          <w:p w14:paraId="339D4C91">
            <w:pPr>
              <w:pStyle w:val="170"/>
            </w:pPr>
          </w:p>
          <w:p w14:paraId="1C9387B4">
            <w:pPr>
              <w:pStyle w:val="170"/>
            </w:pPr>
          </w:p>
        </w:tc>
      </w:tr>
    </w:tbl>
    <w:p w14:paraId="6AB0400B">
      <w:pPr>
        <w:numPr>
          <w:ilvl w:val="0"/>
          <w:numId w:val="3"/>
        </w:numPr>
        <w:ind w:firstLine="480"/>
        <w:sectPr>
          <w:pgSz w:w="11906" w:h="16838"/>
          <w:pgMar w:top="1440" w:right="1080" w:bottom="1440" w:left="1080" w:header="851" w:footer="737" w:gutter="0"/>
          <w:cols w:space="720" w:num="1"/>
          <w:docGrid w:type="lines" w:linePitch="312" w:charSpace="0"/>
        </w:sectPr>
      </w:pPr>
    </w:p>
    <w:p w14:paraId="203E903B">
      <w:pPr>
        <w:pStyle w:val="3"/>
      </w:pPr>
      <w:bookmarkStart w:id="79" w:name="_Toc14313"/>
      <w:bookmarkStart w:id="80" w:name="_Toc69978266"/>
      <w:bookmarkStart w:id="81" w:name="_Toc69978398"/>
      <w:bookmarkStart w:id="82" w:name="_Toc31848"/>
      <w:bookmarkStart w:id="83" w:name="_Toc69979335"/>
      <w:bookmarkStart w:id="84" w:name="_Toc5047"/>
      <w:bookmarkStart w:id="85" w:name="_Toc69978189"/>
      <w:bookmarkStart w:id="86" w:name="_Toc24699"/>
      <w:bookmarkStart w:id="87" w:name="_Toc69979312"/>
      <w:r>
        <w:rPr>
          <w:rFonts w:hint="eastAsia"/>
        </w:rPr>
        <w:t>四</w:t>
      </w:r>
      <w:r>
        <w:t>、</w:t>
      </w:r>
      <w:r>
        <w:rPr>
          <w:rFonts w:hint="eastAsia"/>
        </w:rPr>
        <w:t>主要环境影响和保护措施</w:t>
      </w:r>
      <w:bookmarkEnd w:id="79"/>
      <w:bookmarkEnd w:id="80"/>
      <w:bookmarkEnd w:id="81"/>
      <w:bookmarkEnd w:id="82"/>
      <w:bookmarkEnd w:id="83"/>
      <w:bookmarkEnd w:id="84"/>
      <w:bookmarkEnd w:id="85"/>
      <w:bookmarkEnd w:id="86"/>
      <w:bookmarkEnd w:id="87"/>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8983"/>
      </w:tblGrid>
      <w:tr w14:paraId="2AF6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vAlign w:val="center"/>
          </w:tcPr>
          <w:p w14:paraId="1DA45A29">
            <w:pPr>
              <w:ind w:firstLine="0" w:firstLineChars="0"/>
              <w:jc w:val="center"/>
            </w:pPr>
            <w:r>
              <w:rPr>
                <w:rFonts w:hint="eastAsia"/>
                <w:b/>
                <w:bCs/>
              </w:rPr>
              <w:t>施工期环境保护措施</w:t>
            </w:r>
          </w:p>
        </w:tc>
        <w:tc>
          <w:tcPr>
            <w:tcW w:w="8983" w:type="dxa"/>
            <w:vAlign w:val="center"/>
          </w:tcPr>
          <w:p w14:paraId="216BB725">
            <w:pPr>
              <w:pStyle w:val="4"/>
              <w:rPr>
                <w:rFonts w:hint="eastAsia" w:ascii="Times New Roman" w:hAnsi="Times New Roman" w:eastAsia="宋体" w:cs="Times New Roman"/>
                <w:lang w:val="en-US" w:eastAsia="zh-CN"/>
              </w:rPr>
            </w:pPr>
            <w:bookmarkStart w:id="88" w:name="_Toc31459"/>
            <w:bookmarkStart w:id="89" w:name="_Toc31164"/>
            <w:bookmarkStart w:id="90" w:name="_Toc19005"/>
            <w:r>
              <w:rPr>
                <w:rFonts w:hint="eastAsia" w:ascii="Times New Roman" w:hAnsi="Times New Roman" w:eastAsia="宋体" w:cs="Times New Roman"/>
                <w:b/>
                <w:lang w:val="en-US" w:eastAsia="zh-CN"/>
              </w:rPr>
              <w:t>4.1施工期环境保护措施</w:t>
            </w:r>
          </w:p>
          <w:p w14:paraId="1EECE4D2">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项目施工期主要是对用地范围内生态产生水土流失、破坏植被、破坏原有生态系统等影响，另外施工期会产生废气、噪声、废水和固体废物污染，产生的废气主要为施工过程产生的粉尘、机械燃油废气；废水主要包括施工废水、雨天地表径流废水、施工人员生活污水、现有矿坑积水；噪声主要为施工机械设备噪声；固体废物主要为施工人员的生活垃圾、运输车辆进出场区带出的泥沙等。</w:t>
            </w:r>
          </w:p>
          <w:p w14:paraId="19E04F2E">
            <w:pPr>
              <w:pStyle w:val="5"/>
              <w:bidi w:val="0"/>
              <w:spacing w:line="360" w:lineRule="auto"/>
              <w:ind w:firstLine="482"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4.1.1施工废水</w:t>
            </w:r>
          </w:p>
          <w:p w14:paraId="729410BB">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施工期间产生的废水主要有生产废水、生活污水、现有矿坑积水。生产废水是指建筑泥浆废水、施工机械和运输车辆的清洗水，另雨天径流亦会携带大量悬浮物排出。任其排放均会对环境造成污染，建设单位在施工中应重视这一环境问题；生活污水是由施工人员的生活活动所致。根据现场勘查及测量，现有矿坑积水</w:t>
            </w:r>
            <w:r>
              <w:rPr>
                <w:rFonts w:hint="eastAsia" w:cs="Times New Roman"/>
                <w:sz w:val="24"/>
                <w:lang w:val="en-US" w:eastAsia="zh-CN"/>
              </w:rPr>
              <w:t>约</w:t>
            </w:r>
            <w:r>
              <w:rPr>
                <w:rFonts w:hint="eastAsia" w:ascii="Times New Roman" w:hAnsi="Times New Roman" w:eastAsia="宋体" w:cs="Times New Roman"/>
                <w:sz w:val="24"/>
                <w:lang w:val="en-US" w:eastAsia="zh-CN"/>
              </w:rPr>
              <w:t>为22820m</w:t>
            </w:r>
            <w:r>
              <w:rPr>
                <w:rFonts w:hint="eastAsia" w:ascii="Times New Roman" w:hAnsi="Times New Roman" w:eastAsia="宋体" w:cs="Times New Roman"/>
                <w:sz w:val="24"/>
                <w:vertAlign w:val="superscript"/>
                <w:lang w:val="en-US" w:eastAsia="zh-CN"/>
              </w:rPr>
              <w:t>3</w:t>
            </w:r>
            <w:r>
              <w:rPr>
                <w:rFonts w:hint="eastAsia" w:ascii="Times New Roman" w:hAnsi="Times New Roman" w:eastAsia="宋体" w:cs="Times New Roman"/>
                <w:sz w:val="24"/>
                <w:lang w:val="en-US" w:eastAsia="zh-CN"/>
              </w:rPr>
              <w:t>。因此，需对施工期废水采取防治措施。</w:t>
            </w:r>
          </w:p>
          <w:p w14:paraId="6AD09276">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①施工期间加强对生活污水实施管理，施工单位不设置施工营地，统一租用</w:t>
            </w:r>
            <w:r>
              <w:rPr>
                <w:rFonts w:hint="eastAsia" w:cs="Times New Roman"/>
                <w:sz w:val="24"/>
                <w:lang w:val="en-US" w:eastAsia="zh-CN"/>
              </w:rPr>
              <w:t>周边民房作为施工人员生活场所</w:t>
            </w:r>
            <w:r>
              <w:rPr>
                <w:rFonts w:hint="eastAsia" w:ascii="Times New Roman" w:hAnsi="Times New Roman" w:eastAsia="宋体" w:cs="Times New Roman"/>
                <w:sz w:val="24"/>
                <w:lang w:val="en-US" w:eastAsia="zh-CN"/>
              </w:rPr>
              <w:t>进行食宿，生活污水</w:t>
            </w:r>
            <w:r>
              <w:rPr>
                <w:rFonts w:hint="eastAsia" w:cs="Times New Roman"/>
                <w:sz w:val="24"/>
                <w:lang w:val="en-US" w:eastAsia="zh-CN"/>
              </w:rPr>
              <w:t>依托民房现有</w:t>
            </w:r>
            <w:r>
              <w:rPr>
                <w:rFonts w:hint="eastAsia" w:ascii="Times New Roman" w:hAnsi="Times New Roman" w:eastAsia="宋体" w:cs="Times New Roman"/>
                <w:sz w:val="24"/>
                <w:lang w:val="en-US" w:eastAsia="zh-CN"/>
              </w:rPr>
              <w:t>化粪池</w:t>
            </w:r>
            <w:r>
              <w:rPr>
                <w:rFonts w:hint="eastAsia" w:cs="Times New Roman"/>
                <w:sz w:val="24"/>
                <w:lang w:val="en-US" w:eastAsia="zh-CN"/>
              </w:rPr>
              <w:t>收集生活污水，定期清掏用作</w:t>
            </w:r>
            <w:r>
              <w:rPr>
                <w:rFonts w:hint="eastAsia" w:ascii="Times New Roman" w:hAnsi="Times New Roman" w:eastAsia="宋体" w:cs="Times New Roman"/>
                <w:sz w:val="24"/>
                <w:lang w:val="en-US" w:eastAsia="zh-CN"/>
              </w:rPr>
              <w:t>农肥，对当地水环境影响较小，措施可行。</w:t>
            </w:r>
          </w:p>
          <w:p w14:paraId="3E1DA8F1">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②优先设置项目区四周截排水沟，阻止项目区外雨水进入项目区内；</w:t>
            </w:r>
          </w:p>
          <w:p w14:paraId="4A5DE36C">
            <w:pPr>
              <w:spacing w:line="360" w:lineRule="auto"/>
              <w:ind w:firstLine="528"/>
              <w:jc w:val="left"/>
              <w:rPr>
                <w:rFonts w:hint="default" w:ascii="Times New Roman" w:hAnsi="Times New Roman" w:eastAsia="宋体" w:cs="Times New Roman"/>
                <w:color w:val="auto"/>
                <w:sz w:val="24"/>
                <w:u w:val="single"/>
                <w:lang w:val="en-US" w:eastAsia="zh-CN"/>
              </w:rPr>
            </w:pPr>
            <w:r>
              <w:rPr>
                <w:rFonts w:hint="eastAsia" w:ascii="Times New Roman" w:hAnsi="Times New Roman" w:eastAsia="宋体" w:cs="Times New Roman"/>
                <w:color w:val="auto"/>
                <w:sz w:val="24"/>
                <w:u w:val="single"/>
                <w:lang w:val="en-US" w:eastAsia="zh-CN"/>
              </w:rPr>
              <w:t>③施工期设置现有矿坑积水（水塘）抽排水设施，</w:t>
            </w:r>
            <w:r>
              <w:rPr>
                <w:rFonts w:hint="eastAsia"/>
                <w:color w:val="auto"/>
                <w:sz w:val="24"/>
                <w:u w:val="single"/>
                <w:lang w:val="en-US" w:eastAsia="zh-CN"/>
              </w:rPr>
              <w:t>施工期要求矿坑积水达到</w:t>
            </w:r>
            <w:r>
              <w:rPr>
                <w:rFonts w:hint="eastAsia" w:ascii="Times New Roman" w:hAnsi="Times New Roman" w:eastAsia="宋体" w:cs="Times New Roman"/>
                <w:u w:val="single"/>
              </w:rPr>
              <w:t>《污水综合排放标准》（GB8978-1996）一级标准</w:t>
            </w:r>
            <w:r>
              <w:rPr>
                <w:rFonts w:hint="eastAsia" w:cs="Times New Roman"/>
                <w:u w:val="single"/>
                <w:lang w:val="en-US" w:eastAsia="zh-CN"/>
              </w:rPr>
              <w:t>后排放至洪溪，</w:t>
            </w:r>
            <w:r>
              <w:rPr>
                <w:rFonts w:hint="eastAsia" w:ascii="Times New Roman" w:hAnsi="Times New Roman" w:eastAsia="宋体" w:cs="Times New Roman"/>
                <w:color w:val="auto"/>
                <w:sz w:val="24"/>
                <w:u w:val="single"/>
                <w:lang w:val="en-US" w:eastAsia="zh-CN"/>
              </w:rPr>
              <w:t>根据</w:t>
            </w:r>
            <w:r>
              <w:rPr>
                <w:rFonts w:hint="eastAsia"/>
                <w:color w:val="auto"/>
                <w:sz w:val="24"/>
                <w:u w:val="single"/>
                <w:lang w:val="en-US" w:eastAsia="zh-CN"/>
              </w:rPr>
              <w:t>委托湖南怀德检测技术有限公司于2026年4月17日对现有矿坑积水的监测结果可知，现有矿坑积水可满足《地表水环境质量标准》（GB3838-2002）中Ⅲ类水标准，因此施工期可设置抽排水泵将现有矿坑废水排放至洪溪，矿坑积水直接排放对下游地表水环境影响较小。</w:t>
            </w:r>
          </w:p>
          <w:p w14:paraId="4A288C12">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④施工要避开雨天，建筑材料应设蓬盖和围拦，防止雨水冲刷进入水体。</w:t>
            </w:r>
          </w:p>
          <w:p w14:paraId="55FA891F">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在采取上述防治措施后，施工期废水不会对地表水体产生大的不利影响。</w:t>
            </w:r>
          </w:p>
          <w:p w14:paraId="10B1DB94">
            <w:pPr>
              <w:pStyle w:val="5"/>
              <w:bidi w:val="0"/>
              <w:spacing w:line="360" w:lineRule="auto"/>
              <w:ind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4.1.2施工废气</w:t>
            </w:r>
          </w:p>
          <w:p w14:paraId="7A2B2208">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为了使建设项目在建设期间施工废气对周围环境的影响减少到尽可能小的程度，本评价建议采取以下防护措施：</w:t>
            </w:r>
          </w:p>
          <w:p w14:paraId="1F90EE8A">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①在施工过程中，作业场地将采取围挡、围护以减少扬尘扩散。</w:t>
            </w:r>
          </w:p>
          <w:p w14:paraId="5B86A008">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施工单位要配备一定数量的洒水车和雾炮机，在施工场地安排员工定期对挖填方施工区、未铺筑的临时道路和进场道路进行洒水处理，以减少扬尘量。洒水主要在干旱无雨天气和大风天气，洒水次数根据天气状况而定，一般每天洒水1～2次，若遇到大风或干燥天气可适当增加洒水次数。施工场地洒水与否对扬尘的影响较大，场地洒水后，扬尘量将减低28%～75%，大大减少了其对环境的影响。</w:t>
            </w:r>
          </w:p>
          <w:p w14:paraId="66A3302A">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③加强物料转运与使用的管理，合理装卸、规范操作。运输建筑材料和清运施工渣土等建筑垃圾应用专用车辆，加盖蓬布减少洒落。同时，限制车速，车辆进出、装卸场地时应用水将轮胎冲洗干净，不得带渣出场。</w:t>
            </w:r>
          </w:p>
          <w:p w14:paraId="0A51C074">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④在施工场地上设置专人负责弃土、建筑垃圾、建筑材料的处置、清运和堆放，堆放场地加盖蓬布或洒水，防止二次扬尘。</w:t>
            </w:r>
          </w:p>
          <w:p w14:paraId="0D0A9CE8">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⑤对建筑垃圾及弃土应及时处理、清运、以减少占地，防止扬尘污染，改善施工场地的环境。</w:t>
            </w:r>
          </w:p>
          <w:p w14:paraId="749D40C3">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⑥施工现场禁止焚烧废弃物；</w:t>
            </w:r>
          </w:p>
          <w:p w14:paraId="0026FC9B">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⑦采用商品混凝土，不在现场进行混凝土搅拌，减轻施工场地粉尘污染。</w:t>
            </w:r>
          </w:p>
          <w:p w14:paraId="0ACA5241">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为有效防治扬尘污染，按照《怀化市扬尘污染防治条例》中关于工地扬尘控制的规定（围挡、洒水、覆盖、硬化、冲洗、密闭运输等）执行，施工期建设工地做到“六个100%”（工地周边围挡、物料堆放覆盖、土方开挖湿法作业、路面硬化、出入车辆清洗、渣土车辆密闭运输），施工现场严禁焚烧各类废弃物、垃圾，土石方作业采取雾炮喷淋及适度洒水等降尘措施，施工完毕应进行覆盖。同时建立扬尘控制防治工作台账。</w:t>
            </w:r>
          </w:p>
          <w:p w14:paraId="1FBFC7EA">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综上所述，只要加强施工管理，执行“六个百分百”标准，严格落实相应的粉尘与扬尘污染控制措施，防止或减少项目建设及运输过程中的扬尘对环境空气的影响。项目施工期通过采取环评提出的防治措施后，施工期废气排放对周边居民及周围大气环境保护目标影响较小。同时施工过程对环境空气的不利影响是局部的、短期的，项目建设完成后，影响就会消失，施工期废气对周围环境空气的影响可以接受。</w:t>
            </w:r>
          </w:p>
          <w:p w14:paraId="125D3F4E">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（2）施工车辆及机械废气</w:t>
            </w:r>
          </w:p>
          <w:p w14:paraId="71973CF8">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施工区的燃油设备主要是施工机械和运输车辆，其排放的尾气在施工期间对施工作业点和运输道路附近的大气环境会造成一定程度的污染，产生NOx、CO、THC等污染物。本项目施工场区空气流通性好，排放废气中的各项污染物能够很快扩散，不会引起局部大气环境质量的恶化。另外合理规划运输路线，加强设备维护，使设备处于良好的运行状态；限制车速都能减少废气的产生。加之废气排放的不连续性和工程施工期有限，排放的废气对区域的环境空气质量影响不大。</w:t>
            </w:r>
          </w:p>
          <w:p w14:paraId="5D757DC7">
            <w:pPr>
              <w:pStyle w:val="5"/>
              <w:bidi w:val="0"/>
              <w:spacing w:line="360" w:lineRule="auto"/>
              <w:ind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4.1.3施工期噪声</w:t>
            </w:r>
          </w:p>
          <w:p w14:paraId="3DA11181">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施工期使用压路机、装载机运输车辆等各种机械设备，不可避免地产生建筑施工噪声，该声源具有噪声高、无规则等特点，多为瞬时噪声，在一定范围内将对施工人员产生一定的影响。另外，施工过程中各种运输车辆的行驶，对沿路声环境有一定影响。施工期噪声是间歇性的，工程设备选型选用低噪设备，并严格落实隔声、降噪措施，场界噪声可达到《建筑施工场界</w:t>
            </w:r>
            <w:r>
              <w:rPr>
                <w:rFonts w:hint="eastAsia" w:cs="Times New Roman"/>
                <w:sz w:val="24"/>
                <w:lang w:val="en-US" w:eastAsia="zh-CN"/>
              </w:rPr>
              <w:t>环境</w:t>
            </w:r>
            <w:r>
              <w:rPr>
                <w:rFonts w:hint="eastAsia" w:ascii="Times New Roman" w:hAnsi="Times New Roman" w:eastAsia="宋体" w:cs="Times New Roman"/>
                <w:sz w:val="24"/>
                <w:lang w:val="en-US" w:eastAsia="zh-CN"/>
              </w:rPr>
              <w:t>噪声排放</w:t>
            </w:r>
            <w:r>
              <w:rPr>
                <w:rFonts w:hint="eastAsia" w:cs="Times New Roman"/>
                <w:sz w:val="24"/>
                <w:lang w:val="en-US" w:eastAsia="zh-CN"/>
              </w:rPr>
              <w:t>标准</w:t>
            </w:r>
            <w:r>
              <w:rPr>
                <w:rFonts w:hint="eastAsia" w:ascii="Times New Roman" w:hAnsi="Times New Roman" w:eastAsia="宋体" w:cs="Times New Roman"/>
                <w:sz w:val="24"/>
                <w:lang w:val="en-US" w:eastAsia="zh-CN"/>
              </w:rPr>
              <w:t>》（GB12523-</w:t>
            </w:r>
            <w:r>
              <w:rPr>
                <w:rFonts w:hint="eastAsia" w:cs="Times New Roman"/>
                <w:sz w:val="24"/>
                <w:lang w:val="en-US" w:eastAsia="zh-CN"/>
              </w:rPr>
              <w:t>2025</w:t>
            </w:r>
            <w:r>
              <w:rPr>
                <w:rFonts w:hint="eastAsia" w:ascii="Times New Roman" w:hAnsi="Times New Roman" w:eastAsia="宋体" w:cs="Times New Roman"/>
                <w:sz w:val="24"/>
                <w:lang w:val="en-US" w:eastAsia="zh-CN"/>
              </w:rPr>
              <w:t>）中标准限值。</w:t>
            </w:r>
          </w:p>
          <w:p w14:paraId="0143FEC5">
            <w:pPr>
              <w:spacing w:line="360" w:lineRule="auto"/>
              <w:ind w:firstLine="480" w:firstLineChars="200"/>
              <w:rPr>
                <w:rFonts w:hint="eastAsia"/>
                <w:sz w:val="24"/>
              </w:rPr>
            </w:pPr>
            <w:r>
              <w:rPr>
                <w:rFonts w:hint="eastAsia"/>
                <w:sz w:val="24"/>
              </w:rPr>
              <w:t>为了减少施工现场噪声污染的影响，施工过程中可采取如下技术措施：</w:t>
            </w:r>
          </w:p>
          <w:p w14:paraId="4D19DD77">
            <w:pPr>
              <w:spacing w:line="360" w:lineRule="auto"/>
              <w:ind w:firstLine="480" w:firstLineChars="200"/>
              <w:rPr>
                <w:sz w:val="24"/>
              </w:rPr>
            </w:pPr>
            <w:r>
              <w:rPr>
                <w:rFonts w:hint="eastAsia"/>
                <w:sz w:val="24"/>
              </w:rPr>
              <w:t>（1）在施工场地外围设置一定高度的围栏；</w:t>
            </w:r>
          </w:p>
          <w:p w14:paraId="7C175D7F">
            <w:pPr>
              <w:spacing w:line="360" w:lineRule="auto"/>
              <w:ind w:firstLine="480" w:firstLineChars="200"/>
              <w:rPr>
                <w:rFonts w:hint="eastAsia"/>
                <w:sz w:val="24"/>
              </w:rPr>
            </w:pPr>
            <w:r>
              <w:rPr>
                <w:rFonts w:hint="eastAsia"/>
                <w:sz w:val="24"/>
              </w:rPr>
              <w:t>（2）选择低噪声机械设备或安装消声器，以降低各类发动机的进排气噪声；</w:t>
            </w:r>
          </w:p>
          <w:p w14:paraId="1A717E22">
            <w:pPr>
              <w:spacing w:line="360" w:lineRule="auto"/>
              <w:ind w:firstLine="480" w:firstLineChars="200"/>
              <w:rPr>
                <w:rFonts w:hint="eastAsia"/>
                <w:sz w:val="24"/>
              </w:rPr>
            </w:pPr>
            <w:r>
              <w:rPr>
                <w:rFonts w:hint="eastAsia"/>
                <w:sz w:val="24"/>
              </w:rPr>
              <w:t>（3）施工现场合理布局：将施工现场的固定噪声源相对集中，置于远离环境敏感受纳体的位置，并充分利用地形，特别是重型运载车辆的运行路线，应尽量避开噪声敏感区，尽量减少交通堵塞和待车行驶；</w:t>
            </w:r>
          </w:p>
          <w:p w14:paraId="1F2546BF">
            <w:pPr>
              <w:spacing w:line="360" w:lineRule="auto"/>
              <w:ind w:firstLine="480" w:firstLineChars="200"/>
              <w:rPr>
                <w:rFonts w:hint="eastAsia"/>
                <w:sz w:val="24"/>
              </w:rPr>
            </w:pPr>
            <w:r>
              <w:rPr>
                <w:rFonts w:hint="eastAsia"/>
                <w:sz w:val="24"/>
              </w:rPr>
              <w:t>（4）在中午（12：00</w:t>
            </w:r>
            <w:r>
              <w:rPr>
                <w:rFonts w:hint="eastAsia"/>
                <w:sz w:val="24"/>
                <w:lang w:val="en-US" w:eastAsia="zh-CN"/>
              </w:rPr>
              <w:t>-</w:t>
            </w:r>
            <w:r>
              <w:rPr>
                <w:rFonts w:hint="eastAsia"/>
                <w:sz w:val="24"/>
              </w:rPr>
              <w:t>14：00）和夜间（22：00</w:t>
            </w:r>
            <w:r>
              <w:rPr>
                <w:rFonts w:hint="eastAsia"/>
                <w:sz w:val="24"/>
                <w:lang w:val="en-US" w:eastAsia="zh-CN"/>
              </w:rPr>
              <w:t>-</w:t>
            </w:r>
            <w:r>
              <w:rPr>
                <w:rFonts w:hint="eastAsia"/>
                <w:sz w:val="24"/>
              </w:rPr>
              <w:t>06：00），禁止产生高噪声污染的施工作业。如若必要施工单位在工程开工前15天内向有审批权的环境保护部门提出申报，并说明拟采取的防治措施；</w:t>
            </w:r>
          </w:p>
          <w:p w14:paraId="478B265C">
            <w:pPr>
              <w:spacing w:line="360" w:lineRule="auto"/>
              <w:ind w:firstLine="480" w:firstLineChars="200"/>
              <w:rPr>
                <w:rFonts w:hint="eastAsia"/>
                <w:sz w:val="24"/>
              </w:rPr>
            </w:pPr>
            <w:r>
              <w:rPr>
                <w:rFonts w:hint="eastAsia"/>
                <w:sz w:val="24"/>
              </w:rPr>
              <w:t>因此，在严格执行上述措施的前提下，项目施工噪声对周边环境产生的影响是可以接受的。</w:t>
            </w:r>
          </w:p>
          <w:p w14:paraId="57CE8AA2">
            <w:pPr>
              <w:pStyle w:val="5"/>
              <w:bidi w:val="0"/>
              <w:spacing w:line="360" w:lineRule="auto"/>
              <w:ind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4.1.4固体废物</w:t>
            </w:r>
          </w:p>
          <w:p w14:paraId="18C1C00E">
            <w:pPr>
              <w:bidi w:val="0"/>
              <w:rPr>
                <w:rFonts w:hint="eastAsia"/>
                <w:lang w:val="en-US" w:eastAsia="zh-CN"/>
              </w:rPr>
            </w:pPr>
            <w:r>
              <w:rPr>
                <w:rFonts w:hint="eastAsia"/>
                <w:lang w:val="en-US" w:eastAsia="zh-CN"/>
              </w:rPr>
              <w:t>项目建设施工期间产生的固体废物主要为施工废弃物、表土、施工人员生活垃圾，施工废弃物主要是工程土石方和建筑垃圾。</w:t>
            </w:r>
          </w:p>
          <w:p w14:paraId="1EF00683">
            <w:pPr>
              <w:bidi w:val="0"/>
              <w:rPr>
                <w:rFonts w:hint="eastAsia"/>
                <w:lang w:val="en-US" w:eastAsia="zh-CN"/>
              </w:rPr>
            </w:pPr>
            <w:r>
              <w:rPr>
                <w:rFonts w:hint="eastAsia"/>
                <w:lang w:val="en-US" w:eastAsia="zh-CN"/>
              </w:rPr>
              <w:t>①施工废弃物</w:t>
            </w:r>
          </w:p>
          <w:p w14:paraId="3BFB463D">
            <w:pPr>
              <w:bidi w:val="0"/>
              <w:rPr>
                <w:rFonts w:hint="eastAsia"/>
                <w:lang w:val="en-US" w:eastAsia="zh-CN"/>
              </w:rPr>
            </w:pPr>
            <w:r>
              <w:rPr>
                <w:rFonts w:hint="eastAsia"/>
                <w:lang w:val="en-US" w:eastAsia="zh-CN"/>
              </w:rPr>
              <w:t>施工期消纳场场地平整、现有矿坑底部垃圾及淤泥、土方挖填将会产生定量弃土渣；建筑垃圾主要包括场地平整处理过程中产生的少量砂土石块等。</w:t>
            </w:r>
          </w:p>
          <w:p w14:paraId="7ACFE701">
            <w:pPr>
              <w:bidi w:val="0"/>
              <w:rPr>
                <w:rFonts w:hint="eastAsia"/>
                <w:lang w:val="en-US" w:eastAsia="zh-CN"/>
              </w:rPr>
            </w:pPr>
            <w:r>
              <w:rPr>
                <w:rFonts w:hint="eastAsia"/>
                <w:lang w:val="en-US" w:eastAsia="zh-CN"/>
              </w:rPr>
              <w:t>堆填前应清除现有矿坑底部基底的垃圾、树根等杂物，抽除坑穴积水、淤泥，本项目对抽除积水后的坑底进行清理，淤泥收集后经压滤达到含水率40%以下，该部分废弃物暂存于临时堆土场，待建筑垃圾消纳场投入使用后进行堆填。</w:t>
            </w:r>
          </w:p>
          <w:p w14:paraId="1D53E241">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②表土</w:t>
            </w:r>
          </w:p>
          <w:p w14:paraId="1AAF43B9">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本项目施工期平整场地将产生一定量的表土，暂存于临时堆土场，将表土与施工废弃物分区存放，待建筑垃圾消纳场投入使用后进行堆填。</w:t>
            </w:r>
          </w:p>
          <w:p w14:paraId="4ABBE9A0">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③生活垃圾</w:t>
            </w:r>
          </w:p>
          <w:p w14:paraId="4235D584">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施工人员平均每天排放生活垃圾约0.5kg/d，施工人数以10人计，施工期生活垃圾产生量约5kg/d，生活垃圾定期清理转移至生活垃圾临时收集点，由当地环卫部门统一清理运走；</w:t>
            </w:r>
          </w:p>
          <w:p w14:paraId="7DEE48E0">
            <w:pPr>
              <w:pStyle w:val="5"/>
              <w:bidi w:val="0"/>
              <w:spacing w:line="360" w:lineRule="auto"/>
              <w:ind w:firstLine="482" w:firstLineChars="20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4.1.5生态环境</w:t>
            </w:r>
          </w:p>
          <w:p w14:paraId="4BE98378">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（1）植被破坏影响分析</w:t>
            </w:r>
          </w:p>
          <w:p w14:paraId="1532FFC2">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到营运期结束后，做好植被恢复措施，场区范围内的植被可得到生态恢复。由于受影响的各类植被在评价区及周边均有广泛分布，工程建设占地不会对这些植被造成毁灭性的破坏及在该区域内的消失，其不利影响仅限于局部，不会显著的改变评价区的植被分布格局，不会随时间推移而扩大。本项目涉及区域所受影响的植物物种都是本地常见种，且影响到的是植物种群的部分个体，种群的大部分个体在影响区域以外广泛分布，不会导致物种灭绝，也不会改变评价区域的区系性质，不会造成较大的生物多样性流失。</w:t>
            </w:r>
          </w:p>
          <w:p w14:paraId="5B5882A4">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本项目评价区内不涉及珍稀濒危植物和名木古树，项目的实施不会造成对保护性植物和名木古树造成影响。</w:t>
            </w:r>
            <w:r>
              <w:rPr>
                <w:rFonts w:hint="eastAsia" w:cs="Times New Roman"/>
                <w:sz w:val="24"/>
                <w:lang w:val="en-US" w:eastAsia="zh-CN"/>
              </w:rPr>
              <w:t>项目</w:t>
            </w:r>
            <w:r>
              <w:rPr>
                <w:rFonts w:hint="eastAsia" w:ascii="Times New Roman" w:hAnsi="Times New Roman" w:eastAsia="宋体" w:cs="Times New Roman"/>
                <w:sz w:val="24"/>
                <w:lang w:val="en-US" w:eastAsia="zh-CN"/>
              </w:rPr>
              <w:t>占用的植被面积有限，且以次生性植被为主，</w:t>
            </w:r>
            <w:r>
              <w:rPr>
                <w:rFonts w:hint="eastAsia"/>
              </w:rPr>
              <w:t>根据现场调查，评价区植被以次生灌草丛为主，项目建设不会导致植物物种灭绝，对区域生物多样性的影响是有限的、可接受的</w:t>
            </w:r>
            <w:r>
              <w:rPr>
                <w:rFonts w:hint="eastAsia" w:ascii="Times New Roman" w:hAnsi="Times New Roman" w:eastAsia="宋体" w:cs="Times New Roman"/>
                <w:sz w:val="24"/>
                <w:lang w:val="en-US" w:eastAsia="zh-CN"/>
              </w:rPr>
              <w:t>，同时项目的建设及运行不会造成评价区植被分布格局、生态系统结构及功能的显著改变，故本工程对植被的影响较为有限。</w:t>
            </w:r>
          </w:p>
          <w:p w14:paraId="54AEAA8D">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（2）水土流失影响分析</w:t>
            </w:r>
          </w:p>
          <w:p w14:paraId="50CD2758">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施工过程中不可避免地扰动了表土结构，导致土壤抗蚀能力降低，损坏了原有的水土保持设施，导致地表裸露，在地表径流的作用下，会造成水土流失，淤塞河道，堵塞市政下水道，破坏土地构型，通过采取建设排水沟、沉淀池等措施，减小水土流失。</w:t>
            </w:r>
          </w:p>
          <w:p w14:paraId="1D54A46B">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（3）生物多样性影响分析</w:t>
            </w:r>
          </w:p>
          <w:p w14:paraId="093BCE76">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用地上的植物主要为灌木草丛等植物物种等，物种多样性较为简单，本项目施工清理了植被，但被损坏植被为区域常见植被，本项目场地范围内没有濒危珍稀野生植物，不会造成濒危珍稀野生植物种群数量的锐减或灭绝；项目范围内没有生态敏感种类，因此，本项目的实施不会对区域物种多样性产生较大影响，生态系统的稳定性亦不会受到威胁。</w:t>
            </w:r>
          </w:p>
          <w:p w14:paraId="6E4E93F4">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（4）陆生脊椎动物影响分析</w:t>
            </w:r>
          </w:p>
          <w:p w14:paraId="6B7D0A49">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施工对爬行类、鸟类和兽类的直接影响主要表现为施工人员集中活动和工程施工将这些动物驱赶到远离施工现场外的周边环境，一般不会造成动物的死亡。工程区及其周边区域环境现状特征较为一致，而施工活动仅集中在评价区内的局部区域，动物便于迁居和存活。施工区人类活动较为频繁，多数动物在该区仅记载有分布，因此实际上受施工影响的动物种类和数量均不多，影响程度也较轻。项目建设对项目评价区内常见的兽类、爬行类和两栖类的影响是局部的，影响不大。鸟类活动能力很强，能够迅速逃离不利环境，项目建设不会造成其灭绝或濒危，但一些突发的噪声会影响其生活，特别在产卵和孵卵期间，会造成较大的影响。项目的建设导致人员密集，但由于食物丰富，可能造成项目评价区内啮齿类动物，尤其是小家鼠和褐家鼠等鼠科动物数量增加。本项目不涉及保护动物和珍稀濒危动物，项目的施工所影响到的动物个体数极少，对物种产生影响非常有限。本项目通过严格划定施工范围、减少不必要的植被破坏、落实水土保持措施、加强施工管理和教育、明令禁止围猎等措施，上述不良影响将是可以控制的。</w:t>
            </w:r>
          </w:p>
          <w:p w14:paraId="67331E22">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（5）景观影响</w:t>
            </w:r>
          </w:p>
          <w:p w14:paraId="629CBAF1">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施工造成施工场地地表裸露、扬尘以及施工场地混乱，土石方乱堆乱放使施工场地脏乱不堪，减弱了现有景观的生态效应，对区域景观将造成一定程度的不利影响，但项目实施不会导致景观类型单一化的改变，使景观的复杂程度和稳定性降低，对干扰的抵御能力下降。</w:t>
            </w:r>
          </w:p>
          <w:p w14:paraId="749C95C5">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生态环境保护措施：</w:t>
            </w:r>
          </w:p>
          <w:p w14:paraId="2F869F2D">
            <w:pPr>
              <w:numPr>
                <w:ilvl w:val="0"/>
                <w:numId w:val="0"/>
              </w:num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lang w:val="en-US" w:eastAsia="zh-CN"/>
              </w:rPr>
              <w:t>建设单位应</w:t>
            </w:r>
            <w:r>
              <w:rPr>
                <w:rFonts w:hint="eastAsia"/>
              </w:rPr>
              <w:t>做好临时边坡防护措施，确保堆填施工期间的边坡稳定。</w:t>
            </w:r>
          </w:p>
          <w:p w14:paraId="3B43ABFB">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lang w:val="en-US" w:eastAsia="zh-CN"/>
              </w:rPr>
              <w:t>在场区，争取做到土料随填随压，不留松土，场内尽量平整；</w:t>
            </w:r>
          </w:p>
          <w:p w14:paraId="48FB9933">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（3）建立完善的排水系统，防止破面水漫坡流动，侵蚀土壤，造成水土流失；</w:t>
            </w:r>
          </w:p>
          <w:p w14:paraId="2B53E85B">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（4）规划表土临时堆放场地，堆场堆土边坡下部设置挡土墙，周边设排水沟，表土堆存期间的临时撒草绿化，避免雨季时的水土流失，堆土的边坡要小，尽量压实，使其少占地且不易被雨水冲刷造成流失。</w:t>
            </w:r>
            <w:r>
              <w:rPr>
                <w:rFonts w:hint="eastAsia"/>
              </w:rPr>
              <w:t>土石方开挖、填筑等扰动地表的作业应尽量避开雨季（4~9月），确需在雨季施工的，应编制雨季施工专项方案，配备足够的水泵、防水布等应急物资</w:t>
            </w:r>
            <w:r>
              <w:rPr>
                <w:rFonts w:hint="eastAsia" w:ascii="Times New Roman" w:hAnsi="Times New Roman" w:eastAsia="宋体" w:cs="Times New Roman"/>
                <w:sz w:val="24"/>
                <w:lang w:val="en-US" w:eastAsia="zh-CN"/>
              </w:rPr>
              <w:t>；</w:t>
            </w:r>
          </w:p>
          <w:p w14:paraId="302F64DF">
            <w:pPr>
              <w:spacing w:line="360" w:lineRule="auto"/>
              <w:ind w:firstLine="528"/>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（5）各种防护措施与主体工程同步实施，以预防雨季路面径流直接冲刷坡面而造成水土流失。若遇下雨，可用沙袋或草席压住裸露的地面进行暂时防护，以减少水土流失。施工期应及时绿化，补偿受损植被。</w:t>
            </w:r>
          </w:p>
          <w:p w14:paraId="19EF5E90">
            <w:pPr>
              <w:spacing w:line="360" w:lineRule="auto"/>
              <w:ind w:firstLine="528"/>
              <w:jc w:val="left"/>
              <w:rPr>
                <w:rFonts w:hint="eastAsia" w:ascii="Times New Roman" w:hAnsi="Times New Roman" w:eastAsia="宋体" w:cs="Times New Roman"/>
                <w:sz w:val="24"/>
                <w:u w:val="single"/>
                <w:lang w:val="en-US" w:eastAsia="zh-CN"/>
              </w:rPr>
            </w:pPr>
            <w:r>
              <w:rPr>
                <w:rFonts w:hint="eastAsia" w:ascii="Times New Roman" w:hAnsi="Times New Roman" w:eastAsia="宋体" w:cs="Times New Roman"/>
                <w:sz w:val="24"/>
                <w:u w:val="single"/>
                <w:lang w:val="en-US" w:eastAsia="zh-CN"/>
              </w:rPr>
              <w:t>（6）</w:t>
            </w:r>
            <w:r>
              <w:rPr>
                <w:rFonts w:hint="eastAsia"/>
                <w:u w:val="single"/>
                <w:lang w:val="en-US" w:eastAsia="zh-CN"/>
              </w:rPr>
              <w:t>具体水土保持措施以建设单位另行委托编制的《洪江市建筑垃圾安江堆填场建设项目（一期）水土保持方案报告书》执行，</w:t>
            </w:r>
            <w:r>
              <w:rPr>
                <w:rFonts w:hint="eastAsia" w:ascii="Times New Roman" w:hAnsi="Times New Roman" w:eastAsia="宋体" w:cs="Times New Roman"/>
                <w:sz w:val="24"/>
                <w:u w:val="single"/>
                <w:lang w:val="en-US" w:eastAsia="zh-CN"/>
              </w:rPr>
              <w:t>施工单位在项目建设过程中，应建立水土保持方面的规章制度，加强管理，严格按照施工规范操作，严格按照批复的水土保持方案进行施工；</w:t>
            </w:r>
          </w:p>
          <w:p w14:paraId="44799134">
            <w:pPr>
              <w:spacing w:line="360" w:lineRule="auto"/>
              <w:ind w:firstLine="528"/>
              <w:jc w:val="left"/>
              <w:rPr>
                <w:rFonts w:hint="eastAsia" w:ascii="Times New Roman" w:hAnsi="Times New Roman" w:eastAsia="宋体" w:cs="Times New Roman"/>
                <w:sz w:val="24"/>
                <w:u w:val="single"/>
                <w:lang w:val="en-US" w:eastAsia="zh-CN"/>
              </w:rPr>
            </w:pPr>
            <w:r>
              <w:rPr>
                <w:rFonts w:hint="eastAsia" w:cs="Times New Roman"/>
                <w:sz w:val="24"/>
                <w:u w:val="single"/>
                <w:lang w:val="en-US" w:eastAsia="zh-CN"/>
              </w:rPr>
              <w:t>（7）建筑垃圾堆填场防洪措施</w:t>
            </w:r>
            <w:r>
              <w:rPr>
                <w:rFonts w:hint="eastAsia"/>
                <w:u w:val="single"/>
                <w:lang w:val="en-US" w:eastAsia="zh-CN"/>
              </w:rPr>
              <w:t>以建设单位另行委托编制的防洪报告执行，</w:t>
            </w:r>
            <w:r>
              <w:rPr>
                <w:rFonts w:hint="eastAsia" w:ascii="Times New Roman" w:hAnsi="Times New Roman" w:eastAsia="宋体" w:cs="Times New Roman"/>
                <w:sz w:val="24"/>
                <w:u w:val="single"/>
                <w:lang w:val="en-US" w:eastAsia="zh-CN"/>
              </w:rPr>
              <w:t>施工单位在项目建设过程中，应建立</w:t>
            </w:r>
            <w:r>
              <w:rPr>
                <w:rFonts w:hint="eastAsia" w:cs="Times New Roman"/>
                <w:sz w:val="24"/>
                <w:u w:val="single"/>
                <w:lang w:val="en-US" w:eastAsia="zh-CN"/>
              </w:rPr>
              <w:t>防洪</w:t>
            </w:r>
            <w:r>
              <w:rPr>
                <w:rFonts w:hint="eastAsia" w:ascii="Times New Roman" w:hAnsi="Times New Roman" w:eastAsia="宋体" w:cs="Times New Roman"/>
                <w:sz w:val="24"/>
                <w:u w:val="single"/>
                <w:lang w:val="en-US" w:eastAsia="zh-CN"/>
              </w:rPr>
              <w:t>方面的规章制度，加强管理，严格按照施工规范操作，严格按照</w:t>
            </w:r>
            <w:r>
              <w:rPr>
                <w:rFonts w:hint="eastAsia" w:cs="Times New Roman"/>
                <w:sz w:val="24"/>
                <w:u w:val="single"/>
                <w:lang w:val="en-US" w:eastAsia="zh-CN"/>
              </w:rPr>
              <w:t>防洪要求</w:t>
            </w:r>
            <w:r>
              <w:rPr>
                <w:rFonts w:hint="eastAsia" w:ascii="Times New Roman" w:hAnsi="Times New Roman" w:eastAsia="宋体" w:cs="Times New Roman"/>
                <w:sz w:val="24"/>
                <w:u w:val="single"/>
                <w:lang w:val="en-US" w:eastAsia="zh-CN"/>
              </w:rPr>
              <w:t>进行施工；</w:t>
            </w:r>
          </w:p>
          <w:p w14:paraId="0133975B">
            <w:pPr>
              <w:spacing w:line="360" w:lineRule="auto"/>
              <w:ind w:firstLine="528"/>
              <w:jc w:val="left"/>
              <w:rPr>
                <w:rFonts w:hint="eastAsia"/>
                <w:lang w:val="zh-CN" w:eastAsia="zh-CN"/>
              </w:rPr>
            </w:pPr>
            <w:r>
              <w:rPr>
                <w:rFonts w:hint="eastAsia" w:ascii="Times New Roman" w:hAnsi="Times New Roman" w:eastAsia="宋体" w:cs="Times New Roman"/>
                <w:sz w:val="24"/>
                <w:lang w:val="en-US" w:eastAsia="zh-CN"/>
              </w:rPr>
              <w:t>采取措施后，本项目施工期对环境不会造成明显影响。</w:t>
            </w:r>
            <w:bookmarkEnd w:id="88"/>
            <w:bookmarkEnd w:id="89"/>
            <w:bookmarkEnd w:id="90"/>
          </w:p>
        </w:tc>
      </w:tr>
      <w:tr w14:paraId="2322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dxa"/>
            <w:vAlign w:val="center"/>
          </w:tcPr>
          <w:p w14:paraId="4CE34481">
            <w:pPr>
              <w:ind w:firstLine="0" w:firstLineChars="0"/>
              <w:jc w:val="center"/>
            </w:pPr>
            <w:r>
              <w:br w:type="page"/>
            </w:r>
            <w:r>
              <w:rPr>
                <w:rFonts w:hint="eastAsia"/>
              </w:rPr>
              <w:t>运营期环境影响和保护措施</w:t>
            </w:r>
          </w:p>
        </w:tc>
        <w:tc>
          <w:tcPr>
            <w:tcW w:w="8983" w:type="dxa"/>
            <w:vAlign w:val="center"/>
          </w:tcPr>
          <w:p w14:paraId="65CAFB6A">
            <w:pPr>
              <w:pStyle w:val="4"/>
              <w:bidi w:val="0"/>
              <w:rPr>
                <w:rFonts w:hint="eastAsia"/>
                <w:lang w:val="en-US" w:eastAsia="zh-CN"/>
              </w:rPr>
            </w:pPr>
            <w:bookmarkStart w:id="91" w:name="_Toc23872"/>
            <w:bookmarkStart w:id="92" w:name="_Toc13530"/>
            <w:bookmarkStart w:id="93" w:name="_Toc24249"/>
            <w:r>
              <w:rPr>
                <w:rFonts w:hint="eastAsia"/>
                <w:lang w:val="en-US" w:eastAsia="zh-CN"/>
              </w:rPr>
              <w:t>4.2大气环境影响分析和保护措施</w:t>
            </w:r>
            <w:bookmarkEnd w:id="91"/>
            <w:bookmarkEnd w:id="92"/>
            <w:bookmarkEnd w:id="93"/>
          </w:p>
          <w:p w14:paraId="5A415390">
            <w:pPr>
              <w:spacing w:line="360" w:lineRule="auto"/>
              <w:ind w:firstLine="528" w:firstLineChars="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本项目运营期产生的废气污染物主要为建筑垃圾</w:t>
            </w:r>
            <w:r>
              <w:rPr>
                <w:rFonts w:hint="eastAsia"/>
                <w:sz w:val="24"/>
                <w:lang w:val="en-US" w:eastAsia="zh-CN"/>
              </w:rPr>
              <w:t>堆填场</w:t>
            </w:r>
            <w:r>
              <w:rPr>
                <w:rFonts w:hint="eastAsia" w:ascii="Times New Roman" w:hAnsi="Times New Roman" w:eastAsia="宋体" w:cs="Times New Roman"/>
                <w:sz w:val="24"/>
                <w:lang w:val="en-US" w:eastAsia="zh-CN"/>
              </w:rPr>
              <w:t>场内卸车、堆填场</w:t>
            </w:r>
            <w:r>
              <w:rPr>
                <w:rFonts w:hint="eastAsia" w:cs="Times New Roman"/>
                <w:sz w:val="24"/>
                <w:lang w:val="en-US" w:eastAsia="zh-CN"/>
              </w:rPr>
              <w:t>碾压</w:t>
            </w:r>
            <w:r>
              <w:rPr>
                <w:rFonts w:hint="eastAsia" w:ascii="Times New Roman" w:hAnsi="Times New Roman" w:eastAsia="宋体" w:cs="Times New Roman"/>
                <w:sz w:val="24"/>
                <w:lang w:val="en-US" w:eastAsia="zh-CN"/>
              </w:rPr>
              <w:t>扬尘</w:t>
            </w:r>
            <w:r>
              <w:rPr>
                <w:rFonts w:hint="eastAsia" w:cs="Times New Roman"/>
                <w:sz w:val="24"/>
                <w:lang w:val="en-US" w:eastAsia="zh-CN"/>
              </w:rPr>
              <w:t>、堆填场扬尘</w:t>
            </w:r>
            <w:r>
              <w:rPr>
                <w:rFonts w:hint="eastAsia" w:ascii="Times New Roman" w:hAnsi="Times New Roman" w:eastAsia="宋体" w:cs="Times New Roman"/>
                <w:sz w:val="24"/>
                <w:lang w:val="en-US" w:eastAsia="zh-CN"/>
              </w:rPr>
              <w:t>、以及道路运输扬尘、设备及车辆尾气等。</w:t>
            </w:r>
          </w:p>
          <w:p w14:paraId="5D92BD87">
            <w:pPr>
              <w:pStyle w:val="5"/>
              <w:bidi w:val="0"/>
              <w:rPr>
                <w:rFonts w:hint="eastAsia"/>
                <w:lang w:val="en-US" w:eastAsia="zh-CN"/>
              </w:rPr>
            </w:pPr>
            <w:r>
              <w:rPr>
                <w:rFonts w:hint="eastAsia"/>
                <w:lang w:val="en-US" w:eastAsia="zh-CN"/>
              </w:rPr>
              <w:t>4.2.1大气污染源强分析</w:t>
            </w:r>
          </w:p>
          <w:p w14:paraId="77493C98">
            <w:pPr>
              <w:spacing w:line="360" w:lineRule="auto"/>
              <w:ind w:firstLine="528" w:firstLineChars="0"/>
              <w:jc w:val="left"/>
              <w:rPr>
                <w:rFonts w:hint="eastAsia" w:ascii="Times New Roman" w:hAnsi="Times New Roman" w:eastAsia="宋体" w:cs="Times New Roman"/>
                <w:sz w:val="24"/>
                <w:u w:val="single" w:color="auto"/>
                <w:lang w:val="en-US" w:eastAsia="zh-CN"/>
              </w:rPr>
            </w:pPr>
            <w:r>
              <w:rPr>
                <w:rFonts w:hint="eastAsia" w:ascii="Times New Roman" w:hAnsi="Times New Roman" w:eastAsia="宋体" w:cs="Times New Roman"/>
                <w:sz w:val="24"/>
                <w:u w:val="single" w:color="auto"/>
                <w:lang w:val="en-US" w:eastAsia="zh-CN"/>
              </w:rPr>
              <w:t>（1）车辆运输扬尘</w:t>
            </w:r>
          </w:p>
          <w:p w14:paraId="09C656DC">
            <w:pPr>
              <w:spacing w:line="360" w:lineRule="auto"/>
              <w:ind w:firstLine="480" w:firstLineChars="200"/>
              <w:rPr>
                <w:rFonts w:hint="default"/>
                <w:sz w:val="24"/>
                <w:u w:val="single" w:color="auto"/>
              </w:rPr>
            </w:pPr>
            <w:r>
              <w:rPr>
                <w:rFonts w:hint="eastAsia" w:ascii="Times New Roman" w:hAnsi="Times New Roman" w:eastAsia="宋体" w:cs="Times New Roman"/>
                <w:sz w:val="24"/>
                <w:u w:val="single" w:color="auto"/>
                <w:lang w:val="en-US" w:eastAsia="zh-CN"/>
              </w:rPr>
              <w:t>结合项目可行性研究报告</w:t>
            </w:r>
            <w:r>
              <w:rPr>
                <w:rFonts w:hint="eastAsia" w:ascii="Times New Roman" w:hAnsi="Times New Roman" w:eastAsia="宋体" w:cs="Times New Roman"/>
                <w:sz w:val="24"/>
                <w:u w:val="single" w:color="auto"/>
                <w:lang w:val="zh-CN" w:eastAsia="zh-CN"/>
              </w:rPr>
              <w:t>，</w:t>
            </w:r>
            <w:r>
              <w:rPr>
                <w:rFonts w:hint="eastAsia"/>
                <w:sz w:val="24"/>
                <w:u w:val="single" w:color="auto"/>
              </w:rPr>
              <w:t>本项目</w:t>
            </w:r>
            <w:r>
              <w:rPr>
                <w:rFonts w:hint="eastAsia"/>
                <w:sz w:val="24"/>
                <w:u w:val="single" w:color="auto"/>
                <w:lang w:val="en-US" w:eastAsia="zh-CN"/>
              </w:rPr>
              <w:t>建筑垃圾堆填场一期</w:t>
            </w:r>
            <w:r>
              <w:rPr>
                <w:rFonts w:hint="default"/>
                <w:sz w:val="24"/>
                <w:u w:val="single" w:color="auto"/>
                <w:lang w:val="en-US" w:eastAsia="zh-CN"/>
              </w:rPr>
              <w:t>设计库容</w:t>
            </w:r>
            <w:r>
              <w:rPr>
                <w:rFonts w:hint="eastAsia"/>
                <w:sz w:val="24"/>
                <w:u w:val="single" w:color="auto"/>
                <w:lang w:val="en-US" w:eastAsia="zh-CN"/>
              </w:rPr>
              <w:t>5</w:t>
            </w:r>
            <w:r>
              <w:rPr>
                <w:rFonts w:hint="default"/>
                <w:sz w:val="24"/>
                <w:u w:val="single" w:color="auto"/>
                <w:lang w:val="en-US" w:eastAsia="zh-CN"/>
              </w:rPr>
              <w:t>万立方米</w:t>
            </w:r>
            <w:r>
              <w:rPr>
                <w:rFonts w:hint="eastAsia"/>
                <w:sz w:val="24"/>
                <w:u w:val="single" w:color="auto"/>
                <w:lang w:val="en-US" w:eastAsia="zh-CN"/>
              </w:rPr>
              <w:t>，设计建筑垃圾处置能力19710吨/年（54吨/天）</w:t>
            </w:r>
            <w:r>
              <w:rPr>
                <w:rFonts w:hint="eastAsia"/>
                <w:sz w:val="24"/>
                <w:u w:val="single" w:color="auto"/>
              </w:rPr>
              <w:t>。</w:t>
            </w:r>
          </w:p>
          <w:p w14:paraId="5F39DDB2">
            <w:pPr>
              <w:spacing w:line="360" w:lineRule="auto"/>
              <w:ind w:firstLine="528" w:firstLineChars="0"/>
              <w:jc w:val="left"/>
              <w:rPr>
                <w:rFonts w:hint="default" w:ascii="Times New Roman" w:hAnsi="Times New Roman" w:eastAsia="宋体" w:cs="Times New Roman"/>
                <w:sz w:val="24"/>
                <w:u w:val="single" w:color="auto"/>
                <w:lang w:val="en-US" w:eastAsia="zh-CN"/>
              </w:rPr>
            </w:pPr>
            <w:r>
              <w:rPr>
                <w:rFonts w:hint="eastAsia" w:ascii="Times New Roman" w:hAnsi="Times New Roman" w:eastAsia="宋体" w:cs="Times New Roman"/>
                <w:sz w:val="24"/>
                <w:u w:val="single" w:color="auto"/>
                <w:lang w:val="en-US" w:eastAsia="zh-CN"/>
              </w:rPr>
              <w:t>本评价根据《污染源源强核算技术指南 准则》（HJ884-2018），本项目采用类比法·计算车辆运输粉尘。</w:t>
            </w:r>
          </w:p>
          <w:p w14:paraId="22CA9CFE">
            <w:pPr>
              <w:spacing w:line="360" w:lineRule="auto"/>
              <w:ind w:firstLine="528" w:firstLineChars="0"/>
              <w:jc w:val="left"/>
              <w:rPr>
                <w:rFonts w:hint="eastAsia" w:ascii="Times New Roman" w:hAnsi="Times New Roman" w:eastAsia="宋体" w:cs="Times New Roman"/>
                <w:sz w:val="24"/>
                <w:u w:val="single" w:color="auto"/>
                <w:lang w:val="en-US" w:eastAsia="zh-CN"/>
              </w:rPr>
            </w:pPr>
            <w:r>
              <w:rPr>
                <w:rFonts w:hint="eastAsia" w:ascii="Times New Roman" w:hAnsi="Times New Roman" w:eastAsia="宋体" w:cs="Times New Roman"/>
                <w:sz w:val="24"/>
                <w:u w:val="single" w:color="auto"/>
                <w:lang w:val="en-US" w:eastAsia="zh-CN"/>
              </w:rPr>
              <w:t>采用以下经验公式进行计算：</w:t>
            </w:r>
          </w:p>
          <w:p w14:paraId="63B71022">
            <w:pPr>
              <w:keepNext w:val="0"/>
              <w:keepLines w:val="0"/>
              <w:pageBreakBefore w:val="0"/>
              <w:widowControl w:val="0"/>
              <w:kinsoku/>
              <w:bidi w:val="0"/>
              <w:ind w:firstLine="0" w:firstLineChars="0"/>
              <w:jc w:val="center"/>
              <w:rPr>
                <w:color w:val="auto"/>
                <w:u w:val="single" w:color="auto"/>
              </w:rPr>
            </w:pPr>
            <w:r>
              <w:rPr>
                <w:color w:val="auto"/>
                <w:position w:val="-28"/>
                <w:u w:val="single" w:color="auto"/>
              </w:rPr>
              <w:object>
                <v:shape id="_x0000_i1028" o:spt="75" type="#_x0000_t75" style="height:36.95pt;width:175.95pt;" o:ole="t" filled="f" o:preferrelative="t" stroked="f" coordsize="21600,21600">
                  <v:path/>
                  <v:fill on="f" focussize="0,0"/>
                  <v:stroke on="f"/>
                  <v:imagedata r:id="rId28" o:title=""/>
                  <o:lock v:ext="edit" aspectratio="t"/>
                  <w10:wrap type="none"/>
                  <w10:anchorlock/>
                </v:shape>
                <o:OLEObject Type="Embed" ProgID="Equation.3" ShapeID="_x0000_i1028" DrawAspect="Content" ObjectID="_1468075728" r:id="rId27">
                  <o:LockedField>false</o:LockedField>
                </o:OLEObject>
              </w:object>
            </w:r>
          </w:p>
          <w:p w14:paraId="790B8F83">
            <w:pPr>
              <w:keepNext w:val="0"/>
              <w:keepLines w:val="0"/>
              <w:pageBreakBefore w:val="0"/>
              <w:widowControl w:val="0"/>
              <w:kinsoku/>
              <w:bidi w:val="0"/>
              <w:ind w:firstLine="0" w:firstLineChars="0"/>
              <w:jc w:val="center"/>
              <w:rPr>
                <w:color w:val="auto"/>
                <w:u w:val="single" w:color="auto"/>
              </w:rPr>
            </w:pPr>
            <w:r>
              <w:rPr>
                <w:color w:val="auto"/>
                <w:position w:val="-28"/>
                <w:u w:val="single" w:color="auto"/>
              </w:rPr>
              <w:object>
                <v:shape id="_x0000_i1029" o:spt="75" type="#_x0000_t75" style="height:33.8pt;width:92.65pt;" o:ole="t" filled="f" o:preferrelative="t" stroked="f" coordsize="21600,21600">
                  <v:path/>
                  <v:fill on="f" focussize="0,0"/>
                  <v:stroke on="f" joinstyle="miter"/>
                  <v:imagedata r:id="rId30" o:title=""/>
                  <o:lock v:ext="edit" aspectratio="t"/>
                  <w10:wrap type="none"/>
                  <w10:anchorlock/>
                </v:shape>
                <o:OLEObject Type="Embed" ProgID="Equation.3" ShapeID="_x0000_i1029" DrawAspect="Content" ObjectID="_1468075729" r:id="rId29">
                  <o:LockedField>false</o:LockedField>
                </o:OLEObject>
              </w:object>
            </w:r>
          </w:p>
          <w:p w14:paraId="3F21572E">
            <w:pPr>
              <w:keepNext w:val="0"/>
              <w:keepLines w:val="0"/>
              <w:pageBreakBefore w:val="0"/>
              <w:widowControl w:val="0"/>
              <w:kinsoku/>
              <w:bidi w:val="0"/>
              <w:adjustRightInd w:val="0"/>
              <w:snapToGrid w:val="0"/>
              <w:ind w:firstLine="480"/>
              <w:rPr>
                <w:color w:val="auto"/>
                <w:u w:val="single" w:color="auto"/>
              </w:rPr>
            </w:pPr>
            <w:r>
              <w:rPr>
                <w:color w:val="auto"/>
                <w:u w:val="single" w:color="auto"/>
              </w:rPr>
              <w:t>式中：</w:t>
            </w:r>
          </w:p>
          <w:p w14:paraId="52331F91">
            <w:pPr>
              <w:keepNext w:val="0"/>
              <w:keepLines w:val="0"/>
              <w:pageBreakBefore w:val="0"/>
              <w:widowControl w:val="0"/>
              <w:kinsoku/>
              <w:bidi w:val="0"/>
              <w:adjustRightInd w:val="0"/>
              <w:snapToGrid w:val="0"/>
              <w:ind w:firstLine="480"/>
              <w:rPr>
                <w:color w:val="auto"/>
                <w:u w:val="single" w:color="auto"/>
              </w:rPr>
            </w:pPr>
            <w:r>
              <w:rPr>
                <w:color w:val="auto"/>
                <w:u w:val="single" w:color="auto"/>
              </w:rPr>
              <w:t>Q</w:t>
            </w:r>
            <w:r>
              <w:rPr>
                <w:color w:val="auto"/>
                <w:u w:val="single" w:color="auto"/>
                <w:vertAlign w:val="subscript"/>
              </w:rPr>
              <w:t>y</w:t>
            </w:r>
            <w:r>
              <w:rPr>
                <w:color w:val="auto"/>
                <w:u w:val="single" w:color="auto"/>
              </w:rPr>
              <w:t>—运输起尘量，kg/km·辆；</w:t>
            </w:r>
          </w:p>
          <w:p w14:paraId="662209C0">
            <w:pPr>
              <w:keepNext w:val="0"/>
              <w:keepLines w:val="0"/>
              <w:pageBreakBefore w:val="0"/>
              <w:widowControl w:val="0"/>
              <w:kinsoku/>
              <w:bidi w:val="0"/>
              <w:rPr>
                <w:color w:val="auto"/>
                <w:u w:val="single" w:color="auto"/>
              </w:rPr>
            </w:pPr>
            <w:r>
              <w:rPr>
                <w:color w:val="auto"/>
                <w:u w:val="single" w:color="auto"/>
              </w:rPr>
              <w:t>Q</w:t>
            </w:r>
            <w:r>
              <w:rPr>
                <w:color w:val="auto"/>
                <w:u w:val="single" w:color="auto"/>
                <w:vertAlign w:val="subscript"/>
              </w:rPr>
              <w:t>t</w:t>
            </w:r>
            <w:r>
              <w:rPr>
                <w:color w:val="auto"/>
                <w:u w:val="single" w:color="auto"/>
              </w:rPr>
              <w:t>—总运输起尘量，kg/a；</w:t>
            </w:r>
          </w:p>
          <w:p w14:paraId="08FDCC70">
            <w:pPr>
              <w:keepNext w:val="0"/>
              <w:keepLines w:val="0"/>
              <w:pageBreakBefore w:val="0"/>
              <w:widowControl w:val="0"/>
              <w:kinsoku/>
              <w:bidi w:val="0"/>
              <w:rPr>
                <w:color w:val="auto"/>
                <w:u w:val="single" w:color="auto"/>
              </w:rPr>
            </w:pPr>
            <w:r>
              <w:rPr>
                <w:color w:val="auto"/>
                <w:u w:val="single" w:color="auto"/>
              </w:rPr>
              <w:t>V—车辆行驶速度，km/h，；</w:t>
            </w:r>
          </w:p>
          <w:p w14:paraId="51F8067E">
            <w:pPr>
              <w:keepNext w:val="0"/>
              <w:keepLines w:val="0"/>
              <w:pageBreakBefore w:val="0"/>
              <w:widowControl w:val="0"/>
              <w:kinsoku/>
              <w:bidi w:val="0"/>
              <w:rPr>
                <w:color w:val="auto"/>
                <w:u w:val="single" w:color="auto"/>
              </w:rPr>
            </w:pPr>
            <w:r>
              <w:rPr>
                <w:color w:val="auto"/>
                <w:u w:val="single" w:color="auto"/>
              </w:rPr>
              <w:t>P—路面状况，以每平方米路面灰尘覆盖率表示，kg/m</w:t>
            </w:r>
            <w:r>
              <w:rPr>
                <w:color w:val="auto"/>
                <w:u w:val="single" w:color="auto"/>
                <w:vertAlign w:val="superscript"/>
              </w:rPr>
              <w:t>2</w:t>
            </w:r>
            <w:r>
              <w:rPr>
                <w:rFonts w:hint="eastAsia"/>
                <w:color w:val="auto"/>
                <w:u w:val="single" w:color="auto"/>
                <w:lang w:eastAsia="zh-CN"/>
              </w:rPr>
              <w:t>，</w:t>
            </w:r>
            <w:r>
              <w:rPr>
                <w:color w:val="auto"/>
                <w:u w:val="single" w:color="auto"/>
              </w:rPr>
              <w:t>取</w:t>
            </w:r>
            <w:r>
              <w:rPr>
                <w:rFonts w:hint="eastAsia"/>
                <w:color w:val="auto"/>
                <w:u w:val="single" w:color="auto"/>
                <w:lang w:val="en-US" w:eastAsia="zh-CN"/>
              </w:rPr>
              <w:t>0.2</w:t>
            </w:r>
            <w:r>
              <w:rPr>
                <w:color w:val="auto"/>
                <w:u w:val="single" w:color="auto"/>
              </w:rPr>
              <w:t>kg/m</w:t>
            </w:r>
            <w:r>
              <w:rPr>
                <w:color w:val="auto"/>
                <w:u w:val="single" w:color="auto"/>
                <w:vertAlign w:val="superscript"/>
              </w:rPr>
              <w:t>2</w:t>
            </w:r>
            <w:r>
              <w:rPr>
                <w:color w:val="auto"/>
                <w:u w:val="single" w:color="auto"/>
              </w:rPr>
              <w:t>；</w:t>
            </w:r>
          </w:p>
          <w:p w14:paraId="5AE2CB8A">
            <w:pPr>
              <w:keepNext w:val="0"/>
              <w:keepLines w:val="0"/>
              <w:pageBreakBefore w:val="0"/>
              <w:widowControl w:val="0"/>
              <w:kinsoku/>
              <w:bidi w:val="0"/>
              <w:rPr>
                <w:color w:val="auto"/>
                <w:u w:val="single" w:color="auto"/>
              </w:rPr>
            </w:pPr>
            <w:r>
              <w:rPr>
                <w:color w:val="auto"/>
                <w:u w:val="single" w:color="auto"/>
              </w:rPr>
              <w:t>M—车辆载重，t/辆，本次评价取</w:t>
            </w:r>
            <w:r>
              <w:rPr>
                <w:rFonts w:hint="eastAsia"/>
                <w:color w:val="auto"/>
                <w:u w:val="single" w:color="auto"/>
                <w:lang w:val="en-US" w:eastAsia="zh-CN"/>
              </w:rPr>
              <w:t>10</w:t>
            </w:r>
            <w:r>
              <w:rPr>
                <w:color w:val="auto"/>
                <w:u w:val="single" w:color="auto"/>
              </w:rPr>
              <w:t>t/辆；</w:t>
            </w:r>
          </w:p>
          <w:p w14:paraId="2BB66973">
            <w:pPr>
              <w:keepNext w:val="0"/>
              <w:keepLines w:val="0"/>
              <w:pageBreakBefore w:val="0"/>
              <w:widowControl w:val="0"/>
              <w:kinsoku/>
              <w:bidi w:val="0"/>
              <w:rPr>
                <w:color w:val="auto"/>
                <w:u w:val="single" w:color="auto"/>
              </w:rPr>
            </w:pPr>
            <w:r>
              <w:rPr>
                <w:color w:val="auto"/>
                <w:u w:val="single" w:color="auto"/>
              </w:rPr>
              <w:t>L—运输距离，km；</w:t>
            </w:r>
          </w:p>
          <w:p w14:paraId="4E9FD2A3">
            <w:pPr>
              <w:keepNext w:val="0"/>
              <w:keepLines w:val="0"/>
              <w:pageBreakBefore w:val="0"/>
              <w:widowControl w:val="0"/>
              <w:kinsoku/>
              <w:bidi w:val="0"/>
              <w:rPr>
                <w:color w:val="auto"/>
                <w:u w:val="single" w:color="auto"/>
              </w:rPr>
            </w:pPr>
            <w:r>
              <w:rPr>
                <w:color w:val="auto"/>
                <w:u w:val="single" w:color="auto"/>
              </w:rPr>
              <w:t>Q—运输量，t/a。</w:t>
            </w:r>
          </w:p>
          <w:p w14:paraId="5B5A185C">
            <w:pPr>
              <w:keepNext w:val="0"/>
              <w:keepLines w:val="0"/>
              <w:pageBreakBefore w:val="0"/>
              <w:widowControl w:val="0"/>
              <w:kinsoku/>
              <w:bidi w:val="0"/>
              <w:ind w:firstLine="480"/>
              <w:rPr>
                <w:rFonts w:hint="eastAsia"/>
                <w:color w:val="auto"/>
                <w:u w:val="single" w:color="auto"/>
              </w:rPr>
            </w:pPr>
            <w:r>
              <w:rPr>
                <w:color w:val="auto"/>
                <w:u w:val="single" w:color="auto"/>
              </w:rPr>
              <w:t>本项目</w:t>
            </w:r>
            <w:r>
              <w:rPr>
                <w:rFonts w:hint="eastAsia"/>
                <w:color w:val="auto"/>
                <w:u w:val="single" w:color="auto"/>
                <w:lang w:val="en-US" w:eastAsia="zh-CN"/>
              </w:rPr>
              <w:t>在厂内运输最大距离为283m</w:t>
            </w:r>
            <w:r>
              <w:rPr>
                <w:rFonts w:hint="eastAsia"/>
                <w:color w:val="auto"/>
                <w:u w:val="single" w:color="auto"/>
                <w:lang w:eastAsia="zh-CN"/>
              </w:rPr>
              <w:t>，</w:t>
            </w:r>
            <w:r>
              <w:rPr>
                <w:color w:val="auto"/>
                <w:u w:val="single" w:color="auto"/>
              </w:rPr>
              <w:t>车辆行驶速度为</w:t>
            </w:r>
            <w:r>
              <w:rPr>
                <w:rFonts w:hint="eastAsia"/>
                <w:color w:val="auto"/>
                <w:u w:val="single" w:color="auto"/>
                <w:lang w:val="en-US" w:eastAsia="zh-CN"/>
              </w:rPr>
              <w:t>10</w:t>
            </w:r>
            <w:r>
              <w:rPr>
                <w:color w:val="auto"/>
                <w:u w:val="single" w:color="auto"/>
              </w:rPr>
              <w:t>km/h，</w:t>
            </w:r>
            <w:r>
              <w:rPr>
                <w:rFonts w:hint="eastAsia"/>
                <w:color w:val="auto"/>
                <w:u w:val="single" w:color="auto"/>
                <w:lang w:val="en-US" w:eastAsia="zh-CN"/>
              </w:rPr>
              <w:t>运输车为10t，每日转运次数为6次，年转运次数为2190次（按照每天最大运输次数6次计算），每天厂内运输时间为0.5h（182.5h），</w:t>
            </w:r>
            <w:r>
              <w:rPr>
                <w:color w:val="auto"/>
                <w:u w:val="single" w:color="auto"/>
              </w:rPr>
              <w:t>则本项目</w:t>
            </w:r>
            <w:r>
              <w:rPr>
                <w:rFonts w:hint="eastAsia"/>
                <w:color w:val="auto"/>
                <w:u w:val="single" w:color="auto"/>
                <w:lang w:val="en-US" w:eastAsia="zh-CN"/>
              </w:rPr>
              <w:t>建筑垃圾</w:t>
            </w:r>
            <w:r>
              <w:rPr>
                <w:rFonts w:hint="eastAsia"/>
                <w:color w:val="auto"/>
                <w:u w:val="single" w:color="auto"/>
                <w:lang w:eastAsia="zh-CN"/>
              </w:rPr>
              <w:t>转运的</w:t>
            </w:r>
            <w:r>
              <w:rPr>
                <w:color w:val="auto"/>
                <w:u w:val="single" w:color="auto"/>
              </w:rPr>
              <w:t>起尘量为</w:t>
            </w:r>
            <w:r>
              <w:rPr>
                <w:rFonts w:hint="eastAsia"/>
                <w:color w:val="auto"/>
                <w:u w:val="single" w:color="auto"/>
                <w:lang w:val="en-US" w:eastAsia="zh-CN"/>
              </w:rPr>
              <w:t>0.113</w:t>
            </w:r>
            <w:r>
              <w:rPr>
                <w:color w:val="auto"/>
                <w:u w:val="single" w:color="auto"/>
              </w:rPr>
              <w:t>t/a。通过</w:t>
            </w:r>
            <w:r>
              <w:rPr>
                <w:rFonts w:hint="eastAsia"/>
                <w:color w:val="auto"/>
                <w:u w:val="single" w:color="auto"/>
                <w:lang w:eastAsia="zh-CN"/>
              </w:rPr>
              <w:t>在无风天气下转运及转运前洒水降尘，可有效抑尘</w:t>
            </w:r>
            <w:r>
              <w:rPr>
                <w:rFonts w:hint="eastAsia"/>
                <w:color w:val="auto"/>
                <w:u w:val="single" w:color="auto"/>
                <w:lang w:val="en-US" w:eastAsia="zh-CN"/>
              </w:rPr>
              <w:t>60%以上，则建筑垃圾转运粉尘的排放量</w:t>
            </w:r>
            <w:r>
              <w:rPr>
                <w:rFonts w:hint="eastAsia"/>
                <w:color w:val="auto"/>
                <w:u w:val="single" w:color="auto"/>
              </w:rPr>
              <w:t>约</w:t>
            </w:r>
            <w:r>
              <w:rPr>
                <w:color w:val="auto"/>
                <w:u w:val="single" w:color="auto"/>
              </w:rPr>
              <w:t>为</w:t>
            </w:r>
            <w:r>
              <w:rPr>
                <w:rFonts w:hint="eastAsia"/>
                <w:color w:val="auto"/>
                <w:u w:val="single" w:color="auto"/>
                <w:lang w:val="en-US" w:eastAsia="zh-CN"/>
              </w:rPr>
              <w:t>0.045</w:t>
            </w:r>
            <w:r>
              <w:rPr>
                <w:color w:val="auto"/>
                <w:u w:val="single" w:color="auto"/>
              </w:rPr>
              <w:t>t/a。</w:t>
            </w:r>
          </w:p>
          <w:p w14:paraId="6F9252BF">
            <w:pPr>
              <w:pStyle w:val="44"/>
              <w:bidi w:val="0"/>
              <w:rPr>
                <w:u w:val="single" w:color="auto"/>
              </w:rPr>
            </w:pPr>
            <w:r>
              <w:rPr>
                <w:rFonts w:hint="eastAsia"/>
                <w:u w:val="single" w:color="auto"/>
              </w:rPr>
              <w:t>表</w:t>
            </w:r>
            <w:r>
              <w:rPr>
                <w:rFonts w:hint="eastAsia"/>
                <w:u w:val="single" w:color="auto"/>
                <w:lang w:val="en-US" w:eastAsia="zh-CN"/>
              </w:rPr>
              <w:t>4.2-1：道路运输</w:t>
            </w:r>
            <w:r>
              <w:rPr>
                <w:rFonts w:hint="eastAsia"/>
                <w:u w:val="single" w:color="auto"/>
                <w:lang w:val="en-US"/>
              </w:rPr>
              <w:t>扬尘</w:t>
            </w:r>
            <w:r>
              <w:rPr>
                <w:rFonts w:hint="eastAsia"/>
                <w:u w:val="single" w:color="auto"/>
                <w:lang w:val="en-US" w:eastAsia="zh-CN"/>
              </w:rPr>
              <w:t>产生</w:t>
            </w:r>
            <w:r>
              <w:rPr>
                <w:rFonts w:hint="eastAsia"/>
                <w:u w:val="single" w:color="auto"/>
              </w:rPr>
              <w:t>及排放情况一览表</w:t>
            </w:r>
          </w:p>
          <w:tbl>
            <w:tblPr>
              <w:tblStyle w:val="38"/>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3"/>
              <w:gridCol w:w="3204"/>
              <w:gridCol w:w="2711"/>
            </w:tblGrid>
            <w:tr w14:paraId="73B2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tcBorders>
                    <w:tl2br w:val="nil"/>
                    <w:tr2bl w:val="nil"/>
                  </w:tcBorders>
                  <w:noWrap w:val="0"/>
                  <w:vAlign w:val="center"/>
                </w:tcPr>
                <w:p w14:paraId="24CAD955">
                  <w:pPr>
                    <w:pStyle w:val="107"/>
                    <w:keepNext w:val="0"/>
                    <w:keepLines w:val="0"/>
                    <w:pageBreakBefore w:val="0"/>
                    <w:widowControl w:val="0"/>
                    <w:kinsoku/>
                    <w:bidi w:val="0"/>
                    <w:rPr>
                      <w:rFonts w:hint="eastAsia" w:eastAsia="宋体"/>
                      <w:color w:val="auto"/>
                      <w:u w:val="single" w:color="auto"/>
                      <w:lang w:eastAsia="zh-CN"/>
                    </w:rPr>
                  </w:pPr>
                  <w:r>
                    <w:rPr>
                      <w:rFonts w:hint="eastAsia"/>
                      <w:color w:val="auto"/>
                      <w:u w:val="single" w:color="auto"/>
                      <w:lang w:val="en-US" w:eastAsia="zh-CN"/>
                    </w:rPr>
                    <w:t>道路运输</w:t>
                  </w:r>
                  <w:r>
                    <w:rPr>
                      <w:rFonts w:hint="eastAsia"/>
                      <w:color w:val="auto"/>
                      <w:u w:val="single" w:color="auto"/>
                      <w:lang w:val="en-US"/>
                    </w:rPr>
                    <w:t>扬尘</w:t>
                  </w:r>
                </w:p>
              </w:tc>
              <w:tc>
                <w:tcPr>
                  <w:tcW w:w="3204" w:type="dxa"/>
                  <w:tcBorders>
                    <w:tl2br w:val="nil"/>
                    <w:tr2bl w:val="nil"/>
                  </w:tcBorders>
                  <w:noWrap w:val="0"/>
                  <w:vAlign w:val="center"/>
                </w:tcPr>
                <w:p w14:paraId="7B227468">
                  <w:pPr>
                    <w:pStyle w:val="107"/>
                    <w:keepNext w:val="0"/>
                    <w:keepLines w:val="0"/>
                    <w:pageBreakBefore w:val="0"/>
                    <w:widowControl w:val="0"/>
                    <w:kinsoku/>
                    <w:bidi w:val="0"/>
                    <w:rPr>
                      <w:rFonts w:hint="default" w:eastAsia="宋体"/>
                      <w:color w:val="auto"/>
                      <w:u w:val="single" w:color="auto"/>
                      <w:lang w:val="en-US" w:eastAsia="zh-CN"/>
                    </w:rPr>
                  </w:pPr>
                  <w:r>
                    <w:rPr>
                      <w:rFonts w:hint="eastAsia"/>
                      <w:color w:val="auto"/>
                      <w:u w:val="single" w:color="auto"/>
                      <w:lang w:eastAsia="zh-CN"/>
                    </w:rPr>
                    <w:t>总运输量（</w:t>
                  </w:r>
                  <w:r>
                    <w:rPr>
                      <w:rFonts w:hint="eastAsia"/>
                      <w:color w:val="auto"/>
                      <w:u w:val="single" w:color="auto"/>
                      <w:lang w:val="en-US" w:eastAsia="zh-CN"/>
                    </w:rPr>
                    <w:t>t/a</w:t>
                  </w:r>
                  <w:r>
                    <w:rPr>
                      <w:rFonts w:hint="eastAsia"/>
                      <w:color w:val="auto"/>
                      <w:u w:val="single" w:color="auto"/>
                      <w:lang w:eastAsia="zh-CN"/>
                    </w:rPr>
                    <w:t>）</w:t>
                  </w:r>
                </w:p>
              </w:tc>
              <w:tc>
                <w:tcPr>
                  <w:tcW w:w="2711" w:type="dxa"/>
                  <w:tcBorders>
                    <w:tl2br w:val="nil"/>
                    <w:tr2bl w:val="nil"/>
                  </w:tcBorders>
                  <w:noWrap w:val="0"/>
                  <w:vAlign w:val="center"/>
                </w:tcPr>
                <w:p w14:paraId="561200B0">
                  <w:pPr>
                    <w:pStyle w:val="107"/>
                    <w:keepNext w:val="0"/>
                    <w:keepLines w:val="0"/>
                    <w:pageBreakBefore w:val="0"/>
                    <w:widowControl w:val="0"/>
                    <w:kinsoku/>
                    <w:bidi w:val="0"/>
                    <w:rPr>
                      <w:rFonts w:hint="default" w:eastAsia="宋体"/>
                      <w:color w:val="auto"/>
                      <w:u w:val="single" w:color="auto"/>
                      <w:lang w:val="en-US" w:eastAsia="zh-CN"/>
                    </w:rPr>
                  </w:pPr>
                  <w:r>
                    <w:rPr>
                      <w:rFonts w:hint="eastAsia"/>
                      <w:color w:val="auto"/>
                      <w:u w:val="single" w:color="auto"/>
                      <w:lang w:val="en-US" w:eastAsia="zh-CN"/>
                    </w:rPr>
                    <w:t>19710</w:t>
                  </w:r>
                </w:p>
              </w:tc>
            </w:tr>
            <w:tr w14:paraId="4523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vMerge w:val="restart"/>
                  <w:tcBorders>
                    <w:tl2br w:val="nil"/>
                    <w:tr2bl w:val="nil"/>
                  </w:tcBorders>
                  <w:noWrap w:val="0"/>
                  <w:vAlign w:val="center"/>
                </w:tcPr>
                <w:p w14:paraId="4CE83542">
                  <w:pPr>
                    <w:pStyle w:val="107"/>
                    <w:keepNext w:val="0"/>
                    <w:keepLines w:val="0"/>
                    <w:pageBreakBefore w:val="0"/>
                    <w:widowControl w:val="0"/>
                    <w:kinsoku/>
                    <w:bidi w:val="0"/>
                    <w:rPr>
                      <w:rFonts w:hint="eastAsia" w:eastAsia="宋体"/>
                      <w:color w:val="auto"/>
                      <w:u w:val="single" w:color="auto"/>
                      <w:lang w:eastAsia="zh-CN"/>
                    </w:rPr>
                  </w:pPr>
                  <w:r>
                    <w:rPr>
                      <w:rFonts w:hint="eastAsia"/>
                      <w:color w:val="auto"/>
                      <w:u w:val="single" w:color="auto"/>
                      <w:lang w:eastAsia="zh-CN"/>
                    </w:rPr>
                    <w:t>产生状况</w:t>
                  </w:r>
                </w:p>
              </w:tc>
              <w:tc>
                <w:tcPr>
                  <w:tcW w:w="3204" w:type="dxa"/>
                  <w:tcBorders>
                    <w:tl2br w:val="nil"/>
                    <w:tr2bl w:val="nil"/>
                  </w:tcBorders>
                  <w:noWrap w:val="0"/>
                  <w:vAlign w:val="center"/>
                </w:tcPr>
                <w:p w14:paraId="4139A9E7">
                  <w:pPr>
                    <w:pStyle w:val="107"/>
                    <w:keepNext w:val="0"/>
                    <w:keepLines w:val="0"/>
                    <w:pageBreakBefore w:val="0"/>
                    <w:widowControl w:val="0"/>
                    <w:kinsoku/>
                    <w:bidi w:val="0"/>
                    <w:rPr>
                      <w:rFonts w:hint="eastAsia"/>
                      <w:color w:val="auto"/>
                      <w:u w:val="single" w:color="auto"/>
                      <w:lang w:val="en-US" w:eastAsia="zh-CN"/>
                    </w:rPr>
                  </w:pPr>
                  <w:r>
                    <w:rPr>
                      <w:rFonts w:hint="eastAsia"/>
                      <w:color w:val="auto"/>
                      <w:u w:val="single" w:color="auto"/>
                      <w:lang w:eastAsia="zh-CN"/>
                    </w:rPr>
                    <w:t>产生</w:t>
                  </w:r>
                  <w:r>
                    <w:rPr>
                      <w:rFonts w:hint="eastAsia"/>
                      <w:color w:val="auto"/>
                      <w:u w:val="single" w:color="auto"/>
                    </w:rPr>
                    <w:t>量（t/a）</w:t>
                  </w:r>
                </w:p>
              </w:tc>
              <w:tc>
                <w:tcPr>
                  <w:tcW w:w="2711" w:type="dxa"/>
                  <w:tcBorders>
                    <w:tl2br w:val="nil"/>
                    <w:tr2bl w:val="nil"/>
                  </w:tcBorders>
                  <w:noWrap w:val="0"/>
                  <w:vAlign w:val="center"/>
                </w:tcPr>
                <w:p w14:paraId="7D781F92">
                  <w:pPr>
                    <w:pStyle w:val="107"/>
                    <w:keepNext w:val="0"/>
                    <w:keepLines w:val="0"/>
                    <w:pageBreakBefore w:val="0"/>
                    <w:widowControl w:val="0"/>
                    <w:kinsoku/>
                    <w:bidi w:val="0"/>
                    <w:rPr>
                      <w:rFonts w:hint="default"/>
                      <w:color w:val="auto"/>
                      <w:u w:val="single" w:color="auto"/>
                      <w:lang w:val="en-US" w:eastAsia="zh-CN"/>
                    </w:rPr>
                  </w:pPr>
                  <w:r>
                    <w:rPr>
                      <w:rFonts w:hint="eastAsia"/>
                      <w:color w:val="auto"/>
                      <w:u w:val="single" w:color="auto"/>
                      <w:lang w:val="en-US" w:eastAsia="zh-CN"/>
                    </w:rPr>
                    <w:t>0.113</w:t>
                  </w:r>
                </w:p>
              </w:tc>
            </w:tr>
            <w:tr w14:paraId="702C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vMerge w:val="continue"/>
                  <w:tcBorders>
                    <w:tl2br w:val="nil"/>
                    <w:tr2bl w:val="nil"/>
                  </w:tcBorders>
                  <w:noWrap w:val="0"/>
                  <w:vAlign w:val="center"/>
                </w:tcPr>
                <w:p w14:paraId="72B59FA7">
                  <w:pPr>
                    <w:pStyle w:val="107"/>
                    <w:keepNext w:val="0"/>
                    <w:keepLines w:val="0"/>
                    <w:pageBreakBefore w:val="0"/>
                    <w:widowControl w:val="0"/>
                    <w:kinsoku/>
                    <w:bidi w:val="0"/>
                    <w:rPr>
                      <w:rFonts w:hint="eastAsia"/>
                      <w:color w:val="auto"/>
                      <w:u w:val="single" w:color="auto"/>
                      <w:lang w:eastAsia="zh-CN"/>
                    </w:rPr>
                  </w:pPr>
                </w:p>
              </w:tc>
              <w:tc>
                <w:tcPr>
                  <w:tcW w:w="3204" w:type="dxa"/>
                  <w:tcBorders>
                    <w:tl2br w:val="nil"/>
                    <w:tr2bl w:val="nil"/>
                  </w:tcBorders>
                  <w:noWrap w:val="0"/>
                  <w:vAlign w:val="center"/>
                </w:tcPr>
                <w:p w14:paraId="2F4F5871">
                  <w:pPr>
                    <w:pStyle w:val="107"/>
                    <w:keepNext w:val="0"/>
                    <w:keepLines w:val="0"/>
                    <w:pageBreakBefore w:val="0"/>
                    <w:widowControl w:val="0"/>
                    <w:kinsoku/>
                    <w:bidi w:val="0"/>
                    <w:rPr>
                      <w:rFonts w:hint="default"/>
                      <w:color w:val="auto"/>
                      <w:u w:val="single" w:color="auto"/>
                      <w:lang w:val="en-US" w:eastAsia="zh-CN"/>
                    </w:rPr>
                  </w:pPr>
                  <w:r>
                    <w:rPr>
                      <w:rFonts w:hint="eastAsia"/>
                      <w:color w:val="auto"/>
                      <w:u w:val="single" w:color="auto"/>
                      <w:lang w:val="en-US" w:eastAsia="zh-CN"/>
                    </w:rPr>
                    <w:t>产生速率(kg/h)</w:t>
                  </w:r>
                </w:p>
              </w:tc>
              <w:tc>
                <w:tcPr>
                  <w:tcW w:w="2711" w:type="dxa"/>
                  <w:tcBorders>
                    <w:tl2br w:val="nil"/>
                    <w:tr2bl w:val="nil"/>
                  </w:tcBorders>
                  <w:noWrap w:val="0"/>
                  <w:vAlign w:val="center"/>
                </w:tcPr>
                <w:p w14:paraId="09C329B7">
                  <w:pPr>
                    <w:pStyle w:val="107"/>
                    <w:keepNext w:val="0"/>
                    <w:keepLines w:val="0"/>
                    <w:pageBreakBefore w:val="0"/>
                    <w:widowControl w:val="0"/>
                    <w:kinsoku/>
                    <w:bidi w:val="0"/>
                    <w:rPr>
                      <w:rFonts w:hint="default"/>
                      <w:color w:val="auto"/>
                      <w:u w:val="single" w:color="auto"/>
                      <w:lang w:val="en-US" w:eastAsia="zh-CN"/>
                    </w:rPr>
                  </w:pPr>
                  <w:r>
                    <w:rPr>
                      <w:rFonts w:hint="eastAsia"/>
                      <w:color w:val="auto"/>
                      <w:u w:val="single" w:color="auto"/>
                      <w:lang w:val="en-US" w:eastAsia="zh-CN"/>
                    </w:rPr>
                    <w:t>0.619</w:t>
                  </w:r>
                </w:p>
              </w:tc>
            </w:tr>
            <w:tr w14:paraId="0EC9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tcBorders>
                    <w:tl2br w:val="nil"/>
                    <w:tr2bl w:val="nil"/>
                  </w:tcBorders>
                  <w:noWrap w:val="0"/>
                  <w:vAlign w:val="center"/>
                </w:tcPr>
                <w:p w14:paraId="214DBEEC">
                  <w:pPr>
                    <w:pStyle w:val="107"/>
                    <w:keepNext w:val="0"/>
                    <w:keepLines w:val="0"/>
                    <w:pageBreakBefore w:val="0"/>
                    <w:widowControl w:val="0"/>
                    <w:kinsoku/>
                    <w:bidi w:val="0"/>
                    <w:rPr>
                      <w:rFonts w:hint="eastAsia"/>
                      <w:color w:val="auto"/>
                      <w:u w:val="single" w:color="auto"/>
                      <w:lang w:eastAsia="zh-CN"/>
                    </w:rPr>
                  </w:pPr>
                  <w:r>
                    <w:rPr>
                      <w:rFonts w:hint="eastAsia"/>
                      <w:color w:val="auto"/>
                      <w:u w:val="single" w:color="auto"/>
                      <w:lang w:eastAsia="zh-CN"/>
                    </w:rPr>
                    <w:t>治理措施及处理效率</w:t>
                  </w:r>
                </w:p>
              </w:tc>
              <w:tc>
                <w:tcPr>
                  <w:tcW w:w="5915" w:type="dxa"/>
                  <w:gridSpan w:val="2"/>
                  <w:tcBorders>
                    <w:tl2br w:val="nil"/>
                    <w:tr2bl w:val="nil"/>
                  </w:tcBorders>
                  <w:noWrap w:val="0"/>
                  <w:vAlign w:val="center"/>
                </w:tcPr>
                <w:p w14:paraId="6C0E844D">
                  <w:pPr>
                    <w:pStyle w:val="107"/>
                    <w:keepNext w:val="0"/>
                    <w:keepLines w:val="0"/>
                    <w:pageBreakBefore w:val="0"/>
                    <w:widowControl w:val="0"/>
                    <w:kinsoku/>
                    <w:bidi w:val="0"/>
                    <w:rPr>
                      <w:rFonts w:hint="default"/>
                      <w:color w:val="auto"/>
                      <w:u w:val="single" w:color="auto"/>
                      <w:lang w:val="en-US" w:eastAsia="zh-CN"/>
                    </w:rPr>
                  </w:pPr>
                  <w:r>
                    <w:rPr>
                      <w:rFonts w:hint="eastAsia"/>
                      <w:color w:val="auto"/>
                      <w:u w:val="single" w:color="auto"/>
                      <w:lang w:eastAsia="zh-CN"/>
                    </w:rPr>
                    <w:t>无风天气下转运及转运前洒水降尘，抑尘率</w:t>
                  </w:r>
                  <w:r>
                    <w:rPr>
                      <w:rFonts w:hint="eastAsia"/>
                      <w:color w:val="auto"/>
                      <w:u w:val="single" w:color="auto"/>
                      <w:lang w:val="en-US" w:eastAsia="zh-CN"/>
                    </w:rPr>
                    <w:t>60</w:t>
                  </w:r>
                  <w:r>
                    <w:rPr>
                      <w:rFonts w:hint="eastAsia"/>
                      <w:color w:val="auto"/>
                      <w:u w:val="single" w:color="auto"/>
                      <w:lang w:eastAsia="zh-CN"/>
                    </w:rPr>
                    <w:t>%</w:t>
                  </w:r>
                </w:p>
              </w:tc>
            </w:tr>
            <w:tr w14:paraId="249F2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vMerge w:val="restart"/>
                  <w:tcBorders>
                    <w:tl2br w:val="nil"/>
                    <w:tr2bl w:val="nil"/>
                  </w:tcBorders>
                  <w:noWrap w:val="0"/>
                  <w:vAlign w:val="center"/>
                </w:tcPr>
                <w:p w14:paraId="1C34D3A9">
                  <w:pPr>
                    <w:pStyle w:val="107"/>
                    <w:keepNext w:val="0"/>
                    <w:keepLines w:val="0"/>
                    <w:pageBreakBefore w:val="0"/>
                    <w:widowControl w:val="0"/>
                    <w:kinsoku/>
                    <w:bidi w:val="0"/>
                    <w:rPr>
                      <w:rFonts w:hint="eastAsia" w:eastAsia="宋体"/>
                      <w:color w:val="auto"/>
                      <w:u w:val="single" w:color="auto"/>
                      <w:lang w:eastAsia="zh-CN"/>
                    </w:rPr>
                  </w:pPr>
                  <w:r>
                    <w:rPr>
                      <w:rFonts w:hint="eastAsia"/>
                      <w:color w:val="auto"/>
                      <w:u w:val="single" w:color="auto"/>
                      <w:lang w:eastAsia="zh-CN"/>
                    </w:rPr>
                    <w:t>排放状况</w:t>
                  </w:r>
                </w:p>
              </w:tc>
              <w:tc>
                <w:tcPr>
                  <w:tcW w:w="3204" w:type="dxa"/>
                  <w:tcBorders>
                    <w:tl2br w:val="nil"/>
                    <w:tr2bl w:val="nil"/>
                  </w:tcBorders>
                  <w:noWrap w:val="0"/>
                  <w:vAlign w:val="center"/>
                </w:tcPr>
                <w:p w14:paraId="641EF8DC">
                  <w:pPr>
                    <w:pStyle w:val="107"/>
                    <w:keepNext w:val="0"/>
                    <w:keepLines w:val="0"/>
                    <w:pageBreakBefore w:val="0"/>
                    <w:widowControl w:val="0"/>
                    <w:kinsoku/>
                    <w:bidi w:val="0"/>
                    <w:rPr>
                      <w:rFonts w:hint="eastAsia"/>
                      <w:color w:val="auto"/>
                      <w:u w:val="single" w:color="auto"/>
                      <w:lang w:val="en-US" w:eastAsia="zh-CN"/>
                    </w:rPr>
                  </w:pPr>
                  <w:r>
                    <w:rPr>
                      <w:rFonts w:hint="eastAsia"/>
                      <w:color w:val="auto"/>
                      <w:u w:val="single" w:color="auto"/>
                    </w:rPr>
                    <w:t>排放量（t/a）</w:t>
                  </w:r>
                </w:p>
              </w:tc>
              <w:tc>
                <w:tcPr>
                  <w:tcW w:w="2711" w:type="dxa"/>
                  <w:tcBorders>
                    <w:tl2br w:val="nil"/>
                    <w:tr2bl w:val="nil"/>
                  </w:tcBorders>
                  <w:noWrap w:val="0"/>
                  <w:vAlign w:val="center"/>
                </w:tcPr>
                <w:p w14:paraId="1068045C">
                  <w:pPr>
                    <w:pStyle w:val="107"/>
                    <w:keepNext w:val="0"/>
                    <w:keepLines w:val="0"/>
                    <w:pageBreakBefore w:val="0"/>
                    <w:widowControl w:val="0"/>
                    <w:kinsoku/>
                    <w:bidi w:val="0"/>
                    <w:rPr>
                      <w:rFonts w:hint="default" w:eastAsia="宋体"/>
                      <w:color w:val="auto"/>
                      <w:u w:val="single" w:color="auto"/>
                      <w:lang w:val="en-US" w:eastAsia="zh-CN"/>
                    </w:rPr>
                  </w:pPr>
                  <w:r>
                    <w:rPr>
                      <w:rFonts w:hint="eastAsia"/>
                      <w:color w:val="auto"/>
                      <w:u w:val="single" w:color="auto"/>
                      <w:lang w:val="en-US" w:eastAsia="zh-CN"/>
                    </w:rPr>
                    <w:t>0.045</w:t>
                  </w:r>
                </w:p>
              </w:tc>
            </w:tr>
            <w:tr w14:paraId="1923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03" w:type="dxa"/>
                  <w:vMerge w:val="continue"/>
                  <w:tcBorders>
                    <w:tl2br w:val="nil"/>
                    <w:tr2bl w:val="nil"/>
                  </w:tcBorders>
                  <w:noWrap w:val="0"/>
                  <w:vAlign w:val="center"/>
                </w:tcPr>
                <w:p w14:paraId="3679C136">
                  <w:pPr>
                    <w:pStyle w:val="107"/>
                    <w:keepNext w:val="0"/>
                    <w:keepLines w:val="0"/>
                    <w:pageBreakBefore w:val="0"/>
                    <w:widowControl w:val="0"/>
                    <w:kinsoku/>
                    <w:bidi w:val="0"/>
                    <w:rPr>
                      <w:rFonts w:hint="eastAsia"/>
                      <w:color w:val="auto"/>
                      <w:u w:val="single" w:color="auto"/>
                      <w:lang w:eastAsia="zh-CN"/>
                    </w:rPr>
                  </w:pPr>
                </w:p>
              </w:tc>
              <w:tc>
                <w:tcPr>
                  <w:tcW w:w="3204" w:type="dxa"/>
                  <w:tcBorders>
                    <w:tl2br w:val="nil"/>
                    <w:tr2bl w:val="nil"/>
                  </w:tcBorders>
                  <w:noWrap w:val="0"/>
                  <w:vAlign w:val="center"/>
                </w:tcPr>
                <w:p w14:paraId="37D41346">
                  <w:pPr>
                    <w:pStyle w:val="107"/>
                    <w:keepNext w:val="0"/>
                    <w:keepLines w:val="0"/>
                    <w:pageBreakBefore w:val="0"/>
                    <w:widowControl w:val="0"/>
                    <w:kinsoku/>
                    <w:bidi w:val="0"/>
                    <w:rPr>
                      <w:rFonts w:hint="eastAsia"/>
                      <w:color w:val="auto"/>
                      <w:u w:val="single" w:color="auto"/>
                    </w:rPr>
                  </w:pPr>
                  <w:r>
                    <w:rPr>
                      <w:rFonts w:hint="eastAsia"/>
                      <w:color w:val="auto"/>
                      <w:u w:val="single" w:color="auto"/>
                      <w:lang w:val="en-US" w:eastAsia="zh-CN"/>
                    </w:rPr>
                    <w:t>排放速率(kg/h)</w:t>
                  </w:r>
                </w:p>
              </w:tc>
              <w:tc>
                <w:tcPr>
                  <w:tcW w:w="2711" w:type="dxa"/>
                  <w:tcBorders>
                    <w:tl2br w:val="nil"/>
                    <w:tr2bl w:val="nil"/>
                  </w:tcBorders>
                  <w:noWrap w:val="0"/>
                  <w:vAlign w:val="center"/>
                </w:tcPr>
                <w:p w14:paraId="56FA0D6B">
                  <w:pPr>
                    <w:pStyle w:val="107"/>
                    <w:keepNext w:val="0"/>
                    <w:keepLines w:val="0"/>
                    <w:pageBreakBefore w:val="0"/>
                    <w:widowControl w:val="0"/>
                    <w:kinsoku/>
                    <w:bidi w:val="0"/>
                    <w:rPr>
                      <w:rFonts w:hint="default" w:eastAsia="宋体"/>
                      <w:color w:val="auto"/>
                      <w:u w:val="single" w:color="auto"/>
                      <w:lang w:val="en-US" w:eastAsia="zh-CN"/>
                    </w:rPr>
                  </w:pPr>
                  <w:r>
                    <w:rPr>
                      <w:rFonts w:hint="eastAsia"/>
                      <w:color w:val="auto"/>
                      <w:u w:val="single" w:color="auto"/>
                      <w:lang w:val="en-US" w:eastAsia="zh-CN"/>
                    </w:rPr>
                    <w:t>0.247</w:t>
                  </w:r>
                </w:p>
              </w:tc>
            </w:tr>
            <w:tr w14:paraId="1F95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603" w:type="dxa"/>
                  <w:tcBorders>
                    <w:tl2br w:val="nil"/>
                    <w:tr2bl w:val="nil"/>
                  </w:tcBorders>
                  <w:noWrap w:val="0"/>
                  <w:vAlign w:val="center"/>
                </w:tcPr>
                <w:p w14:paraId="17B9B97E">
                  <w:pPr>
                    <w:pStyle w:val="107"/>
                    <w:keepNext w:val="0"/>
                    <w:keepLines w:val="0"/>
                    <w:pageBreakBefore w:val="0"/>
                    <w:widowControl w:val="0"/>
                    <w:kinsoku/>
                    <w:bidi w:val="0"/>
                    <w:rPr>
                      <w:rFonts w:hint="eastAsia"/>
                      <w:color w:val="auto"/>
                      <w:u w:val="single" w:color="auto"/>
                      <w:lang w:eastAsia="zh-CN"/>
                    </w:rPr>
                  </w:pPr>
                  <w:r>
                    <w:rPr>
                      <w:rFonts w:hint="eastAsia"/>
                      <w:color w:val="auto"/>
                      <w:u w:val="single" w:color="auto"/>
                      <w:lang w:eastAsia="zh-CN"/>
                    </w:rPr>
                    <w:t>排放方式</w:t>
                  </w:r>
                </w:p>
              </w:tc>
              <w:tc>
                <w:tcPr>
                  <w:tcW w:w="5915" w:type="dxa"/>
                  <w:gridSpan w:val="2"/>
                  <w:tcBorders>
                    <w:tl2br w:val="nil"/>
                    <w:tr2bl w:val="nil"/>
                  </w:tcBorders>
                  <w:noWrap w:val="0"/>
                  <w:vAlign w:val="center"/>
                </w:tcPr>
                <w:p w14:paraId="285303A5">
                  <w:pPr>
                    <w:pStyle w:val="107"/>
                    <w:keepNext w:val="0"/>
                    <w:keepLines w:val="0"/>
                    <w:pageBreakBefore w:val="0"/>
                    <w:widowControl w:val="0"/>
                    <w:kinsoku/>
                    <w:bidi w:val="0"/>
                    <w:rPr>
                      <w:rFonts w:hint="eastAsia"/>
                      <w:color w:val="auto"/>
                      <w:u w:val="single" w:color="auto"/>
                    </w:rPr>
                  </w:pPr>
                  <w:r>
                    <w:rPr>
                      <w:rFonts w:hint="eastAsia"/>
                      <w:color w:val="auto"/>
                      <w:u w:val="single" w:color="auto"/>
                      <w:lang w:eastAsia="zh-CN"/>
                    </w:rPr>
                    <w:t>无组织排放</w:t>
                  </w:r>
                </w:p>
              </w:tc>
            </w:tr>
          </w:tbl>
          <w:p w14:paraId="7C2D2FCF">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（2）运输车辆装卸粉尘</w:t>
            </w:r>
          </w:p>
          <w:p w14:paraId="08CB2108">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卸车过程中产生的扬尘采用交通运输部水运科学研究院和武汉水运工程学院提出的装卸起尘量经验公式估算，公式如下：</w:t>
            </w:r>
          </w:p>
          <w:p w14:paraId="299DF3A7">
            <w:pPr>
              <w:keepNext w:val="0"/>
              <w:keepLines w:val="0"/>
              <w:pageBreakBefore w:val="0"/>
              <w:widowControl w:val="0"/>
              <w:kinsoku/>
              <w:bidi w:val="0"/>
              <w:ind w:firstLine="480"/>
              <w:jc w:val="center"/>
              <w:rPr>
                <w:rFonts w:hint="eastAsia" w:ascii="Times New Roman" w:hAnsi="Times New Roman" w:eastAsia="宋体" w:cs="Times New Roman"/>
                <w:color w:val="auto"/>
                <w:u w:val="none" w:color="auto"/>
                <w:lang w:val="en-US" w:eastAsia="zh-CN"/>
              </w:rPr>
            </w:pPr>
            <m:oMathPara>
              <m:oMath>
                <m:r>
                  <m:rPr>
                    <m:sty m:val="p"/>
                  </m:rPr>
                  <w:rPr>
                    <w:rFonts w:hint="default" w:ascii="Cambria Math" w:hAnsi="Cambria Math"/>
                    <w:sz w:val="24"/>
                  </w:rPr>
                  <m:t>Q</m:t>
                </m:r>
                <m:r>
                  <m:rPr/>
                  <w:rPr>
                    <w:rFonts w:hint="default" w:ascii="Cambria Math" w:hAnsi="Cambria Math"/>
                    <w:sz w:val="24"/>
                  </w:rPr>
                  <m:t>=(1/t)</m:t>
                </m:r>
                <m:r>
                  <m:rPr>
                    <m:sty m:val="p"/>
                  </m:rPr>
                  <w:rPr>
                    <w:rFonts w:hint="default" w:ascii="Cambria Math" w:hAnsi="Cambria Math"/>
                    <w:sz w:val="24"/>
                  </w:rPr>
                  <m:t>×</m:t>
                </m:r>
                <m:r>
                  <m:rPr/>
                  <w:rPr>
                    <w:rFonts w:hint="default" w:ascii="Cambria Math" w:hAnsi="Cambria Math"/>
                    <w:sz w:val="24"/>
                  </w:rPr>
                  <m:t>0.03</m:t>
                </m:r>
                <m:sSup>
                  <m:sSupPr>
                    <m:ctrlPr>
                      <w:rPr>
                        <w:rFonts w:hint="default" w:ascii="Cambria Math" w:hAnsi="Cambria Math"/>
                        <w:sz w:val="24"/>
                      </w:rPr>
                    </m:ctrlPr>
                  </m:sSupPr>
                  <m:e>
                    <m:r>
                      <m:rPr>
                        <m:sty m:val="p"/>
                      </m:rPr>
                      <w:rPr>
                        <w:rFonts w:hint="default" w:ascii="Cambria Math" w:hAnsi="Cambria Math"/>
                        <w:sz w:val="24"/>
                      </w:rPr>
                      <m:t>U</m:t>
                    </m:r>
                    <m:ctrlPr>
                      <w:rPr>
                        <w:rFonts w:ascii="Cambria Math" w:hAnsi="Cambria Math"/>
                        <w:sz w:val="24"/>
                      </w:rPr>
                    </m:ctrlPr>
                  </m:e>
                  <m:sup>
                    <m:r>
                      <m:rPr/>
                      <w:rPr>
                        <w:rFonts w:hint="default" w:ascii="Cambria Math" w:hAnsi="Cambria Math"/>
                        <w:sz w:val="24"/>
                      </w:rPr>
                      <m:t>1.6</m:t>
                    </m:r>
                    <m:ctrlPr>
                      <w:rPr>
                        <w:rFonts w:ascii="Cambria Math" w:hAnsi="Cambria Math"/>
                        <w:sz w:val="24"/>
                      </w:rPr>
                    </m:ctrlPr>
                  </m:sup>
                </m:sSup>
                <m:r>
                  <m:rPr>
                    <m:sty m:val="p"/>
                  </m:rPr>
                  <w:rPr>
                    <w:rFonts w:hint="default" w:ascii="Cambria Math" w:hAnsi="Cambria Math"/>
                    <w:sz w:val="24"/>
                  </w:rPr>
                  <m:t>×</m:t>
                </m:r>
                <m:sSup>
                  <m:sSupPr>
                    <m:ctrlPr>
                      <w:rPr>
                        <w:rFonts w:hint="default" w:ascii="Cambria Math" w:hAnsi="Cambria Math"/>
                        <w:sz w:val="24"/>
                      </w:rPr>
                    </m:ctrlPr>
                  </m:sSupPr>
                  <m:e>
                    <m:r>
                      <m:rPr>
                        <m:sty m:val="p"/>
                      </m:rPr>
                      <w:rPr>
                        <w:rFonts w:hint="default" w:ascii="Cambria Math" w:hAnsi="Cambria Math"/>
                        <w:sz w:val="24"/>
                      </w:rPr>
                      <m:t>H</m:t>
                    </m:r>
                    <m:ctrlPr>
                      <w:rPr>
                        <w:rFonts w:ascii="Cambria Math" w:hAnsi="Cambria Math"/>
                        <w:sz w:val="24"/>
                      </w:rPr>
                    </m:ctrlPr>
                  </m:e>
                  <m:sup>
                    <m:r>
                      <m:rPr/>
                      <w:rPr>
                        <w:rFonts w:hint="default" w:ascii="Cambria Math" w:hAnsi="Cambria Math"/>
                        <w:sz w:val="24"/>
                      </w:rPr>
                      <m:t>1.23</m:t>
                    </m:r>
                    <m:ctrlPr>
                      <w:rPr>
                        <w:rFonts w:ascii="Cambria Math" w:hAnsi="Cambria Math"/>
                        <w:sz w:val="24"/>
                      </w:rPr>
                    </m:ctrlPr>
                  </m:sup>
                </m:sSup>
                <m:r>
                  <m:rPr>
                    <m:sty m:val="p"/>
                  </m:rPr>
                  <w:rPr>
                    <w:rFonts w:hint="default" w:ascii="Cambria Math" w:hAnsi="Cambria Math"/>
                    <w:sz w:val="24"/>
                  </w:rPr>
                  <m:t>×</m:t>
                </m:r>
                <m:sSup>
                  <m:sSupPr>
                    <m:ctrlPr>
                      <w:rPr>
                        <w:rFonts w:hint="default" w:ascii="Cambria Math" w:hAnsi="Cambria Math"/>
                        <w:sz w:val="24"/>
                      </w:rPr>
                    </m:ctrlPr>
                  </m:sSupPr>
                  <m:e>
                    <m:r>
                      <m:rPr>
                        <m:sty m:val="p"/>
                      </m:rPr>
                      <w:rPr>
                        <w:rFonts w:hint="default" w:ascii="Cambria Math" w:hAnsi="Cambria Math"/>
                        <w:sz w:val="24"/>
                      </w:rPr>
                      <m:t>e</m:t>
                    </m:r>
                    <m:ctrlPr>
                      <w:rPr>
                        <w:rFonts w:ascii="Cambria Math" w:hAnsi="Cambria Math"/>
                        <w:sz w:val="24"/>
                      </w:rPr>
                    </m:ctrlPr>
                  </m:e>
                  <m:sup>
                    <m:r>
                      <m:rPr/>
                      <w:rPr>
                        <w:rFonts w:hint="default" w:ascii="Cambria Math" w:hAnsi="Cambria Math"/>
                        <w:sz w:val="24"/>
                      </w:rPr>
                      <m:t>−0.28</m:t>
                    </m:r>
                    <m:r>
                      <m:rPr>
                        <m:sty m:val="p"/>
                      </m:rPr>
                      <w:rPr>
                        <w:rFonts w:hint="default" w:ascii="Cambria Math" w:hAnsi="Cambria Math"/>
                        <w:sz w:val="24"/>
                      </w:rPr>
                      <m:t>w</m:t>
                    </m:r>
                    <m:ctrlPr>
                      <w:rPr>
                        <w:rFonts w:ascii="Cambria Math" w:hAnsi="Cambria Math"/>
                        <w:sz w:val="24"/>
                      </w:rPr>
                    </m:ctrlPr>
                  </m:sup>
                </m:sSup>
              </m:oMath>
            </m:oMathPara>
          </w:p>
          <w:p w14:paraId="7211F3DF">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式中：Q——物料起尘量，kg/t；</w:t>
            </w:r>
          </w:p>
          <w:p w14:paraId="057D1F1B">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U——平均风速，m/s ，取年平均风速</w:t>
            </w:r>
            <w:r>
              <w:rPr>
                <w:rFonts w:hint="default" w:ascii="Times New Roman" w:hAnsi="Times New Roman" w:eastAsia="宋体" w:cs="Times New Roman"/>
                <w:color w:val="auto"/>
                <w:u w:val="none" w:color="auto"/>
                <w:lang w:val="en-US" w:eastAsia="zh-CN"/>
              </w:rPr>
              <w:t>1.27</w:t>
            </w:r>
            <w:r>
              <w:rPr>
                <w:rFonts w:hint="eastAsia" w:ascii="Times New Roman" w:hAnsi="Times New Roman" w:eastAsia="宋体" w:cs="Times New Roman"/>
                <w:color w:val="auto"/>
                <w:u w:val="none" w:color="auto"/>
                <w:lang w:val="en-US" w:eastAsia="zh-CN"/>
              </w:rPr>
              <w:t>m/s；</w:t>
            </w:r>
          </w:p>
          <w:p w14:paraId="6FC755BF">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H——物料落差，m ，取 1.5m；</w:t>
            </w:r>
          </w:p>
          <w:p w14:paraId="48EEE0DB">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w——物料含水量，% ，取物料含水率取6%；</w:t>
            </w:r>
          </w:p>
          <w:p w14:paraId="1E54E3F2">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t——物料卸车所用时间，s/吨。</w:t>
            </w:r>
          </w:p>
          <w:p w14:paraId="535387AE">
            <w:pPr>
              <w:keepNext w:val="0"/>
              <w:keepLines w:val="0"/>
              <w:pageBreakBefore w:val="0"/>
              <w:widowControl w:val="0"/>
              <w:kinsoku/>
              <w:bidi w:val="0"/>
              <w:ind w:firstLine="480"/>
              <w:rPr>
                <w:rFonts w:hint="eastAsia" w:eastAsia="宋体"/>
                <w:u w:val="none" w:color="auto"/>
                <w:lang w:val="en-US" w:eastAsia="zh-CN"/>
              </w:rPr>
            </w:pPr>
            <w:r>
              <w:rPr>
                <w:rFonts w:hint="eastAsia" w:ascii="Times New Roman" w:hAnsi="Times New Roman" w:eastAsia="宋体" w:cs="Times New Roman"/>
                <w:color w:val="auto"/>
                <w:u w:val="none" w:color="auto"/>
                <w:lang w:val="en-US" w:eastAsia="zh-CN"/>
              </w:rPr>
              <w:t>运输车辆卸车时间按10min/车计，运输车装载量按10t/车次计，则每车卸车时间t可表示为1/60（s/吨），经计算，卸车起尘量为0.79kg/吨。本项目建筑垃圾每日卸料</w:t>
            </w:r>
            <w:r>
              <w:rPr>
                <w:rFonts w:hint="default" w:ascii="Times New Roman" w:hAnsi="Times New Roman" w:eastAsia="宋体" w:cs="Times New Roman"/>
                <w:color w:val="auto"/>
                <w:u w:val="none" w:color="auto"/>
                <w:lang w:val="en-US" w:eastAsia="zh-CN"/>
              </w:rPr>
              <w:t>约</w:t>
            </w:r>
            <w:r>
              <w:rPr>
                <w:rFonts w:hint="eastAsia" w:ascii="Times New Roman" w:hAnsi="Times New Roman" w:eastAsia="宋体" w:cs="Times New Roman"/>
                <w:color w:val="auto"/>
                <w:u w:val="none" w:color="auto"/>
                <w:lang w:val="en-US" w:eastAsia="zh-CN"/>
              </w:rPr>
              <w:t>6次（按照最大卸料次数计算），</w:t>
            </w:r>
            <w:r>
              <w:rPr>
                <w:rFonts w:hint="eastAsia"/>
                <w:color w:val="auto"/>
                <w:u w:val="none" w:color="auto"/>
                <w:lang w:val="en-US" w:eastAsia="zh-CN"/>
              </w:rPr>
              <w:t>卸料次数为2190次，</w:t>
            </w:r>
            <w:r>
              <w:rPr>
                <w:rFonts w:hint="eastAsia" w:ascii="Times New Roman" w:hAnsi="Times New Roman" w:eastAsia="宋体" w:cs="Times New Roman"/>
                <w:color w:val="auto"/>
                <w:u w:val="none" w:color="auto"/>
                <w:lang w:val="en-US" w:eastAsia="zh-CN"/>
              </w:rPr>
              <w:t>年卸货时间约365h，装卸粉尘为15.57</w:t>
            </w:r>
            <w:r>
              <w:rPr>
                <w:rFonts w:hint="eastAsia"/>
                <w:color w:val="auto"/>
                <w:u w:val="none" w:color="auto"/>
              </w:rPr>
              <w:t>t/a</w:t>
            </w:r>
            <w:r>
              <w:rPr>
                <w:rFonts w:hint="eastAsia"/>
                <w:color w:val="auto"/>
                <w:u w:val="none" w:color="auto"/>
                <w:lang w:eastAsia="zh-CN"/>
              </w:rPr>
              <w:t>。</w:t>
            </w:r>
          </w:p>
          <w:p w14:paraId="686E4836">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松散物料装卸扬尘源强与松散物料的湿度、粒度等有关，本项目建筑垃圾</w:t>
            </w:r>
            <w:r>
              <w:rPr>
                <w:rFonts w:hint="eastAsia" w:cs="Times New Roman"/>
                <w:color w:val="auto"/>
                <w:u w:val="none" w:color="auto"/>
                <w:lang w:val="en-US" w:eastAsia="zh-CN"/>
              </w:rPr>
              <w:t>堆填场</w:t>
            </w:r>
            <w:r>
              <w:rPr>
                <w:rFonts w:hint="eastAsia" w:ascii="Times New Roman" w:hAnsi="Times New Roman" w:eastAsia="宋体" w:cs="Times New Roman"/>
                <w:color w:val="auto"/>
                <w:u w:val="none" w:color="auto"/>
                <w:lang w:val="en-US" w:eastAsia="zh-CN"/>
              </w:rPr>
              <w:t>周边建有围挡，并通过采取卸车过程降低倾倒高度，卸车时采取雾炮机降尘等措施减少粉尘产生量。根据《排放源统计调查产排污核算方法和系数手册》（公告2021年第24号）——附表2工业源固体物料堆场颗粒物核算系数手册，洒水控制效率74%，围挡控制效率60%，综合控制效率达80%以上，则装卸粉尘排放量为0.0596t/a，排放速率为0.286kg/h。</w:t>
            </w:r>
          </w:p>
          <w:p w14:paraId="378A3A37">
            <w:pPr>
              <w:pStyle w:val="44"/>
              <w:bidi w:val="0"/>
              <w:rPr>
                <w:color w:val="auto"/>
                <w:u w:val="none" w:color="auto"/>
              </w:rPr>
            </w:pPr>
            <w:r>
              <w:rPr>
                <w:rFonts w:hint="eastAsia"/>
                <w:color w:val="auto"/>
                <w:u w:val="none" w:color="auto"/>
              </w:rPr>
              <w:t>表</w:t>
            </w:r>
            <w:r>
              <w:rPr>
                <w:rFonts w:hint="eastAsia"/>
                <w:color w:val="auto"/>
                <w:u w:val="none" w:color="auto"/>
                <w:lang w:val="en-US" w:eastAsia="zh-CN"/>
              </w:rPr>
              <w:t>4.2-2：</w:t>
            </w:r>
            <w:r>
              <w:rPr>
                <w:spacing w:val="-6"/>
                <w:u w:val="none" w:color="auto"/>
              </w:rPr>
              <w:t>运输车辆装卸粉尘</w:t>
            </w:r>
            <w:r>
              <w:rPr>
                <w:rFonts w:hint="eastAsia"/>
                <w:color w:val="auto"/>
                <w:u w:val="none" w:color="auto"/>
                <w:lang w:val="en-US" w:eastAsia="zh-CN"/>
              </w:rPr>
              <w:t>产生</w:t>
            </w:r>
            <w:r>
              <w:rPr>
                <w:rFonts w:hint="eastAsia"/>
                <w:color w:val="auto"/>
                <w:u w:val="none" w:color="auto"/>
              </w:rPr>
              <w:t>及排放情况一览表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2"/>
              <w:gridCol w:w="4518"/>
              <w:gridCol w:w="2037"/>
            </w:tblGrid>
            <w:tr w14:paraId="7ECA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202" w:type="dxa"/>
                  <w:tcBorders>
                    <w:tl2br w:val="nil"/>
                    <w:tr2bl w:val="nil"/>
                  </w:tcBorders>
                  <w:noWrap w:val="0"/>
                  <w:vAlign w:val="center"/>
                </w:tcPr>
                <w:p w14:paraId="659379E9">
                  <w:pPr>
                    <w:pStyle w:val="115"/>
                    <w:bidi w:val="0"/>
                    <w:rPr>
                      <w:rFonts w:hint="eastAsia"/>
                      <w:lang w:eastAsia="zh-CN"/>
                    </w:rPr>
                  </w:pPr>
                  <w:r>
                    <w:t>运输车辆装卸粉尘</w:t>
                  </w:r>
                </w:p>
              </w:tc>
              <w:tc>
                <w:tcPr>
                  <w:tcW w:w="4518" w:type="dxa"/>
                  <w:tcBorders>
                    <w:tl2br w:val="nil"/>
                    <w:tr2bl w:val="nil"/>
                  </w:tcBorders>
                  <w:noWrap w:val="0"/>
                  <w:vAlign w:val="center"/>
                </w:tcPr>
                <w:p w14:paraId="3590A8EF">
                  <w:pPr>
                    <w:pStyle w:val="115"/>
                    <w:bidi w:val="0"/>
                    <w:rPr>
                      <w:rFonts w:hint="default"/>
                      <w:lang w:val="en-US" w:eastAsia="zh-CN"/>
                    </w:rPr>
                  </w:pPr>
                  <w:r>
                    <w:rPr>
                      <w:rFonts w:hint="eastAsia"/>
                      <w:lang w:eastAsia="zh-CN"/>
                    </w:rPr>
                    <w:t>总</w:t>
                  </w:r>
                  <w:r>
                    <w:rPr>
                      <w:rFonts w:hint="eastAsia"/>
                      <w:lang w:val="en-US" w:eastAsia="zh-CN"/>
                    </w:rPr>
                    <w:t>卸车</w:t>
                  </w:r>
                  <w:r>
                    <w:rPr>
                      <w:rFonts w:hint="eastAsia"/>
                      <w:lang w:eastAsia="zh-CN"/>
                    </w:rPr>
                    <w:t>量（</w:t>
                  </w:r>
                  <w:r>
                    <w:rPr>
                      <w:rFonts w:hint="eastAsia"/>
                      <w:lang w:val="en-US" w:eastAsia="zh-CN"/>
                    </w:rPr>
                    <w:t>t/a</w:t>
                  </w:r>
                  <w:r>
                    <w:rPr>
                      <w:rFonts w:hint="eastAsia"/>
                      <w:lang w:eastAsia="zh-CN"/>
                    </w:rPr>
                    <w:t>）</w:t>
                  </w:r>
                </w:p>
              </w:tc>
              <w:tc>
                <w:tcPr>
                  <w:tcW w:w="2037" w:type="dxa"/>
                  <w:tcBorders>
                    <w:tl2br w:val="nil"/>
                    <w:tr2bl w:val="nil"/>
                  </w:tcBorders>
                  <w:noWrap w:val="0"/>
                  <w:vAlign w:val="center"/>
                </w:tcPr>
                <w:p w14:paraId="564DAD47">
                  <w:pPr>
                    <w:pStyle w:val="115"/>
                    <w:bidi w:val="0"/>
                    <w:rPr>
                      <w:rFonts w:hint="default"/>
                      <w:lang w:val="en-US" w:eastAsia="zh-CN"/>
                    </w:rPr>
                  </w:pPr>
                  <w:r>
                    <w:rPr>
                      <w:rFonts w:hint="eastAsia"/>
                      <w:lang w:val="en-US" w:eastAsia="zh-CN"/>
                    </w:rPr>
                    <w:t>19710</w:t>
                  </w:r>
                </w:p>
              </w:tc>
            </w:tr>
            <w:tr w14:paraId="0C37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vMerge w:val="restart"/>
                  <w:tcBorders>
                    <w:tl2br w:val="nil"/>
                    <w:tr2bl w:val="nil"/>
                  </w:tcBorders>
                  <w:noWrap w:val="0"/>
                  <w:vAlign w:val="center"/>
                </w:tcPr>
                <w:p w14:paraId="71A05272">
                  <w:pPr>
                    <w:pStyle w:val="115"/>
                    <w:bidi w:val="0"/>
                    <w:rPr>
                      <w:rFonts w:hint="eastAsia"/>
                      <w:lang w:eastAsia="zh-CN"/>
                    </w:rPr>
                  </w:pPr>
                  <w:r>
                    <w:rPr>
                      <w:rFonts w:hint="eastAsia"/>
                      <w:lang w:eastAsia="zh-CN"/>
                    </w:rPr>
                    <w:t>产生状况</w:t>
                  </w:r>
                </w:p>
              </w:tc>
              <w:tc>
                <w:tcPr>
                  <w:tcW w:w="4518" w:type="dxa"/>
                  <w:tcBorders>
                    <w:tl2br w:val="nil"/>
                    <w:tr2bl w:val="nil"/>
                  </w:tcBorders>
                  <w:noWrap w:val="0"/>
                  <w:vAlign w:val="center"/>
                </w:tcPr>
                <w:p w14:paraId="03F3C9C5">
                  <w:pPr>
                    <w:pStyle w:val="115"/>
                    <w:bidi w:val="0"/>
                    <w:rPr>
                      <w:rFonts w:hint="eastAsia"/>
                      <w:lang w:val="en-US" w:eastAsia="zh-CN"/>
                    </w:rPr>
                  </w:pPr>
                  <w:r>
                    <w:rPr>
                      <w:rFonts w:hint="eastAsia"/>
                      <w:lang w:eastAsia="zh-CN"/>
                    </w:rPr>
                    <w:t>产生</w:t>
                  </w:r>
                  <w:r>
                    <w:rPr>
                      <w:rFonts w:hint="eastAsia"/>
                    </w:rPr>
                    <w:t>量（t/a）</w:t>
                  </w:r>
                </w:p>
              </w:tc>
              <w:tc>
                <w:tcPr>
                  <w:tcW w:w="2037" w:type="dxa"/>
                  <w:tcBorders>
                    <w:tl2br w:val="nil"/>
                    <w:tr2bl w:val="nil"/>
                  </w:tcBorders>
                  <w:noWrap w:val="0"/>
                  <w:vAlign w:val="center"/>
                </w:tcPr>
                <w:p w14:paraId="0C042830">
                  <w:pPr>
                    <w:pStyle w:val="115"/>
                    <w:bidi w:val="0"/>
                    <w:rPr>
                      <w:rFonts w:hint="default"/>
                      <w:lang w:val="en-US" w:eastAsia="zh-CN"/>
                    </w:rPr>
                  </w:pPr>
                  <w:r>
                    <w:rPr>
                      <w:rFonts w:hint="eastAsia"/>
                      <w:lang w:val="en-US" w:eastAsia="zh-CN"/>
                    </w:rPr>
                    <w:t>15.57</w:t>
                  </w:r>
                </w:p>
              </w:tc>
            </w:tr>
            <w:tr w14:paraId="06D5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vMerge w:val="continue"/>
                  <w:tcBorders>
                    <w:tl2br w:val="nil"/>
                    <w:tr2bl w:val="nil"/>
                  </w:tcBorders>
                  <w:noWrap w:val="0"/>
                  <w:vAlign w:val="center"/>
                </w:tcPr>
                <w:p w14:paraId="08181239">
                  <w:pPr>
                    <w:pStyle w:val="115"/>
                    <w:bidi w:val="0"/>
                    <w:rPr>
                      <w:rFonts w:hint="eastAsia"/>
                      <w:lang w:eastAsia="zh-CN"/>
                    </w:rPr>
                  </w:pPr>
                </w:p>
              </w:tc>
              <w:tc>
                <w:tcPr>
                  <w:tcW w:w="4518" w:type="dxa"/>
                  <w:tcBorders>
                    <w:tl2br w:val="nil"/>
                    <w:tr2bl w:val="nil"/>
                  </w:tcBorders>
                  <w:noWrap w:val="0"/>
                  <w:vAlign w:val="center"/>
                </w:tcPr>
                <w:p w14:paraId="685F83C6">
                  <w:pPr>
                    <w:pStyle w:val="115"/>
                    <w:bidi w:val="0"/>
                    <w:rPr>
                      <w:rFonts w:hint="eastAsia"/>
                      <w:lang w:eastAsia="zh-CN"/>
                    </w:rPr>
                  </w:pPr>
                  <w:r>
                    <w:rPr>
                      <w:rFonts w:hint="eastAsia"/>
                      <w:lang w:val="en-US" w:eastAsia="zh-CN"/>
                    </w:rPr>
                    <w:t>产生速率(kg/h)</w:t>
                  </w:r>
                </w:p>
              </w:tc>
              <w:tc>
                <w:tcPr>
                  <w:tcW w:w="2037" w:type="dxa"/>
                  <w:tcBorders>
                    <w:tl2br w:val="nil"/>
                    <w:tr2bl w:val="nil"/>
                  </w:tcBorders>
                  <w:noWrap w:val="0"/>
                  <w:vAlign w:val="center"/>
                </w:tcPr>
                <w:p w14:paraId="3814409F">
                  <w:pPr>
                    <w:pStyle w:val="115"/>
                    <w:bidi w:val="0"/>
                    <w:rPr>
                      <w:rFonts w:hint="default"/>
                      <w:lang w:val="en-US" w:eastAsia="zh-CN"/>
                    </w:rPr>
                  </w:pPr>
                  <w:r>
                    <w:rPr>
                      <w:rFonts w:hint="eastAsia"/>
                      <w:lang w:val="en-US" w:eastAsia="zh-CN"/>
                    </w:rPr>
                    <w:t>42.657</w:t>
                  </w:r>
                </w:p>
              </w:tc>
            </w:tr>
            <w:tr w14:paraId="2B5E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tcBorders>
                    <w:tl2br w:val="nil"/>
                    <w:tr2bl w:val="nil"/>
                  </w:tcBorders>
                  <w:noWrap w:val="0"/>
                  <w:vAlign w:val="center"/>
                </w:tcPr>
                <w:p w14:paraId="1B382067">
                  <w:pPr>
                    <w:pStyle w:val="115"/>
                    <w:bidi w:val="0"/>
                    <w:rPr>
                      <w:rFonts w:hint="eastAsia"/>
                      <w:lang w:eastAsia="zh-CN"/>
                    </w:rPr>
                  </w:pPr>
                  <w:r>
                    <w:rPr>
                      <w:rFonts w:hint="eastAsia"/>
                      <w:lang w:eastAsia="zh-CN"/>
                    </w:rPr>
                    <w:t>治理措施及处理效率</w:t>
                  </w:r>
                </w:p>
              </w:tc>
              <w:tc>
                <w:tcPr>
                  <w:tcW w:w="6555" w:type="dxa"/>
                  <w:gridSpan w:val="2"/>
                  <w:tcBorders>
                    <w:tl2br w:val="nil"/>
                    <w:tr2bl w:val="nil"/>
                  </w:tcBorders>
                  <w:noWrap w:val="0"/>
                  <w:vAlign w:val="center"/>
                </w:tcPr>
                <w:p w14:paraId="72D4DD5D">
                  <w:pPr>
                    <w:pStyle w:val="115"/>
                    <w:bidi w:val="0"/>
                    <w:rPr>
                      <w:rFonts w:hint="default"/>
                      <w:lang w:val="en-US" w:eastAsia="zh-CN"/>
                    </w:rPr>
                  </w:pPr>
                  <w:r>
                    <w:t>洒水控制效率74% ，围挡控制效率60% ，综合控制效率达80%以上</w:t>
                  </w:r>
                </w:p>
              </w:tc>
            </w:tr>
            <w:tr w14:paraId="1B94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vMerge w:val="restart"/>
                  <w:tcBorders>
                    <w:tl2br w:val="nil"/>
                    <w:tr2bl w:val="nil"/>
                  </w:tcBorders>
                  <w:noWrap w:val="0"/>
                  <w:vAlign w:val="center"/>
                </w:tcPr>
                <w:p w14:paraId="6406906F">
                  <w:pPr>
                    <w:pStyle w:val="115"/>
                    <w:bidi w:val="0"/>
                    <w:rPr>
                      <w:rFonts w:hint="eastAsia"/>
                      <w:lang w:eastAsia="zh-CN"/>
                    </w:rPr>
                  </w:pPr>
                  <w:r>
                    <w:rPr>
                      <w:rFonts w:hint="eastAsia"/>
                      <w:lang w:eastAsia="zh-CN"/>
                    </w:rPr>
                    <w:t>排放状况</w:t>
                  </w:r>
                </w:p>
              </w:tc>
              <w:tc>
                <w:tcPr>
                  <w:tcW w:w="4518" w:type="dxa"/>
                  <w:tcBorders>
                    <w:tl2br w:val="nil"/>
                    <w:tr2bl w:val="nil"/>
                  </w:tcBorders>
                  <w:noWrap w:val="0"/>
                  <w:vAlign w:val="center"/>
                </w:tcPr>
                <w:p w14:paraId="6E6666DF">
                  <w:pPr>
                    <w:pStyle w:val="115"/>
                    <w:bidi w:val="0"/>
                    <w:rPr>
                      <w:rFonts w:hint="eastAsia"/>
                      <w:lang w:val="en-US" w:eastAsia="zh-CN"/>
                    </w:rPr>
                  </w:pPr>
                  <w:r>
                    <w:rPr>
                      <w:rFonts w:hint="eastAsia"/>
                    </w:rPr>
                    <w:t>排放量（t/a）</w:t>
                  </w:r>
                </w:p>
              </w:tc>
              <w:tc>
                <w:tcPr>
                  <w:tcW w:w="2037" w:type="dxa"/>
                  <w:tcBorders>
                    <w:tl2br w:val="nil"/>
                    <w:tr2bl w:val="nil"/>
                  </w:tcBorders>
                  <w:noWrap w:val="0"/>
                  <w:vAlign w:val="center"/>
                </w:tcPr>
                <w:p w14:paraId="1A7187A5">
                  <w:pPr>
                    <w:pStyle w:val="115"/>
                    <w:bidi w:val="0"/>
                    <w:rPr>
                      <w:rFonts w:hint="default"/>
                      <w:lang w:val="en-US" w:eastAsia="zh-CN"/>
                    </w:rPr>
                  </w:pPr>
                  <w:r>
                    <w:rPr>
                      <w:rFonts w:hint="eastAsia"/>
                      <w:lang w:val="en-US" w:eastAsia="zh-CN"/>
                    </w:rPr>
                    <w:t>3.114</w:t>
                  </w:r>
                </w:p>
              </w:tc>
            </w:tr>
            <w:tr w14:paraId="7483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vMerge w:val="continue"/>
                  <w:tcBorders>
                    <w:tl2br w:val="nil"/>
                    <w:tr2bl w:val="nil"/>
                  </w:tcBorders>
                  <w:noWrap w:val="0"/>
                  <w:vAlign w:val="center"/>
                </w:tcPr>
                <w:p w14:paraId="6E3CAFA7">
                  <w:pPr>
                    <w:pStyle w:val="115"/>
                    <w:bidi w:val="0"/>
                    <w:rPr>
                      <w:rFonts w:hint="eastAsia"/>
                      <w:lang w:eastAsia="zh-CN"/>
                    </w:rPr>
                  </w:pPr>
                </w:p>
              </w:tc>
              <w:tc>
                <w:tcPr>
                  <w:tcW w:w="4518" w:type="dxa"/>
                  <w:tcBorders>
                    <w:tl2br w:val="nil"/>
                    <w:tr2bl w:val="nil"/>
                  </w:tcBorders>
                  <w:noWrap w:val="0"/>
                  <w:vAlign w:val="center"/>
                </w:tcPr>
                <w:p w14:paraId="30DB1446">
                  <w:pPr>
                    <w:pStyle w:val="115"/>
                    <w:bidi w:val="0"/>
                    <w:rPr>
                      <w:rFonts w:hint="eastAsia"/>
                    </w:rPr>
                  </w:pPr>
                  <w:r>
                    <w:rPr>
                      <w:rFonts w:hint="eastAsia"/>
                      <w:lang w:val="en-US" w:eastAsia="zh-CN"/>
                    </w:rPr>
                    <w:t>排放速率(kg/h)</w:t>
                  </w:r>
                </w:p>
              </w:tc>
              <w:tc>
                <w:tcPr>
                  <w:tcW w:w="2037" w:type="dxa"/>
                  <w:tcBorders>
                    <w:tl2br w:val="nil"/>
                    <w:tr2bl w:val="nil"/>
                  </w:tcBorders>
                  <w:noWrap w:val="0"/>
                  <w:vAlign w:val="center"/>
                </w:tcPr>
                <w:p w14:paraId="0CB2801D">
                  <w:pPr>
                    <w:pStyle w:val="115"/>
                    <w:bidi w:val="0"/>
                    <w:rPr>
                      <w:rFonts w:hint="default"/>
                      <w:lang w:val="en-US" w:eastAsia="zh-CN"/>
                    </w:rPr>
                  </w:pPr>
                  <w:r>
                    <w:rPr>
                      <w:rFonts w:hint="eastAsia"/>
                      <w:lang w:val="en-US" w:eastAsia="zh-CN"/>
                    </w:rPr>
                    <w:t>8.532</w:t>
                  </w:r>
                </w:p>
              </w:tc>
            </w:tr>
            <w:tr w14:paraId="7759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02" w:type="dxa"/>
                  <w:tcBorders>
                    <w:tl2br w:val="nil"/>
                    <w:tr2bl w:val="nil"/>
                  </w:tcBorders>
                  <w:noWrap w:val="0"/>
                  <w:vAlign w:val="center"/>
                </w:tcPr>
                <w:p w14:paraId="14730C5B">
                  <w:pPr>
                    <w:pStyle w:val="115"/>
                    <w:bidi w:val="0"/>
                    <w:rPr>
                      <w:rFonts w:hint="eastAsia"/>
                      <w:lang w:eastAsia="zh-CN"/>
                    </w:rPr>
                  </w:pPr>
                  <w:r>
                    <w:rPr>
                      <w:rFonts w:hint="eastAsia"/>
                      <w:lang w:eastAsia="zh-CN"/>
                    </w:rPr>
                    <w:t>排放方式</w:t>
                  </w:r>
                </w:p>
              </w:tc>
              <w:tc>
                <w:tcPr>
                  <w:tcW w:w="6555" w:type="dxa"/>
                  <w:gridSpan w:val="2"/>
                  <w:tcBorders>
                    <w:tl2br w:val="nil"/>
                    <w:tr2bl w:val="nil"/>
                  </w:tcBorders>
                  <w:noWrap w:val="0"/>
                  <w:vAlign w:val="center"/>
                </w:tcPr>
                <w:p w14:paraId="7E2C38D6">
                  <w:pPr>
                    <w:pStyle w:val="115"/>
                    <w:bidi w:val="0"/>
                    <w:rPr>
                      <w:rFonts w:hint="eastAsia"/>
                    </w:rPr>
                  </w:pPr>
                  <w:r>
                    <w:rPr>
                      <w:rFonts w:hint="eastAsia"/>
                      <w:lang w:eastAsia="zh-CN"/>
                    </w:rPr>
                    <w:t>无组织排放</w:t>
                  </w:r>
                </w:p>
              </w:tc>
            </w:tr>
          </w:tbl>
          <w:p w14:paraId="2A806C78">
            <w:pPr>
              <w:bidi w:val="0"/>
              <w:rPr>
                <w:rFonts w:hint="eastAsia"/>
                <w:u w:val="single"/>
                <w:lang w:val="en-US" w:eastAsia="zh-CN"/>
              </w:rPr>
            </w:pPr>
            <w:r>
              <w:rPr>
                <w:rFonts w:hint="eastAsia"/>
                <w:u w:val="single"/>
                <w:lang w:val="en-US" w:eastAsia="zh-CN"/>
              </w:rPr>
              <w:t>（3）碾压扬尘</w:t>
            </w:r>
          </w:p>
          <w:p w14:paraId="760A4042">
            <w:pPr>
              <w:bidi w:val="0"/>
              <w:rPr>
                <w:rFonts w:hint="eastAsia"/>
                <w:u w:val="single"/>
                <w:lang w:val="en-US" w:eastAsia="zh-CN"/>
              </w:rPr>
            </w:pPr>
            <w:r>
              <w:rPr>
                <w:rFonts w:hint="eastAsia"/>
                <w:u w:val="single"/>
                <w:lang w:val="en-US" w:eastAsia="zh-CN"/>
              </w:rPr>
              <w:t>本项目建筑垃圾经人工分选后采用挖掘机转运至堆填场堆填区，在进行压实处理，在摊平和堆存过程中会产生风力扬尘，扬尘产生量与建筑垃圾湿度和气候有关，填埋场区起尘量采用西安冶金建筑学院干堆公式计算：</w:t>
            </w:r>
          </w:p>
          <w:p w14:paraId="7077705E">
            <w:pPr>
              <w:bidi w:val="0"/>
              <w:rPr>
                <w:rFonts w:hint="eastAsia"/>
                <w:u w:val="single"/>
                <w:lang w:val="en-US" w:eastAsia="zh-CN"/>
              </w:rPr>
            </w:pPr>
            <m:oMathPara>
              <m:oMath>
                <m:sSub>
                  <m:sSubPr>
                    <m:ctrlPr>
                      <w:rPr>
                        <w:rFonts w:hint="default" w:ascii="Cambria Math" w:hAnsi="Cambria Math"/>
                        <w:u w:val="single"/>
                      </w:rPr>
                    </m:ctrlPr>
                  </m:sSubPr>
                  <m:e>
                    <m:r>
                      <m:rPr>
                        <m:sty m:val="p"/>
                      </m:rPr>
                      <w:rPr>
                        <w:rFonts w:hint="default" w:ascii="Times New Roman" w:hAnsi="Times New Roman"/>
                        <w:u w:val="single"/>
                      </w:rPr>
                      <m:t>Q</m:t>
                    </m:r>
                    <m:ctrlPr>
                      <w:rPr>
                        <w:rFonts w:ascii="Cambria Math" w:hAnsi="Cambria Math"/>
                        <w:u w:val="single"/>
                      </w:rPr>
                    </m:ctrlPr>
                  </m:e>
                  <m:sub>
                    <m:r>
                      <m:rPr>
                        <m:sty m:val="p"/>
                      </m:rPr>
                      <w:rPr>
                        <w:rFonts w:hint="default" w:ascii="Times New Roman" w:hAnsi="Times New Roman"/>
                        <w:u w:val="single"/>
                      </w:rPr>
                      <m:t>P</m:t>
                    </m:r>
                    <m:ctrlPr>
                      <w:rPr>
                        <w:rFonts w:ascii="Cambria Math" w:hAnsi="Cambria Math"/>
                        <w:u w:val="single"/>
                      </w:rPr>
                    </m:ctrlPr>
                  </m:sub>
                </m:sSub>
                <m:r>
                  <m:rPr>
                    <m:sty m:val="p"/>
                  </m:rPr>
                  <w:rPr>
                    <w:rFonts w:hint="default" w:ascii="Times New Roman" w:hAnsi="Times New Roman"/>
                    <w:u w:val="single"/>
                  </w:rPr>
                  <m:t>=4.23×1</m:t>
                </m:r>
                <m:sSup>
                  <m:sSupPr>
                    <m:ctrlPr>
                      <w:rPr>
                        <w:rFonts w:hint="default" w:ascii="Cambria Math" w:hAnsi="Cambria Math"/>
                        <w:u w:val="single"/>
                      </w:rPr>
                    </m:ctrlPr>
                  </m:sSupPr>
                  <m:e>
                    <m:r>
                      <m:rPr>
                        <m:sty m:val="p"/>
                      </m:rPr>
                      <w:rPr>
                        <w:rFonts w:hint="default" w:ascii="Times New Roman" w:hAnsi="Times New Roman"/>
                        <w:u w:val="single"/>
                      </w:rPr>
                      <m:t>0</m:t>
                    </m:r>
                    <m:ctrlPr>
                      <w:rPr>
                        <w:rFonts w:ascii="Cambria Math" w:hAnsi="Cambria Math"/>
                        <w:u w:val="single"/>
                      </w:rPr>
                    </m:ctrlPr>
                  </m:e>
                  <m:sup>
                    <m:r>
                      <m:rPr>
                        <m:sty m:val="p"/>
                      </m:rPr>
                      <w:rPr>
                        <w:rFonts w:hint="default" w:ascii="Times New Roman" w:hAnsi="Times New Roman"/>
                        <w:u w:val="single"/>
                      </w:rPr>
                      <m:t>−4</m:t>
                    </m:r>
                    <m:ctrlPr>
                      <w:rPr>
                        <w:rFonts w:ascii="Cambria Math" w:hAnsi="Cambria Math"/>
                        <w:u w:val="single"/>
                      </w:rPr>
                    </m:ctrlPr>
                  </m:sup>
                </m:sSup>
                <m:r>
                  <m:rPr>
                    <m:sty m:val="p"/>
                  </m:rPr>
                  <w:rPr>
                    <w:rFonts w:hint="default" w:ascii="Times New Roman" w:hAnsi="Times New Roman"/>
                    <w:u w:val="single"/>
                  </w:rPr>
                  <m:t>⋅</m:t>
                </m:r>
                <m:sSup>
                  <m:sSupPr>
                    <m:ctrlPr>
                      <w:rPr>
                        <w:rFonts w:hint="default" w:ascii="Cambria Math" w:hAnsi="Cambria Math"/>
                        <w:u w:val="single"/>
                      </w:rPr>
                    </m:ctrlPr>
                  </m:sSupPr>
                  <m:e>
                    <m:r>
                      <m:rPr>
                        <m:sty m:val="p"/>
                      </m:rPr>
                      <w:rPr>
                        <w:rFonts w:hint="default" w:ascii="Times New Roman" w:hAnsi="Times New Roman"/>
                        <w:u w:val="single"/>
                      </w:rPr>
                      <m:t>U</m:t>
                    </m:r>
                    <m:ctrlPr>
                      <w:rPr>
                        <w:rFonts w:ascii="Cambria Math" w:hAnsi="Cambria Math"/>
                        <w:u w:val="single"/>
                      </w:rPr>
                    </m:ctrlPr>
                  </m:e>
                  <m:sup>
                    <m:r>
                      <m:rPr>
                        <m:sty m:val="p"/>
                      </m:rPr>
                      <w:rPr>
                        <w:rFonts w:hint="default" w:ascii="Times New Roman" w:hAnsi="Times New Roman"/>
                        <w:u w:val="single"/>
                      </w:rPr>
                      <m:t>4.9</m:t>
                    </m:r>
                    <m:ctrlPr>
                      <w:rPr>
                        <w:rFonts w:ascii="Cambria Math" w:hAnsi="Cambria Math"/>
                        <w:u w:val="single"/>
                      </w:rPr>
                    </m:ctrlPr>
                  </m:sup>
                </m:sSup>
                <m:r>
                  <m:rPr>
                    <m:sty m:val="p"/>
                  </m:rPr>
                  <w:rPr>
                    <w:rFonts w:hint="default" w:ascii="Times New Roman" w:hAnsi="Times New Roman"/>
                    <w:u w:val="single"/>
                  </w:rPr>
                  <m:t>⋅</m:t>
                </m:r>
                <m:sSub>
                  <m:sSubPr>
                    <m:ctrlPr>
                      <w:rPr>
                        <w:rFonts w:hint="default" w:ascii="Cambria Math" w:hAnsi="Cambria Math"/>
                        <w:u w:val="single"/>
                      </w:rPr>
                    </m:ctrlPr>
                  </m:sSubPr>
                  <m:e>
                    <m:r>
                      <m:rPr>
                        <m:sty m:val="p"/>
                      </m:rPr>
                      <w:rPr>
                        <w:rFonts w:hint="default" w:ascii="Times New Roman" w:hAnsi="Times New Roman"/>
                        <w:u w:val="single"/>
                      </w:rPr>
                      <m:t>A</m:t>
                    </m:r>
                    <m:ctrlPr>
                      <w:rPr>
                        <w:rFonts w:ascii="Cambria Math" w:hAnsi="Cambria Math"/>
                        <w:u w:val="single"/>
                      </w:rPr>
                    </m:ctrlPr>
                  </m:e>
                  <m:sub>
                    <m:r>
                      <m:rPr>
                        <m:sty m:val="p"/>
                      </m:rPr>
                      <w:rPr>
                        <w:rFonts w:hint="default" w:ascii="Times New Roman" w:hAnsi="Times New Roman"/>
                        <w:u w:val="single"/>
                      </w:rPr>
                      <m:t>P</m:t>
                    </m:r>
                    <m:ctrlPr>
                      <w:rPr>
                        <w:rFonts w:ascii="Cambria Math" w:hAnsi="Cambria Math"/>
                        <w:u w:val="single"/>
                      </w:rPr>
                    </m:ctrlPr>
                  </m:sub>
                </m:sSub>
              </m:oMath>
            </m:oMathPara>
          </w:p>
          <w:p w14:paraId="6F4ECB4D">
            <w:pPr>
              <w:bidi w:val="0"/>
              <w:rPr>
                <w:rFonts w:hint="eastAsia"/>
                <w:u w:val="single"/>
                <w:lang w:val="en-US" w:eastAsia="zh-CN"/>
              </w:rPr>
            </w:pPr>
            <w:r>
              <w:rPr>
                <w:rFonts w:hint="eastAsia"/>
                <w:u w:val="single"/>
                <w:lang w:val="en-US" w:eastAsia="zh-CN"/>
              </w:rPr>
              <w:t>式中：Qp——起尘量，mg/s；</w:t>
            </w:r>
          </w:p>
          <w:p w14:paraId="71630983">
            <w:pPr>
              <w:bidi w:val="0"/>
              <w:rPr>
                <w:rFonts w:hint="eastAsia"/>
                <w:u w:val="single"/>
                <w:lang w:val="en-US" w:eastAsia="zh-CN"/>
              </w:rPr>
            </w:pPr>
            <w:r>
              <w:rPr>
                <w:rFonts w:hint="eastAsia"/>
                <w:u w:val="single"/>
                <w:lang w:val="en-US" w:eastAsia="zh-CN"/>
              </w:rPr>
              <w:t>Ap——起尘面积，m</w:t>
            </w:r>
            <w:r>
              <w:rPr>
                <w:rFonts w:hint="eastAsia"/>
                <w:u w:val="single"/>
                <w:vertAlign w:val="superscript"/>
                <w:lang w:val="en-US" w:eastAsia="zh-CN"/>
              </w:rPr>
              <w:t>2</w:t>
            </w:r>
            <w:r>
              <w:rPr>
                <w:rFonts w:hint="eastAsia"/>
                <w:u w:val="single"/>
                <w:lang w:val="en-US" w:eastAsia="zh-CN"/>
              </w:rPr>
              <w:t>；本项目取堆填单元区面积1000</w:t>
            </w:r>
            <w:r>
              <w:rPr>
                <w:rFonts w:hint="default"/>
                <w:u w:val="single"/>
                <w:lang w:val="en-US" w:eastAsia="zh-CN"/>
              </w:rPr>
              <w:t>m</w:t>
            </w:r>
            <w:r>
              <w:rPr>
                <w:rFonts w:hint="default"/>
                <w:u w:val="single"/>
                <w:vertAlign w:val="superscript"/>
                <w:lang w:val="en-US" w:eastAsia="zh-CN"/>
              </w:rPr>
              <w:t>2</w:t>
            </w:r>
            <w:r>
              <w:rPr>
                <w:rFonts w:hint="eastAsia"/>
                <w:u w:val="single"/>
                <w:lang w:val="en-US" w:eastAsia="zh-CN"/>
              </w:rPr>
              <w:t>；</w:t>
            </w:r>
          </w:p>
          <w:p w14:paraId="06BE8EA7">
            <w:pPr>
              <w:bidi w:val="0"/>
              <w:rPr>
                <w:rFonts w:hint="eastAsia"/>
                <w:u w:val="single"/>
                <w:lang w:val="en-US" w:eastAsia="zh-CN"/>
              </w:rPr>
            </w:pPr>
            <w:r>
              <w:rPr>
                <w:rFonts w:hint="eastAsia"/>
                <w:u w:val="single"/>
                <w:lang w:val="en-US" w:eastAsia="zh-CN"/>
              </w:rPr>
              <w:t>U——平均风速，m/s ，取年平均风速1.7m/s；</w:t>
            </w:r>
          </w:p>
          <w:p w14:paraId="2B8A57D3">
            <w:pPr>
              <w:bidi w:val="0"/>
              <w:rPr>
                <w:rFonts w:hint="eastAsia"/>
                <w:u w:val="single"/>
                <w:lang w:val="en-US" w:eastAsia="zh-CN"/>
              </w:rPr>
            </w:pPr>
            <w:r>
              <w:rPr>
                <w:rFonts w:hint="eastAsia"/>
                <w:u w:val="single"/>
                <w:lang w:val="en-US" w:eastAsia="zh-CN"/>
              </w:rPr>
              <w:t>根据上式计算，本项目摊平扬尘产生量为5.69mg/s（0.02kg/h），每日摊平作业时间按4h计，则年产生量为0.029t，本项目建筑垃圾消纳场周边有山体阻挡，建筑垃圾堆料与摊铺过程中使用移动雾炮机、洒水车等进行洒水抑尘等措施，根据《排放源统计调查产排污核算方法和系数手册》（公告2021年第24号）——附表2工业源固体物料堆场颗粒物核算系数手册，洒水控制效率74%，</w:t>
            </w:r>
            <w:r>
              <w:rPr>
                <w:rFonts w:hint="eastAsia"/>
                <w:u w:val="single"/>
              </w:rPr>
              <w:t>本项目</w:t>
            </w:r>
            <w:r>
              <w:rPr>
                <w:rFonts w:hint="eastAsia"/>
                <w:u w:val="single"/>
                <w:lang w:val="en-US" w:eastAsia="zh-CN"/>
              </w:rPr>
              <w:t>一期工程</w:t>
            </w:r>
            <w:r>
              <w:rPr>
                <w:rFonts w:hint="eastAsia"/>
                <w:u w:val="single"/>
              </w:rPr>
              <w:t>堆填区为矿坑，周边无围挡，只有山体</w:t>
            </w:r>
            <w:r>
              <w:rPr>
                <w:rFonts w:hint="eastAsia"/>
                <w:u w:val="single"/>
                <w:lang w:val="en-US" w:eastAsia="zh-CN"/>
              </w:rPr>
              <w:t>阻隔，因此本次控制效率取达74%，则碾压扬尘排放量为0.008t/a，排放速率为0.005kg/h。</w:t>
            </w:r>
          </w:p>
          <w:p w14:paraId="3ADF30A6">
            <w:pPr>
              <w:pStyle w:val="44"/>
              <w:keepNext/>
              <w:keepLines w:val="0"/>
              <w:pageBreakBefore w:val="0"/>
              <w:widowControl/>
              <w:kinsoku/>
              <w:wordWrap w:val="0"/>
              <w:overflowPunct w:val="0"/>
              <w:topLinePunct w:val="0"/>
              <w:autoSpaceDE w:val="0"/>
              <w:autoSpaceDN w:val="0"/>
              <w:bidi w:val="0"/>
              <w:adjustRightInd w:val="0"/>
              <w:snapToGrid w:val="0"/>
              <w:textAlignment w:val="baseline"/>
              <w:rPr>
                <w:rFonts w:hint="eastAsia"/>
                <w:u w:val="single"/>
                <w:lang w:val="en-US" w:eastAsia="zh-CN"/>
              </w:rPr>
            </w:pPr>
            <w:r>
              <w:rPr>
                <w:rFonts w:hint="eastAsia"/>
                <w:u w:val="single"/>
                <w:lang w:val="en-US" w:eastAsia="zh-CN"/>
              </w:rPr>
              <w:t>表4.2-3：碾压扬尘产生及排放情况一览表</w:t>
            </w:r>
          </w:p>
          <w:tbl>
            <w:tblPr>
              <w:tblStyle w:val="3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3"/>
              <w:gridCol w:w="3320"/>
              <w:gridCol w:w="1340"/>
            </w:tblGrid>
            <w:tr w14:paraId="422B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tcBorders>
                    <w:tl2br w:val="nil"/>
                    <w:tr2bl w:val="nil"/>
                  </w:tcBorders>
                  <w:noWrap w:val="0"/>
                  <w:vAlign w:val="center"/>
                </w:tcPr>
                <w:p w14:paraId="26D1E1E1">
                  <w:pPr>
                    <w:pStyle w:val="115"/>
                    <w:bidi w:val="0"/>
                    <w:rPr>
                      <w:rFonts w:hint="eastAsia"/>
                      <w:u w:val="single"/>
                      <w:lang w:eastAsia="zh-CN"/>
                    </w:rPr>
                  </w:pPr>
                  <w:r>
                    <w:rPr>
                      <w:u w:val="single"/>
                    </w:rPr>
                    <w:t>堆料与摊铺扬尘</w:t>
                  </w:r>
                </w:p>
              </w:tc>
              <w:tc>
                <w:tcPr>
                  <w:tcW w:w="1896" w:type="pct"/>
                  <w:tcBorders>
                    <w:tl2br w:val="nil"/>
                    <w:tr2bl w:val="nil"/>
                  </w:tcBorders>
                  <w:noWrap w:val="0"/>
                  <w:vAlign w:val="center"/>
                </w:tcPr>
                <w:p w14:paraId="760CE32B">
                  <w:pPr>
                    <w:pStyle w:val="115"/>
                    <w:bidi w:val="0"/>
                    <w:rPr>
                      <w:rFonts w:hint="default"/>
                      <w:u w:val="single"/>
                      <w:lang w:val="en-US" w:eastAsia="zh-CN"/>
                    </w:rPr>
                  </w:pPr>
                  <w:r>
                    <w:rPr>
                      <w:rFonts w:hint="eastAsia"/>
                      <w:u w:val="single"/>
                      <w:lang w:val="en-US" w:eastAsia="zh-CN"/>
                    </w:rPr>
                    <w:t>起尘面积</w:t>
                  </w:r>
                  <w:r>
                    <w:rPr>
                      <w:rFonts w:hint="eastAsia"/>
                      <w:u w:val="single"/>
                      <w:lang w:eastAsia="zh-CN"/>
                    </w:rPr>
                    <w:t>（</w:t>
                  </w:r>
                  <w:r>
                    <w:rPr>
                      <w:u w:val="single"/>
                    </w:rPr>
                    <w:t>m</w:t>
                  </w:r>
                  <w:r>
                    <w:rPr>
                      <w:u w:val="single"/>
                      <w:vertAlign w:val="superscript"/>
                    </w:rPr>
                    <w:t>2</w:t>
                  </w:r>
                  <w:r>
                    <w:rPr>
                      <w:rFonts w:hint="eastAsia"/>
                      <w:u w:val="single"/>
                      <w:lang w:eastAsia="zh-CN"/>
                    </w:rPr>
                    <w:t>）</w:t>
                  </w:r>
                </w:p>
              </w:tc>
              <w:tc>
                <w:tcPr>
                  <w:tcW w:w="764" w:type="pct"/>
                  <w:tcBorders>
                    <w:tl2br w:val="nil"/>
                    <w:tr2bl w:val="nil"/>
                  </w:tcBorders>
                  <w:noWrap w:val="0"/>
                  <w:vAlign w:val="center"/>
                </w:tcPr>
                <w:p w14:paraId="2E34312E">
                  <w:pPr>
                    <w:pStyle w:val="115"/>
                    <w:bidi w:val="0"/>
                    <w:rPr>
                      <w:rFonts w:hint="default"/>
                      <w:u w:val="single"/>
                      <w:lang w:val="en-US" w:eastAsia="zh-CN"/>
                    </w:rPr>
                  </w:pPr>
                  <w:r>
                    <w:rPr>
                      <w:rFonts w:hint="eastAsia"/>
                      <w:u w:val="single"/>
                      <w:lang w:val="en-US" w:eastAsia="zh-CN"/>
                    </w:rPr>
                    <w:t>1000</w:t>
                  </w:r>
                </w:p>
              </w:tc>
            </w:tr>
            <w:tr w14:paraId="4472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vMerge w:val="restart"/>
                  <w:tcBorders>
                    <w:tl2br w:val="nil"/>
                    <w:tr2bl w:val="nil"/>
                  </w:tcBorders>
                  <w:noWrap w:val="0"/>
                  <w:vAlign w:val="center"/>
                </w:tcPr>
                <w:p w14:paraId="61CE7257">
                  <w:pPr>
                    <w:pStyle w:val="115"/>
                    <w:bidi w:val="0"/>
                    <w:rPr>
                      <w:rFonts w:hint="eastAsia"/>
                      <w:u w:val="single"/>
                      <w:lang w:eastAsia="zh-CN"/>
                    </w:rPr>
                  </w:pPr>
                  <w:r>
                    <w:rPr>
                      <w:rFonts w:hint="eastAsia"/>
                      <w:u w:val="single"/>
                      <w:lang w:eastAsia="zh-CN"/>
                    </w:rPr>
                    <w:t>产生状况</w:t>
                  </w:r>
                </w:p>
              </w:tc>
              <w:tc>
                <w:tcPr>
                  <w:tcW w:w="1896" w:type="pct"/>
                  <w:tcBorders>
                    <w:tl2br w:val="nil"/>
                    <w:tr2bl w:val="nil"/>
                  </w:tcBorders>
                  <w:noWrap w:val="0"/>
                  <w:vAlign w:val="center"/>
                </w:tcPr>
                <w:p w14:paraId="0FB020B8">
                  <w:pPr>
                    <w:pStyle w:val="115"/>
                    <w:bidi w:val="0"/>
                    <w:rPr>
                      <w:rFonts w:hint="eastAsia"/>
                      <w:u w:val="single"/>
                      <w:lang w:val="en-US" w:eastAsia="zh-CN"/>
                    </w:rPr>
                  </w:pPr>
                  <w:r>
                    <w:rPr>
                      <w:rFonts w:hint="eastAsia"/>
                      <w:u w:val="single"/>
                      <w:lang w:eastAsia="zh-CN"/>
                    </w:rPr>
                    <w:t>产生</w:t>
                  </w:r>
                  <w:r>
                    <w:rPr>
                      <w:rFonts w:hint="eastAsia"/>
                      <w:u w:val="single"/>
                    </w:rPr>
                    <w:t>量（t/a）</w:t>
                  </w:r>
                </w:p>
              </w:tc>
              <w:tc>
                <w:tcPr>
                  <w:tcW w:w="764" w:type="pct"/>
                  <w:tcBorders>
                    <w:tl2br w:val="nil"/>
                    <w:tr2bl w:val="nil"/>
                  </w:tcBorders>
                  <w:noWrap w:val="0"/>
                  <w:vAlign w:val="center"/>
                </w:tcPr>
                <w:p w14:paraId="56C43FA7">
                  <w:pPr>
                    <w:pStyle w:val="115"/>
                    <w:bidi w:val="0"/>
                    <w:rPr>
                      <w:rFonts w:hint="default"/>
                      <w:u w:val="single"/>
                      <w:lang w:val="en-US" w:eastAsia="zh-CN"/>
                    </w:rPr>
                  </w:pPr>
                  <w:r>
                    <w:rPr>
                      <w:rFonts w:hint="eastAsia"/>
                      <w:u w:val="single"/>
                      <w:lang w:val="en-US" w:eastAsia="zh-CN"/>
                    </w:rPr>
                    <w:t>0.029</w:t>
                  </w:r>
                </w:p>
              </w:tc>
            </w:tr>
            <w:tr w14:paraId="361A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vMerge w:val="continue"/>
                  <w:tcBorders>
                    <w:tl2br w:val="nil"/>
                    <w:tr2bl w:val="nil"/>
                  </w:tcBorders>
                  <w:noWrap w:val="0"/>
                  <w:vAlign w:val="center"/>
                </w:tcPr>
                <w:p w14:paraId="2D853649">
                  <w:pPr>
                    <w:pStyle w:val="115"/>
                    <w:bidi w:val="0"/>
                    <w:rPr>
                      <w:rFonts w:hint="eastAsia"/>
                      <w:u w:val="single"/>
                      <w:lang w:eastAsia="zh-CN"/>
                    </w:rPr>
                  </w:pPr>
                </w:p>
              </w:tc>
              <w:tc>
                <w:tcPr>
                  <w:tcW w:w="1896" w:type="pct"/>
                  <w:tcBorders>
                    <w:tl2br w:val="nil"/>
                    <w:tr2bl w:val="nil"/>
                  </w:tcBorders>
                  <w:noWrap w:val="0"/>
                  <w:vAlign w:val="center"/>
                </w:tcPr>
                <w:p w14:paraId="75800CA1">
                  <w:pPr>
                    <w:pStyle w:val="115"/>
                    <w:bidi w:val="0"/>
                    <w:rPr>
                      <w:rFonts w:hint="eastAsia"/>
                      <w:u w:val="single"/>
                      <w:lang w:eastAsia="zh-CN"/>
                    </w:rPr>
                  </w:pPr>
                  <w:r>
                    <w:rPr>
                      <w:rFonts w:hint="eastAsia"/>
                      <w:u w:val="single"/>
                      <w:lang w:val="en-US" w:eastAsia="zh-CN"/>
                    </w:rPr>
                    <w:t>产生速率(kg/h)</w:t>
                  </w:r>
                </w:p>
              </w:tc>
              <w:tc>
                <w:tcPr>
                  <w:tcW w:w="764" w:type="pct"/>
                  <w:tcBorders>
                    <w:tl2br w:val="nil"/>
                    <w:tr2bl w:val="nil"/>
                  </w:tcBorders>
                  <w:noWrap w:val="0"/>
                  <w:vAlign w:val="center"/>
                </w:tcPr>
                <w:p w14:paraId="15931CC6">
                  <w:pPr>
                    <w:pStyle w:val="115"/>
                    <w:bidi w:val="0"/>
                    <w:rPr>
                      <w:rFonts w:hint="default"/>
                      <w:u w:val="single"/>
                      <w:lang w:val="en-US" w:eastAsia="zh-CN"/>
                    </w:rPr>
                  </w:pPr>
                  <w:r>
                    <w:rPr>
                      <w:rFonts w:hint="eastAsia"/>
                      <w:u w:val="single"/>
                      <w:lang w:val="en-US" w:eastAsia="zh-CN"/>
                    </w:rPr>
                    <w:t>0.020</w:t>
                  </w:r>
                </w:p>
              </w:tc>
            </w:tr>
            <w:tr w14:paraId="5A3E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tcBorders>
                    <w:tl2br w:val="nil"/>
                    <w:tr2bl w:val="nil"/>
                  </w:tcBorders>
                  <w:noWrap w:val="0"/>
                  <w:vAlign w:val="center"/>
                </w:tcPr>
                <w:p w14:paraId="6A0FC570">
                  <w:pPr>
                    <w:pStyle w:val="115"/>
                    <w:bidi w:val="0"/>
                    <w:rPr>
                      <w:rFonts w:hint="eastAsia"/>
                      <w:u w:val="single"/>
                      <w:lang w:eastAsia="zh-CN"/>
                    </w:rPr>
                  </w:pPr>
                  <w:r>
                    <w:rPr>
                      <w:rFonts w:hint="eastAsia"/>
                      <w:u w:val="single"/>
                      <w:lang w:eastAsia="zh-CN"/>
                    </w:rPr>
                    <w:t>治理措施及处理效率</w:t>
                  </w:r>
                </w:p>
              </w:tc>
              <w:tc>
                <w:tcPr>
                  <w:tcW w:w="2661" w:type="pct"/>
                  <w:gridSpan w:val="2"/>
                  <w:tcBorders>
                    <w:tl2br w:val="nil"/>
                    <w:tr2bl w:val="nil"/>
                  </w:tcBorders>
                  <w:noWrap w:val="0"/>
                  <w:vAlign w:val="center"/>
                </w:tcPr>
                <w:p w14:paraId="44D05D64">
                  <w:pPr>
                    <w:pStyle w:val="115"/>
                    <w:bidi w:val="0"/>
                    <w:rPr>
                      <w:rFonts w:hint="default"/>
                      <w:u w:val="single"/>
                      <w:lang w:val="en-US" w:eastAsia="zh-CN"/>
                    </w:rPr>
                  </w:pPr>
                  <w:r>
                    <w:rPr>
                      <w:u w:val="single"/>
                    </w:rPr>
                    <w:t xml:space="preserve">洒水控制效率74% </w:t>
                  </w:r>
                </w:p>
              </w:tc>
            </w:tr>
            <w:tr w14:paraId="646B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vMerge w:val="restart"/>
                  <w:tcBorders>
                    <w:tl2br w:val="nil"/>
                    <w:tr2bl w:val="nil"/>
                  </w:tcBorders>
                  <w:noWrap w:val="0"/>
                  <w:vAlign w:val="center"/>
                </w:tcPr>
                <w:p w14:paraId="126F99FE">
                  <w:pPr>
                    <w:pStyle w:val="115"/>
                    <w:bidi w:val="0"/>
                    <w:rPr>
                      <w:rFonts w:hint="eastAsia"/>
                      <w:u w:val="single"/>
                      <w:lang w:eastAsia="zh-CN"/>
                    </w:rPr>
                  </w:pPr>
                  <w:r>
                    <w:rPr>
                      <w:rFonts w:hint="eastAsia"/>
                      <w:u w:val="single"/>
                      <w:lang w:eastAsia="zh-CN"/>
                    </w:rPr>
                    <w:t>排放状况</w:t>
                  </w:r>
                </w:p>
              </w:tc>
              <w:tc>
                <w:tcPr>
                  <w:tcW w:w="1896" w:type="pct"/>
                  <w:tcBorders>
                    <w:tl2br w:val="nil"/>
                    <w:tr2bl w:val="nil"/>
                  </w:tcBorders>
                  <w:noWrap w:val="0"/>
                  <w:vAlign w:val="center"/>
                </w:tcPr>
                <w:p w14:paraId="74DCC06C">
                  <w:pPr>
                    <w:pStyle w:val="115"/>
                    <w:bidi w:val="0"/>
                    <w:rPr>
                      <w:rFonts w:hint="eastAsia"/>
                      <w:u w:val="single"/>
                      <w:lang w:val="en-US" w:eastAsia="zh-CN"/>
                    </w:rPr>
                  </w:pPr>
                  <w:r>
                    <w:rPr>
                      <w:rFonts w:hint="eastAsia"/>
                      <w:u w:val="single"/>
                    </w:rPr>
                    <w:t>排放量（t/a）</w:t>
                  </w:r>
                </w:p>
              </w:tc>
              <w:tc>
                <w:tcPr>
                  <w:tcW w:w="764" w:type="pct"/>
                  <w:tcBorders>
                    <w:tl2br w:val="nil"/>
                    <w:tr2bl w:val="nil"/>
                  </w:tcBorders>
                  <w:noWrap w:val="0"/>
                  <w:vAlign w:val="center"/>
                </w:tcPr>
                <w:p w14:paraId="47986465">
                  <w:pPr>
                    <w:pStyle w:val="115"/>
                    <w:bidi w:val="0"/>
                    <w:rPr>
                      <w:rFonts w:hint="default"/>
                      <w:u w:val="single"/>
                      <w:lang w:val="en-US" w:eastAsia="zh-CN"/>
                    </w:rPr>
                  </w:pPr>
                  <w:r>
                    <w:rPr>
                      <w:rFonts w:hint="eastAsia"/>
                      <w:u w:val="single"/>
                      <w:lang w:val="en-US" w:eastAsia="zh-CN"/>
                    </w:rPr>
                    <w:t>0.008</w:t>
                  </w:r>
                </w:p>
              </w:tc>
            </w:tr>
            <w:tr w14:paraId="4BDA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vMerge w:val="continue"/>
                  <w:tcBorders>
                    <w:tl2br w:val="nil"/>
                    <w:tr2bl w:val="nil"/>
                  </w:tcBorders>
                  <w:noWrap w:val="0"/>
                  <w:vAlign w:val="center"/>
                </w:tcPr>
                <w:p w14:paraId="3BC84E22">
                  <w:pPr>
                    <w:pStyle w:val="115"/>
                    <w:bidi w:val="0"/>
                    <w:rPr>
                      <w:rFonts w:hint="eastAsia"/>
                      <w:u w:val="single"/>
                      <w:lang w:eastAsia="zh-CN"/>
                    </w:rPr>
                  </w:pPr>
                </w:p>
              </w:tc>
              <w:tc>
                <w:tcPr>
                  <w:tcW w:w="1896" w:type="pct"/>
                  <w:tcBorders>
                    <w:tl2br w:val="nil"/>
                    <w:tr2bl w:val="nil"/>
                  </w:tcBorders>
                  <w:noWrap w:val="0"/>
                  <w:vAlign w:val="center"/>
                </w:tcPr>
                <w:p w14:paraId="28BE5762">
                  <w:pPr>
                    <w:pStyle w:val="115"/>
                    <w:bidi w:val="0"/>
                    <w:rPr>
                      <w:rFonts w:hint="eastAsia"/>
                      <w:u w:val="single"/>
                    </w:rPr>
                  </w:pPr>
                  <w:r>
                    <w:rPr>
                      <w:rFonts w:hint="eastAsia"/>
                      <w:u w:val="single"/>
                      <w:lang w:val="en-US" w:eastAsia="zh-CN"/>
                    </w:rPr>
                    <w:t>排放速率(kg/h)</w:t>
                  </w:r>
                </w:p>
              </w:tc>
              <w:tc>
                <w:tcPr>
                  <w:tcW w:w="764" w:type="pct"/>
                  <w:tcBorders>
                    <w:tl2br w:val="nil"/>
                    <w:tr2bl w:val="nil"/>
                  </w:tcBorders>
                  <w:noWrap w:val="0"/>
                  <w:vAlign w:val="center"/>
                </w:tcPr>
                <w:p w14:paraId="45CF5BD8">
                  <w:pPr>
                    <w:pStyle w:val="115"/>
                    <w:bidi w:val="0"/>
                    <w:rPr>
                      <w:rFonts w:hint="default"/>
                      <w:u w:val="single"/>
                      <w:lang w:val="en-US" w:eastAsia="zh-CN"/>
                    </w:rPr>
                  </w:pPr>
                  <w:r>
                    <w:rPr>
                      <w:rFonts w:hint="eastAsia"/>
                      <w:u w:val="single"/>
                      <w:lang w:val="en-US" w:eastAsia="zh-CN"/>
                    </w:rPr>
                    <w:t>0.005</w:t>
                  </w:r>
                </w:p>
              </w:tc>
            </w:tr>
            <w:tr w14:paraId="600D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38" w:type="pct"/>
                  <w:tcBorders>
                    <w:tl2br w:val="nil"/>
                    <w:tr2bl w:val="nil"/>
                  </w:tcBorders>
                  <w:noWrap w:val="0"/>
                  <w:vAlign w:val="center"/>
                </w:tcPr>
                <w:p w14:paraId="48385835">
                  <w:pPr>
                    <w:pStyle w:val="115"/>
                    <w:bidi w:val="0"/>
                    <w:rPr>
                      <w:rFonts w:hint="eastAsia"/>
                      <w:u w:val="single"/>
                      <w:lang w:eastAsia="zh-CN"/>
                    </w:rPr>
                  </w:pPr>
                  <w:r>
                    <w:rPr>
                      <w:rFonts w:hint="eastAsia"/>
                      <w:u w:val="single"/>
                      <w:lang w:eastAsia="zh-CN"/>
                    </w:rPr>
                    <w:t>排放方式</w:t>
                  </w:r>
                </w:p>
              </w:tc>
              <w:tc>
                <w:tcPr>
                  <w:tcW w:w="2661" w:type="pct"/>
                  <w:gridSpan w:val="2"/>
                  <w:tcBorders>
                    <w:tl2br w:val="nil"/>
                    <w:tr2bl w:val="nil"/>
                  </w:tcBorders>
                  <w:noWrap w:val="0"/>
                  <w:vAlign w:val="center"/>
                </w:tcPr>
                <w:p w14:paraId="4B51E507">
                  <w:pPr>
                    <w:pStyle w:val="115"/>
                    <w:bidi w:val="0"/>
                    <w:rPr>
                      <w:rFonts w:hint="eastAsia"/>
                      <w:u w:val="single"/>
                    </w:rPr>
                  </w:pPr>
                  <w:r>
                    <w:rPr>
                      <w:rFonts w:hint="eastAsia"/>
                      <w:u w:val="single"/>
                      <w:lang w:eastAsia="zh-CN"/>
                    </w:rPr>
                    <w:t>无组织排放</w:t>
                  </w:r>
                </w:p>
              </w:tc>
            </w:tr>
          </w:tbl>
          <w:p w14:paraId="71DD61B0">
            <w:pPr>
              <w:bidi w:val="0"/>
              <w:rPr>
                <w:rFonts w:hint="eastAsia"/>
                <w:u w:val="single"/>
                <w:lang w:val="en-US" w:eastAsia="zh-CN"/>
              </w:rPr>
            </w:pPr>
            <w:r>
              <w:rPr>
                <w:rFonts w:hint="eastAsia"/>
                <w:u w:val="single"/>
                <w:lang w:val="en-US" w:eastAsia="zh-CN"/>
              </w:rPr>
              <w:t>建筑垃圾消纳场扬尘防治措施：①建筑垃圾消纳场作业表面及时碾压压实、覆盖，使固废暴露面最小；②配备专门洒水车在建筑垃圾消纳场地面定期洒水降尘，保障地面湿度，如遇到风天，要加大洒水量，以减少粉尘产生；③大风天气不进行堆渣作业，同时增加建筑垃圾消纳场洒水次数。</w:t>
            </w:r>
          </w:p>
          <w:p w14:paraId="60C4B2A4">
            <w:pPr>
              <w:bidi w:val="0"/>
              <w:rPr>
                <w:rFonts w:hint="eastAsia"/>
                <w:u w:val="single"/>
                <w:lang w:val="en-US" w:eastAsia="zh-CN"/>
              </w:rPr>
            </w:pPr>
            <w:r>
              <w:rPr>
                <w:rFonts w:hint="eastAsia"/>
                <w:u w:val="single"/>
                <w:lang w:val="en-US" w:eastAsia="zh-CN"/>
              </w:rPr>
              <w:t>（4）堆填场</w:t>
            </w:r>
            <w:r>
              <w:rPr>
                <w:u w:val="single"/>
              </w:rPr>
              <w:t>扬尘</w:t>
            </w:r>
          </w:p>
          <w:p w14:paraId="73448DB9">
            <w:pPr>
              <w:bidi w:val="0"/>
              <w:rPr>
                <w:u w:val="single"/>
              </w:rPr>
            </w:pPr>
            <w:r>
              <w:rPr>
                <w:rFonts w:hint="eastAsia"/>
                <w:u w:val="single"/>
                <w:lang w:val="en-US" w:eastAsia="zh-CN"/>
              </w:rPr>
              <w:t>建筑垃圾堆填场</w:t>
            </w:r>
            <w:r>
              <w:rPr>
                <w:rFonts w:hint="eastAsia"/>
                <w:u w:val="single"/>
              </w:rPr>
              <w:t>因风力的动力作用将会产生扬尘，其源强大小与颗粒物的粒径大小、比重以及环境的风速、湿度等因素有关，风速越大，颗粒越小，含水率越小，扬尘的产生量就越大。</w:t>
            </w:r>
          </w:p>
          <w:p w14:paraId="19073AE6">
            <w:pPr>
              <w:bidi w:val="0"/>
              <w:rPr>
                <w:u w:val="single"/>
              </w:rPr>
            </w:pPr>
            <w:r>
              <w:rPr>
                <w:u w:val="single"/>
              </w:rPr>
              <w:t>本评价堆场扬尘采用西安冶金建筑学院的起尘量推荐公式：</w:t>
            </w:r>
          </w:p>
          <w:p w14:paraId="30454B3B">
            <w:pPr>
              <w:bidi w:val="0"/>
              <w:rPr>
                <w:rFonts w:hint="eastAsia"/>
                <w:u w:val="single"/>
                <w:lang w:val="en-US" w:eastAsia="zh-CN"/>
              </w:rPr>
            </w:pPr>
            <m:oMathPara>
              <m:oMath>
                <m:sSub>
                  <m:sSubPr>
                    <m:ctrlPr>
                      <w:rPr>
                        <w:rFonts w:hint="default" w:ascii="Cambria Math" w:hAnsi="Cambria Math"/>
                        <w:u w:val="single"/>
                      </w:rPr>
                    </m:ctrlPr>
                  </m:sSubPr>
                  <m:e>
                    <m:r>
                      <m:rPr>
                        <m:sty m:val="p"/>
                      </m:rPr>
                      <w:rPr>
                        <w:rFonts w:hint="default" w:ascii="Times New Roman" w:hAnsi="Times New Roman"/>
                        <w:u w:val="single"/>
                      </w:rPr>
                      <m:t>Q</m:t>
                    </m:r>
                    <m:ctrlPr>
                      <w:rPr>
                        <w:rFonts w:ascii="Cambria Math" w:hAnsi="Cambria Math"/>
                        <w:u w:val="single"/>
                      </w:rPr>
                    </m:ctrlPr>
                  </m:e>
                  <m:sub>
                    <m:r>
                      <m:rPr>
                        <m:sty m:val="p"/>
                      </m:rPr>
                      <w:rPr>
                        <w:rFonts w:hint="default" w:ascii="Times New Roman" w:hAnsi="Times New Roman"/>
                        <w:u w:val="single"/>
                      </w:rPr>
                      <m:t>P</m:t>
                    </m:r>
                    <m:ctrlPr>
                      <w:rPr>
                        <w:rFonts w:ascii="Cambria Math" w:hAnsi="Cambria Math"/>
                        <w:u w:val="single"/>
                      </w:rPr>
                    </m:ctrlPr>
                  </m:sub>
                </m:sSub>
                <m:r>
                  <m:rPr>
                    <m:sty m:val="p"/>
                  </m:rPr>
                  <w:rPr>
                    <w:rFonts w:hint="default" w:ascii="Times New Roman" w:hAnsi="Times New Roman"/>
                    <w:u w:val="single"/>
                  </w:rPr>
                  <m:t>=4.23×1</m:t>
                </m:r>
                <m:sSup>
                  <m:sSupPr>
                    <m:ctrlPr>
                      <w:rPr>
                        <w:rFonts w:hint="default" w:ascii="Cambria Math" w:hAnsi="Cambria Math"/>
                        <w:u w:val="single"/>
                      </w:rPr>
                    </m:ctrlPr>
                  </m:sSupPr>
                  <m:e>
                    <m:r>
                      <m:rPr>
                        <m:sty m:val="p"/>
                      </m:rPr>
                      <w:rPr>
                        <w:rFonts w:hint="default" w:ascii="Times New Roman" w:hAnsi="Times New Roman"/>
                        <w:u w:val="single"/>
                      </w:rPr>
                      <m:t>0</m:t>
                    </m:r>
                    <m:ctrlPr>
                      <w:rPr>
                        <w:rFonts w:ascii="Cambria Math" w:hAnsi="Cambria Math"/>
                        <w:u w:val="single"/>
                      </w:rPr>
                    </m:ctrlPr>
                  </m:e>
                  <m:sup>
                    <m:r>
                      <m:rPr>
                        <m:sty m:val="p"/>
                      </m:rPr>
                      <w:rPr>
                        <w:rFonts w:hint="default" w:ascii="Times New Roman" w:hAnsi="Times New Roman"/>
                        <w:u w:val="single"/>
                      </w:rPr>
                      <m:t>−4</m:t>
                    </m:r>
                    <m:ctrlPr>
                      <w:rPr>
                        <w:rFonts w:ascii="Cambria Math" w:hAnsi="Cambria Math"/>
                        <w:u w:val="single"/>
                      </w:rPr>
                    </m:ctrlPr>
                  </m:sup>
                </m:sSup>
                <m:r>
                  <m:rPr>
                    <m:sty m:val="p"/>
                  </m:rPr>
                  <w:rPr>
                    <w:rFonts w:hint="default" w:ascii="Times New Roman" w:hAnsi="Times New Roman"/>
                    <w:u w:val="single"/>
                  </w:rPr>
                  <m:t>⋅</m:t>
                </m:r>
                <m:sSup>
                  <m:sSupPr>
                    <m:ctrlPr>
                      <w:rPr>
                        <w:rFonts w:hint="default" w:ascii="Cambria Math" w:hAnsi="Cambria Math"/>
                        <w:u w:val="single"/>
                      </w:rPr>
                    </m:ctrlPr>
                  </m:sSupPr>
                  <m:e>
                    <m:r>
                      <m:rPr>
                        <m:sty m:val="p"/>
                      </m:rPr>
                      <w:rPr>
                        <w:rFonts w:hint="default" w:ascii="Times New Roman" w:hAnsi="Times New Roman"/>
                        <w:u w:val="single"/>
                      </w:rPr>
                      <m:t>U</m:t>
                    </m:r>
                    <m:ctrlPr>
                      <w:rPr>
                        <w:rFonts w:ascii="Cambria Math" w:hAnsi="Cambria Math"/>
                        <w:u w:val="single"/>
                      </w:rPr>
                    </m:ctrlPr>
                  </m:e>
                  <m:sup>
                    <m:r>
                      <m:rPr>
                        <m:sty m:val="p"/>
                      </m:rPr>
                      <w:rPr>
                        <w:rFonts w:hint="default" w:ascii="Times New Roman" w:hAnsi="Times New Roman"/>
                        <w:u w:val="single"/>
                      </w:rPr>
                      <m:t>4.9</m:t>
                    </m:r>
                    <m:ctrlPr>
                      <w:rPr>
                        <w:rFonts w:ascii="Cambria Math" w:hAnsi="Cambria Math"/>
                        <w:u w:val="single"/>
                      </w:rPr>
                    </m:ctrlPr>
                  </m:sup>
                </m:sSup>
                <m:r>
                  <m:rPr>
                    <m:sty m:val="p"/>
                  </m:rPr>
                  <w:rPr>
                    <w:rFonts w:hint="default" w:ascii="Times New Roman" w:hAnsi="Times New Roman"/>
                    <w:u w:val="single"/>
                  </w:rPr>
                  <m:t>⋅</m:t>
                </m:r>
                <m:sSub>
                  <m:sSubPr>
                    <m:ctrlPr>
                      <w:rPr>
                        <w:rFonts w:hint="default" w:ascii="Cambria Math" w:hAnsi="Cambria Math"/>
                        <w:u w:val="single"/>
                      </w:rPr>
                    </m:ctrlPr>
                  </m:sSubPr>
                  <m:e>
                    <m:r>
                      <m:rPr>
                        <m:sty m:val="p"/>
                      </m:rPr>
                      <w:rPr>
                        <w:rFonts w:hint="default" w:ascii="Times New Roman" w:hAnsi="Times New Roman"/>
                        <w:u w:val="single"/>
                      </w:rPr>
                      <m:t>A</m:t>
                    </m:r>
                    <m:ctrlPr>
                      <w:rPr>
                        <w:rFonts w:ascii="Cambria Math" w:hAnsi="Cambria Math"/>
                        <w:u w:val="single"/>
                      </w:rPr>
                    </m:ctrlPr>
                  </m:e>
                  <m:sub>
                    <m:r>
                      <m:rPr>
                        <m:sty m:val="p"/>
                      </m:rPr>
                      <w:rPr>
                        <w:rFonts w:hint="default" w:ascii="Times New Roman" w:hAnsi="Times New Roman"/>
                        <w:u w:val="single"/>
                      </w:rPr>
                      <m:t>P</m:t>
                    </m:r>
                    <m:ctrlPr>
                      <w:rPr>
                        <w:rFonts w:ascii="Cambria Math" w:hAnsi="Cambria Math"/>
                        <w:u w:val="single"/>
                      </w:rPr>
                    </m:ctrlPr>
                  </m:sub>
                </m:sSub>
              </m:oMath>
            </m:oMathPara>
          </w:p>
          <w:p w14:paraId="60284C5D">
            <w:pPr>
              <w:bidi w:val="0"/>
              <w:rPr>
                <w:rFonts w:hint="eastAsia"/>
                <w:u w:val="single"/>
                <w:lang w:val="en-US" w:eastAsia="zh-CN"/>
              </w:rPr>
            </w:pPr>
            <w:r>
              <w:rPr>
                <w:rFonts w:hint="eastAsia"/>
                <w:u w:val="single"/>
                <w:lang w:val="en-US" w:eastAsia="zh-CN"/>
              </w:rPr>
              <w:t>式中：Qp——起尘量，mg/s；</w:t>
            </w:r>
          </w:p>
          <w:p w14:paraId="0622B8F8">
            <w:pPr>
              <w:bidi w:val="0"/>
              <w:rPr>
                <w:rFonts w:hint="eastAsia"/>
                <w:u w:val="single"/>
                <w:lang w:val="en-US" w:eastAsia="zh-CN"/>
              </w:rPr>
            </w:pPr>
            <w:r>
              <w:rPr>
                <w:rFonts w:hint="eastAsia"/>
                <w:u w:val="single"/>
                <w:lang w:val="en-US" w:eastAsia="zh-CN"/>
              </w:rPr>
              <w:t>Ap——起尘面积，m</w:t>
            </w:r>
            <w:r>
              <w:rPr>
                <w:rFonts w:hint="eastAsia"/>
                <w:u w:val="single"/>
                <w:vertAlign w:val="superscript"/>
                <w:lang w:val="en-US" w:eastAsia="zh-CN"/>
              </w:rPr>
              <w:t>2</w:t>
            </w:r>
            <w:r>
              <w:rPr>
                <w:rFonts w:hint="eastAsia"/>
                <w:u w:val="single"/>
                <w:lang w:val="en-US" w:eastAsia="zh-CN"/>
              </w:rPr>
              <w:t>；本项目取堆填单元区面积6102.56</w:t>
            </w:r>
            <w:r>
              <w:rPr>
                <w:rFonts w:hint="default"/>
                <w:u w:val="single"/>
                <w:lang w:val="en-US" w:eastAsia="zh-CN"/>
              </w:rPr>
              <w:t>m</w:t>
            </w:r>
            <w:r>
              <w:rPr>
                <w:rFonts w:hint="default"/>
                <w:u w:val="single"/>
                <w:vertAlign w:val="superscript"/>
                <w:lang w:val="en-US" w:eastAsia="zh-CN"/>
              </w:rPr>
              <w:t>2</w:t>
            </w:r>
            <w:r>
              <w:rPr>
                <w:rFonts w:hint="eastAsia"/>
                <w:u w:val="single"/>
                <w:lang w:val="en-US" w:eastAsia="zh-CN"/>
              </w:rPr>
              <w:t>；</w:t>
            </w:r>
          </w:p>
          <w:p w14:paraId="5224351C">
            <w:pPr>
              <w:bidi w:val="0"/>
              <w:rPr>
                <w:rFonts w:hint="eastAsia"/>
                <w:u w:val="single"/>
                <w:lang w:val="en-US" w:eastAsia="zh-CN"/>
              </w:rPr>
            </w:pPr>
            <w:r>
              <w:rPr>
                <w:rFonts w:hint="eastAsia"/>
                <w:u w:val="single"/>
                <w:lang w:val="en-US" w:eastAsia="zh-CN"/>
              </w:rPr>
              <w:t>U——平均风速，m/s ，取年平均风速1.7m/s；</w:t>
            </w:r>
          </w:p>
          <w:p w14:paraId="333E8982">
            <w:pPr>
              <w:bidi w:val="0"/>
              <w:rPr>
                <w:rFonts w:hint="eastAsia"/>
                <w:u w:val="single"/>
                <w:lang w:val="en-US" w:eastAsia="zh-CN"/>
              </w:rPr>
            </w:pPr>
            <w:r>
              <w:rPr>
                <w:rFonts w:hint="eastAsia"/>
                <w:u w:val="single"/>
                <w:lang w:val="en-US" w:eastAsia="zh-CN"/>
              </w:rPr>
              <w:t>根据上式计算，本项目建筑垃圾堆场扬尘产生量为34.76mg/s（0.125kg/h），堆场扬尘</w:t>
            </w:r>
            <w:r>
              <w:rPr>
                <w:rFonts w:hint="eastAsia"/>
                <w:sz w:val="24"/>
                <w:u w:val="single"/>
                <w:lang w:val="en-US" w:eastAsia="zh-CN"/>
              </w:rPr>
              <w:t>全年非雨天按205d计算，</w:t>
            </w:r>
            <w:r>
              <w:rPr>
                <w:rFonts w:hint="eastAsia"/>
                <w:u w:val="single"/>
                <w:lang w:val="en-US" w:eastAsia="zh-CN"/>
              </w:rPr>
              <w:t>则年产生量为0.615t，本项目建筑垃圾消纳场周边有山体阻挡，堆填场非雨天使用移动雾炮机、洒水车等进行洒水抑尘等措施，根据《排放源统计调查产排污核算方法和系数手册》（公告2021年第24号）——附表2工业源固体物料堆场颗粒物核算系数手册，洒水控制效率74%，</w:t>
            </w:r>
            <w:r>
              <w:rPr>
                <w:rFonts w:hint="eastAsia"/>
                <w:u w:val="single"/>
              </w:rPr>
              <w:t>本项目</w:t>
            </w:r>
            <w:r>
              <w:rPr>
                <w:rFonts w:hint="eastAsia"/>
                <w:u w:val="single"/>
                <w:lang w:val="en-US" w:eastAsia="zh-CN"/>
              </w:rPr>
              <w:t>一期工程</w:t>
            </w:r>
            <w:r>
              <w:rPr>
                <w:rFonts w:hint="eastAsia"/>
                <w:u w:val="single"/>
              </w:rPr>
              <w:t>堆填区为矿坑，周边无围挡，只有山体</w:t>
            </w:r>
            <w:r>
              <w:rPr>
                <w:rFonts w:hint="eastAsia"/>
                <w:u w:val="single"/>
                <w:lang w:val="en-US" w:eastAsia="zh-CN"/>
              </w:rPr>
              <w:t>阻隔，因此本次控制效率取达74%，则摊平扬尘排放量为0.160t/a，排放速率为0.033kg/h。</w:t>
            </w:r>
          </w:p>
          <w:p w14:paraId="43FE4292">
            <w:pPr>
              <w:pStyle w:val="44"/>
              <w:keepNext/>
              <w:keepLines w:val="0"/>
              <w:pageBreakBefore w:val="0"/>
              <w:widowControl/>
              <w:kinsoku/>
              <w:wordWrap w:val="0"/>
              <w:overflowPunct w:val="0"/>
              <w:topLinePunct w:val="0"/>
              <w:autoSpaceDE w:val="0"/>
              <w:autoSpaceDN w:val="0"/>
              <w:bidi w:val="0"/>
              <w:adjustRightInd w:val="0"/>
              <w:snapToGrid w:val="0"/>
              <w:textAlignment w:val="baseline"/>
              <w:rPr>
                <w:rFonts w:hint="eastAsia"/>
                <w:u w:val="single"/>
                <w:lang w:val="en-US" w:eastAsia="zh-CN"/>
              </w:rPr>
            </w:pPr>
            <w:r>
              <w:rPr>
                <w:rFonts w:hint="eastAsia"/>
                <w:u w:val="single"/>
                <w:lang w:val="en-US" w:eastAsia="zh-CN"/>
              </w:rPr>
              <w:t>表4.2-4：堆场扬尘产生及排放情况一览表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4684"/>
              <w:gridCol w:w="2285"/>
            </w:tblGrid>
            <w:tr w14:paraId="5CA6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tcBorders>
                    <w:tl2br w:val="nil"/>
                    <w:tr2bl w:val="nil"/>
                  </w:tcBorders>
                  <w:noWrap w:val="0"/>
                  <w:vAlign w:val="center"/>
                </w:tcPr>
                <w:p w14:paraId="50582788">
                  <w:pPr>
                    <w:pStyle w:val="115"/>
                    <w:bidi w:val="0"/>
                    <w:rPr>
                      <w:rFonts w:hint="eastAsia"/>
                      <w:u w:val="single"/>
                      <w:lang w:eastAsia="zh-CN"/>
                    </w:rPr>
                  </w:pPr>
                  <w:r>
                    <w:rPr>
                      <w:u w:val="single"/>
                    </w:rPr>
                    <w:t>堆料与摊铺扬尘</w:t>
                  </w:r>
                </w:p>
              </w:tc>
              <w:tc>
                <w:tcPr>
                  <w:tcW w:w="4684" w:type="dxa"/>
                  <w:tcBorders>
                    <w:tl2br w:val="nil"/>
                    <w:tr2bl w:val="nil"/>
                  </w:tcBorders>
                  <w:noWrap w:val="0"/>
                  <w:vAlign w:val="center"/>
                </w:tcPr>
                <w:p w14:paraId="213E9264">
                  <w:pPr>
                    <w:pStyle w:val="115"/>
                    <w:bidi w:val="0"/>
                    <w:rPr>
                      <w:rFonts w:hint="default"/>
                      <w:u w:val="single"/>
                      <w:lang w:val="en-US" w:eastAsia="zh-CN"/>
                    </w:rPr>
                  </w:pPr>
                  <w:r>
                    <w:rPr>
                      <w:rFonts w:hint="eastAsia"/>
                      <w:u w:val="single"/>
                      <w:lang w:val="en-US" w:eastAsia="zh-CN"/>
                    </w:rPr>
                    <w:t>起尘面积</w:t>
                  </w:r>
                  <w:r>
                    <w:rPr>
                      <w:rFonts w:hint="eastAsia"/>
                      <w:u w:val="single"/>
                      <w:lang w:eastAsia="zh-CN"/>
                    </w:rPr>
                    <w:t>（</w:t>
                  </w:r>
                  <w:r>
                    <w:rPr>
                      <w:u w:val="single"/>
                    </w:rPr>
                    <w:t>m</w:t>
                  </w:r>
                  <w:r>
                    <w:rPr>
                      <w:u w:val="single"/>
                      <w:vertAlign w:val="superscript"/>
                    </w:rPr>
                    <w:t>2</w:t>
                  </w:r>
                  <w:r>
                    <w:rPr>
                      <w:rFonts w:hint="eastAsia"/>
                      <w:u w:val="single"/>
                      <w:lang w:eastAsia="zh-CN"/>
                    </w:rPr>
                    <w:t>）</w:t>
                  </w:r>
                </w:p>
              </w:tc>
              <w:tc>
                <w:tcPr>
                  <w:tcW w:w="2285" w:type="dxa"/>
                  <w:tcBorders>
                    <w:tl2br w:val="nil"/>
                    <w:tr2bl w:val="nil"/>
                  </w:tcBorders>
                  <w:noWrap w:val="0"/>
                  <w:vAlign w:val="center"/>
                </w:tcPr>
                <w:p w14:paraId="3FAFB6C2">
                  <w:pPr>
                    <w:pStyle w:val="115"/>
                    <w:bidi w:val="0"/>
                    <w:rPr>
                      <w:rFonts w:hint="default"/>
                      <w:u w:val="single"/>
                      <w:lang w:val="en-US" w:eastAsia="zh-CN"/>
                    </w:rPr>
                  </w:pPr>
                  <w:r>
                    <w:rPr>
                      <w:rFonts w:hint="eastAsia"/>
                      <w:u w:val="single"/>
                      <w:lang w:val="en-US" w:eastAsia="zh-CN"/>
                    </w:rPr>
                    <w:t>6102.56</w:t>
                  </w:r>
                </w:p>
              </w:tc>
            </w:tr>
            <w:tr w14:paraId="1264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vMerge w:val="restart"/>
                  <w:tcBorders>
                    <w:tl2br w:val="nil"/>
                    <w:tr2bl w:val="nil"/>
                  </w:tcBorders>
                  <w:noWrap w:val="0"/>
                  <w:vAlign w:val="center"/>
                </w:tcPr>
                <w:p w14:paraId="692CA402">
                  <w:pPr>
                    <w:pStyle w:val="115"/>
                    <w:bidi w:val="0"/>
                    <w:rPr>
                      <w:rFonts w:hint="eastAsia"/>
                      <w:u w:val="single"/>
                      <w:lang w:eastAsia="zh-CN"/>
                    </w:rPr>
                  </w:pPr>
                  <w:r>
                    <w:rPr>
                      <w:rFonts w:hint="eastAsia"/>
                      <w:u w:val="single"/>
                      <w:lang w:eastAsia="zh-CN"/>
                    </w:rPr>
                    <w:t>产生状况</w:t>
                  </w:r>
                </w:p>
              </w:tc>
              <w:tc>
                <w:tcPr>
                  <w:tcW w:w="4684" w:type="dxa"/>
                  <w:tcBorders>
                    <w:tl2br w:val="nil"/>
                    <w:tr2bl w:val="nil"/>
                  </w:tcBorders>
                  <w:noWrap w:val="0"/>
                  <w:vAlign w:val="center"/>
                </w:tcPr>
                <w:p w14:paraId="5174D5DC">
                  <w:pPr>
                    <w:pStyle w:val="115"/>
                    <w:bidi w:val="0"/>
                    <w:rPr>
                      <w:rFonts w:hint="eastAsia"/>
                      <w:u w:val="single"/>
                      <w:lang w:val="en-US" w:eastAsia="zh-CN"/>
                    </w:rPr>
                  </w:pPr>
                  <w:r>
                    <w:rPr>
                      <w:rFonts w:hint="eastAsia"/>
                      <w:u w:val="single"/>
                      <w:lang w:eastAsia="zh-CN"/>
                    </w:rPr>
                    <w:t>产生</w:t>
                  </w:r>
                  <w:r>
                    <w:rPr>
                      <w:rFonts w:hint="eastAsia"/>
                      <w:u w:val="single"/>
                    </w:rPr>
                    <w:t>量（t/a）</w:t>
                  </w:r>
                </w:p>
              </w:tc>
              <w:tc>
                <w:tcPr>
                  <w:tcW w:w="2285" w:type="dxa"/>
                  <w:tcBorders>
                    <w:tl2br w:val="nil"/>
                    <w:tr2bl w:val="nil"/>
                  </w:tcBorders>
                  <w:noWrap w:val="0"/>
                  <w:vAlign w:val="center"/>
                </w:tcPr>
                <w:p w14:paraId="3B0D28FB">
                  <w:pPr>
                    <w:pStyle w:val="115"/>
                    <w:bidi w:val="0"/>
                    <w:rPr>
                      <w:rFonts w:hint="default"/>
                      <w:u w:val="single"/>
                      <w:lang w:val="en-US" w:eastAsia="zh-CN"/>
                    </w:rPr>
                  </w:pPr>
                  <w:r>
                    <w:rPr>
                      <w:rFonts w:hint="eastAsia"/>
                      <w:u w:val="single"/>
                      <w:lang w:val="en-US" w:eastAsia="zh-CN"/>
                    </w:rPr>
                    <w:t>0.615</w:t>
                  </w:r>
                </w:p>
              </w:tc>
            </w:tr>
            <w:tr w14:paraId="3666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vMerge w:val="continue"/>
                  <w:tcBorders>
                    <w:tl2br w:val="nil"/>
                    <w:tr2bl w:val="nil"/>
                  </w:tcBorders>
                  <w:noWrap w:val="0"/>
                  <w:vAlign w:val="center"/>
                </w:tcPr>
                <w:p w14:paraId="21BA3A95">
                  <w:pPr>
                    <w:pStyle w:val="115"/>
                    <w:bidi w:val="0"/>
                    <w:rPr>
                      <w:rFonts w:hint="eastAsia"/>
                      <w:u w:val="single"/>
                      <w:lang w:eastAsia="zh-CN"/>
                    </w:rPr>
                  </w:pPr>
                </w:p>
              </w:tc>
              <w:tc>
                <w:tcPr>
                  <w:tcW w:w="4684" w:type="dxa"/>
                  <w:tcBorders>
                    <w:tl2br w:val="nil"/>
                    <w:tr2bl w:val="nil"/>
                  </w:tcBorders>
                  <w:noWrap w:val="0"/>
                  <w:vAlign w:val="center"/>
                </w:tcPr>
                <w:p w14:paraId="6F2A1FF5">
                  <w:pPr>
                    <w:pStyle w:val="115"/>
                    <w:bidi w:val="0"/>
                    <w:rPr>
                      <w:rFonts w:hint="eastAsia"/>
                      <w:u w:val="single"/>
                      <w:lang w:eastAsia="zh-CN"/>
                    </w:rPr>
                  </w:pPr>
                  <w:r>
                    <w:rPr>
                      <w:rFonts w:hint="eastAsia"/>
                      <w:u w:val="single"/>
                      <w:lang w:val="en-US" w:eastAsia="zh-CN"/>
                    </w:rPr>
                    <w:t>产生速率(kg/h)</w:t>
                  </w:r>
                </w:p>
              </w:tc>
              <w:tc>
                <w:tcPr>
                  <w:tcW w:w="2285" w:type="dxa"/>
                  <w:tcBorders>
                    <w:tl2br w:val="nil"/>
                    <w:tr2bl w:val="nil"/>
                  </w:tcBorders>
                  <w:noWrap w:val="0"/>
                  <w:vAlign w:val="center"/>
                </w:tcPr>
                <w:p w14:paraId="0AC80069">
                  <w:pPr>
                    <w:pStyle w:val="115"/>
                    <w:bidi w:val="0"/>
                    <w:rPr>
                      <w:rFonts w:hint="default"/>
                      <w:u w:val="single"/>
                      <w:lang w:val="en-US" w:eastAsia="zh-CN"/>
                    </w:rPr>
                  </w:pPr>
                  <w:r>
                    <w:rPr>
                      <w:rFonts w:hint="eastAsia"/>
                      <w:u w:val="single"/>
                      <w:lang w:val="en-US" w:eastAsia="zh-CN"/>
                    </w:rPr>
                    <w:t>0.125</w:t>
                  </w:r>
                </w:p>
              </w:tc>
            </w:tr>
            <w:tr w14:paraId="1000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tcBorders>
                    <w:tl2br w:val="nil"/>
                    <w:tr2bl w:val="nil"/>
                  </w:tcBorders>
                  <w:noWrap w:val="0"/>
                  <w:vAlign w:val="center"/>
                </w:tcPr>
                <w:p w14:paraId="5965913A">
                  <w:pPr>
                    <w:pStyle w:val="115"/>
                    <w:bidi w:val="0"/>
                    <w:rPr>
                      <w:rFonts w:hint="eastAsia"/>
                      <w:u w:val="single"/>
                      <w:lang w:eastAsia="zh-CN"/>
                    </w:rPr>
                  </w:pPr>
                  <w:r>
                    <w:rPr>
                      <w:rFonts w:hint="eastAsia"/>
                      <w:u w:val="single"/>
                      <w:lang w:eastAsia="zh-CN"/>
                    </w:rPr>
                    <w:t>治理措施及处理效率</w:t>
                  </w:r>
                </w:p>
              </w:tc>
              <w:tc>
                <w:tcPr>
                  <w:tcW w:w="6969" w:type="dxa"/>
                  <w:gridSpan w:val="2"/>
                  <w:tcBorders>
                    <w:tl2br w:val="nil"/>
                    <w:tr2bl w:val="nil"/>
                  </w:tcBorders>
                  <w:noWrap w:val="0"/>
                  <w:vAlign w:val="center"/>
                </w:tcPr>
                <w:p w14:paraId="58D4836D">
                  <w:pPr>
                    <w:pStyle w:val="115"/>
                    <w:bidi w:val="0"/>
                    <w:rPr>
                      <w:rFonts w:hint="default"/>
                      <w:u w:val="single"/>
                      <w:lang w:val="en-US" w:eastAsia="zh-CN"/>
                    </w:rPr>
                  </w:pPr>
                  <w:r>
                    <w:rPr>
                      <w:u w:val="single"/>
                    </w:rPr>
                    <w:t xml:space="preserve">洒水控制效率74% </w:t>
                  </w:r>
                </w:p>
              </w:tc>
            </w:tr>
            <w:tr w14:paraId="39D85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vMerge w:val="restart"/>
                  <w:tcBorders>
                    <w:tl2br w:val="nil"/>
                    <w:tr2bl w:val="nil"/>
                  </w:tcBorders>
                  <w:noWrap w:val="0"/>
                  <w:vAlign w:val="center"/>
                </w:tcPr>
                <w:p w14:paraId="145BAFEF">
                  <w:pPr>
                    <w:pStyle w:val="115"/>
                    <w:bidi w:val="0"/>
                    <w:rPr>
                      <w:rFonts w:hint="eastAsia"/>
                      <w:u w:val="single"/>
                      <w:lang w:eastAsia="zh-CN"/>
                    </w:rPr>
                  </w:pPr>
                  <w:r>
                    <w:rPr>
                      <w:rFonts w:hint="eastAsia"/>
                      <w:u w:val="single"/>
                      <w:lang w:eastAsia="zh-CN"/>
                    </w:rPr>
                    <w:t>排放状况</w:t>
                  </w:r>
                </w:p>
              </w:tc>
              <w:tc>
                <w:tcPr>
                  <w:tcW w:w="4684" w:type="dxa"/>
                  <w:tcBorders>
                    <w:tl2br w:val="nil"/>
                    <w:tr2bl w:val="nil"/>
                  </w:tcBorders>
                  <w:noWrap w:val="0"/>
                  <w:vAlign w:val="center"/>
                </w:tcPr>
                <w:p w14:paraId="429BCA56">
                  <w:pPr>
                    <w:pStyle w:val="115"/>
                    <w:bidi w:val="0"/>
                    <w:rPr>
                      <w:rFonts w:hint="eastAsia"/>
                      <w:u w:val="single"/>
                      <w:lang w:val="en-US" w:eastAsia="zh-CN"/>
                    </w:rPr>
                  </w:pPr>
                  <w:r>
                    <w:rPr>
                      <w:rFonts w:hint="eastAsia"/>
                      <w:u w:val="single"/>
                    </w:rPr>
                    <w:t>排放量（t/a）</w:t>
                  </w:r>
                </w:p>
              </w:tc>
              <w:tc>
                <w:tcPr>
                  <w:tcW w:w="2285" w:type="dxa"/>
                  <w:tcBorders>
                    <w:tl2br w:val="nil"/>
                    <w:tr2bl w:val="nil"/>
                  </w:tcBorders>
                  <w:noWrap w:val="0"/>
                  <w:vAlign w:val="center"/>
                </w:tcPr>
                <w:p w14:paraId="3DD9C129">
                  <w:pPr>
                    <w:pStyle w:val="115"/>
                    <w:bidi w:val="0"/>
                    <w:rPr>
                      <w:rFonts w:hint="default"/>
                      <w:u w:val="single"/>
                      <w:lang w:val="en-US" w:eastAsia="zh-CN"/>
                    </w:rPr>
                  </w:pPr>
                  <w:r>
                    <w:rPr>
                      <w:rFonts w:hint="eastAsia"/>
                      <w:u w:val="single"/>
                      <w:lang w:val="en-US" w:eastAsia="zh-CN"/>
                    </w:rPr>
                    <w:t>0.160</w:t>
                  </w:r>
                </w:p>
              </w:tc>
            </w:tr>
            <w:tr w14:paraId="0DDC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vMerge w:val="continue"/>
                  <w:tcBorders>
                    <w:tl2br w:val="nil"/>
                    <w:tr2bl w:val="nil"/>
                  </w:tcBorders>
                  <w:noWrap w:val="0"/>
                  <w:vAlign w:val="center"/>
                </w:tcPr>
                <w:p w14:paraId="03332A16">
                  <w:pPr>
                    <w:pStyle w:val="115"/>
                    <w:bidi w:val="0"/>
                    <w:rPr>
                      <w:rFonts w:hint="eastAsia"/>
                      <w:u w:val="single"/>
                      <w:lang w:eastAsia="zh-CN"/>
                    </w:rPr>
                  </w:pPr>
                </w:p>
              </w:tc>
              <w:tc>
                <w:tcPr>
                  <w:tcW w:w="4684" w:type="dxa"/>
                  <w:tcBorders>
                    <w:tl2br w:val="nil"/>
                    <w:tr2bl w:val="nil"/>
                  </w:tcBorders>
                  <w:noWrap w:val="0"/>
                  <w:vAlign w:val="center"/>
                </w:tcPr>
                <w:p w14:paraId="3F862687">
                  <w:pPr>
                    <w:pStyle w:val="115"/>
                    <w:bidi w:val="0"/>
                    <w:rPr>
                      <w:rFonts w:hint="eastAsia"/>
                      <w:u w:val="single"/>
                    </w:rPr>
                  </w:pPr>
                  <w:r>
                    <w:rPr>
                      <w:rFonts w:hint="eastAsia"/>
                      <w:u w:val="single"/>
                      <w:lang w:val="en-US" w:eastAsia="zh-CN"/>
                    </w:rPr>
                    <w:t>排放速率(kg/h)</w:t>
                  </w:r>
                </w:p>
              </w:tc>
              <w:tc>
                <w:tcPr>
                  <w:tcW w:w="2285" w:type="dxa"/>
                  <w:tcBorders>
                    <w:tl2br w:val="nil"/>
                    <w:tr2bl w:val="nil"/>
                  </w:tcBorders>
                  <w:noWrap w:val="0"/>
                  <w:vAlign w:val="center"/>
                </w:tcPr>
                <w:p w14:paraId="5D990DCF">
                  <w:pPr>
                    <w:pStyle w:val="115"/>
                    <w:bidi w:val="0"/>
                    <w:rPr>
                      <w:rFonts w:hint="default"/>
                      <w:u w:val="single"/>
                      <w:lang w:val="en-US" w:eastAsia="zh-CN"/>
                    </w:rPr>
                  </w:pPr>
                  <w:r>
                    <w:rPr>
                      <w:rFonts w:hint="eastAsia"/>
                      <w:u w:val="single"/>
                      <w:lang w:val="en-US" w:eastAsia="zh-CN"/>
                    </w:rPr>
                    <w:t>0.033</w:t>
                  </w:r>
                </w:p>
              </w:tc>
            </w:tr>
            <w:tr w14:paraId="61AB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4" w:type="dxa"/>
                  <w:tcBorders>
                    <w:tl2br w:val="nil"/>
                    <w:tr2bl w:val="nil"/>
                  </w:tcBorders>
                  <w:noWrap w:val="0"/>
                  <w:vAlign w:val="center"/>
                </w:tcPr>
                <w:p w14:paraId="3C17BF19">
                  <w:pPr>
                    <w:pStyle w:val="115"/>
                    <w:bidi w:val="0"/>
                    <w:rPr>
                      <w:rFonts w:hint="eastAsia"/>
                      <w:u w:val="single"/>
                      <w:lang w:eastAsia="zh-CN"/>
                    </w:rPr>
                  </w:pPr>
                  <w:r>
                    <w:rPr>
                      <w:rFonts w:hint="eastAsia"/>
                      <w:u w:val="single"/>
                      <w:lang w:eastAsia="zh-CN"/>
                    </w:rPr>
                    <w:t>排放方式</w:t>
                  </w:r>
                </w:p>
              </w:tc>
              <w:tc>
                <w:tcPr>
                  <w:tcW w:w="6969" w:type="dxa"/>
                  <w:gridSpan w:val="2"/>
                  <w:tcBorders>
                    <w:tl2br w:val="nil"/>
                    <w:tr2bl w:val="nil"/>
                  </w:tcBorders>
                  <w:noWrap w:val="0"/>
                  <w:vAlign w:val="center"/>
                </w:tcPr>
                <w:p w14:paraId="01A61D18">
                  <w:pPr>
                    <w:pStyle w:val="115"/>
                    <w:bidi w:val="0"/>
                    <w:rPr>
                      <w:rFonts w:hint="eastAsia"/>
                      <w:u w:val="single"/>
                    </w:rPr>
                  </w:pPr>
                  <w:r>
                    <w:rPr>
                      <w:rFonts w:hint="eastAsia"/>
                      <w:u w:val="single"/>
                      <w:lang w:eastAsia="zh-CN"/>
                    </w:rPr>
                    <w:t>无组织排放</w:t>
                  </w:r>
                </w:p>
              </w:tc>
            </w:tr>
          </w:tbl>
          <w:p w14:paraId="63CD6915">
            <w:pPr>
              <w:bidi w:val="0"/>
              <w:rPr>
                <w:rFonts w:hint="eastAsia"/>
                <w:u w:val="single"/>
                <w:lang w:val="en-US" w:eastAsia="zh-CN"/>
              </w:rPr>
            </w:pPr>
            <w:r>
              <w:rPr>
                <w:rFonts w:hint="eastAsia"/>
                <w:u w:val="single"/>
                <w:lang w:val="en-US" w:eastAsia="zh-CN"/>
              </w:rPr>
              <w:t>建筑垃圾消纳场扬尘防治措施：①建筑垃圾消纳场作业表面及时碾压压实、覆盖，使固废暴露面最小；②配备专门洒水车在建筑垃圾消纳场地面定期洒水降尘，保障地面湿度，如遇到风天，要加大洒水量，以减少粉尘产生；③大风天气不进行堆渣作业，同时增加建筑垃圾消纳场洒水次数。</w:t>
            </w:r>
          </w:p>
          <w:p w14:paraId="2E718FBB">
            <w:pPr>
              <w:keepNext w:val="0"/>
              <w:keepLines w:val="0"/>
              <w:pageBreakBefore w:val="0"/>
              <w:widowControl w:val="0"/>
              <w:kinsoku/>
              <w:bidi w:val="0"/>
              <w:ind w:firstLine="480"/>
              <w:rPr>
                <w:rFonts w:hint="default"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w:t>
            </w:r>
            <w:r>
              <w:rPr>
                <w:rFonts w:hint="eastAsia" w:cs="Times New Roman"/>
                <w:color w:val="auto"/>
                <w:u w:val="none" w:color="auto"/>
                <w:lang w:val="en-US" w:eastAsia="zh-CN"/>
              </w:rPr>
              <w:t>5</w:t>
            </w:r>
            <w:r>
              <w:rPr>
                <w:rFonts w:hint="eastAsia" w:ascii="Times New Roman" w:hAnsi="Times New Roman" w:eastAsia="宋体" w:cs="Times New Roman"/>
                <w:color w:val="auto"/>
                <w:u w:val="none" w:color="auto"/>
                <w:lang w:val="en-US" w:eastAsia="zh-CN"/>
              </w:rPr>
              <w:t>）汽车尾气</w:t>
            </w:r>
          </w:p>
          <w:p w14:paraId="6539CA3A">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根据《污染源源强核算技术指南 准则》（HJ884-2018），本项目采用类比法计算汽车尾气。</w:t>
            </w:r>
          </w:p>
          <w:p w14:paraId="35821413">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根据本项目投产后生产规模和产量，每车装载量平均按10t计</w:t>
            </w:r>
            <w:r>
              <w:rPr>
                <w:rFonts w:hint="eastAsia" w:cs="Times New Roman"/>
                <w:color w:val="auto"/>
                <w:u w:val="none" w:color="auto"/>
                <w:lang w:val="en-US" w:eastAsia="zh-CN"/>
              </w:rPr>
              <w:t>，每日运输6次</w:t>
            </w:r>
            <w:r>
              <w:rPr>
                <w:rFonts w:hint="eastAsia" w:ascii="Times New Roman" w:hAnsi="Times New Roman" w:eastAsia="宋体" w:cs="Times New Roman"/>
                <w:color w:val="auto"/>
                <w:u w:val="none" w:color="auto"/>
                <w:lang w:val="en-US" w:eastAsia="zh-CN"/>
              </w:rPr>
              <w:t>，运输车每年运输约2190辆（次），在进出加工区时启动和行驶阶段会产生汽车尾气，主要污染物为CO、NOx和THC。不同车型的尾气排放污染物量见下表。</w:t>
            </w:r>
          </w:p>
          <w:p w14:paraId="4802E8E3">
            <w:pPr>
              <w:pStyle w:val="44"/>
              <w:bidi w:val="0"/>
            </w:pPr>
            <w:r>
              <w:rPr>
                <w:rFonts w:hint="eastAsia"/>
              </w:rPr>
              <w:t>表</w:t>
            </w:r>
            <w:r>
              <w:rPr>
                <w:rFonts w:hint="eastAsia"/>
                <w:lang w:val="en-US" w:eastAsia="zh-CN"/>
              </w:rPr>
              <w:t>4.2-5：</w:t>
            </w:r>
            <w:r>
              <w:rPr>
                <w:rFonts w:hint="eastAsia"/>
              </w:rPr>
              <w:t xml:space="preserve">不同车型的尾气排放污染物量 </w:t>
            </w:r>
            <w:r>
              <w:t>（车速：50km/h）</w:t>
            </w:r>
          </w:p>
          <w:tbl>
            <w:tblPr>
              <w:tblStyle w:val="38"/>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2140"/>
              <w:gridCol w:w="2140"/>
              <w:gridCol w:w="2140"/>
            </w:tblGrid>
            <w:tr w14:paraId="4499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139" w:type="dxa"/>
                  <w:tcBorders>
                    <w:tl2br w:val="nil"/>
                    <w:tr2bl w:val="nil"/>
                  </w:tcBorders>
                  <w:noWrap w:val="0"/>
                  <w:vAlign w:val="center"/>
                </w:tcPr>
                <w:p w14:paraId="122B4245">
                  <w:pPr>
                    <w:pStyle w:val="107"/>
                    <w:keepNext w:val="0"/>
                    <w:keepLines w:val="0"/>
                    <w:pageBreakBefore w:val="0"/>
                    <w:widowControl w:val="0"/>
                    <w:kinsoku/>
                    <w:bidi w:val="0"/>
                    <w:rPr>
                      <w:b/>
                      <w:bCs/>
                      <w:color w:val="auto"/>
                      <w:u w:val="none" w:color="auto"/>
                    </w:rPr>
                  </w:pPr>
                  <w:r>
                    <w:rPr>
                      <w:b/>
                      <w:bCs/>
                      <w:color w:val="auto"/>
                      <w:u w:val="none" w:color="auto"/>
                    </w:rPr>
                    <w:t>分类</w:t>
                  </w:r>
                </w:p>
              </w:tc>
              <w:tc>
                <w:tcPr>
                  <w:tcW w:w="2140" w:type="dxa"/>
                  <w:tcBorders>
                    <w:tl2br w:val="nil"/>
                    <w:tr2bl w:val="nil"/>
                  </w:tcBorders>
                  <w:noWrap w:val="0"/>
                  <w:vAlign w:val="center"/>
                </w:tcPr>
                <w:p w14:paraId="50690717">
                  <w:pPr>
                    <w:pStyle w:val="107"/>
                    <w:keepNext w:val="0"/>
                    <w:keepLines w:val="0"/>
                    <w:pageBreakBefore w:val="0"/>
                    <w:widowControl w:val="0"/>
                    <w:kinsoku/>
                    <w:bidi w:val="0"/>
                    <w:rPr>
                      <w:b/>
                      <w:bCs/>
                      <w:color w:val="auto"/>
                      <w:u w:val="none" w:color="auto"/>
                    </w:rPr>
                  </w:pPr>
                  <w:r>
                    <w:rPr>
                      <w:b/>
                      <w:bCs/>
                      <w:color w:val="auto"/>
                      <w:u w:val="none" w:color="auto"/>
                    </w:rPr>
                    <w:t>CO（g/km·辆）</w:t>
                  </w:r>
                </w:p>
              </w:tc>
              <w:tc>
                <w:tcPr>
                  <w:tcW w:w="2140" w:type="dxa"/>
                  <w:tcBorders>
                    <w:tl2br w:val="nil"/>
                    <w:tr2bl w:val="nil"/>
                  </w:tcBorders>
                  <w:noWrap w:val="0"/>
                  <w:vAlign w:val="center"/>
                </w:tcPr>
                <w:p w14:paraId="0782F6A9">
                  <w:pPr>
                    <w:pStyle w:val="107"/>
                    <w:keepNext w:val="0"/>
                    <w:keepLines w:val="0"/>
                    <w:pageBreakBefore w:val="0"/>
                    <w:widowControl w:val="0"/>
                    <w:kinsoku/>
                    <w:bidi w:val="0"/>
                    <w:rPr>
                      <w:b/>
                      <w:bCs/>
                      <w:color w:val="auto"/>
                      <w:u w:val="none" w:color="auto"/>
                    </w:rPr>
                  </w:pPr>
                  <w:r>
                    <w:rPr>
                      <w:b/>
                      <w:bCs/>
                      <w:color w:val="auto"/>
                      <w:u w:val="none" w:color="auto"/>
                    </w:rPr>
                    <w:t>THC（g/km·辆）</w:t>
                  </w:r>
                </w:p>
              </w:tc>
              <w:tc>
                <w:tcPr>
                  <w:tcW w:w="2140" w:type="dxa"/>
                  <w:tcBorders>
                    <w:tl2br w:val="nil"/>
                    <w:tr2bl w:val="nil"/>
                  </w:tcBorders>
                  <w:noWrap w:val="0"/>
                  <w:vAlign w:val="center"/>
                </w:tcPr>
                <w:p w14:paraId="7FE7ACA8">
                  <w:pPr>
                    <w:pStyle w:val="107"/>
                    <w:keepNext w:val="0"/>
                    <w:keepLines w:val="0"/>
                    <w:pageBreakBefore w:val="0"/>
                    <w:widowControl w:val="0"/>
                    <w:kinsoku/>
                    <w:bidi w:val="0"/>
                    <w:rPr>
                      <w:b/>
                      <w:bCs/>
                      <w:color w:val="auto"/>
                      <w:u w:val="none" w:color="auto"/>
                    </w:rPr>
                  </w:pPr>
                  <w:r>
                    <w:rPr>
                      <w:b/>
                      <w:bCs/>
                      <w:color w:val="auto"/>
                      <w:u w:val="none" w:color="auto"/>
                    </w:rPr>
                    <w:t>NOx（g/km·辆）</w:t>
                  </w:r>
                </w:p>
              </w:tc>
            </w:tr>
            <w:tr w14:paraId="7AA0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139" w:type="dxa"/>
                  <w:tcBorders>
                    <w:tl2br w:val="nil"/>
                    <w:tr2bl w:val="nil"/>
                  </w:tcBorders>
                  <w:noWrap w:val="0"/>
                  <w:vAlign w:val="center"/>
                </w:tcPr>
                <w:p w14:paraId="2347457E">
                  <w:pPr>
                    <w:pStyle w:val="107"/>
                    <w:keepNext w:val="0"/>
                    <w:keepLines w:val="0"/>
                    <w:pageBreakBefore w:val="0"/>
                    <w:widowControl w:val="0"/>
                    <w:kinsoku/>
                    <w:bidi w:val="0"/>
                    <w:rPr>
                      <w:color w:val="auto"/>
                      <w:u w:val="none" w:color="auto"/>
                    </w:rPr>
                  </w:pPr>
                  <w:r>
                    <w:rPr>
                      <w:color w:val="auto"/>
                      <w:u w:val="none" w:color="auto"/>
                    </w:rPr>
                    <w:t>小型车</w:t>
                  </w:r>
                </w:p>
              </w:tc>
              <w:tc>
                <w:tcPr>
                  <w:tcW w:w="2140" w:type="dxa"/>
                  <w:tcBorders>
                    <w:tl2br w:val="nil"/>
                    <w:tr2bl w:val="nil"/>
                  </w:tcBorders>
                  <w:noWrap w:val="0"/>
                  <w:vAlign w:val="center"/>
                </w:tcPr>
                <w:p w14:paraId="17465A84">
                  <w:pPr>
                    <w:pStyle w:val="107"/>
                    <w:keepNext w:val="0"/>
                    <w:keepLines w:val="0"/>
                    <w:pageBreakBefore w:val="0"/>
                    <w:widowControl w:val="0"/>
                    <w:kinsoku/>
                    <w:bidi w:val="0"/>
                    <w:rPr>
                      <w:color w:val="auto"/>
                      <w:u w:val="none" w:color="auto"/>
                    </w:rPr>
                  </w:pPr>
                  <w:r>
                    <w:rPr>
                      <w:color w:val="auto"/>
                      <w:u w:val="none" w:color="auto"/>
                    </w:rPr>
                    <w:t>25.04</w:t>
                  </w:r>
                </w:p>
              </w:tc>
              <w:tc>
                <w:tcPr>
                  <w:tcW w:w="2140" w:type="dxa"/>
                  <w:tcBorders>
                    <w:tl2br w:val="nil"/>
                    <w:tr2bl w:val="nil"/>
                  </w:tcBorders>
                  <w:noWrap w:val="0"/>
                  <w:vAlign w:val="center"/>
                </w:tcPr>
                <w:p w14:paraId="4B868261">
                  <w:pPr>
                    <w:pStyle w:val="107"/>
                    <w:keepNext w:val="0"/>
                    <w:keepLines w:val="0"/>
                    <w:pageBreakBefore w:val="0"/>
                    <w:widowControl w:val="0"/>
                    <w:kinsoku/>
                    <w:bidi w:val="0"/>
                    <w:rPr>
                      <w:color w:val="auto"/>
                      <w:u w:val="none" w:color="auto"/>
                    </w:rPr>
                  </w:pPr>
                  <w:r>
                    <w:rPr>
                      <w:color w:val="auto"/>
                      <w:u w:val="none" w:color="auto"/>
                    </w:rPr>
                    <w:t>/</w:t>
                  </w:r>
                </w:p>
              </w:tc>
              <w:tc>
                <w:tcPr>
                  <w:tcW w:w="2140" w:type="dxa"/>
                  <w:tcBorders>
                    <w:tl2br w:val="nil"/>
                    <w:tr2bl w:val="nil"/>
                  </w:tcBorders>
                  <w:noWrap w:val="0"/>
                  <w:vAlign w:val="center"/>
                </w:tcPr>
                <w:p w14:paraId="7EC5A2B5">
                  <w:pPr>
                    <w:pStyle w:val="107"/>
                    <w:keepNext w:val="0"/>
                    <w:keepLines w:val="0"/>
                    <w:pageBreakBefore w:val="0"/>
                    <w:widowControl w:val="0"/>
                    <w:kinsoku/>
                    <w:bidi w:val="0"/>
                    <w:rPr>
                      <w:color w:val="auto"/>
                      <w:u w:val="none" w:color="auto"/>
                    </w:rPr>
                  </w:pPr>
                  <w:r>
                    <w:rPr>
                      <w:color w:val="auto"/>
                      <w:u w:val="none" w:color="auto"/>
                    </w:rPr>
                    <w:t>1.35</w:t>
                  </w:r>
                </w:p>
              </w:tc>
            </w:tr>
            <w:tr w14:paraId="2936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139" w:type="dxa"/>
                  <w:tcBorders>
                    <w:tl2br w:val="nil"/>
                    <w:tr2bl w:val="nil"/>
                  </w:tcBorders>
                  <w:noWrap w:val="0"/>
                  <w:vAlign w:val="center"/>
                </w:tcPr>
                <w:p w14:paraId="46E32CE4">
                  <w:pPr>
                    <w:pStyle w:val="107"/>
                    <w:keepNext w:val="0"/>
                    <w:keepLines w:val="0"/>
                    <w:pageBreakBefore w:val="0"/>
                    <w:widowControl w:val="0"/>
                    <w:kinsoku/>
                    <w:bidi w:val="0"/>
                    <w:rPr>
                      <w:color w:val="auto"/>
                      <w:u w:val="none" w:color="auto"/>
                    </w:rPr>
                  </w:pPr>
                  <w:r>
                    <w:rPr>
                      <w:color w:val="auto"/>
                      <w:u w:val="none" w:color="auto"/>
                    </w:rPr>
                    <w:t>中型车</w:t>
                  </w:r>
                </w:p>
              </w:tc>
              <w:tc>
                <w:tcPr>
                  <w:tcW w:w="2140" w:type="dxa"/>
                  <w:tcBorders>
                    <w:tl2br w:val="nil"/>
                    <w:tr2bl w:val="nil"/>
                  </w:tcBorders>
                  <w:noWrap w:val="0"/>
                  <w:vAlign w:val="center"/>
                </w:tcPr>
                <w:p w14:paraId="4791A7D5">
                  <w:pPr>
                    <w:pStyle w:val="107"/>
                    <w:keepNext w:val="0"/>
                    <w:keepLines w:val="0"/>
                    <w:pageBreakBefore w:val="0"/>
                    <w:widowControl w:val="0"/>
                    <w:kinsoku/>
                    <w:bidi w:val="0"/>
                    <w:rPr>
                      <w:color w:val="auto"/>
                      <w:u w:val="none" w:color="auto"/>
                    </w:rPr>
                  </w:pPr>
                  <w:r>
                    <w:rPr>
                      <w:color w:val="auto"/>
                      <w:u w:val="none" w:color="auto"/>
                    </w:rPr>
                    <w:t>30.18</w:t>
                  </w:r>
                </w:p>
              </w:tc>
              <w:tc>
                <w:tcPr>
                  <w:tcW w:w="2140" w:type="dxa"/>
                  <w:tcBorders>
                    <w:tl2br w:val="nil"/>
                    <w:tr2bl w:val="nil"/>
                  </w:tcBorders>
                  <w:noWrap w:val="0"/>
                  <w:vAlign w:val="center"/>
                </w:tcPr>
                <w:p w14:paraId="6398FAB6">
                  <w:pPr>
                    <w:pStyle w:val="107"/>
                    <w:keepNext w:val="0"/>
                    <w:keepLines w:val="0"/>
                    <w:pageBreakBefore w:val="0"/>
                    <w:widowControl w:val="0"/>
                    <w:kinsoku/>
                    <w:bidi w:val="0"/>
                    <w:rPr>
                      <w:color w:val="auto"/>
                      <w:u w:val="none" w:color="auto"/>
                    </w:rPr>
                  </w:pPr>
                  <w:r>
                    <w:rPr>
                      <w:color w:val="auto"/>
                      <w:u w:val="none" w:color="auto"/>
                    </w:rPr>
                    <w:t>15.21</w:t>
                  </w:r>
                </w:p>
              </w:tc>
              <w:tc>
                <w:tcPr>
                  <w:tcW w:w="2140" w:type="dxa"/>
                  <w:tcBorders>
                    <w:tl2br w:val="nil"/>
                    <w:tr2bl w:val="nil"/>
                  </w:tcBorders>
                  <w:noWrap w:val="0"/>
                  <w:vAlign w:val="center"/>
                </w:tcPr>
                <w:p w14:paraId="03FD394E">
                  <w:pPr>
                    <w:pStyle w:val="107"/>
                    <w:keepNext w:val="0"/>
                    <w:keepLines w:val="0"/>
                    <w:pageBreakBefore w:val="0"/>
                    <w:widowControl w:val="0"/>
                    <w:kinsoku/>
                    <w:bidi w:val="0"/>
                    <w:rPr>
                      <w:color w:val="auto"/>
                      <w:u w:val="none" w:color="auto"/>
                    </w:rPr>
                  </w:pPr>
                  <w:r>
                    <w:rPr>
                      <w:color w:val="auto"/>
                      <w:u w:val="none" w:color="auto"/>
                    </w:rPr>
                    <w:t>5.40</w:t>
                  </w:r>
                </w:p>
              </w:tc>
            </w:tr>
            <w:tr w14:paraId="18FD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139" w:type="dxa"/>
                  <w:tcBorders>
                    <w:tl2br w:val="nil"/>
                    <w:tr2bl w:val="nil"/>
                  </w:tcBorders>
                  <w:noWrap w:val="0"/>
                  <w:vAlign w:val="center"/>
                </w:tcPr>
                <w:p w14:paraId="135E669E">
                  <w:pPr>
                    <w:pStyle w:val="107"/>
                    <w:keepNext w:val="0"/>
                    <w:keepLines w:val="0"/>
                    <w:pageBreakBefore w:val="0"/>
                    <w:widowControl w:val="0"/>
                    <w:kinsoku/>
                    <w:bidi w:val="0"/>
                    <w:rPr>
                      <w:color w:val="auto"/>
                      <w:u w:val="none" w:color="auto"/>
                    </w:rPr>
                  </w:pPr>
                  <w:r>
                    <w:rPr>
                      <w:color w:val="auto"/>
                      <w:u w:val="none" w:color="auto"/>
                    </w:rPr>
                    <w:t>大型车</w:t>
                  </w:r>
                </w:p>
              </w:tc>
              <w:tc>
                <w:tcPr>
                  <w:tcW w:w="2140" w:type="dxa"/>
                  <w:tcBorders>
                    <w:tl2br w:val="nil"/>
                    <w:tr2bl w:val="nil"/>
                  </w:tcBorders>
                  <w:noWrap w:val="0"/>
                  <w:vAlign w:val="center"/>
                </w:tcPr>
                <w:p w14:paraId="6BD2B8DF">
                  <w:pPr>
                    <w:pStyle w:val="107"/>
                    <w:keepNext w:val="0"/>
                    <w:keepLines w:val="0"/>
                    <w:pageBreakBefore w:val="0"/>
                    <w:widowControl w:val="0"/>
                    <w:kinsoku/>
                    <w:bidi w:val="0"/>
                    <w:rPr>
                      <w:color w:val="auto"/>
                      <w:u w:val="none" w:color="auto"/>
                    </w:rPr>
                  </w:pPr>
                  <w:r>
                    <w:rPr>
                      <w:color w:val="auto"/>
                      <w:u w:val="none" w:color="auto"/>
                    </w:rPr>
                    <w:t>2.25</w:t>
                  </w:r>
                </w:p>
              </w:tc>
              <w:tc>
                <w:tcPr>
                  <w:tcW w:w="2140" w:type="dxa"/>
                  <w:tcBorders>
                    <w:tl2br w:val="nil"/>
                    <w:tr2bl w:val="nil"/>
                  </w:tcBorders>
                  <w:noWrap w:val="0"/>
                  <w:vAlign w:val="center"/>
                </w:tcPr>
                <w:p w14:paraId="2355911F">
                  <w:pPr>
                    <w:pStyle w:val="107"/>
                    <w:keepNext w:val="0"/>
                    <w:keepLines w:val="0"/>
                    <w:pageBreakBefore w:val="0"/>
                    <w:widowControl w:val="0"/>
                    <w:kinsoku/>
                    <w:bidi w:val="0"/>
                    <w:rPr>
                      <w:color w:val="auto"/>
                      <w:u w:val="none" w:color="auto"/>
                    </w:rPr>
                  </w:pPr>
                  <w:r>
                    <w:rPr>
                      <w:color w:val="auto"/>
                      <w:u w:val="none" w:color="auto"/>
                    </w:rPr>
                    <w:t>2.08</w:t>
                  </w:r>
                </w:p>
              </w:tc>
              <w:tc>
                <w:tcPr>
                  <w:tcW w:w="2140" w:type="dxa"/>
                  <w:tcBorders>
                    <w:tl2br w:val="nil"/>
                    <w:tr2bl w:val="nil"/>
                  </w:tcBorders>
                  <w:noWrap w:val="0"/>
                  <w:vAlign w:val="center"/>
                </w:tcPr>
                <w:p w14:paraId="442C6280">
                  <w:pPr>
                    <w:pStyle w:val="107"/>
                    <w:keepNext w:val="0"/>
                    <w:keepLines w:val="0"/>
                    <w:pageBreakBefore w:val="0"/>
                    <w:widowControl w:val="0"/>
                    <w:kinsoku/>
                    <w:bidi w:val="0"/>
                    <w:rPr>
                      <w:color w:val="auto"/>
                      <w:u w:val="none" w:color="auto"/>
                    </w:rPr>
                  </w:pPr>
                  <w:r>
                    <w:rPr>
                      <w:color w:val="auto"/>
                      <w:u w:val="none" w:color="auto"/>
                    </w:rPr>
                    <w:t>10.44</w:t>
                  </w:r>
                </w:p>
              </w:tc>
            </w:tr>
          </w:tbl>
          <w:p w14:paraId="4D2D2CF0">
            <w:pPr>
              <w:keepNext w:val="0"/>
              <w:keepLines w:val="0"/>
              <w:pageBreakBefore w:val="0"/>
              <w:widowControl w:val="0"/>
              <w:kinsoku/>
              <w:bidi w:val="0"/>
              <w:ind w:firstLine="480"/>
              <w:rPr>
                <w:rFonts w:hint="eastAsia" w:ascii="Times New Roman" w:hAnsi="Times New Roman" w:eastAsia="宋体" w:cs="Times New Roman"/>
                <w:color w:val="auto"/>
                <w:u w:val="none" w:color="auto"/>
                <w:lang w:val="en-US" w:eastAsia="zh-CN"/>
              </w:rPr>
            </w:pPr>
            <w:r>
              <w:rPr>
                <w:rFonts w:hint="eastAsia" w:ascii="Times New Roman" w:hAnsi="Times New Roman" w:eastAsia="宋体" w:cs="Times New Roman"/>
                <w:color w:val="auto"/>
                <w:u w:val="none" w:color="auto"/>
                <w:lang w:val="en-US" w:eastAsia="zh-CN"/>
              </w:rPr>
              <w:t>本项目按大型车在厂区内行驶0.283km计算，经计算，本汽车尾气污染物产生量为CO：0.986kg/a、THC：0.911kg/a、NOx：4.573kg/a。</w:t>
            </w:r>
          </w:p>
          <w:p w14:paraId="3F1360DE">
            <w:pPr>
              <w:pStyle w:val="44"/>
              <w:bidi w:val="0"/>
              <w:rPr>
                <w:rFonts w:hint="eastAsia"/>
              </w:rPr>
            </w:pPr>
            <w:r>
              <w:rPr>
                <w:rFonts w:hint="eastAsia"/>
              </w:rPr>
              <w:t>表</w:t>
            </w:r>
            <w:r>
              <w:rPr>
                <w:rFonts w:hint="eastAsia"/>
                <w:lang w:val="en-US" w:eastAsia="zh-CN"/>
              </w:rPr>
              <w:t>4.2-6：</w:t>
            </w:r>
            <w:r>
              <w:rPr>
                <w:rFonts w:hint="eastAsia"/>
              </w:rPr>
              <w:t>废气污染物产、排情况汇总</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5"/>
              <w:gridCol w:w="818"/>
              <w:gridCol w:w="1213"/>
              <w:gridCol w:w="1036"/>
              <w:gridCol w:w="1831"/>
              <w:gridCol w:w="1115"/>
              <w:gridCol w:w="1037"/>
              <w:gridCol w:w="752"/>
            </w:tblGrid>
            <w:tr w14:paraId="487C95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vMerge w:val="restart"/>
                  <w:noWrap w:val="0"/>
                  <w:vAlign w:val="center"/>
                </w:tcPr>
                <w:p w14:paraId="0BB3A798">
                  <w:pPr>
                    <w:pStyle w:val="107"/>
                    <w:bidi w:val="0"/>
                    <w:rPr>
                      <w:b/>
                      <w:bCs/>
                    </w:rPr>
                  </w:pPr>
                  <w:r>
                    <w:rPr>
                      <w:b/>
                      <w:bCs/>
                    </w:rPr>
                    <w:t>产生工序</w:t>
                  </w:r>
                </w:p>
              </w:tc>
              <w:tc>
                <w:tcPr>
                  <w:tcW w:w="467" w:type="pct"/>
                  <w:vMerge w:val="restart"/>
                  <w:noWrap w:val="0"/>
                  <w:vAlign w:val="center"/>
                </w:tcPr>
                <w:p w14:paraId="4A9327AB">
                  <w:pPr>
                    <w:pStyle w:val="107"/>
                    <w:bidi w:val="0"/>
                    <w:rPr>
                      <w:b/>
                      <w:bCs/>
                    </w:rPr>
                  </w:pPr>
                  <w:r>
                    <w:rPr>
                      <w:b/>
                      <w:bCs/>
                    </w:rPr>
                    <w:t>污染物</w:t>
                  </w:r>
                </w:p>
              </w:tc>
              <w:tc>
                <w:tcPr>
                  <w:tcW w:w="1283" w:type="pct"/>
                  <w:gridSpan w:val="2"/>
                  <w:noWrap w:val="0"/>
                  <w:vAlign w:val="center"/>
                </w:tcPr>
                <w:p w14:paraId="3197A285">
                  <w:pPr>
                    <w:pStyle w:val="107"/>
                    <w:bidi w:val="0"/>
                    <w:rPr>
                      <w:b/>
                      <w:bCs/>
                    </w:rPr>
                  </w:pPr>
                  <w:r>
                    <w:rPr>
                      <w:b/>
                      <w:bCs/>
                    </w:rPr>
                    <w:t>产生</w:t>
                  </w:r>
                </w:p>
              </w:tc>
              <w:tc>
                <w:tcPr>
                  <w:tcW w:w="1045" w:type="pct"/>
                  <w:vMerge w:val="restart"/>
                  <w:noWrap w:val="0"/>
                  <w:vAlign w:val="center"/>
                </w:tcPr>
                <w:p w14:paraId="074045B0">
                  <w:pPr>
                    <w:pStyle w:val="107"/>
                    <w:bidi w:val="0"/>
                    <w:rPr>
                      <w:b/>
                      <w:bCs/>
                    </w:rPr>
                  </w:pPr>
                  <w:r>
                    <w:rPr>
                      <w:b/>
                      <w:bCs/>
                    </w:rPr>
                    <w:t>处理措施</w:t>
                  </w:r>
                </w:p>
              </w:tc>
              <w:tc>
                <w:tcPr>
                  <w:tcW w:w="1228" w:type="pct"/>
                  <w:gridSpan w:val="2"/>
                  <w:noWrap w:val="0"/>
                  <w:vAlign w:val="center"/>
                </w:tcPr>
                <w:p w14:paraId="6CB76785">
                  <w:pPr>
                    <w:pStyle w:val="107"/>
                    <w:bidi w:val="0"/>
                    <w:rPr>
                      <w:b/>
                      <w:bCs/>
                    </w:rPr>
                  </w:pPr>
                  <w:r>
                    <w:rPr>
                      <w:b/>
                      <w:bCs/>
                    </w:rPr>
                    <w:t>排放</w:t>
                  </w:r>
                </w:p>
              </w:tc>
              <w:tc>
                <w:tcPr>
                  <w:tcW w:w="429" w:type="pct"/>
                  <w:vMerge w:val="restart"/>
                  <w:noWrap w:val="0"/>
                  <w:vAlign w:val="center"/>
                </w:tcPr>
                <w:p w14:paraId="534EF1C8">
                  <w:pPr>
                    <w:pStyle w:val="107"/>
                    <w:bidi w:val="0"/>
                  </w:pPr>
                  <w:r>
                    <w:rPr>
                      <w:b/>
                      <w:bCs/>
                    </w:rPr>
                    <w:t>排放方式</w:t>
                  </w:r>
                </w:p>
              </w:tc>
            </w:tr>
            <w:tr w14:paraId="08F389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vMerge w:val="continue"/>
                  <w:noWrap w:val="0"/>
                  <w:vAlign w:val="center"/>
                </w:tcPr>
                <w:p w14:paraId="6531C737">
                  <w:pPr>
                    <w:pStyle w:val="107"/>
                    <w:bidi w:val="0"/>
                    <w:rPr>
                      <w:b/>
                      <w:bCs/>
                    </w:rPr>
                  </w:pPr>
                </w:p>
              </w:tc>
              <w:tc>
                <w:tcPr>
                  <w:tcW w:w="467" w:type="pct"/>
                  <w:vMerge w:val="continue"/>
                  <w:noWrap w:val="0"/>
                  <w:vAlign w:val="center"/>
                </w:tcPr>
                <w:p w14:paraId="3DB4A127">
                  <w:pPr>
                    <w:pStyle w:val="107"/>
                    <w:bidi w:val="0"/>
                    <w:rPr>
                      <w:b/>
                      <w:bCs/>
                    </w:rPr>
                  </w:pPr>
                </w:p>
              </w:tc>
              <w:tc>
                <w:tcPr>
                  <w:tcW w:w="692" w:type="pct"/>
                  <w:noWrap w:val="0"/>
                  <w:vAlign w:val="center"/>
                </w:tcPr>
                <w:p w14:paraId="42147B03">
                  <w:pPr>
                    <w:pStyle w:val="107"/>
                    <w:bidi w:val="0"/>
                    <w:rPr>
                      <w:b/>
                      <w:bCs/>
                    </w:rPr>
                  </w:pPr>
                  <w:r>
                    <w:rPr>
                      <w:b/>
                      <w:bCs/>
                    </w:rPr>
                    <w:t>量</w:t>
                  </w:r>
                  <w:r>
                    <w:rPr>
                      <w:rFonts w:hint="eastAsia"/>
                      <w:b/>
                      <w:bCs/>
                      <w:lang w:eastAsia="zh-CN"/>
                    </w:rPr>
                    <w:t>（</w:t>
                  </w:r>
                  <w:r>
                    <w:rPr>
                      <w:b/>
                      <w:bCs/>
                    </w:rPr>
                    <w:t>t/a</w:t>
                  </w:r>
                  <w:r>
                    <w:rPr>
                      <w:rFonts w:hint="eastAsia"/>
                      <w:b/>
                      <w:bCs/>
                      <w:lang w:eastAsia="zh-CN"/>
                    </w:rPr>
                    <w:t>）</w:t>
                  </w:r>
                </w:p>
              </w:tc>
              <w:tc>
                <w:tcPr>
                  <w:tcW w:w="590" w:type="pct"/>
                  <w:noWrap w:val="0"/>
                  <w:vAlign w:val="center"/>
                </w:tcPr>
                <w:p w14:paraId="3726C777">
                  <w:pPr>
                    <w:pStyle w:val="107"/>
                    <w:bidi w:val="0"/>
                    <w:rPr>
                      <w:b/>
                      <w:bCs/>
                    </w:rPr>
                  </w:pPr>
                  <w:r>
                    <w:rPr>
                      <w:b/>
                      <w:bCs/>
                    </w:rPr>
                    <w:t>速率</w:t>
                  </w:r>
                  <w:r>
                    <w:rPr>
                      <w:rFonts w:hint="eastAsia"/>
                      <w:b/>
                      <w:bCs/>
                      <w:lang w:eastAsia="zh-CN"/>
                    </w:rPr>
                    <w:t>（</w:t>
                  </w:r>
                  <w:r>
                    <w:rPr>
                      <w:b/>
                      <w:bCs/>
                    </w:rPr>
                    <w:t>kg/h</w:t>
                  </w:r>
                  <w:r>
                    <w:rPr>
                      <w:rFonts w:hint="eastAsia"/>
                      <w:b/>
                      <w:bCs/>
                      <w:lang w:eastAsia="zh-CN"/>
                    </w:rPr>
                    <w:t>）</w:t>
                  </w:r>
                </w:p>
              </w:tc>
              <w:tc>
                <w:tcPr>
                  <w:tcW w:w="1045" w:type="pct"/>
                  <w:vMerge w:val="continue"/>
                  <w:noWrap w:val="0"/>
                  <w:vAlign w:val="center"/>
                </w:tcPr>
                <w:p w14:paraId="7DD2B6FE">
                  <w:pPr>
                    <w:pStyle w:val="107"/>
                    <w:bidi w:val="0"/>
                    <w:rPr>
                      <w:b/>
                      <w:bCs/>
                    </w:rPr>
                  </w:pPr>
                </w:p>
              </w:tc>
              <w:tc>
                <w:tcPr>
                  <w:tcW w:w="636" w:type="pct"/>
                  <w:noWrap w:val="0"/>
                  <w:vAlign w:val="center"/>
                </w:tcPr>
                <w:p w14:paraId="78C3E58D">
                  <w:pPr>
                    <w:pStyle w:val="107"/>
                    <w:bidi w:val="0"/>
                    <w:rPr>
                      <w:b/>
                      <w:bCs/>
                    </w:rPr>
                  </w:pPr>
                  <w:r>
                    <w:rPr>
                      <w:b/>
                      <w:bCs/>
                    </w:rPr>
                    <w:t>量</w:t>
                  </w:r>
                  <w:r>
                    <w:rPr>
                      <w:rFonts w:hint="eastAsia"/>
                      <w:b/>
                      <w:bCs/>
                      <w:lang w:eastAsia="zh-CN"/>
                    </w:rPr>
                    <w:t>（</w:t>
                  </w:r>
                  <w:r>
                    <w:rPr>
                      <w:b/>
                      <w:bCs/>
                    </w:rPr>
                    <w:t>t/a</w:t>
                  </w:r>
                  <w:r>
                    <w:rPr>
                      <w:rFonts w:hint="eastAsia"/>
                      <w:b/>
                      <w:bCs/>
                      <w:lang w:eastAsia="zh-CN"/>
                    </w:rPr>
                    <w:t>）</w:t>
                  </w:r>
                </w:p>
              </w:tc>
              <w:tc>
                <w:tcPr>
                  <w:tcW w:w="591" w:type="pct"/>
                  <w:noWrap w:val="0"/>
                  <w:vAlign w:val="center"/>
                </w:tcPr>
                <w:p w14:paraId="78F3401A">
                  <w:pPr>
                    <w:pStyle w:val="107"/>
                    <w:bidi w:val="0"/>
                    <w:rPr>
                      <w:b/>
                      <w:bCs/>
                    </w:rPr>
                  </w:pPr>
                  <w:r>
                    <w:rPr>
                      <w:b/>
                      <w:bCs/>
                    </w:rPr>
                    <w:t>速率</w:t>
                  </w:r>
                  <w:r>
                    <w:rPr>
                      <w:rFonts w:hint="eastAsia"/>
                      <w:b/>
                      <w:bCs/>
                      <w:lang w:eastAsia="zh-CN"/>
                    </w:rPr>
                    <w:t>（</w:t>
                  </w:r>
                  <w:r>
                    <w:rPr>
                      <w:b/>
                      <w:bCs/>
                    </w:rPr>
                    <w:t>kg/h</w:t>
                  </w:r>
                  <w:r>
                    <w:rPr>
                      <w:rFonts w:hint="eastAsia"/>
                      <w:b/>
                      <w:bCs/>
                      <w:lang w:eastAsia="zh-CN"/>
                    </w:rPr>
                    <w:t>）</w:t>
                  </w:r>
                </w:p>
              </w:tc>
              <w:tc>
                <w:tcPr>
                  <w:tcW w:w="429" w:type="pct"/>
                  <w:vMerge w:val="continue"/>
                  <w:noWrap w:val="0"/>
                  <w:vAlign w:val="center"/>
                </w:tcPr>
                <w:p w14:paraId="79EED9F2">
                  <w:pPr>
                    <w:pStyle w:val="107"/>
                    <w:bidi w:val="0"/>
                  </w:pPr>
                </w:p>
              </w:tc>
            </w:tr>
            <w:tr w14:paraId="1F89B5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noWrap w:val="0"/>
                  <w:vAlign w:val="center"/>
                </w:tcPr>
                <w:p w14:paraId="546EBC46">
                  <w:pPr>
                    <w:pStyle w:val="107"/>
                    <w:bidi w:val="0"/>
                    <w:rPr>
                      <w:rFonts w:hint="default"/>
                      <w:lang w:val="en-US" w:eastAsia="zh-CN"/>
                    </w:rPr>
                  </w:pPr>
                  <w:r>
                    <w:rPr>
                      <w:rFonts w:hint="eastAsia"/>
                      <w:lang w:val="en-US" w:eastAsia="zh-CN"/>
                    </w:rPr>
                    <w:t>车辆运输扬尘</w:t>
                  </w:r>
                </w:p>
              </w:tc>
              <w:tc>
                <w:tcPr>
                  <w:tcW w:w="467" w:type="pct"/>
                  <w:noWrap w:val="0"/>
                  <w:vAlign w:val="center"/>
                </w:tcPr>
                <w:p w14:paraId="272233BA">
                  <w:pPr>
                    <w:pStyle w:val="107"/>
                    <w:bidi w:val="0"/>
                    <w:rPr>
                      <w:rFonts w:hint="eastAsia"/>
                      <w:lang w:val="en-US" w:eastAsia="zh-CN"/>
                    </w:rPr>
                  </w:pPr>
                  <w:r>
                    <w:rPr>
                      <w:rFonts w:hint="eastAsia"/>
                    </w:rPr>
                    <w:t>颗粒物</w:t>
                  </w:r>
                </w:p>
              </w:tc>
              <w:tc>
                <w:tcPr>
                  <w:tcW w:w="692" w:type="pct"/>
                  <w:noWrap w:val="0"/>
                  <w:vAlign w:val="center"/>
                </w:tcPr>
                <w:p w14:paraId="4E1DBF66">
                  <w:pPr>
                    <w:pStyle w:val="107"/>
                    <w:bidi w:val="0"/>
                    <w:rPr>
                      <w:rFonts w:hint="default"/>
                      <w:lang w:val="en-US" w:eastAsia="zh-CN"/>
                    </w:rPr>
                  </w:pPr>
                  <w:r>
                    <w:rPr>
                      <w:rFonts w:hint="eastAsia"/>
                      <w:lang w:val="en-US" w:eastAsia="zh-CN"/>
                    </w:rPr>
                    <w:t>0.113</w:t>
                  </w:r>
                </w:p>
              </w:tc>
              <w:tc>
                <w:tcPr>
                  <w:tcW w:w="590" w:type="pct"/>
                  <w:noWrap w:val="0"/>
                  <w:vAlign w:val="center"/>
                </w:tcPr>
                <w:p w14:paraId="03548EA2">
                  <w:pPr>
                    <w:pStyle w:val="107"/>
                    <w:bidi w:val="0"/>
                    <w:rPr>
                      <w:rFonts w:hint="default"/>
                      <w:lang w:val="en-US" w:eastAsia="zh-CN"/>
                    </w:rPr>
                  </w:pPr>
                  <w:r>
                    <w:rPr>
                      <w:rFonts w:hint="eastAsia"/>
                      <w:lang w:val="en-US" w:eastAsia="zh-CN"/>
                    </w:rPr>
                    <w:t>0.619</w:t>
                  </w:r>
                </w:p>
              </w:tc>
              <w:tc>
                <w:tcPr>
                  <w:tcW w:w="1045" w:type="pct"/>
                  <w:noWrap w:val="0"/>
                  <w:vAlign w:val="center"/>
                </w:tcPr>
                <w:p w14:paraId="186E925E">
                  <w:pPr>
                    <w:pStyle w:val="107"/>
                    <w:bidi w:val="0"/>
                    <w:rPr>
                      <w:rFonts w:hint="eastAsia"/>
                      <w:lang w:val="en-US" w:eastAsia="zh-CN"/>
                    </w:rPr>
                  </w:pPr>
                  <w:r>
                    <w:rPr>
                      <w:rFonts w:hint="eastAsia"/>
                      <w:lang w:val="en-US" w:eastAsia="zh-CN"/>
                    </w:rPr>
                    <w:t>无风天气下转运及转运前洒水降尘，抑尘率60%</w:t>
                  </w:r>
                </w:p>
              </w:tc>
              <w:tc>
                <w:tcPr>
                  <w:tcW w:w="636" w:type="pct"/>
                  <w:noWrap w:val="0"/>
                  <w:vAlign w:val="center"/>
                </w:tcPr>
                <w:p w14:paraId="03EAD575">
                  <w:pPr>
                    <w:pStyle w:val="107"/>
                    <w:bidi w:val="0"/>
                    <w:rPr>
                      <w:rFonts w:hint="default"/>
                      <w:lang w:val="en-US" w:eastAsia="zh-CN"/>
                    </w:rPr>
                  </w:pPr>
                  <w:r>
                    <w:rPr>
                      <w:rFonts w:hint="eastAsia"/>
                      <w:lang w:val="en-US" w:eastAsia="zh-CN"/>
                    </w:rPr>
                    <w:t>0.045</w:t>
                  </w:r>
                </w:p>
              </w:tc>
              <w:tc>
                <w:tcPr>
                  <w:tcW w:w="591" w:type="pct"/>
                  <w:noWrap w:val="0"/>
                  <w:vAlign w:val="center"/>
                </w:tcPr>
                <w:p w14:paraId="113210F3">
                  <w:pPr>
                    <w:pStyle w:val="107"/>
                    <w:bidi w:val="0"/>
                    <w:rPr>
                      <w:rFonts w:hint="default"/>
                      <w:lang w:val="en-US" w:eastAsia="zh-CN"/>
                    </w:rPr>
                  </w:pPr>
                  <w:r>
                    <w:rPr>
                      <w:rFonts w:hint="eastAsia"/>
                      <w:lang w:val="en-US" w:eastAsia="zh-CN"/>
                    </w:rPr>
                    <w:t>0.247</w:t>
                  </w:r>
                </w:p>
              </w:tc>
              <w:tc>
                <w:tcPr>
                  <w:tcW w:w="429" w:type="pct"/>
                  <w:noWrap w:val="0"/>
                  <w:vAlign w:val="center"/>
                </w:tcPr>
                <w:p w14:paraId="2C1FD5D1">
                  <w:pPr>
                    <w:pStyle w:val="107"/>
                    <w:bidi w:val="0"/>
                    <w:rPr>
                      <w:rFonts w:hint="eastAsia"/>
                      <w:lang w:val="en-US" w:eastAsia="zh-CN"/>
                    </w:rPr>
                  </w:pPr>
                  <w:r>
                    <w:rPr>
                      <w:rFonts w:hint="eastAsia"/>
                      <w:lang w:val="en-US" w:eastAsia="zh-CN"/>
                    </w:rPr>
                    <w:t>无组织</w:t>
                  </w:r>
                </w:p>
              </w:tc>
            </w:tr>
            <w:tr w14:paraId="40E18B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noWrap w:val="0"/>
                  <w:vAlign w:val="center"/>
                </w:tcPr>
                <w:p w14:paraId="6222C89C">
                  <w:pPr>
                    <w:pStyle w:val="107"/>
                    <w:bidi w:val="0"/>
                    <w:rPr>
                      <w:rFonts w:hint="eastAsia"/>
                      <w:lang w:val="en-US" w:eastAsia="zh-CN"/>
                    </w:rPr>
                  </w:pPr>
                  <w:r>
                    <w:rPr>
                      <w:rFonts w:hint="eastAsia"/>
                      <w:lang w:val="en-US" w:eastAsia="zh-CN"/>
                    </w:rPr>
                    <w:t>运输车辆装卸粉尘</w:t>
                  </w:r>
                </w:p>
              </w:tc>
              <w:tc>
                <w:tcPr>
                  <w:tcW w:w="467" w:type="pct"/>
                  <w:noWrap w:val="0"/>
                  <w:vAlign w:val="center"/>
                </w:tcPr>
                <w:p w14:paraId="5E9EDA5C">
                  <w:pPr>
                    <w:pStyle w:val="107"/>
                    <w:bidi w:val="0"/>
                    <w:rPr>
                      <w:rFonts w:hint="eastAsia" w:eastAsia="宋体"/>
                      <w:lang w:val="en-US" w:eastAsia="zh-CN"/>
                    </w:rPr>
                  </w:pPr>
                  <w:r>
                    <w:rPr>
                      <w:rFonts w:hint="eastAsia"/>
                      <w:lang w:val="en-US" w:eastAsia="zh-CN"/>
                    </w:rPr>
                    <w:t>颗粒物</w:t>
                  </w:r>
                </w:p>
              </w:tc>
              <w:tc>
                <w:tcPr>
                  <w:tcW w:w="692" w:type="pct"/>
                  <w:noWrap w:val="0"/>
                  <w:vAlign w:val="center"/>
                </w:tcPr>
                <w:p w14:paraId="27AA29D7">
                  <w:pPr>
                    <w:pStyle w:val="107"/>
                    <w:bidi w:val="0"/>
                    <w:rPr>
                      <w:rFonts w:hint="default"/>
                      <w:lang w:val="en-US" w:eastAsia="zh-CN"/>
                    </w:rPr>
                  </w:pPr>
                  <w:r>
                    <w:rPr>
                      <w:rFonts w:hint="eastAsia"/>
                      <w:lang w:val="en-US" w:eastAsia="zh-CN"/>
                    </w:rPr>
                    <w:t>15.57</w:t>
                  </w:r>
                </w:p>
              </w:tc>
              <w:tc>
                <w:tcPr>
                  <w:tcW w:w="590" w:type="pct"/>
                  <w:noWrap w:val="0"/>
                  <w:vAlign w:val="center"/>
                </w:tcPr>
                <w:p w14:paraId="66BC17DF">
                  <w:pPr>
                    <w:pStyle w:val="107"/>
                    <w:bidi w:val="0"/>
                    <w:rPr>
                      <w:rFonts w:hint="default"/>
                      <w:lang w:val="en-US" w:eastAsia="zh-CN"/>
                    </w:rPr>
                  </w:pPr>
                  <w:r>
                    <w:rPr>
                      <w:rFonts w:hint="eastAsia"/>
                      <w:lang w:val="en-US" w:eastAsia="zh-CN"/>
                    </w:rPr>
                    <w:t>42.657</w:t>
                  </w:r>
                </w:p>
              </w:tc>
              <w:tc>
                <w:tcPr>
                  <w:tcW w:w="1045" w:type="pct"/>
                  <w:noWrap w:val="0"/>
                  <w:vAlign w:val="center"/>
                </w:tcPr>
                <w:p w14:paraId="0FA09C9B">
                  <w:pPr>
                    <w:pStyle w:val="107"/>
                    <w:bidi w:val="0"/>
                    <w:rPr>
                      <w:rFonts w:hint="eastAsia"/>
                      <w:lang w:val="en-US" w:eastAsia="zh-CN"/>
                    </w:rPr>
                  </w:pPr>
                  <w:r>
                    <w:t>洒水控制效率74%，围挡控制效率60%，综合控制效率达80%以上</w:t>
                  </w:r>
                </w:p>
              </w:tc>
              <w:tc>
                <w:tcPr>
                  <w:tcW w:w="636" w:type="pct"/>
                  <w:noWrap w:val="0"/>
                  <w:vAlign w:val="center"/>
                </w:tcPr>
                <w:p w14:paraId="712D1C61">
                  <w:pPr>
                    <w:pStyle w:val="107"/>
                    <w:bidi w:val="0"/>
                    <w:rPr>
                      <w:rFonts w:hint="default"/>
                      <w:lang w:val="en-US" w:eastAsia="zh-CN"/>
                    </w:rPr>
                  </w:pPr>
                  <w:r>
                    <w:rPr>
                      <w:rFonts w:hint="eastAsia"/>
                      <w:lang w:val="en-US" w:eastAsia="zh-CN"/>
                    </w:rPr>
                    <w:t>3.114</w:t>
                  </w:r>
                </w:p>
              </w:tc>
              <w:tc>
                <w:tcPr>
                  <w:tcW w:w="591" w:type="pct"/>
                  <w:noWrap w:val="0"/>
                  <w:vAlign w:val="center"/>
                </w:tcPr>
                <w:p w14:paraId="5A488044">
                  <w:pPr>
                    <w:pStyle w:val="107"/>
                    <w:bidi w:val="0"/>
                    <w:rPr>
                      <w:rFonts w:hint="default"/>
                      <w:lang w:val="en-US" w:eastAsia="zh-CN"/>
                    </w:rPr>
                  </w:pPr>
                  <w:r>
                    <w:rPr>
                      <w:rFonts w:hint="eastAsia"/>
                      <w:lang w:val="en-US" w:eastAsia="zh-CN"/>
                    </w:rPr>
                    <w:t>8.532</w:t>
                  </w:r>
                </w:p>
              </w:tc>
              <w:tc>
                <w:tcPr>
                  <w:tcW w:w="429" w:type="pct"/>
                  <w:noWrap w:val="0"/>
                  <w:vAlign w:val="center"/>
                </w:tcPr>
                <w:p w14:paraId="2C5462EF">
                  <w:pPr>
                    <w:pStyle w:val="107"/>
                    <w:bidi w:val="0"/>
                    <w:rPr>
                      <w:rFonts w:hint="default"/>
                      <w:lang w:val="en-US" w:eastAsia="zh-CN"/>
                    </w:rPr>
                  </w:pPr>
                  <w:r>
                    <w:rPr>
                      <w:rFonts w:hint="eastAsia"/>
                      <w:lang w:val="en-US" w:eastAsia="zh-CN"/>
                    </w:rPr>
                    <w:t>无组织</w:t>
                  </w:r>
                </w:p>
              </w:tc>
            </w:tr>
            <w:tr w14:paraId="24F097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shd w:val="clear" w:color="auto" w:fill="auto"/>
                  <w:noWrap w:val="0"/>
                  <w:vAlign w:val="center"/>
                </w:tcPr>
                <w:p w14:paraId="0ED161EC">
                  <w:pPr>
                    <w:pStyle w:val="107"/>
                    <w:bidi w:val="0"/>
                    <w:ind w:firstLine="0" w:firstLineChars="0"/>
                    <w:rPr>
                      <w:rFonts w:hint="eastAsia" w:ascii="Times New Roman" w:hAnsi="Times New Roman" w:eastAsia="宋体" w:cs="Times New Roman"/>
                      <w:kern w:val="0"/>
                      <w:sz w:val="21"/>
                      <w:szCs w:val="20"/>
                      <w:lang w:val="en-US" w:eastAsia="zh-CN" w:bidi="ar-SA"/>
                    </w:rPr>
                  </w:pPr>
                  <w:r>
                    <w:rPr>
                      <w:rFonts w:hint="default"/>
                      <w:lang w:val="en-US" w:eastAsia="zh-CN"/>
                    </w:rPr>
                    <w:t>碾压扬尘</w:t>
                  </w:r>
                </w:p>
              </w:tc>
              <w:tc>
                <w:tcPr>
                  <w:tcW w:w="467" w:type="pct"/>
                  <w:shd w:val="clear" w:color="auto" w:fill="auto"/>
                  <w:noWrap w:val="0"/>
                  <w:vAlign w:val="center"/>
                </w:tcPr>
                <w:p w14:paraId="7F91839C">
                  <w:pPr>
                    <w:pStyle w:val="107"/>
                    <w:bidi w:val="0"/>
                    <w:ind w:firstLine="0" w:firstLineChars="0"/>
                    <w:rPr>
                      <w:rFonts w:hint="eastAsia" w:ascii="Times New Roman" w:hAnsi="Times New Roman" w:eastAsia="宋体" w:cs="Times New Roman"/>
                      <w:kern w:val="0"/>
                      <w:sz w:val="21"/>
                      <w:szCs w:val="20"/>
                      <w:lang w:val="en-US" w:eastAsia="zh-CN" w:bidi="ar-SA"/>
                    </w:rPr>
                  </w:pPr>
                  <w:r>
                    <w:rPr>
                      <w:rFonts w:hint="eastAsia"/>
                    </w:rPr>
                    <w:t>颗粒物</w:t>
                  </w:r>
                </w:p>
              </w:tc>
              <w:tc>
                <w:tcPr>
                  <w:tcW w:w="692" w:type="pct"/>
                  <w:shd w:val="clear" w:color="auto" w:fill="auto"/>
                  <w:noWrap w:val="0"/>
                  <w:vAlign w:val="center"/>
                </w:tcPr>
                <w:p w14:paraId="7FAA175A">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cs="Times New Roman"/>
                      <w:kern w:val="0"/>
                      <w:sz w:val="21"/>
                      <w:szCs w:val="20"/>
                      <w:lang w:val="en-US" w:eastAsia="zh-CN" w:bidi="ar-SA"/>
                    </w:rPr>
                    <w:t>0.029</w:t>
                  </w:r>
                </w:p>
              </w:tc>
              <w:tc>
                <w:tcPr>
                  <w:tcW w:w="590" w:type="pct"/>
                  <w:shd w:val="clear" w:color="auto" w:fill="auto"/>
                  <w:noWrap w:val="0"/>
                  <w:vAlign w:val="center"/>
                </w:tcPr>
                <w:p w14:paraId="6D541F4F">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cs="Times New Roman"/>
                      <w:kern w:val="0"/>
                      <w:sz w:val="21"/>
                      <w:szCs w:val="20"/>
                      <w:lang w:val="en-US" w:eastAsia="zh-CN" w:bidi="ar-SA"/>
                    </w:rPr>
                    <w:t>0.020</w:t>
                  </w:r>
                </w:p>
              </w:tc>
              <w:tc>
                <w:tcPr>
                  <w:tcW w:w="1045" w:type="pct"/>
                  <w:shd w:val="clear" w:color="auto" w:fill="auto"/>
                  <w:noWrap w:val="0"/>
                  <w:vAlign w:val="center"/>
                </w:tcPr>
                <w:p w14:paraId="4E2554DC">
                  <w:pPr>
                    <w:pStyle w:val="107"/>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洒水控制效率74%</w:t>
                  </w:r>
                </w:p>
              </w:tc>
              <w:tc>
                <w:tcPr>
                  <w:tcW w:w="636" w:type="pct"/>
                  <w:shd w:val="clear" w:color="auto" w:fill="auto"/>
                  <w:noWrap w:val="0"/>
                  <w:vAlign w:val="center"/>
                </w:tcPr>
                <w:p w14:paraId="29F15403">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cs="Times New Roman"/>
                      <w:kern w:val="0"/>
                      <w:sz w:val="21"/>
                      <w:szCs w:val="20"/>
                      <w:lang w:val="en-US" w:eastAsia="zh-CN" w:bidi="ar-SA"/>
                    </w:rPr>
                    <w:t>0.008</w:t>
                  </w:r>
                </w:p>
              </w:tc>
              <w:tc>
                <w:tcPr>
                  <w:tcW w:w="591" w:type="pct"/>
                  <w:shd w:val="clear" w:color="auto" w:fill="auto"/>
                  <w:noWrap w:val="0"/>
                  <w:vAlign w:val="center"/>
                </w:tcPr>
                <w:p w14:paraId="18542223">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cs="Times New Roman"/>
                      <w:kern w:val="0"/>
                      <w:sz w:val="21"/>
                      <w:szCs w:val="20"/>
                      <w:lang w:val="en-US" w:eastAsia="zh-CN" w:bidi="ar-SA"/>
                    </w:rPr>
                    <w:t>0.005</w:t>
                  </w:r>
                </w:p>
              </w:tc>
              <w:tc>
                <w:tcPr>
                  <w:tcW w:w="429" w:type="pct"/>
                  <w:shd w:val="clear" w:color="auto" w:fill="auto"/>
                  <w:noWrap w:val="0"/>
                  <w:vAlign w:val="center"/>
                </w:tcPr>
                <w:p w14:paraId="30D6C12D">
                  <w:pPr>
                    <w:pStyle w:val="107"/>
                    <w:bidi w:val="0"/>
                    <w:ind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无组织</w:t>
                  </w:r>
                </w:p>
              </w:tc>
            </w:tr>
            <w:tr w14:paraId="63AF0F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noWrap w:val="0"/>
                  <w:vAlign w:val="center"/>
                </w:tcPr>
                <w:p w14:paraId="48BC973C">
                  <w:pPr>
                    <w:pStyle w:val="107"/>
                    <w:bidi w:val="0"/>
                    <w:rPr>
                      <w:rFonts w:hint="default"/>
                      <w:lang w:val="en-US" w:eastAsia="zh-CN"/>
                    </w:rPr>
                  </w:pPr>
                  <w:r>
                    <w:rPr>
                      <w:rFonts w:hint="default"/>
                      <w:lang w:val="en-US" w:eastAsia="zh-CN"/>
                    </w:rPr>
                    <w:t>堆填场扬尘</w:t>
                  </w:r>
                </w:p>
              </w:tc>
              <w:tc>
                <w:tcPr>
                  <w:tcW w:w="467" w:type="pct"/>
                  <w:noWrap w:val="0"/>
                  <w:vAlign w:val="center"/>
                </w:tcPr>
                <w:p w14:paraId="44FA81F3">
                  <w:pPr>
                    <w:pStyle w:val="107"/>
                    <w:bidi w:val="0"/>
                    <w:rPr>
                      <w:rFonts w:hint="eastAsia"/>
                      <w:lang w:val="en-US" w:eastAsia="zh-CN"/>
                    </w:rPr>
                  </w:pPr>
                  <w:r>
                    <w:rPr>
                      <w:rFonts w:hint="eastAsia"/>
                    </w:rPr>
                    <w:t>颗粒物</w:t>
                  </w:r>
                </w:p>
              </w:tc>
              <w:tc>
                <w:tcPr>
                  <w:tcW w:w="692" w:type="pct"/>
                  <w:noWrap w:val="0"/>
                  <w:vAlign w:val="center"/>
                </w:tcPr>
                <w:p w14:paraId="6A3FB42F">
                  <w:pPr>
                    <w:pStyle w:val="107"/>
                    <w:bidi w:val="0"/>
                    <w:rPr>
                      <w:rFonts w:hint="default"/>
                      <w:lang w:val="en-US" w:eastAsia="zh-CN"/>
                    </w:rPr>
                  </w:pPr>
                  <w:r>
                    <w:rPr>
                      <w:rFonts w:hint="eastAsia"/>
                      <w:lang w:val="en-US" w:eastAsia="zh-CN"/>
                    </w:rPr>
                    <w:t>0.615</w:t>
                  </w:r>
                </w:p>
              </w:tc>
              <w:tc>
                <w:tcPr>
                  <w:tcW w:w="590" w:type="pct"/>
                  <w:noWrap w:val="0"/>
                  <w:vAlign w:val="center"/>
                </w:tcPr>
                <w:p w14:paraId="065A4B19">
                  <w:pPr>
                    <w:pStyle w:val="107"/>
                    <w:bidi w:val="0"/>
                    <w:rPr>
                      <w:rFonts w:hint="default"/>
                      <w:lang w:val="en-US" w:eastAsia="zh-CN"/>
                    </w:rPr>
                  </w:pPr>
                  <w:r>
                    <w:rPr>
                      <w:rFonts w:hint="eastAsia"/>
                      <w:lang w:val="en-US" w:eastAsia="zh-CN"/>
                    </w:rPr>
                    <w:t>0.125</w:t>
                  </w:r>
                </w:p>
              </w:tc>
              <w:tc>
                <w:tcPr>
                  <w:tcW w:w="1045" w:type="pct"/>
                  <w:noWrap w:val="0"/>
                  <w:vAlign w:val="center"/>
                </w:tcPr>
                <w:p w14:paraId="2A441898">
                  <w:pPr>
                    <w:pStyle w:val="107"/>
                    <w:bidi w:val="0"/>
                    <w:rPr>
                      <w:rFonts w:hint="eastAsia"/>
                      <w:lang w:val="en-US" w:eastAsia="zh-CN"/>
                    </w:rPr>
                  </w:pPr>
                  <w:r>
                    <w:rPr>
                      <w:rFonts w:hint="eastAsia"/>
                      <w:lang w:val="en-US" w:eastAsia="zh-CN"/>
                    </w:rPr>
                    <w:t>洒水控制效率74%</w:t>
                  </w:r>
                </w:p>
              </w:tc>
              <w:tc>
                <w:tcPr>
                  <w:tcW w:w="636" w:type="pct"/>
                  <w:noWrap w:val="0"/>
                  <w:vAlign w:val="center"/>
                </w:tcPr>
                <w:p w14:paraId="78066AF0">
                  <w:pPr>
                    <w:pStyle w:val="107"/>
                    <w:bidi w:val="0"/>
                    <w:rPr>
                      <w:rFonts w:hint="default"/>
                      <w:lang w:val="en-US" w:eastAsia="zh-CN"/>
                    </w:rPr>
                  </w:pPr>
                  <w:r>
                    <w:rPr>
                      <w:rFonts w:hint="eastAsia"/>
                      <w:lang w:val="en-US" w:eastAsia="zh-CN"/>
                    </w:rPr>
                    <w:t>0.160</w:t>
                  </w:r>
                </w:p>
              </w:tc>
              <w:tc>
                <w:tcPr>
                  <w:tcW w:w="591" w:type="pct"/>
                  <w:noWrap w:val="0"/>
                  <w:vAlign w:val="center"/>
                </w:tcPr>
                <w:p w14:paraId="2FF43586">
                  <w:pPr>
                    <w:pStyle w:val="107"/>
                    <w:bidi w:val="0"/>
                    <w:rPr>
                      <w:rFonts w:hint="default"/>
                      <w:lang w:val="en-US" w:eastAsia="zh-CN"/>
                    </w:rPr>
                  </w:pPr>
                  <w:r>
                    <w:rPr>
                      <w:rFonts w:hint="eastAsia"/>
                      <w:lang w:val="en-US" w:eastAsia="zh-CN"/>
                    </w:rPr>
                    <w:t>0.033</w:t>
                  </w:r>
                </w:p>
              </w:tc>
              <w:tc>
                <w:tcPr>
                  <w:tcW w:w="429" w:type="pct"/>
                  <w:noWrap w:val="0"/>
                  <w:vAlign w:val="center"/>
                </w:tcPr>
                <w:p w14:paraId="71BE8C2D">
                  <w:pPr>
                    <w:pStyle w:val="107"/>
                    <w:bidi w:val="0"/>
                    <w:rPr>
                      <w:rFonts w:hint="eastAsia"/>
                      <w:lang w:val="en-US" w:eastAsia="zh-CN"/>
                    </w:rPr>
                  </w:pPr>
                  <w:r>
                    <w:rPr>
                      <w:rFonts w:hint="eastAsia"/>
                      <w:lang w:val="en-US" w:eastAsia="zh-CN"/>
                    </w:rPr>
                    <w:t>无组织</w:t>
                  </w:r>
                </w:p>
              </w:tc>
            </w:tr>
            <w:tr w14:paraId="49E432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vMerge w:val="restart"/>
                  <w:noWrap w:val="0"/>
                  <w:vAlign w:val="center"/>
                </w:tcPr>
                <w:p w14:paraId="4389E03C">
                  <w:pPr>
                    <w:pStyle w:val="107"/>
                    <w:bidi w:val="0"/>
                    <w:rPr>
                      <w:rFonts w:hint="default"/>
                      <w:lang w:val="en-US" w:eastAsia="zh-CN"/>
                    </w:rPr>
                  </w:pPr>
                  <w:r>
                    <w:rPr>
                      <w:rFonts w:hint="eastAsia"/>
                      <w:lang w:val="en-US" w:eastAsia="zh-CN"/>
                    </w:rPr>
                    <w:t>汽车尾气</w:t>
                  </w:r>
                </w:p>
              </w:tc>
              <w:tc>
                <w:tcPr>
                  <w:tcW w:w="467" w:type="pct"/>
                  <w:noWrap w:val="0"/>
                  <w:vAlign w:val="center"/>
                </w:tcPr>
                <w:p w14:paraId="66EEF8EE">
                  <w:pPr>
                    <w:pStyle w:val="107"/>
                    <w:bidi w:val="0"/>
                    <w:rPr>
                      <w:rFonts w:hint="eastAsia"/>
                    </w:rPr>
                  </w:pPr>
                  <w:r>
                    <w:t>CO</w:t>
                  </w:r>
                </w:p>
              </w:tc>
              <w:tc>
                <w:tcPr>
                  <w:tcW w:w="692" w:type="pct"/>
                  <w:noWrap w:val="0"/>
                  <w:vAlign w:val="center"/>
                </w:tcPr>
                <w:p w14:paraId="7C27B4F0">
                  <w:pPr>
                    <w:pStyle w:val="107"/>
                    <w:bidi w:val="0"/>
                    <w:rPr>
                      <w:rFonts w:hint="eastAsia"/>
                      <w:lang w:val="en-US" w:eastAsia="zh-CN"/>
                    </w:rPr>
                  </w:pPr>
                  <w:r>
                    <w:rPr>
                      <w:rFonts w:hint="eastAsia"/>
                      <w:lang w:val="en-US" w:eastAsia="zh-CN"/>
                    </w:rPr>
                    <w:t>0.986kg</w:t>
                  </w:r>
                  <w:r>
                    <w:t>/a</w:t>
                  </w:r>
                </w:p>
              </w:tc>
              <w:tc>
                <w:tcPr>
                  <w:tcW w:w="590" w:type="pct"/>
                  <w:noWrap w:val="0"/>
                  <w:vAlign w:val="center"/>
                </w:tcPr>
                <w:p w14:paraId="21A90059">
                  <w:pPr>
                    <w:pStyle w:val="107"/>
                    <w:bidi w:val="0"/>
                    <w:rPr>
                      <w:rFonts w:hint="default"/>
                      <w:lang w:val="en-US" w:eastAsia="zh-CN"/>
                    </w:rPr>
                  </w:pPr>
                  <w:r>
                    <w:rPr>
                      <w:rFonts w:hint="eastAsia"/>
                      <w:lang w:val="en-US" w:eastAsia="zh-CN"/>
                    </w:rPr>
                    <w:t>/</w:t>
                  </w:r>
                </w:p>
              </w:tc>
              <w:tc>
                <w:tcPr>
                  <w:tcW w:w="1045" w:type="pct"/>
                  <w:vMerge w:val="restart"/>
                  <w:noWrap w:val="0"/>
                  <w:vAlign w:val="center"/>
                </w:tcPr>
                <w:p w14:paraId="74514222">
                  <w:pPr>
                    <w:pStyle w:val="107"/>
                    <w:bidi w:val="0"/>
                    <w:rPr>
                      <w:rFonts w:hint="default"/>
                      <w:lang w:val="en-US" w:eastAsia="zh-CN"/>
                    </w:rPr>
                  </w:pPr>
                  <w:r>
                    <w:rPr>
                      <w:rFonts w:hint="eastAsia"/>
                      <w:lang w:val="en-US" w:eastAsia="zh-CN"/>
                    </w:rPr>
                    <w:t>/</w:t>
                  </w:r>
                </w:p>
              </w:tc>
              <w:tc>
                <w:tcPr>
                  <w:tcW w:w="636" w:type="pct"/>
                  <w:noWrap w:val="0"/>
                  <w:vAlign w:val="center"/>
                </w:tcPr>
                <w:p w14:paraId="2DFA72B4">
                  <w:pPr>
                    <w:pStyle w:val="107"/>
                    <w:bidi w:val="0"/>
                    <w:ind w:firstLine="0" w:firstLineChars="0"/>
                    <w:rPr>
                      <w:rFonts w:hint="eastAsia"/>
                      <w:lang w:val="en-US" w:eastAsia="zh-CN"/>
                    </w:rPr>
                  </w:pPr>
                  <w:r>
                    <w:rPr>
                      <w:rFonts w:hint="eastAsia"/>
                      <w:lang w:val="en-US" w:eastAsia="zh-CN"/>
                    </w:rPr>
                    <w:t>0.986kg</w:t>
                  </w:r>
                  <w:r>
                    <w:t>/a</w:t>
                  </w:r>
                </w:p>
              </w:tc>
              <w:tc>
                <w:tcPr>
                  <w:tcW w:w="591" w:type="pct"/>
                  <w:noWrap w:val="0"/>
                  <w:vAlign w:val="center"/>
                </w:tcPr>
                <w:p w14:paraId="6B69A12A">
                  <w:pPr>
                    <w:pStyle w:val="107"/>
                    <w:bidi w:val="0"/>
                    <w:rPr>
                      <w:rFonts w:hint="default"/>
                      <w:lang w:val="en-US" w:eastAsia="zh-CN"/>
                    </w:rPr>
                  </w:pPr>
                  <w:r>
                    <w:rPr>
                      <w:rFonts w:hint="eastAsia"/>
                      <w:lang w:val="en-US" w:eastAsia="zh-CN"/>
                    </w:rPr>
                    <w:t>/</w:t>
                  </w:r>
                </w:p>
              </w:tc>
              <w:tc>
                <w:tcPr>
                  <w:tcW w:w="429" w:type="pct"/>
                  <w:vMerge w:val="restart"/>
                  <w:noWrap w:val="0"/>
                  <w:vAlign w:val="center"/>
                </w:tcPr>
                <w:p w14:paraId="4683C686">
                  <w:pPr>
                    <w:pStyle w:val="107"/>
                    <w:bidi w:val="0"/>
                    <w:rPr>
                      <w:rFonts w:hint="eastAsia"/>
                      <w:lang w:val="en-US" w:eastAsia="zh-CN"/>
                    </w:rPr>
                  </w:pPr>
                  <w:r>
                    <w:rPr>
                      <w:rFonts w:hint="eastAsia"/>
                      <w:lang w:val="en-US" w:eastAsia="zh-CN"/>
                    </w:rPr>
                    <w:t>无组织</w:t>
                  </w:r>
                </w:p>
              </w:tc>
            </w:tr>
            <w:tr w14:paraId="605C90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vMerge w:val="continue"/>
                  <w:noWrap w:val="0"/>
                  <w:vAlign w:val="center"/>
                </w:tcPr>
                <w:p w14:paraId="7B2B741B">
                  <w:pPr>
                    <w:pStyle w:val="107"/>
                    <w:bidi w:val="0"/>
                    <w:rPr>
                      <w:rFonts w:hint="eastAsia"/>
                      <w:lang w:val="en-US" w:eastAsia="zh-CN"/>
                    </w:rPr>
                  </w:pPr>
                </w:p>
              </w:tc>
              <w:tc>
                <w:tcPr>
                  <w:tcW w:w="467" w:type="pct"/>
                  <w:noWrap w:val="0"/>
                  <w:vAlign w:val="center"/>
                </w:tcPr>
                <w:p w14:paraId="235732C0">
                  <w:pPr>
                    <w:pStyle w:val="107"/>
                    <w:bidi w:val="0"/>
                    <w:rPr>
                      <w:rFonts w:hint="eastAsia"/>
                    </w:rPr>
                  </w:pPr>
                  <w:r>
                    <w:t>THC</w:t>
                  </w:r>
                </w:p>
              </w:tc>
              <w:tc>
                <w:tcPr>
                  <w:tcW w:w="692" w:type="pct"/>
                  <w:noWrap w:val="0"/>
                  <w:vAlign w:val="center"/>
                </w:tcPr>
                <w:p w14:paraId="2C22D975">
                  <w:pPr>
                    <w:pStyle w:val="107"/>
                    <w:bidi w:val="0"/>
                    <w:rPr>
                      <w:rFonts w:hint="eastAsia"/>
                      <w:lang w:val="en-US" w:eastAsia="zh-CN"/>
                    </w:rPr>
                  </w:pPr>
                  <w:r>
                    <w:rPr>
                      <w:rFonts w:hint="eastAsia"/>
                      <w:lang w:val="en-US" w:eastAsia="zh-CN"/>
                    </w:rPr>
                    <w:t>0.911kg</w:t>
                  </w:r>
                  <w:r>
                    <w:t>/a</w:t>
                  </w:r>
                </w:p>
              </w:tc>
              <w:tc>
                <w:tcPr>
                  <w:tcW w:w="590" w:type="pct"/>
                  <w:noWrap w:val="0"/>
                  <w:vAlign w:val="center"/>
                </w:tcPr>
                <w:p w14:paraId="36D9D84B">
                  <w:pPr>
                    <w:pStyle w:val="107"/>
                    <w:bidi w:val="0"/>
                    <w:rPr>
                      <w:rFonts w:hint="default"/>
                      <w:lang w:val="en-US" w:eastAsia="zh-CN"/>
                    </w:rPr>
                  </w:pPr>
                  <w:r>
                    <w:rPr>
                      <w:rFonts w:hint="eastAsia"/>
                      <w:lang w:val="en-US" w:eastAsia="zh-CN"/>
                    </w:rPr>
                    <w:t>/</w:t>
                  </w:r>
                </w:p>
              </w:tc>
              <w:tc>
                <w:tcPr>
                  <w:tcW w:w="1045" w:type="pct"/>
                  <w:vMerge w:val="continue"/>
                  <w:noWrap w:val="0"/>
                  <w:vAlign w:val="center"/>
                </w:tcPr>
                <w:p w14:paraId="6E016928">
                  <w:pPr>
                    <w:pStyle w:val="107"/>
                    <w:bidi w:val="0"/>
                    <w:rPr>
                      <w:rFonts w:hint="eastAsia"/>
                      <w:lang w:val="en-US" w:eastAsia="zh-CN"/>
                    </w:rPr>
                  </w:pPr>
                </w:p>
              </w:tc>
              <w:tc>
                <w:tcPr>
                  <w:tcW w:w="636" w:type="pct"/>
                  <w:noWrap w:val="0"/>
                  <w:vAlign w:val="center"/>
                </w:tcPr>
                <w:p w14:paraId="669CC8C2">
                  <w:pPr>
                    <w:pStyle w:val="107"/>
                    <w:bidi w:val="0"/>
                    <w:ind w:firstLine="0" w:firstLineChars="0"/>
                    <w:rPr>
                      <w:rFonts w:hint="eastAsia"/>
                      <w:lang w:val="en-US" w:eastAsia="zh-CN"/>
                    </w:rPr>
                  </w:pPr>
                  <w:r>
                    <w:rPr>
                      <w:rFonts w:hint="eastAsia"/>
                      <w:lang w:val="en-US" w:eastAsia="zh-CN"/>
                    </w:rPr>
                    <w:t>0.911kg</w:t>
                  </w:r>
                  <w:r>
                    <w:t>/a</w:t>
                  </w:r>
                </w:p>
              </w:tc>
              <w:tc>
                <w:tcPr>
                  <w:tcW w:w="591" w:type="pct"/>
                  <w:noWrap w:val="0"/>
                  <w:vAlign w:val="center"/>
                </w:tcPr>
                <w:p w14:paraId="6CFEF724">
                  <w:pPr>
                    <w:pStyle w:val="107"/>
                    <w:bidi w:val="0"/>
                    <w:rPr>
                      <w:rFonts w:hint="default"/>
                      <w:lang w:val="en-US" w:eastAsia="zh-CN"/>
                    </w:rPr>
                  </w:pPr>
                  <w:r>
                    <w:rPr>
                      <w:rFonts w:hint="eastAsia"/>
                      <w:lang w:val="en-US" w:eastAsia="zh-CN"/>
                    </w:rPr>
                    <w:t>/</w:t>
                  </w:r>
                </w:p>
              </w:tc>
              <w:tc>
                <w:tcPr>
                  <w:tcW w:w="429" w:type="pct"/>
                  <w:vMerge w:val="continue"/>
                  <w:noWrap w:val="0"/>
                  <w:vAlign w:val="center"/>
                </w:tcPr>
                <w:p w14:paraId="3BF26651">
                  <w:pPr>
                    <w:pStyle w:val="107"/>
                    <w:bidi w:val="0"/>
                    <w:rPr>
                      <w:rFonts w:hint="eastAsia"/>
                      <w:lang w:val="en-US" w:eastAsia="zh-CN"/>
                    </w:rPr>
                  </w:pPr>
                </w:p>
              </w:tc>
            </w:tr>
            <w:tr w14:paraId="284D25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545" w:type="pct"/>
                  <w:vMerge w:val="continue"/>
                  <w:noWrap w:val="0"/>
                  <w:vAlign w:val="center"/>
                </w:tcPr>
                <w:p w14:paraId="0358C472">
                  <w:pPr>
                    <w:pStyle w:val="107"/>
                    <w:bidi w:val="0"/>
                    <w:rPr>
                      <w:rFonts w:hint="eastAsia"/>
                      <w:lang w:val="en-US" w:eastAsia="zh-CN"/>
                    </w:rPr>
                  </w:pPr>
                </w:p>
              </w:tc>
              <w:tc>
                <w:tcPr>
                  <w:tcW w:w="467" w:type="pct"/>
                  <w:noWrap w:val="0"/>
                  <w:vAlign w:val="center"/>
                </w:tcPr>
                <w:p w14:paraId="0DBBE4F3">
                  <w:pPr>
                    <w:pStyle w:val="107"/>
                    <w:bidi w:val="0"/>
                    <w:rPr>
                      <w:rFonts w:hint="eastAsia"/>
                    </w:rPr>
                  </w:pPr>
                  <w:r>
                    <w:t>NOx</w:t>
                  </w:r>
                </w:p>
              </w:tc>
              <w:tc>
                <w:tcPr>
                  <w:tcW w:w="692" w:type="pct"/>
                  <w:noWrap w:val="0"/>
                  <w:vAlign w:val="center"/>
                </w:tcPr>
                <w:p w14:paraId="56AE2BC9">
                  <w:pPr>
                    <w:pStyle w:val="107"/>
                    <w:bidi w:val="0"/>
                    <w:rPr>
                      <w:rFonts w:hint="eastAsia"/>
                      <w:lang w:val="en-US" w:eastAsia="zh-CN"/>
                    </w:rPr>
                  </w:pPr>
                  <w:r>
                    <w:rPr>
                      <w:rFonts w:hint="eastAsia"/>
                      <w:lang w:val="en-US" w:eastAsia="zh-CN"/>
                    </w:rPr>
                    <w:t>4.573kg</w:t>
                  </w:r>
                  <w:r>
                    <w:t>/a</w:t>
                  </w:r>
                </w:p>
              </w:tc>
              <w:tc>
                <w:tcPr>
                  <w:tcW w:w="590" w:type="pct"/>
                  <w:noWrap w:val="0"/>
                  <w:vAlign w:val="center"/>
                </w:tcPr>
                <w:p w14:paraId="3E3ED31F">
                  <w:pPr>
                    <w:pStyle w:val="107"/>
                    <w:bidi w:val="0"/>
                    <w:rPr>
                      <w:rFonts w:hint="default"/>
                      <w:lang w:val="en-US" w:eastAsia="zh-CN"/>
                    </w:rPr>
                  </w:pPr>
                  <w:r>
                    <w:rPr>
                      <w:rFonts w:hint="eastAsia"/>
                      <w:lang w:val="en-US" w:eastAsia="zh-CN"/>
                    </w:rPr>
                    <w:t>/</w:t>
                  </w:r>
                </w:p>
              </w:tc>
              <w:tc>
                <w:tcPr>
                  <w:tcW w:w="1045" w:type="pct"/>
                  <w:vMerge w:val="continue"/>
                  <w:noWrap w:val="0"/>
                  <w:vAlign w:val="center"/>
                </w:tcPr>
                <w:p w14:paraId="19FE401B">
                  <w:pPr>
                    <w:pStyle w:val="107"/>
                    <w:bidi w:val="0"/>
                    <w:rPr>
                      <w:rFonts w:hint="eastAsia"/>
                      <w:lang w:val="en-US" w:eastAsia="zh-CN"/>
                    </w:rPr>
                  </w:pPr>
                </w:p>
              </w:tc>
              <w:tc>
                <w:tcPr>
                  <w:tcW w:w="636" w:type="pct"/>
                  <w:noWrap w:val="0"/>
                  <w:vAlign w:val="center"/>
                </w:tcPr>
                <w:p w14:paraId="332BF36B">
                  <w:pPr>
                    <w:pStyle w:val="107"/>
                    <w:bidi w:val="0"/>
                    <w:ind w:firstLine="0" w:firstLineChars="0"/>
                    <w:rPr>
                      <w:rFonts w:hint="eastAsia"/>
                      <w:lang w:val="en-US" w:eastAsia="zh-CN"/>
                    </w:rPr>
                  </w:pPr>
                  <w:r>
                    <w:rPr>
                      <w:rFonts w:hint="eastAsia"/>
                      <w:lang w:val="en-US" w:eastAsia="zh-CN"/>
                    </w:rPr>
                    <w:t>4.573kg</w:t>
                  </w:r>
                  <w:r>
                    <w:t>/a</w:t>
                  </w:r>
                </w:p>
              </w:tc>
              <w:tc>
                <w:tcPr>
                  <w:tcW w:w="591" w:type="pct"/>
                  <w:noWrap w:val="0"/>
                  <w:vAlign w:val="center"/>
                </w:tcPr>
                <w:p w14:paraId="1D8902D9">
                  <w:pPr>
                    <w:pStyle w:val="107"/>
                    <w:bidi w:val="0"/>
                    <w:rPr>
                      <w:rFonts w:hint="default"/>
                      <w:lang w:val="en-US" w:eastAsia="zh-CN"/>
                    </w:rPr>
                  </w:pPr>
                  <w:r>
                    <w:rPr>
                      <w:rFonts w:hint="eastAsia"/>
                      <w:lang w:val="en-US" w:eastAsia="zh-CN"/>
                    </w:rPr>
                    <w:t>/</w:t>
                  </w:r>
                </w:p>
              </w:tc>
              <w:tc>
                <w:tcPr>
                  <w:tcW w:w="429" w:type="pct"/>
                  <w:vMerge w:val="continue"/>
                  <w:noWrap w:val="0"/>
                  <w:vAlign w:val="center"/>
                </w:tcPr>
                <w:p w14:paraId="15C40FA4">
                  <w:pPr>
                    <w:pStyle w:val="107"/>
                    <w:bidi w:val="0"/>
                    <w:rPr>
                      <w:rFonts w:hint="eastAsia"/>
                      <w:lang w:val="en-US" w:eastAsia="zh-CN"/>
                    </w:rPr>
                  </w:pPr>
                </w:p>
              </w:tc>
            </w:tr>
          </w:tbl>
          <w:p w14:paraId="12D3D093">
            <w:pPr>
              <w:pStyle w:val="5"/>
              <w:bidi w:val="0"/>
              <w:rPr>
                <w:rFonts w:hint="eastAsia"/>
              </w:rPr>
            </w:pPr>
            <w:r>
              <w:rPr>
                <w:rFonts w:hint="eastAsia"/>
                <w:lang w:val="en-US" w:eastAsia="zh-CN"/>
              </w:rPr>
              <w:t>4.2.2</w:t>
            </w:r>
            <w:r>
              <w:rPr>
                <w:rFonts w:hint="eastAsia"/>
              </w:rPr>
              <w:t>大气污染物排放量核算</w:t>
            </w:r>
          </w:p>
          <w:p w14:paraId="7354BE31">
            <w:pPr>
              <w:ind w:firstLine="482"/>
              <w:rPr>
                <w:rFonts w:hint="eastAsia"/>
                <w:b/>
                <w:bCs/>
                <w:color w:val="auto"/>
                <w:u w:val="none" w:color="auto"/>
              </w:rPr>
            </w:pPr>
            <w:r>
              <w:rPr>
                <w:rFonts w:hint="eastAsia"/>
                <w:b/>
                <w:bCs/>
                <w:color w:val="auto"/>
                <w:u w:val="none" w:color="auto"/>
                <w:lang w:val="en-US" w:eastAsia="zh-CN"/>
              </w:rPr>
              <w:t>1</w:t>
            </w:r>
            <w:r>
              <w:rPr>
                <w:rFonts w:hint="eastAsia"/>
                <w:b/>
                <w:bCs/>
                <w:color w:val="auto"/>
                <w:u w:val="none" w:color="auto"/>
              </w:rPr>
              <w:t>、无组织排放量核算</w:t>
            </w:r>
          </w:p>
          <w:p w14:paraId="73B5F854">
            <w:pPr>
              <w:pStyle w:val="44"/>
              <w:bidi w:val="0"/>
              <w:rPr>
                <w:rFonts w:hint="eastAsia"/>
              </w:rPr>
            </w:pPr>
            <w:r>
              <w:rPr>
                <w:rFonts w:hint="eastAsia"/>
              </w:rPr>
              <w:t>表</w:t>
            </w:r>
            <w:r>
              <w:rPr>
                <w:rFonts w:hint="eastAsia"/>
                <w:lang w:val="en-US" w:eastAsia="zh-CN"/>
              </w:rPr>
              <w:t>4.2-7：</w:t>
            </w:r>
            <w:r>
              <w:rPr>
                <w:rFonts w:hint="eastAsia"/>
              </w:rPr>
              <w:t>大气污染物无组织排放量核算表</w:t>
            </w:r>
          </w:p>
          <w:tbl>
            <w:tblPr>
              <w:tblStyle w:val="38"/>
              <w:tblW w:w="4988"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426"/>
              <w:gridCol w:w="743"/>
              <w:gridCol w:w="1353"/>
              <w:gridCol w:w="952"/>
              <w:gridCol w:w="1241"/>
              <w:gridCol w:w="1576"/>
              <w:gridCol w:w="1220"/>
              <w:gridCol w:w="1225"/>
            </w:tblGrid>
            <w:tr w14:paraId="39E994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54" w:hRule="atLeast"/>
                <w:jc w:val="center"/>
              </w:trPr>
              <w:tc>
                <w:tcPr>
                  <w:tcW w:w="243" w:type="pct"/>
                  <w:vMerge w:val="restart"/>
                  <w:noWrap w:val="0"/>
                  <w:vAlign w:val="center"/>
                </w:tcPr>
                <w:p w14:paraId="0B336302">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序号</w:t>
                  </w:r>
                </w:p>
              </w:tc>
              <w:tc>
                <w:tcPr>
                  <w:tcW w:w="425" w:type="pct"/>
                  <w:vMerge w:val="restart"/>
                  <w:noWrap w:val="0"/>
                  <w:vAlign w:val="center"/>
                </w:tcPr>
                <w:p w14:paraId="121C1510">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排放源编号</w:t>
                  </w:r>
                </w:p>
              </w:tc>
              <w:tc>
                <w:tcPr>
                  <w:tcW w:w="774" w:type="pct"/>
                  <w:vMerge w:val="restart"/>
                  <w:noWrap w:val="0"/>
                  <w:vAlign w:val="center"/>
                </w:tcPr>
                <w:p w14:paraId="3A390823">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产污环节</w:t>
                  </w:r>
                </w:p>
              </w:tc>
              <w:tc>
                <w:tcPr>
                  <w:tcW w:w="544" w:type="pct"/>
                  <w:vMerge w:val="restart"/>
                  <w:noWrap w:val="0"/>
                  <w:vAlign w:val="center"/>
                </w:tcPr>
                <w:p w14:paraId="6B4F13EE">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污染物</w:t>
                  </w:r>
                </w:p>
              </w:tc>
              <w:tc>
                <w:tcPr>
                  <w:tcW w:w="710" w:type="pct"/>
                  <w:vMerge w:val="restart"/>
                  <w:noWrap w:val="0"/>
                  <w:vAlign w:val="center"/>
                </w:tcPr>
                <w:p w14:paraId="267D65F6">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主要污染防治措施</w:t>
                  </w:r>
                </w:p>
              </w:tc>
              <w:tc>
                <w:tcPr>
                  <w:tcW w:w="1600" w:type="pct"/>
                  <w:gridSpan w:val="2"/>
                  <w:noWrap w:val="0"/>
                  <w:vAlign w:val="center"/>
                </w:tcPr>
                <w:p w14:paraId="6B8A7D62">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国家或地方污染物排放标准</w:t>
                  </w:r>
                </w:p>
              </w:tc>
              <w:tc>
                <w:tcPr>
                  <w:tcW w:w="701" w:type="pct"/>
                  <w:vMerge w:val="restart"/>
                  <w:noWrap w:val="0"/>
                  <w:vAlign w:val="center"/>
                </w:tcPr>
                <w:p w14:paraId="0FA64831">
                  <w:pPr>
                    <w:pStyle w:val="107"/>
                    <w:keepNext w:val="0"/>
                    <w:keepLines w:val="0"/>
                    <w:pageBreakBefore w:val="0"/>
                    <w:widowControl w:val="0"/>
                    <w:kinsoku/>
                    <w:bidi w:val="0"/>
                    <w:rPr>
                      <w:rFonts w:hint="eastAsia"/>
                      <w:color w:val="auto"/>
                      <w:u w:val="none" w:color="auto"/>
                    </w:rPr>
                  </w:pPr>
                  <w:r>
                    <w:rPr>
                      <w:rFonts w:hint="eastAsia"/>
                      <w:b/>
                      <w:bCs/>
                      <w:color w:val="auto"/>
                      <w:u w:val="none" w:color="auto"/>
                    </w:rPr>
                    <w:t>年排放量（t/a）</w:t>
                  </w:r>
                </w:p>
              </w:tc>
            </w:tr>
            <w:tr w14:paraId="6DCAC3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vMerge w:val="continue"/>
                  <w:noWrap w:val="0"/>
                  <w:vAlign w:val="center"/>
                </w:tcPr>
                <w:p w14:paraId="71FCAB1A">
                  <w:pPr>
                    <w:pStyle w:val="107"/>
                    <w:keepNext w:val="0"/>
                    <w:keepLines w:val="0"/>
                    <w:pageBreakBefore w:val="0"/>
                    <w:widowControl w:val="0"/>
                    <w:kinsoku/>
                    <w:bidi w:val="0"/>
                    <w:rPr>
                      <w:rFonts w:hint="eastAsia"/>
                      <w:b/>
                      <w:bCs/>
                      <w:color w:val="auto"/>
                      <w:u w:val="none" w:color="auto"/>
                    </w:rPr>
                  </w:pPr>
                </w:p>
              </w:tc>
              <w:tc>
                <w:tcPr>
                  <w:tcW w:w="425" w:type="pct"/>
                  <w:vMerge w:val="continue"/>
                  <w:noWrap w:val="0"/>
                  <w:vAlign w:val="center"/>
                </w:tcPr>
                <w:p w14:paraId="03C8F090">
                  <w:pPr>
                    <w:pStyle w:val="107"/>
                    <w:keepNext w:val="0"/>
                    <w:keepLines w:val="0"/>
                    <w:pageBreakBefore w:val="0"/>
                    <w:widowControl w:val="0"/>
                    <w:kinsoku/>
                    <w:bidi w:val="0"/>
                    <w:rPr>
                      <w:rFonts w:hint="eastAsia"/>
                      <w:b/>
                      <w:bCs/>
                      <w:color w:val="auto"/>
                      <w:u w:val="none" w:color="auto"/>
                    </w:rPr>
                  </w:pPr>
                </w:p>
              </w:tc>
              <w:tc>
                <w:tcPr>
                  <w:tcW w:w="774" w:type="pct"/>
                  <w:vMerge w:val="continue"/>
                  <w:noWrap w:val="0"/>
                  <w:vAlign w:val="center"/>
                </w:tcPr>
                <w:p w14:paraId="21C9E2A4">
                  <w:pPr>
                    <w:pStyle w:val="107"/>
                    <w:keepNext w:val="0"/>
                    <w:keepLines w:val="0"/>
                    <w:pageBreakBefore w:val="0"/>
                    <w:widowControl w:val="0"/>
                    <w:kinsoku/>
                    <w:bidi w:val="0"/>
                    <w:rPr>
                      <w:rFonts w:hint="eastAsia"/>
                      <w:b/>
                      <w:bCs/>
                      <w:color w:val="auto"/>
                      <w:u w:val="none" w:color="auto"/>
                    </w:rPr>
                  </w:pPr>
                </w:p>
              </w:tc>
              <w:tc>
                <w:tcPr>
                  <w:tcW w:w="544" w:type="pct"/>
                  <w:vMerge w:val="continue"/>
                  <w:noWrap w:val="0"/>
                  <w:vAlign w:val="center"/>
                </w:tcPr>
                <w:p w14:paraId="73BF75DA">
                  <w:pPr>
                    <w:pStyle w:val="107"/>
                    <w:keepNext w:val="0"/>
                    <w:keepLines w:val="0"/>
                    <w:pageBreakBefore w:val="0"/>
                    <w:widowControl w:val="0"/>
                    <w:kinsoku/>
                    <w:bidi w:val="0"/>
                    <w:rPr>
                      <w:rFonts w:hint="eastAsia"/>
                      <w:b/>
                      <w:bCs/>
                      <w:color w:val="auto"/>
                      <w:u w:val="none" w:color="auto"/>
                    </w:rPr>
                  </w:pPr>
                </w:p>
              </w:tc>
              <w:tc>
                <w:tcPr>
                  <w:tcW w:w="710" w:type="pct"/>
                  <w:vMerge w:val="continue"/>
                  <w:noWrap w:val="0"/>
                  <w:vAlign w:val="center"/>
                </w:tcPr>
                <w:p w14:paraId="291ECD2A">
                  <w:pPr>
                    <w:pStyle w:val="107"/>
                    <w:keepNext w:val="0"/>
                    <w:keepLines w:val="0"/>
                    <w:pageBreakBefore w:val="0"/>
                    <w:widowControl w:val="0"/>
                    <w:kinsoku/>
                    <w:bidi w:val="0"/>
                    <w:rPr>
                      <w:rFonts w:hint="eastAsia"/>
                      <w:b/>
                      <w:bCs/>
                      <w:color w:val="auto"/>
                      <w:u w:val="none" w:color="auto"/>
                    </w:rPr>
                  </w:pPr>
                </w:p>
              </w:tc>
              <w:tc>
                <w:tcPr>
                  <w:tcW w:w="902" w:type="pct"/>
                  <w:noWrap w:val="0"/>
                  <w:vAlign w:val="center"/>
                </w:tcPr>
                <w:p w14:paraId="58C8FDD9">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标准名称</w:t>
                  </w:r>
                </w:p>
              </w:tc>
              <w:tc>
                <w:tcPr>
                  <w:tcW w:w="698" w:type="pct"/>
                  <w:noWrap w:val="0"/>
                  <w:vAlign w:val="center"/>
                </w:tcPr>
                <w:p w14:paraId="16762104">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浓度限值/（mg/m</w:t>
                  </w:r>
                  <w:r>
                    <w:rPr>
                      <w:rFonts w:hint="eastAsia"/>
                      <w:b/>
                      <w:bCs/>
                      <w:color w:val="auto"/>
                      <w:u w:val="none" w:color="auto"/>
                      <w:vertAlign w:val="superscript"/>
                    </w:rPr>
                    <w:t>3</w:t>
                  </w:r>
                  <w:r>
                    <w:rPr>
                      <w:rFonts w:hint="eastAsia"/>
                      <w:b/>
                      <w:bCs/>
                      <w:color w:val="auto"/>
                      <w:u w:val="none" w:color="auto"/>
                    </w:rPr>
                    <w:t>）</w:t>
                  </w:r>
                </w:p>
              </w:tc>
              <w:tc>
                <w:tcPr>
                  <w:tcW w:w="701" w:type="pct"/>
                  <w:vMerge w:val="continue"/>
                  <w:noWrap w:val="0"/>
                  <w:vAlign w:val="center"/>
                </w:tcPr>
                <w:p w14:paraId="693A31C7">
                  <w:pPr>
                    <w:pStyle w:val="107"/>
                    <w:keepNext w:val="0"/>
                    <w:keepLines w:val="0"/>
                    <w:pageBreakBefore w:val="0"/>
                    <w:widowControl w:val="0"/>
                    <w:kinsoku/>
                    <w:bidi w:val="0"/>
                    <w:rPr>
                      <w:rFonts w:hint="eastAsia"/>
                      <w:color w:val="auto"/>
                      <w:u w:val="none" w:color="auto"/>
                    </w:rPr>
                  </w:pPr>
                </w:p>
              </w:tc>
            </w:tr>
            <w:tr w14:paraId="4494DE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4B48DEDC">
                  <w:pPr>
                    <w:pStyle w:val="107"/>
                    <w:keepNext w:val="0"/>
                    <w:keepLines w:val="0"/>
                    <w:pageBreakBefore w:val="0"/>
                    <w:widowControl w:val="0"/>
                    <w:kinsoku/>
                    <w:bidi w:val="0"/>
                    <w:rPr>
                      <w:rFonts w:hint="eastAsia"/>
                      <w:color w:val="auto"/>
                      <w:u w:val="none" w:color="auto"/>
                    </w:rPr>
                  </w:pPr>
                  <w:r>
                    <w:rPr>
                      <w:rFonts w:hint="eastAsia"/>
                      <w:color w:val="auto"/>
                      <w:u w:val="none" w:color="auto"/>
                    </w:rPr>
                    <w:t>1</w:t>
                  </w:r>
                </w:p>
              </w:tc>
              <w:tc>
                <w:tcPr>
                  <w:tcW w:w="425" w:type="pct"/>
                  <w:vMerge w:val="restart"/>
                  <w:noWrap w:val="0"/>
                  <w:vAlign w:val="center"/>
                </w:tcPr>
                <w:p w14:paraId="46DD85EF">
                  <w:pPr>
                    <w:pStyle w:val="107"/>
                    <w:keepNext w:val="0"/>
                    <w:keepLines w:val="0"/>
                    <w:pageBreakBefore w:val="0"/>
                    <w:widowControl w:val="0"/>
                    <w:kinsoku/>
                    <w:bidi w:val="0"/>
                    <w:rPr>
                      <w:rFonts w:hint="eastAsia"/>
                      <w:color w:val="auto"/>
                      <w:u w:val="none" w:color="auto"/>
                    </w:rPr>
                  </w:pPr>
                  <w:r>
                    <w:rPr>
                      <w:rFonts w:hint="eastAsia"/>
                      <w:color w:val="auto"/>
                      <w:u w:val="none" w:color="auto"/>
                      <w:lang w:val="en-US" w:eastAsia="zh-CN"/>
                    </w:rPr>
                    <w:t>建筑垃圾消纳场</w:t>
                  </w:r>
                  <w:r>
                    <w:rPr>
                      <w:rFonts w:hint="eastAsia"/>
                      <w:color w:val="auto"/>
                      <w:u w:val="none" w:color="auto"/>
                    </w:rPr>
                    <w:t>无组织</w:t>
                  </w:r>
                </w:p>
              </w:tc>
              <w:tc>
                <w:tcPr>
                  <w:tcW w:w="774" w:type="pct"/>
                  <w:noWrap w:val="0"/>
                  <w:vAlign w:val="center"/>
                </w:tcPr>
                <w:p w14:paraId="7ED4D96C">
                  <w:pPr>
                    <w:pStyle w:val="107"/>
                    <w:bidi w:val="0"/>
                    <w:ind w:firstLine="0" w:firstLineChars="0"/>
                    <w:rPr>
                      <w:rFonts w:hint="eastAsia"/>
                      <w:color w:val="auto"/>
                      <w:u w:val="none" w:color="auto"/>
                    </w:rPr>
                  </w:pPr>
                  <w:r>
                    <w:rPr>
                      <w:rFonts w:hint="eastAsia"/>
                      <w:lang w:val="en-US" w:eastAsia="zh-CN"/>
                    </w:rPr>
                    <w:t>车辆运输扬尘</w:t>
                  </w:r>
                </w:p>
              </w:tc>
              <w:tc>
                <w:tcPr>
                  <w:tcW w:w="544" w:type="pct"/>
                  <w:noWrap w:val="0"/>
                  <w:vAlign w:val="center"/>
                </w:tcPr>
                <w:p w14:paraId="39B84B9E">
                  <w:pPr>
                    <w:pStyle w:val="107"/>
                    <w:keepNext w:val="0"/>
                    <w:keepLines w:val="0"/>
                    <w:pageBreakBefore w:val="0"/>
                    <w:widowControl w:val="0"/>
                    <w:kinsoku/>
                    <w:bidi w:val="0"/>
                    <w:rPr>
                      <w:rFonts w:hint="eastAsia"/>
                      <w:color w:val="auto"/>
                      <w:u w:val="none" w:color="auto"/>
                    </w:rPr>
                  </w:pPr>
                  <w:r>
                    <w:rPr>
                      <w:rFonts w:hint="eastAsia"/>
                      <w:color w:val="auto"/>
                      <w:u w:val="none" w:color="auto"/>
                    </w:rPr>
                    <w:t>颗粒物</w:t>
                  </w:r>
                </w:p>
              </w:tc>
              <w:tc>
                <w:tcPr>
                  <w:tcW w:w="710" w:type="pct"/>
                  <w:noWrap w:val="0"/>
                  <w:vAlign w:val="center"/>
                </w:tcPr>
                <w:p w14:paraId="10B19CF7">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洒水降尘</w:t>
                  </w:r>
                </w:p>
              </w:tc>
              <w:tc>
                <w:tcPr>
                  <w:tcW w:w="902" w:type="pct"/>
                  <w:vMerge w:val="restart"/>
                  <w:noWrap w:val="0"/>
                  <w:vAlign w:val="center"/>
                </w:tcPr>
                <w:p w14:paraId="46D63618">
                  <w:pPr>
                    <w:pStyle w:val="107"/>
                    <w:keepNext w:val="0"/>
                    <w:keepLines w:val="0"/>
                    <w:pageBreakBefore w:val="0"/>
                    <w:widowControl w:val="0"/>
                    <w:kinsoku/>
                    <w:bidi w:val="0"/>
                    <w:rPr>
                      <w:rFonts w:hint="eastAsia"/>
                      <w:color w:val="auto"/>
                      <w:u w:val="none" w:color="auto"/>
                    </w:rPr>
                  </w:pPr>
                  <w:r>
                    <w:rPr>
                      <w:rFonts w:hint="default"/>
                      <w:color w:val="auto"/>
                      <w:u w:val="none" w:color="auto"/>
                    </w:rPr>
                    <w:t>《大气污染物综合排放标准》（GB16297-1996）</w:t>
                  </w:r>
                </w:p>
              </w:tc>
              <w:tc>
                <w:tcPr>
                  <w:tcW w:w="698" w:type="pct"/>
                  <w:noWrap w:val="0"/>
                  <w:vAlign w:val="center"/>
                </w:tcPr>
                <w:p w14:paraId="589F244E">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1.0</w:t>
                  </w:r>
                </w:p>
              </w:tc>
              <w:tc>
                <w:tcPr>
                  <w:tcW w:w="701" w:type="pct"/>
                  <w:shd w:val="clear" w:color="auto" w:fill="auto"/>
                  <w:noWrap w:val="0"/>
                  <w:vAlign w:val="center"/>
                </w:tcPr>
                <w:p w14:paraId="72CA6591">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0.045</w:t>
                  </w:r>
                </w:p>
              </w:tc>
            </w:tr>
            <w:tr w14:paraId="4405A4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1EC57EF2">
                  <w:pPr>
                    <w:pStyle w:val="107"/>
                    <w:keepNext w:val="0"/>
                    <w:keepLines w:val="0"/>
                    <w:pageBreakBefore w:val="0"/>
                    <w:widowControl w:val="0"/>
                    <w:kinsoku/>
                    <w:bidi w:val="0"/>
                    <w:rPr>
                      <w:rFonts w:hint="eastAsia"/>
                      <w:color w:val="auto"/>
                      <w:u w:val="none" w:color="auto"/>
                    </w:rPr>
                  </w:pPr>
                  <w:r>
                    <w:rPr>
                      <w:rFonts w:hint="eastAsia"/>
                      <w:color w:val="auto"/>
                      <w:u w:val="none" w:color="auto"/>
                    </w:rPr>
                    <w:t>2</w:t>
                  </w:r>
                </w:p>
              </w:tc>
              <w:tc>
                <w:tcPr>
                  <w:tcW w:w="425" w:type="pct"/>
                  <w:vMerge w:val="continue"/>
                  <w:noWrap w:val="0"/>
                  <w:vAlign w:val="center"/>
                </w:tcPr>
                <w:p w14:paraId="631DC193">
                  <w:pPr>
                    <w:pStyle w:val="107"/>
                    <w:keepNext w:val="0"/>
                    <w:keepLines w:val="0"/>
                    <w:pageBreakBefore w:val="0"/>
                    <w:widowControl w:val="0"/>
                    <w:kinsoku/>
                    <w:bidi w:val="0"/>
                    <w:rPr>
                      <w:rFonts w:hint="eastAsia"/>
                      <w:color w:val="auto"/>
                      <w:u w:val="none" w:color="auto"/>
                    </w:rPr>
                  </w:pPr>
                </w:p>
              </w:tc>
              <w:tc>
                <w:tcPr>
                  <w:tcW w:w="774" w:type="pct"/>
                  <w:noWrap w:val="0"/>
                  <w:vAlign w:val="center"/>
                </w:tcPr>
                <w:p w14:paraId="498B7A50">
                  <w:pPr>
                    <w:pStyle w:val="107"/>
                    <w:bidi w:val="0"/>
                    <w:ind w:firstLine="0" w:firstLineChars="0"/>
                    <w:rPr>
                      <w:rFonts w:hint="eastAsia"/>
                      <w:color w:val="auto"/>
                      <w:u w:val="none" w:color="auto"/>
                    </w:rPr>
                  </w:pPr>
                  <w:r>
                    <w:rPr>
                      <w:rFonts w:hint="eastAsia"/>
                      <w:lang w:val="en-US" w:eastAsia="zh-CN"/>
                    </w:rPr>
                    <w:t>运输车辆装卸粉尘</w:t>
                  </w:r>
                </w:p>
              </w:tc>
              <w:tc>
                <w:tcPr>
                  <w:tcW w:w="544" w:type="pct"/>
                  <w:noWrap w:val="0"/>
                  <w:vAlign w:val="center"/>
                </w:tcPr>
                <w:p w14:paraId="6CD229F3">
                  <w:pPr>
                    <w:pStyle w:val="107"/>
                    <w:keepNext w:val="0"/>
                    <w:keepLines w:val="0"/>
                    <w:pageBreakBefore w:val="0"/>
                    <w:widowControl w:val="0"/>
                    <w:kinsoku/>
                    <w:bidi w:val="0"/>
                    <w:rPr>
                      <w:rFonts w:hint="eastAsia"/>
                      <w:color w:val="auto"/>
                      <w:u w:val="none" w:color="auto"/>
                    </w:rPr>
                  </w:pPr>
                  <w:r>
                    <w:rPr>
                      <w:rFonts w:hint="eastAsia"/>
                      <w:color w:val="auto"/>
                      <w:u w:val="none" w:color="auto"/>
                    </w:rPr>
                    <w:t>颗粒物</w:t>
                  </w:r>
                </w:p>
              </w:tc>
              <w:tc>
                <w:tcPr>
                  <w:tcW w:w="710" w:type="pct"/>
                  <w:noWrap w:val="0"/>
                  <w:vAlign w:val="center"/>
                </w:tcPr>
                <w:p w14:paraId="032CBEA4">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洒水+围挡</w:t>
                  </w:r>
                </w:p>
              </w:tc>
              <w:tc>
                <w:tcPr>
                  <w:tcW w:w="902" w:type="pct"/>
                  <w:vMerge w:val="continue"/>
                  <w:noWrap w:val="0"/>
                  <w:vAlign w:val="center"/>
                </w:tcPr>
                <w:p w14:paraId="625F4F96">
                  <w:pPr>
                    <w:pStyle w:val="107"/>
                    <w:keepNext w:val="0"/>
                    <w:keepLines w:val="0"/>
                    <w:pageBreakBefore w:val="0"/>
                    <w:widowControl w:val="0"/>
                    <w:kinsoku/>
                    <w:bidi w:val="0"/>
                    <w:rPr>
                      <w:rFonts w:hint="eastAsia"/>
                      <w:color w:val="auto"/>
                      <w:u w:val="none" w:color="auto"/>
                    </w:rPr>
                  </w:pPr>
                </w:p>
              </w:tc>
              <w:tc>
                <w:tcPr>
                  <w:tcW w:w="698" w:type="pct"/>
                  <w:noWrap w:val="0"/>
                  <w:vAlign w:val="center"/>
                </w:tcPr>
                <w:p w14:paraId="5EDF5A07">
                  <w:pPr>
                    <w:pStyle w:val="107"/>
                    <w:keepNext w:val="0"/>
                    <w:keepLines w:val="0"/>
                    <w:pageBreakBefore w:val="0"/>
                    <w:widowControl w:val="0"/>
                    <w:kinsoku/>
                    <w:bidi w:val="0"/>
                    <w:rPr>
                      <w:rFonts w:hint="eastAsia"/>
                      <w:color w:val="auto"/>
                      <w:u w:val="none" w:color="auto"/>
                    </w:rPr>
                  </w:pPr>
                  <w:r>
                    <w:rPr>
                      <w:rFonts w:hint="eastAsia"/>
                      <w:color w:val="auto"/>
                      <w:u w:val="none" w:color="auto"/>
                    </w:rPr>
                    <w:t>1.0</w:t>
                  </w:r>
                </w:p>
              </w:tc>
              <w:tc>
                <w:tcPr>
                  <w:tcW w:w="701" w:type="pct"/>
                  <w:shd w:val="clear" w:color="auto" w:fill="auto"/>
                  <w:noWrap w:val="0"/>
                  <w:vAlign w:val="center"/>
                </w:tcPr>
                <w:p w14:paraId="7C0A6283">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3.114</w:t>
                  </w:r>
                </w:p>
              </w:tc>
            </w:tr>
            <w:tr w14:paraId="661350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6CDF5508">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3</w:t>
                  </w:r>
                </w:p>
              </w:tc>
              <w:tc>
                <w:tcPr>
                  <w:tcW w:w="425" w:type="pct"/>
                  <w:vMerge w:val="continue"/>
                  <w:noWrap w:val="0"/>
                  <w:vAlign w:val="center"/>
                </w:tcPr>
                <w:p w14:paraId="0CF2AFFE">
                  <w:pPr>
                    <w:pStyle w:val="107"/>
                    <w:keepNext w:val="0"/>
                    <w:keepLines w:val="0"/>
                    <w:pageBreakBefore w:val="0"/>
                    <w:widowControl w:val="0"/>
                    <w:kinsoku/>
                    <w:bidi w:val="0"/>
                    <w:rPr>
                      <w:rFonts w:hint="eastAsia"/>
                      <w:color w:val="auto"/>
                      <w:u w:val="none" w:color="auto"/>
                    </w:rPr>
                  </w:pPr>
                </w:p>
              </w:tc>
              <w:tc>
                <w:tcPr>
                  <w:tcW w:w="774" w:type="pct"/>
                  <w:noWrap w:val="0"/>
                  <w:vAlign w:val="center"/>
                </w:tcPr>
                <w:p w14:paraId="61B0A4F3">
                  <w:pPr>
                    <w:pStyle w:val="107"/>
                    <w:bidi w:val="0"/>
                    <w:ind w:firstLine="0" w:firstLineChars="0"/>
                    <w:rPr>
                      <w:rFonts w:hint="default"/>
                      <w:color w:val="auto"/>
                      <w:u w:val="none" w:color="auto"/>
                      <w:lang w:val="en-US" w:eastAsia="zh-CN"/>
                    </w:rPr>
                  </w:pPr>
                  <w:r>
                    <w:rPr>
                      <w:rFonts w:hint="default"/>
                      <w:lang w:val="en-US" w:eastAsia="zh-CN"/>
                    </w:rPr>
                    <w:t>碾压扬尘</w:t>
                  </w:r>
                </w:p>
              </w:tc>
              <w:tc>
                <w:tcPr>
                  <w:tcW w:w="544" w:type="pct"/>
                  <w:noWrap w:val="0"/>
                  <w:vAlign w:val="center"/>
                </w:tcPr>
                <w:p w14:paraId="107755FA">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颗粒物</w:t>
                  </w:r>
                </w:p>
              </w:tc>
              <w:tc>
                <w:tcPr>
                  <w:tcW w:w="710" w:type="pct"/>
                  <w:noWrap w:val="0"/>
                  <w:vAlign w:val="center"/>
                </w:tcPr>
                <w:p w14:paraId="720D10C2">
                  <w:pPr>
                    <w:pStyle w:val="107"/>
                    <w:keepNext w:val="0"/>
                    <w:keepLines w:val="0"/>
                    <w:pageBreakBefore w:val="0"/>
                    <w:widowControl w:val="0"/>
                    <w:kinsoku/>
                    <w:bidi w:val="0"/>
                    <w:rPr>
                      <w:rFonts w:hint="default"/>
                      <w:color w:val="auto"/>
                      <w:u w:val="none" w:color="auto"/>
                      <w:lang w:val="en-US"/>
                    </w:rPr>
                  </w:pPr>
                  <w:r>
                    <w:rPr>
                      <w:rFonts w:hint="eastAsia"/>
                      <w:color w:val="auto"/>
                      <w:u w:val="none" w:color="auto"/>
                      <w:lang w:val="en-US" w:eastAsia="zh-CN"/>
                    </w:rPr>
                    <w:t>洒水降尘</w:t>
                  </w:r>
                </w:p>
              </w:tc>
              <w:tc>
                <w:tcPr>
                  <w:tcW w:w="902" w:type="pct"/>
                  <w:vMerge w:val="continue"/>
                  <w:noWrap w:val="0"/>
                  <w:vAlign w:val="center"/>
                </w:tcPr>
                <w:p w14:paraId="71DC783A">
                  <w:pPr>
                    <w:pStyle w:val="107"/>
                    <w:keepNext w:val="0"/>
                    <w:keepLines w:val="0"/>
                    <w:pageBreakBefore w:val="0"/>
                    <w:widowControl w:val="0"/>
                    <w:kinsoku/>
                    <w:bidi w:val="0"/>
                    <w:rPr>
                      <w:rFonts w:hint="eastAsia"/>
                      <w:color w:val="auto"/>
                      <w:u w:val="none" w:color="auto"/>
                    </w:rPr>
                  </w:pPr>
                </w:p>
              </w:tc>
              <w:tc>
                <w:tcPr>
                  <w:tcW w:w="698" w:type="pct"/>
                  <w:noWrap w:val="0"/>
                  <w:vAlign w:val="center"/>
                </w:tcPr>
                <w:p w14:paraId="03CCC90E">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1.0</w:t>
                  </w:r>
                </w:p>
              </w:tc>
              <w:tc>
                <w:tcPr>
                  <w:tcW w:w="701" w:type="pct"/>
                  <w:shd w:val="clear" w:color="auto" w:fill="auto"/>
                  <w:noWrap w:val="0"/>
                  <w:vAlign w:val="center"/>
                </w:tcPr>
                <w:p w14:paraId="530E605E">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cs="Times New Roman"/>
                      <w:kern w:val="0"/>
                      <w:sz w:val="21"/>
                      <w:szCs w:val="20"/>
                      <w:lang w:val="en-US" w:eastAsia="zh-CN" w:bidi="ar-SA"/>
                    </w:rPr>
                    <w:t>0.008</w:t>
                  </w:r>
                </w:p>
              </w:tc>
            </w:tr>
            <w:tr w14:paraId="7DCF7C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627D5B8C">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4</w:t>
                  </w:r>
                </w:p>
              </w:tc>
              <w:tc>
                <w:tcPr>
                  <w:tcW w:w="425" w:type="pct"/>
                  <w:vMerge w:val="continue"/>
                  <w:noWrap w:val="0"/>
                  <w:vAlign w:val="center"/>
                </w:tcPr>
                <w:p w14:paraId="6B3F25BF">
                  <w:pPr>
                    <w:pStyle w:val="107"/>
                    <w:keepNext w:val="0"/>
                    <w:keepLines w:val="0"/>
                    <w:pageBreakBefore w:val="0"/>
                    <w:widowControl w:val="0"/>
                    <w:kinsoku/>
                    <w:bidi w:val="0"/>
                    <w:rPr>
                      <w:rFonts w:hint="eastAsia"/>
                      <w:color w:val="auto"/>
                      <w:u w:val="none" w:color="auto"/>
                    </w:rPr>
                  </w:pPr>
                </w:p>
              </w:tc>
              <w:tc>
                <w:tcPr>
                  <w:tcW w:w="774" w:type="pct"/>
                  <w:noWrap w:val="0"/>
                  <w:vAlign w:val="center"/>
                </w:tcPr>
                <w:p w14:paraId="30A5FDC6">
                  <w:pPr>
                    <w:pStyle w:val="107"/>
                    <w:bidi w:val="0"/>
                    <w:ind w:firstLine="0" w:firstLineChars="0"/>
                    <w:rPr>
                      <w:rFonts w:hint="eastAsia"/>
                      <w:color w:val="auto"/>
                      <w:u w:val="none" w:color="auto"/>
                      <w:lang w:val="en-US" w:eastAsia="zh-CN"/>
                    </w:rPr>
                  </w:pPr>
                  <w:r>
                    <w:rPr>
                      <w:rFonts w:hint="default"/>
                      <w:lang w:val="en-US" w:eastAsia="zh-CN"/>
                    </w:rPr>
                    <w:t>堆填场扬尘</w:t>
                  </w:r>
                </w:p>
              </w:tc>
              <w:tc>
                <w:tcPr>
                  <w:tcW w:w="544" w:type="pct"/>
                  <w:noWrap w:val="0"/>
                  <w:vAlign w:val="center"/>
                </w:tcPr>
                <w:p w14:paraId="19D4F938">
                  <w:pPr>
                    <w:pStyle w:val="107"/>
                    <w:keepNext w:val="0"/>
                    <w:keepLines w:val="0"/>
                    <w:pageBreakBefore w:val="0"/>
                    <w:widowControl w:val="0"/>
                    <w:kinsoku/>
                    <w:bidi w:val="0"/>
                    <w:rPr>
                      <w:rFonts w:hint="eastAsia"/>
                      <w:color w:val="auto"/>
                      <w:u w:val="none" w:color="auto"/>
                    </w:rPr>
                  </w:pPr>
                  <w:r>
                    <w:rPr>
                      <w:rFonts w:hint="eastAsia"/>
                      <w:color w:val="auto"/>
                      <w:u w:val="none" w:color="auto"/>
                    </w:rPr>
                    <w:t>颗粒物</w:t>
                  </w:r>
                </w:p>
              </w:tc>
              <w:tc>
                <w:tcPr>
                  <w:tcW w:w="710" w:type="pct"/>
                  <w:noWrap w:val="0"/>
                  <w:vAlign w:val="center"/>
                </w:tcPr>
                <w:p w14:paraId="5305EE77">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洒水奖惩</w:t>
                  </w:r>
                </w:p>
              </w:tc>
              <w:tc>
                <w:tcPr>
                  <w:tcW w:w="902" w:type="pct"/>
                  <w:vMerge w:val="continue"/>
                  <w:noWrap w:val="0"/>
                  <w:vAlign w:val="center"/>
                </w:tcPr>
                <w:p w14:paraId="482F2D16">
                  <w:pPr>
                    <w:pStyle w:val="107"/>
                    <w:keepNext w:val="0"/>
                    <w:keepLines w:val="0"/>
                    <w:pageBreakBefore w:val="0"/>
                    <w:widowControl w:val="0"/>
                    <w:kinsoku/>
                    <w:bidi w:val="0"/>
                    <w:rPr>
                      <w:rFonts w:hint="eastAsia"/>
                      <w:color w:val="auto"/>
                      <w:u w:val="none" w:color="auto"/>
                    </w:rPr>
                  </w:pPr>
                </w:p>
              </w:tc>
              <w:tc>
                <w:tcPr>
                  <w:tcW w:w="698" w:type="pct"/>
                  <w:noWrap w:val="0"/>
                  <w:vAlign w:val="center"/>
                </w:tcPr>
                <w:p w14:paraId="0DB4CF48">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1.0</w:t>
                  </w:r>
                </w:p>
              </w:tc>
              <w:tc>
                <w:tcPr>
                  <w:tcW w:w="701" w:type="pct"/>
                  <w:shd w:val="clear" w:color="auto" w:fill="auto"/>
                  <w:noWrap w:val="0"/>
                  <w:vAlign w:val="center"/>
                </w:tcPr>
                <w:p w14:paraId="20B1421B">
                  <w:pPr>
                    <w:pStyle w:val="107"/>
                    <w:bidi w:val="0"/>
                    <w:ind w:firstLine="0" w:firstLineChars="0"/>
                    <w:rPr>
                      <w:rFonts w:hint="default" w:ascii="Times New Roman" w:hAnsi="Times New Roman" w:eastAsia="宋体" w:cs="Times New Roman"/>
                      <w:kern w:val="0"/>
                      <w:sz w:val="21"/>
                      <w:szCs w:val="20"/>
                      <w:lang w:val="en-US" w:eastAsia="zh-CN" w:bidi="ar-SA"/>
                    </w:rPr>
                  </w:pPr>
                  <w:r>
                    <w:rPr>
                      <w:rFonts w:hint="eastAsia"/>
                      <w:lang w:val="en-US" w:eastAsia="zh-CN"/>
                    </w:rPr>
                    <w:t>0.160</w:t>
                  </w:r>
                </w:p>
              </w:tc>
            </w:tr>
            <w:tr w14:paraId="225D87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58EF490C">
                  <w:pPr>
                    <w:pStyle w:val="107"/>
                    <w:keepNext w:val="0"/>
                    <w:keepLines w:val="0"/>
                    <w:pageBreakBefore w:val="0"/>
                    <w:widowControl w:val="0"/>
                    <w:kinsoku/>
                    <w:bidi w:val="0"/>
                    <w:rPr>
                      <w:rFonts w:hint="eastAsia"/>
                      <w:color w:val="auto"/>
                      <w:u w:val="none" w:color="auto"/>
                      <w:lang w:eastAsia="zh-CN"/>
                    </w:rPr>
                  </w:pPr>
                  <w:r>
                    <w:rPr>
                      <w:rFonts w:hint="eastAsia"/>
                      <w:color w:val="auto"/>
                      <w:u w:val="none" w:color="auto"/>
                      <w:lang w:val="en-US" w:eastAsia="zh-CN"/>
                    </w:rPr>
                    <w:t>5</w:t>
                  </w:r>
                </w:p>
              </w:tc>
              <w:tc>
                <w:tcPr>
                  <w:tcW w:w="425" w:type="pct"/>
                  <w:vMerge w:val="continue"/>
                  <w:noWrap w:val="0"/>
                  <w:vAlign w:val="center"/>
                </w:tcPr>
                <w:p w14:paraId="00002824">
                  <w:pPr>
                    <w:pStyle w:val="107"/>
                    <w:keepNext w:val="0"/>
                    <w:keepLines w:val="0"/>
                    <w:pageBreakBefore w:val="0"/>
                    <w:widowControl w:val="0"/>
                    <w:kinsoku/>
                    <w:bidi w:val="0"/>
                    <w:rPr>
                      <w:rFonts w:hint="eastAsia"/>
                      <w:color w:val="auto"/>
                      <w:u w:val="none" w:color="auto"/>
                    </w:rPr>
                  </w:pPr>
                </w:p>
              </w:tc>
              <w:tc>
                <w:tcPr>
                  <w:tcW w:w="774" w:type="pct"/>
                  <w:vMerge w:val="restart"/>
                  <w:noWrap w:val="0"/>
                  <w:vAlign w:val="center"/>
                </w:tcPr>
                <w:p w14:paraId="703435BE">
                  <w:pPr>
                    <w:pStyle w:val="107"/>
                    <w:keepNext w:val="0"/>
                    <w:keepLines w:val="0"/>
                    <w:pageBreakBefore w:val="0"/>
                    <w:widowControl w:val="0"/>
                    <w:kinsoku/>
                    <w:bidi w:val="0"/>
                    <w:rPr>
                      <w:rFonts w:hint="eastAsia"/>
                      <w:color w:val="auto"/>
                      <w:u w:val="none" w:color="auto"/>
                    </w:rPr>
                  </w:pPr>
                  <w:r>
                    <w:rPr>
                      <w:rFonts w:hint="eastAsia"/>
                      <w:color w:val="auto"/>
                      <w:u w:val="none" w:color="auto"/>
                      <w:lang w:val="en-US" w:eastAsia="zh-CN"/>
                    </w:rPr>
                    <w:t>汽车尾气</w:t>
                  </w:r>
                </w:p>
              </w:tc>
              <w:tc>
                <w:tcPr>
                  <w:tcW w:w="544" w:type="pct"/>
                  <w:noWrap w:val="0"/>
                  <w:vAlign w:val="center"/>
                </w:tcPr>
                <w:p w14:paraId="347E66C0">
                  <w:pPr>
                    <w:pStyle w:val="107"/>
                    <w:keepNext w:val="0"/>
                    <w:keepLines w:val="0"/>
                    <w:pageBreakBefore w:val="0"/>
                    <w:widowControl w:val="0"/>
                    <w:kinsoku/>
                    <w:bidi w:val="0"/>
                    <w:rPr>
                      <w:rFonts w:hint="eastAsia"/>
                      <w:color w:val="auto"/>
                      <w:u w:val="none" w:color="auto"/>
                    </w:rPr>
                  </w:pPr>
                  <w:r>
                    <w:rPr>
                      <w:rFonts w:hint="eastAsia"/>
                      <w:color w:val="auto"/>
                      <w:u w:val="none" w:color="auto"/>
                    </w:rPr>
                    <w:t>CO</w:t>
                  </w:r>
                </w:p>
              </w:tc>
              <w:tc>
                <w:tcPr>
                  <w:tcW w:w="710" w:type="pct"/>
                  <w:vMerge w:val="restart"/>
                  <w:noWrap w:val="0"/>
                  <w:vAlign w:val="center"/>
                </w:tcPr>
                <w:p w14:paraId="6B5CAD26">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w:t>
                  </w:r>
                </w:p>
              </w:tc>
              <w:tc>
                <w:tcPr>
                  <w:tcW w:w="902" w:type="pct"/>
                  <w:vMerge w:val="restart"/>
                  <w:noWrap w:val="0"/>
                  <w:vAlign w:val="center"/>
                </w:tcPr>
                <w:p w14:paraId="7C8CC3A0">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w:t>
                  </w:r>
                </w:p>
              </w:tc>
              <w:tc>
                <w:tcPr>
                  <w:tcW w:w="698" w:type="pct"/>
                  <w:noWrap w:val="0"/>
                  <w:vAlign w:val="center"/>
                </w:tcPr>
                <w:p w14:paraId="7396B500">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w:t>
                  </w:r>
                </w:p>
              </w:tc>
              <w:tc>
                <w:tcPr>
                  <w:tcW w:w="701" w:type="pct"/>
                  <w:noWrap w:val="0"/>
                  <w:vAlign w:val="center"/>
                </w:tcPr>
                <w:p w14:paraId="2F41EDF2">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0.986×10</w:t>
                  </w:r>
                  <w:r>
                    <w:rPr>
                      <w:rFonts w:hint="eastAsia"/>
                      <w:color w:val="auto"/>
                      <w:u w:val="none" w:color="auto"/>
                      <w:vertAlign w:val="superscript"/>
                      <w:lang w:val="en-US" w:eastAsia="zh-CN"/>
                    </w:rPr>
                    <w:t>-3</w:t>
                  </w:r>
                </w:p>
              </w:tc>
            </w:tr>
            <w:tr w14:paraId="48A35F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12272FFA">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6</w:t>
                  </w:r>
                </w:p>
              </w:tc>
              <w:tc>
                <w:tcPr>
                  <w:tcW w:w="425" w:type="pct"/>
                  <w:vMerge w:val="continue"/>
                  <w:noWrap w:val="0"/>
                  <w:vAlign w:val="center"/>
                </w:tcPr>
                <w:p w14:paraId="551F0287">
                  <w:pPr>
                    <w:pStyle w:val="107"/>
                    <w:keepNext w:val="0"/>
                    <w:keepLines w:val="0"/>
                    <w:pageBreakBefore w:val="0"/>
                    <w:widowControl w:val="0"/>
                    <w:kinsoku/>
                    <w:bidi w:val="0"/>
                    <w:rPr>
                      <w:rFonts w:hint="eastAsia"/>
                      <w:color w:val="auto"/>
                      <w:u w:val="none" w:color="auto"/>
                    </w:rPr>
                  </w:pPr>
                </w:p>
              </w:tc>
              <w:tc>
                <w:tcPr>
                  <w:tcW w:w="774" w:type="pct"/>
                  <w:vMerge w:val="continue"/>
                  <w:noWrap w:val="0"/>
                  <w:vAlign w:val="center"/>
                </w:tcPr>
                <w:p w14:paraId="61A5E65E">
                  <w:pPr>
                    <w:pStyle w:val="107"/>
                    <w:keepNext w:val="0"/>
                    <w:keepLines w:val="0"/>
                    <w:pageBreakBefore w:val="0"/>
                    <w:widowControl w:val="0"/>
                    <w:kinsoku/>
                    <w:bidi w:val="0"/>
                    <w:rPr>
                      <w:rFonts w:hint="eastAsia"/>
                      <w:color w:val="auto"/>
                      <w:u w:val="none" w:color="auto"/>
                      <w:lang w:val="en-US" w:eastAsia="zh-CN"/>
                    </w:rPr>
                  </w:pPr>
                </w:p>
              </w:tc>
              <w:tc>
                <w:tcPr>
                  <w:tcW w:w="544" w:type="pct"/>
                  <w:noWrap w:val="0"/>
                  <w:vAlign w:val="center"/>
                </w:tcPr>
                <w:p w14:paraId="301E22FE">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THC</w:t>
                  </w:r>
                </w:p>
              </w:tc>
              <w:tc>
                <w:tcPr>
                  <w:tcW w:w="710" w:type="pct"/>
                  <w:vMerge w:val="continue"/>
                  <w:noWrap w:val="0"/>
                  <w:vAlign w:val="center"/>
                </w:tcPr>
                <w:p w14:paraId="7C501FDD">
                  <w:pPr>
                    <w:pStyle w:val="107"/>
                    <w:keepNext w:val="0"/>
                    <w:keepLines w:val="0"/>
                    <w:pageBreakBefore w:val="0"/>
                    <w:widowControl w:val="0"/>
                    <w:kinsoku/>
                    <w:bidi w:val="0"/>
                    <w:rPr>
                      <w:rFonts w:hint="eastAsia"/>
                      <w:color w:val="auto"/>
                      <w:u w:val="none" w:color="auto"/>
                    </w:rPr>
                  </w:pPr>
                </w:p>
              </w:tc>
              <w:tc>
                <w:tcPr>
                  <w:tcW w:w="902" w:type="pct"/>
                  <w:vMerge w:val="continue"/>
                  <w:noWrap w:val="0"/>
                  <w:vAlign w:val="center"/>
                </w:tcPr>
                <w:p w14:paraId="4CCE752A">
                  <w:pPr>
                    <w:pStyle w:val="107"/>
                    <w:keepNext w:val="0"/>
                    <w:keepLines w:val="0"/>
                    <w:pageBreakBefore w:val="0"/>
                    <w:widowControl w:val="0"/>
                    <w:kinsoku/>
                    <w:bidi w:val="0"/>
                    <w:rPr>
                      <w:rFonts w:hint="eastAsia"/>
                      <w:color w:val="auto"/>
                      <w:u w:val="none" w:color="auto"/>
                    </w:rPr>
                  </w:pPr>
                </w:p>
              </w:tc>
              <w:tc>
                <w:tcPr>
                  <w:tcW w:w="698" w:type="pct"/>
                  <w:noWrap w:val="0"/>
                  <w:vAlign w:val="center"/>
                </w:tcPr>
                <w:p w14:paraId="248316CF">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w:t>
                  </w:r>
                </w:p>
              </w:tc>
              <w:tc>
                <w:tcPr>
                  <w:tcW w:w="701" w:type="pct"/>
                  <w:noWrap w:val="0"/>
                  <w:vAlign w:val="center"/>
                </w:tcPr>
                <w:p w14:paraId="400D62B9">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0.911×10</w:t>
                  </w:r>
                  <w:r>
                    <w:rPr>
                      <w:rFonts w:hint="eastAsia"/>
                      <w:color w:val="auto"/>
                      <w:u w:val="none" w:color="auto"/>
                      <w:vertAlign w:val="superscript"/>
                      <w:lang w:val="en-US" w:eastAsia="zh-CN"/>
                    </w:rPr>
                    <w:t>-3</w:t>
                  </w:r>
                </w:p>
              </w:tc>
            </w:tr>
            <w:tr w14:paraId="15700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43" w:type="pct"/>
                  <w:noWrap w:val="0"/>
                  <w:vAlign w:val="center"/>
                </w:tcPr>
                <w:p w14:paraId="5DA16DAB">
                  <w:pPr>
                    <w:pStyle w:val="107"/>
                    <w:keepNext w:val="0"/>
                    <w:keepLines w:val="0"/>
                    <w:pageBreakBefore w:val="0"/>
                    <w:widowControl w:val="0"/>
                    <w:kinsoku/>
                    <w:bidi w:val="0"/>
                    <w:rPr>
                      <w:rFonts w:hint="eastAsia"/>
                      <w:color w:val="auto"/>
                      <w:u w:val="none" w:color="auto"/>
                      <w:lang w:eastAsia="zh-CN"/>
                    </w:rPr>
                  </w:pPr>
                  <w:r>
                    <w:rPr>
                      <w:rFonts w:hint="eastAsia"/>
                      <w:color w:val="auto"/>
                      <w:u w:val="none" w:color="auto"/>
                      <w:lang w:val="en-US" w:eastAsia="zh-CN"/>
                    </w:rPr>
                    <w:t>7</w:t>
                  </w:r>
                </w:p>
              </w:tc>
              <w:tc>
                <w:tcPr>
                  <w:tcW w:w="425" w:type="pct"/>
                  <w:vMerge w:val="continue"/>
                  <w:noWrap w:val="0"/>
                  <w:vAlign w:val="center"/>
                </w:tcPr>
                <w:p w14:paraId="6084090E">
                  <w:pPr>
                    <w:pStyle w:val="107"/>
                    <w:keepNext w:val="0"/>
                    <w:keepLines w:val="0"/>
                    <w:pageBreakBefore w:val="0"/>
                    <w:widowControl w:val="0"/>
                    <w:kinsoku/>
                    <w:bidi w:val="0"/>
                    <w:rPr>
                      <w:rFonts w:hint="eastAsia"/>
                      <w:color w:val="auto"/>
                      <w:u w:val="none" w:color="auto"/>
                    </w:rPr>
                  </w:pPr>
                </w:p>
              </w:tc>
              <w:tc>
                <w:tcPr>
                  <w:tcW w:w="774" w:type="pct"/>
                  <w:vMerge w:val="continue"/>
                  <w:noWrap w:val="0"/>
                  <w:vAlign w:val="center"/>
                </w:tcPr>
                <w:p w14:paraId="5DE5B6BD">
                  <w:pPr>
                    <w:pStyle w:val="107"/>
                    <w:keepNext w:val="0"/>
                    <w:keepLines w:val="0"/>
                    <w:pageBreakBefore w:val="0"/>
                    <w:widowControl w:val="0"/>
                    <w:kinsoku/>
                    <w:bidi w:val="0"/>
                    <w:rPr>
                      <w:rFonts w:hint="eastAsia"/>
                      <w:color w:val="auto"/>
                      <w:u w:val="none" w:color="auto"/>
                    </w:rPr>
                  </w:pPr>
                </w:p>
              </w:tc>
              <w:tc>
                <w:tcPr>
                  <w:tcW w:w="544" w:type="pct"/>
                  <w:noWrap w:val="0"/>
                  <w:vAlign w:val="center"/>
                </w:tcPr>
                <w:p w14:paraId="18FB8C80">
                  <w:pPr>
                    <w:pStyle w:val="107"/>
                    <w:keepNext w:val="0"/>
                    <w:keepLines w:val="0"/>
                    <w:pageBreakBefore w:val="0"/>
                    <w:widowControl w:val="0"/>
                    <w:kinsoku/>
                    <w:bidi w:val="0"/>
                    <w:rPr>
                      <w:rFonts w:hint="eastAsia"/>
                      <w:color w:val="auto"/>
                      <w:u w:val="none" w:color="auto"/>
                    </w:rPr>
                  </w:pPr>
                  <w:r>
                    <w:rPr>
                      <w:rFonts w:hint="eastAsia"/>
                      <w:color w:val="auto"/>
                      <w:u w:val="none" w:color="auto"/>
                    </w:rPr>
                    <w:t>NOx</w:t>
                  </w:r>
                </w:p>
              </w:tc>
              <w:tc>
                <w:tcPr>
                  <w:tcW w:w="710" w:type="pct"/>
                  <w:vMerge w:val="continue"/>
                  <w:noWrap w:val="0"/>
                  <w:vAlign w:val="center"/>
                </w:tcPr>
                <w:p w14:paraId="1EAB6391">
                  <w:pPr>
                    <w:pStyle w:val="107"/>
                    <w:keepNext w:val="0"/>
                    <w:keepLines w:val="0"/>
                    <w:pageBreakBefore w:val="0"/>
                    <w:widowControl w:val="0"/>
                    <w:kinsoku/>
                    <w:bidi w:val="0"/>
                    <w:rPr>
                      <w:rFonts w:hint="eastAsia"/>
                      <w:color w:val="auto"/>
                      <w:u w:val="none" w:color="auto"/>
                    </w:rPr>
                  </w:pPr>
                </w:p>
              </w:tc>
              <w:tc>
                <w:tcPr>
                  <w:tcW w:w="902" w:type="pct"/>
                  <w:vMerge w:val="continue"/>
                  <w:noWrap w:val="0"/>
                  <w:vAlign w:val="center"/>
                </w:tcPr>
                <w:p w14:paraId="04D15D41">
                  <w:pPr>
                    <w:pStyle w:val="107"/>
                    <w:keepNext w:val="0"/>
                    <w:keepLines w:val="0"/>
                    <w:pageBreakBefore w:val="0"/>
                    <w:widowControl w:val="0"/>
                    <w:kinsoku/>
                    <w:bidi w:val="0"/>
                    <w:rPr>
                      <w:rFonts w:hint="eastAsia"/>
                      <w:color w:val="auto"/>
                      <w:u w:val="none" w:color="auto"/>
                    </w:rPr>
                  </w:pPr>
                </w:p>
              </w:tc>
              <w:tc>
                <w:tcPr>
                  <w:tcW w:w="698" w:type="pct"/>
                  <w:noWrap w:val="0"/>
                  <w:vAlign w:val="center"/>
                </w:tcPr>
                <w:p w14:paraId="7F604EEB">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w:t>
                  </w:r>
                </w:p>
              </w:tc>
              <w:tc>
                <w:tcPr>
                  <w:tcW w:w="701" w:type="pct"/>
                  <w:noWrap w:val="0"/>
                  <w:vAlign w:val="center"/>
                </w:tcPr>
                <w:p w14:paraId="38C763AF">
                  <w:pPr>
                    <w:pStyle w:val="107"/>
                    <w:keepNext w:val="0"/>
                    <w:keepLines w:val="0"/>
                    <w:pageBreakBefore w:val="0"/>
                    <w:widowControl w:val="0"/>
                    <w:kinsoku/>
                    <w:bidi w:val="0"/>
                    <w:rPr>
                      <w:rFonts w:hint="eastAsia"/>
                      <w:color w:val="auto"/>
                      <w:u w:val="none" w:color="auto"/>
                    </w:rPr>
                  </w:pPr>
                  <w:r>
                    <w:rPr>
                      <w:rFonts w:hint="eastAsia"/>
                      <w:color w:val="auto"/>
                      <w:u w:val="none" w:color="auto"/>
                      <w:lang w:val="en-US" w:eastAsia="zh-CN"/>
                    </w:rPr>
                    <w:t>4.573×10</w:t>
                  </w:r>
                  <w:r>
                    <w:rPr>
                      <w:rFonts w:hint="eastAsia"/>
                      <w:color w:val="auto"/>
                      <w:u w:val="none" w:color="auto"/>
                      <w:vertAlign w:val="superscript"/>
                      <w:lang w:val="en-US" w:eastAsia="zh-CN"/>
                    </w:rPr>
                    <w:t>-3</w:t>
                  </w:r>
                </w:p>
              </w:tc>
            </w:tr>
            <w:tr w14:paraId="086E4A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000" w:type="pct"/>
                  <w:gridSpan w:val="8"/>
                  <w:noWrap w:val="0"/>
                  <w:vAlign w:val="center"/>
                </w:tcPr>
                <w:p w14:paraId="07C33B8A">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无组织排放总计</w:t>
                  </w:r>
                </w:p>
              </w:tc>
            </w:tr>
            <w:tr w14:paraId="71B7C4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698" w:type="pct"/>
                  <w:gridSpan w:val="5"/>
                  <w:vMerge w:val="restart"/>
                  <w:noWrap w:val="0"/>
                  <w:vAlign w:val="center"/>
                </w:tcPr>
                <w:p w14:paraId="68E799A4">
                  <w:pPr>
                    <w:pStyle w:val="107"/>
                    <w:keepNext w:val="0"/>
                    <w:keepLines w:val="0"/>
                    <w:pageBreakBefore w:val="0"/>
                    <w:widowControl w:val="0"/>
                    <w:kinsoku/>
                    <w:bidi w:val="0"/>
                    <w:rPr>
                      <w:rFonts w:hint="eastAsia"/>
                      <w:color w:val="auto"/>
                      <w:u w:val="none" w:color="auto"/>
                    </w:rPr>
                  </w:pPr>
                  <w:r>
                    <w:rPr>
                      <w:rFonts w:hint="eastAsia"/>
                      <w:color w:val="auto"/>
                      <w:u w:val="none" w:color="auto"/>
                    </w:rPr>
                    <w:t>无组织排放总计</w:t>
                  </w:r>
                </w:p>
              </w:tc>
              <w:tc>
                <w:tcPr>
                  <w:tcW w:w="1600" w:type="pct"/>
                  <w:gridSpan w:val="2"/>
                  <w:noWrap w:val="0"/>
                  <w:vAlign w:val="center"/>
                </w:tcPr>
                <w:p w14:paraId="62220AC8">
                  <w:pPr>
                    <w:pStyle w:val="107"/>
                    <w:keepNext w:val="0"/>
                    <w:keepLines w:val="0"/>
                    <w:pageBreakBefore w:val="0"/>
                    <w:widowControl w:val="0"/>
                    <w:kinsoku/>
                    <w:bidi w:val="0"/>
                    <w:rPr>
                      <w:rFonts w:hint="eastAsia"/>
                      <w:color w:val="auto"/>
                      <w:u w:val="none" w:color="auto"/>
                    </w:rPr>
                  </w:pPr>
                  <w:r>
                    <w:rPr>
                      <w:rFonts w:hint="eastAsia"/>
                      <w:color w:val="auto"/>
                      <w:u w:val="none" w:color="auto"/>
                    </w:rPr>
                    <w:t>颗粒物</w:t>
                  </w:r>
                </w:p>
              </w:tc>
              <w:tc>
                <w:tcPr>
                  <w:tcW w:w="701" w:type="pct"/>
                  <w:noWrap w:val="0"/>
                  <w:vAlign w:val="center"/>
                </w:tcPr>
                <w:p w14:paraId="7CFE9AAD">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lang w:val="en-US" w:eastAsia="zh-CN"/>
                    </w:rPr>
                    <w:t>3.327</w:t>
                  </w:r>
                </w:p>
              </w:tc>
            </w:tr>
            <w:tr w14:paraId="3973FC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698" w:type="pct"/>
                  <w:gridSpan w:val="5"/>
                  <w:vMerge w:val="continue"/>
                  <w:noWrap w:val="0"/>
                  <w:vAlign w:val="center"/>
                </w:tcPr>
                <w:p w14:paraId="14BAC1D4">
                  <w:pPr>
                    <w:pStyle w:val="107"/>
                    <w:keepNext w:val="0"/>
                    <w:keepLines w:val="0"/>
                    <w:pageBreakBefore w:val="0"/>
                    <w:widowControl w:val="0"/>
                    <w:kinsoku/>
                    <w:bidi w:val="0"/>
                    <w:rPr>
                      <w:rFonts w:hint="eastAsia"/>
                      <w:color w:val="auto"/>
                      <w:u w:val="none" w:color="auto"/>
                    </w:rPr>
                  </w:pPr>
                </w:p>
              </w:tc>
              <w:tc>
                <w:tcPr>
                  <w:tcW w:w="1600" w:type="pct"/>
                  <w:gridSpan w:val="2"/>
                  <w:noWrap w:val="0"/>
                  <w:vAlign w:val="center"/>
                </w:tcPr>
                <w:p w14:paraId="08757BC8">
                  <w:pPr>
                    <w:pStyle w:val="107"/>
                    <w:keepNext w:val="0"/>
                    <w:keepLines w:val="0"/>
                    <w:pageBreakBefore w:val="0"/>
                    <w:widowControl w:val="0"/>
                    <w:kinsoku/>
                    <w:bidi w:val="0"/>
                    <w:rPr>
                      <w:rFonts w:hint="eastAsia"/>
                      <w:color w:val="auto"/>
                      <w:u w:val="none" w:color="auto"/>
                    </w:rPr>
                  </w:pPr>
                  <w:r>
                    <w:rPr>
                      <w:rFonts w:hint="eastAsia"/>
                      <w:color w:val="auto"/>
                      <w:u w:val="none" w:color="auto"/>
                    </w:rPr>
                    <w:t>CO</w:t>
                  </w:r>
                </w:p>
              </w:tc>
              <w:tc>
                <w:tcPr>
                  <w:tcW w:w="701" w:type="pct"/>
                  <w:shd w:val="clear" w:color="auto" w:fill="auto"/>
                  <w:noWrap w:val="0"/>
                  <w:vAlign w:val="center"/>
                </w:tcPr>
                <w:p w14:paraId="382CB859">
                  <w:pPr>
                    <w:pStyle w:val="107"/>
                    <w:keepNext w:val="0"/>
                    <w:keepLines w:val="0"/>
                    <w:pageBreakBefore w:val="0"/>
                    <w:widowControl w:val="0"/>
                    <w:kinsoku/>
                    <w:bidi w:val="0"/>
                    <w:ind w:firstLine="0" w:firstLineChars="0"/>
                    <w:rPr>
                      <w:rFonts w:hint="default" w:ascii="Times New Roman" w:hAnsi="Times New Roman" w:eastAsia="宋体" w:cs="Times New Roman"/>
                      <w:color w:val="auto"/>
                      <w:kern w:val="0"/>
                      <w:sz w:val="21"/>
                      <w:szCs w:val="20"/>
                      <w:u w:val="none" w:color="auto"/>
                      <w:lang w:val="en-US" w:eastAsia="zh-CN" w:bidi="ar-SA"/>
                    </w:rPr>
                  </w:pPr>
                  <w:r>
                    <w:rPr>
                      <w:rFonts w:hint="eastAsia"/>
                      <w:color w:val="auto"/>
                      <w:u w:val="none" w:color="auto"/>
                      <w:lang w:val="en-US" w:eastAsia="zh-CN"/>
                    </w:rPr>
                    <w:t>0.986×10</w:t>
                  </w:r>
                  <w:r>
                    <w:rPr>
                      <w:rFonts w:hint="eastAsia"/>
                      <w:color w:val="auto"/>
                      <w:u w:val="none" w:color="auto"/>
                      <w:vertAlign w:val="superscript"/>
                      <w:lang w:val="en-US" w:eastAsia="zh-CN"/>
                    </w:rPr>
                    <w:t>-3</w:t>
                  </w:r>
                </w:p>
              </w:tc>
            </w:tr>
            <w:tr w14:paraId="226AD1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698" w:type="pct"/>
                  <w:gridSpan w:val="5"/>
                  <w:vMerge w:val="continue"/>
                  <w:noWrap w:val="0"/>
                  <w:vAlign w:val="center"/>
                </w:tcPr>
                <w:p w14:paraId="5C53D979">
                  <w:pPr>
                    <w:pStyle w:val="107"/>
                    <w:keepNext w:val="0"/>
                    <w:keepLines w:val="0"/>
                    <w:pageBreakBefore w:val="0"/>
                    <w:widowControl w:val="0"/>
                    <w:kinsoku/>
                    <w:bidi w:val="0"/>
                    <w:rPr>
                      <w:rFonts w:hint="eastAsia"/>
                      <w:color w:val="auto"/>
                      <w:u w:val="none" w:color="auto"/>
                    </w:rPr>
                  </w:pPr>
                </w:p>
              </w:tc>
              <w:tc>
                <w:tcPr>
                  <w:tcW w:w="1600" w:type="pct"/>
                  <w:gridSpan w:val="2"/>
                  <w:noWrap w:val="0"/>
                  <w:vAlign w:val="center"/>
                </w:tcPr>
                <w:p w14:paraId="715F720C">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THC</w:t>
                  </w:r>
                </w:p>
              </w:tc>
              <w:tc>
                <w:tcPr>
                  <w:tcW w:w="701" w:type="pct"/>
                  <w:shd w:val="clear" w:color="auto" w:fill="auto"/>
                  <w:noWrap w:val="0"/>
                  <w:vAlign w:val="center"/>
                </w:tcPr>
                <w:p w14:paraId="1435F4BB">
                  <w:pPr>
                    <w:pStyle w:val="107"/>
                    <w:keepNext w:val="0"/>
                    <w:keepLines w:val="0"/>
                    <w:pageBreakBefore w:val="0"/>
                    <w:widowControl w:val="0"/>
                    <w:kinsoku/>
                    <w:bidi w:val="0"/>
                    <w:ind w:firstLine="0" w:firstLineChars="0"/>
                    <w:rPr>
                      <w:rFonts w:hint="default" w:ascii="Times New Roman" w:hAnsi="Times New Roman" w:eastAsia="宋体" w:cs="Times New Roman"/>
                      <w:color w:val="auto"/>
                      <w:kern w:val="0"/>
                      <w:sz w:val="21"/>
                      <w:szCs w:val="20"/>
                      <w:u w:val="none" w:color="auto"/>
                      <w:lang w:val="en-US" w:eastAsia="zh-CN" w:bidi="ar-SA"/>
                    </w:rPr>
                  </w:pPr>
                  <w:r>
                    <w:rPr>
                      <w:rFonts w:hint="eastAsia"/>
                      <w:color w:val="auto"/>
                      <w:u w:val="none" w:color="auto"/>
                      <w:lang w:val="en-US" w:eastAsia="zh-CN"/>
                    </w:rPr>
                    <w:t>0.911×10</w:t>
                  </w:r>
                  <w:r>
                    <w:rPr>
                      <w:rFonts w:hint="eastAsia"/>
                      <w:color w:val="auto"/>
                      <w:u w:val="none" w:color="auto"/>
                      <w:vertAlign w:val="superscript"/>
                      <w:lang w:val="en-US" w:eastAsia="zh-CN"/>
                    </w:rPr>
                    <w:t>-3</w:t>
                  </w:r>
                </w:p>
              </w:tc>
            </w:tr>
            <w:tr w14:paraId="2D6F6BD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698" w:type="pct"/>
                  <w:gridSpan w:val="5"/>
                  <w:vMerge w:val="continue"/>
                  <w:noWrap w:val="0"/>
                  <w:vAlign w:val="center"/>
                </w:tcPr>
                <w:p w14:paraId="606C2A97">
                  <w:pPr>
                    <w:pStyle w:val="107"/>
                    <w:keepNext w:val="0"/>
                    <w:keepLines w:val="0"/>
                    <w:pageBreakBefore w:val="0"/>
                    <w:widowControl w:val="0"/>
                    <w:kinsoku/>
                    <w:bidi w:val="0"/>
                    <w:rPr>
                      <w:rFonts w:hint="eastAsia"/>
                      <w:color w:val="auto"/>
                      <w:u w:val="none" w:color="auto"/>
                    </w:rPr>
                  </w:pPr>
                </w:p>
              </w:tc>
              <w:tc>
                <w:tcPr>
                  <w:tcW w:w="1600" w:type="pct"/>
                  <w:gridSpan w:val="2"/>
                  <w:noWrap w:val="0"/>
                  <w:vAlign w:val="center"/>
                </w:tcPr>
                <w:p w14:paraId="2EE39258">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NOx</w:t>
                  </w:r>
                </w:p>
              </w:tc>
              <w:tc>
                <w:tcPr>
                  <w:tcW w:w="701" w:type="pct"/>
                  <w:shd w:val="clear" w:color="auto" w:fill="auto"/>
                  <w:noWrap w:val="0"/>
                  <w:vAlign w:val="center"/>
                </w:tcPr>
                <w:p w14:paraId="1BB52066">
                  <w:pPr>
                    <w:pStyle w:val="107"/>
                    <w:keepNext w:val="0"/>
                    <w:keepLines w:val="0"/>
                    <w:pageBreakBefore w:val="0"/>
                    <w:widowControl w:val="0"/>
                    <w:kinsoku/>
                    <w:bidi w:val="0"/>
                    <w:ind w:firstLine="0" w:firstLineChars="0"/>
                    <w:rPr>
                      <w:rFonts w:hint="eastAsia" w:ascii="Times New Roman" w:hAnsi="Times New Roman" w:eastAsia="宋体" w:cs="Times New Roman"/>
                      <w:color w:val="auto"/>
                      <w:kern w:val="0"/>
                      <w:sz w:val="21"/>
                      <w:szCs w:val="20"/>
                      <w:u w:val="none" w:color="auto"/>
                      <w:lang w:val="en-US" w:eastAsia="zh-CN" w:bidi="ar-SA"/>
                    </w:rPr>
                  </w:pPr>
                  <w:r>
                    <w:rPr>
                      <w:rFonts w:hint="eastAsia"/>
                      <w:color w:val="auto"/>
                      <w:u w:val="none" w:color="auto"/>
                      <w:lang w:val="en-US" w:eastAsia="zh-CN"/>
                    </w:rPr>
                    <w:t>4.573×10</w:t>
                  </w:r>
                  <w:r>
                    <w:rPr>
                      <w:rFonts w:hint="eastAsia"/>
                      <w:color w:val="auto"/>
                      <w:u w:val="none" w:color="auto"/>
                      <w:vertAlign w:val="superscript"/>
                      <w:lang w:val="en-US" w:eastAsia="zh-CN"/>
                    </w:rPr>
                    <w:t>-3</w:t>
                  </w:r>
                </w:p>
              </w:tc>
            </w:tr>
          </w:tbl>
          <w:p w14:paraId="52285D77">
            <w:pPr>
              <w:ind w:firstLine="482"/>
              <w:rPr>
                <w:rFonts w:hint="eastAsia"/>
                <w:b/>
                <w:bCs/>
                <w:color w:val="auto"/>
                <w:u w:val="none" w:color="auto"/>
              </w:rPr>
            </w:pPr>
            <w:r>
              <w:rPr>
                <w:rFonts w:hint="eastAsia"/>
                <w:b/>
                <w:bCs/>
                <w:color w:val="auto"/>
                <w:u w:val="none" w:color="auto"/>
                <w:lang w:val="en-US" w:eastAsia="zh-CN"/>
              </w:rPr>
              <w:t>2</w:t>
            </w:r>
            <w:r>
              <w:rPr>
                <w:rFonts w:hint="eastAsia"/>
                <w:b/>
                <w:bCs/>
                <w:color w:val="auto"/>
                <w:u w:val="none" w:color="auto"/>
              </w:rPr>
              <w:t>、大气污染物年排放量核算</w:t>
            </w:r>
          </w:p>
          <w:p w14:paraId="535D5DCB">
            <w:pPr>
              <w:pStyle w:val="44"/>
              <w:bidi w:val="0"/>
              <w:rPr>
                <w:rFonts w:hint="eastAsia"/>
              </w:rPr>
            </w:pPr>
            <w:r>
              <w:rPr>
                <w:rFonts w:hint="eastAsia"/>
              </w:rPr>
              <w:t>表</w:t>
            </w:r>
            <w:r>
              <w:rPr>
                <w:rFonts w:hint="eastAsia"/>
                <w:lang w:val="en-US" w:eastAsia="zh-CN"/>
              </w:rPr>
              <w:t>4.2-8：</w:t>
            </w:r>
            <w:r>
              <w:rPr>
                <w:rFonts w:hint="eastAsia"/>
              </w:rPr>
              <w:t>项目主要污染物年排放量核算表</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7"/>
              <w:gridCol w:w="1186"/>
              <w:gridCol w:w="2651"/>
              <w:gridCol w:w="2038"/>
            </w:tblGrid>
            <w:tr w14:paraId="24DF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3" w:type="pct"/>
                  <w:noWrap w:val="0"/>
                  <w:vAlign w:val="center"/>
                </w:tcPr>
                <w:p w14:paraId="002B7936">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项目</w:t>
                  </w:r>
                </w:p>
              </w:tc>
              <w:tc>
                <w:tcPr>
                  <w:tcW w:w="677" w:type="pct"/>
                  <w:noWrap w:val="0"/>
                  <w:vAlign w:val="center"/>
                </w:tcPr>
                <w:p w14:paraId="497B084D">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序号</w:t>
                  </w:r>
                </w:p>
              </w:tc>
              <w:tc>
                <w:tcPr>
                  <w:tcW w:w="1514" w:type="pct"/>
                  <w:noWrap w:val="0"/>
                  <w:vAlign w:val="center"/>
                </w:tcPr>
                <w:p w14:paraId="6EA1A1E4">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污染物</w:t>
                  </w:r>
                </w:p>
              </w:tc>
              <w:tc>
                <w:tcPr>
                  <w:tcW w:w="1164" w:type="pct"/>
                  <w:noWrap w:val="0"/>
                  <w:vAlign w:val="center"/>
                </w:tcPr>
                <w:p w14:paraId="4A3A788B">
                  <w:pPr>
                    <w:pStyle w:val="107"/>
                    <w:keepNext w:val="0"/>
                    <w:keepLines w:val="0"/>
                    <w:pageBreakBefore w:val="0"/>
                    <w:widowControl w:val="0"/>
                    <w:kinsoku/>
                    <w:bidi w:val="0"/>
                    <w:rPr>
                      <w:rFonts w:hint="eastAsia"/>
                      <w:b/>
                      <w:bCs/>
                      <w:color w:val="auto"/>
                      <w:u w:val="none" w:color="auto"/>
                    </w:rPr>
                  </w:pPr>
                  <w:r>
                    <w:rPr>
                      <w:rFonts w:hint="eastAsia"/>
                      <w:b/>
                      <w:bCs/>
                      <w:color w:val="auto"/>
                      <w:u w:val="none" w:color="auto"/>
                    </w:rPr>
                    <w:t>年排放量（t/a）</w:t>
                  </w:r>
                </w:p>
              </w:tc>
            </w:tr>
            <w:tr w14:paraId="283F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3" w:type="pct"/>
                  <w:vMerge w:val="restart"/>
                  <w:noWrap w:val="0"/>
                  <w:vAlign w:val="center"/>
                </w:tcPr>
                <w:p w14:paraId="0D50F119">
                  <w:pPr>
                    <w:pStyle w:val="107"/>
                    <w:keepNext w:val="0"/>
                    <w:keepLines w:val="0"/>
                    <w:pageBreakBefore w:val="0"/>
                    <w:widowControl w:val="0"/>
                    <w:kinsoku/>
                    <w:bidi w:val="0"/>
                    <w:rPr>
                      <w:rFonts w:hint="eastAsia"/>
                      <w:color w:val="auto"/>
                      <w:u w:val="none" w:color="auto"/>
                    </w:rPr>
                  </w:pPr>
                  <w:r>
                    <w:rPr>
                      <w:rFonts w:hint="eastAsia"/>
                      <w:color w:val="auto"/>
                      <w:u w:val="none" w:color="auto"/>
                    </w:rPr>
                    <w:t>主要污染物年排放量</w:t>
                  </w:r>
                </w:p>
              </w:tc>
              <w:tc>
                <w:tcPr>
                  <w:tcW w:w="677" w:type="pct"/>
                  <w:noWrap w:val="0"/>
                  <w:vAlign w:val="center"/>
                </w:tcPr>
                <w:p w14:paraId="11DC8963">
                  <w:pPr>
                    <w:pStyle w:val="107"/>
                    <w:keepNext w:val="0"/>
                    <w:keepLines w:val="0"/>
                    <w:pageBreakBefore w:val="0"/>
                    <w:widowControl w:val="0"/>
                    <w:kinsoku/>
                    <w:bidi w:val="0"/>
                    <w:rPr>
                      <w:rFonts w:hint="eastAsia"/>
                      <w:color w:val="auto"/>
                      <w:u w:val="none" w:color="auto"/>
                    </w:rPr>
                  </w:pPr>
                  <w:r>
                    <w:rPr>
                      <w:rFonts w:hint="eastAsia"/>
                      <w:color w:val="auto"/>
                      <w:u w:val="none" w:color="auto"/>
                    </w:rPr>
                    <w:t>1</w:t>
                  </w:r>
                </w:p>
              </w:tc>
              <w:tc>
                <w:tcPr>
                  <w:tcW w:w="1514" w:type="pct"/>
                  <w:noWrap w:val="0"/>
                  <w:vAlign w:val="center"/>
                </w:tcPr>
                <w:p w14:paraId="69C77BDA">
                  <w:pPr>
                    <w:pStyle w:val="107"/>
                    <w:keepNext w:val="0"/>
                    <w:keepLines w:val="0"/>
                    <w:pageBreakBefore w:val="0"/>
                    <w:widowControl w:val="0"/>
                    <w:kinsoku/>
                    <w:bidi w:val="0"/>
                    <w:rPr>
                      <w:rFonts w:hint="eastAsia"/>
                      <w:color w:val="auto"/>
                      <w:u w:val="none" w:color="auto"/>
                    </w:rPr>
                  </w:pPr>
                  <w:r>
                    <w:rPr>
                      <w:rFonts w:hint="eastAsia"/>
                      <w:color w:val="auto"/>
                      <w:u w:val="none" w:color="auto"/>
                    </w:rPr>
                    <w:t>颗粒物</w:t>
                  </w:r>
                </w:p>
              </w:tc>
              <w:tc>
                <w:tcPr>
                  <w:tcW w:w="2038" w:type="dxa"/>
                  <w:noWrap w:val="0"/>
                  <w:vAlign w:val="center"/>
                </w:tcPr>
                <w:p w14:paraId="65ECEED8">
                  <w:pPr>
                    <w:pStyle w:val="107"/>
                    <w:keepNext w:val="0"/>
                    <w:keepLines w:val="0"/>
                    <w:pageBreakBefore w:val="0"/>
                    <w:widowControl w:val="0"/>
                    <w:kinsoku/>
                    <w:bidi w:val="0"/>
                    <w:ind w:firstLine="0" w:firstLineChars="0"/>
                    <w:rPr>
                      <w:rFonts w:hint="default"/>
                      <w:color w:val="auto"/>
                      <w:u w:val="none" w:color="auto"/>
                      <w:lang w:val="en-US" w:eastAsia="zh-CN"/>
                    </w:rPr>
                  </w:pPr>
                  <w:r>
                    <w:rPr>
                      <w:rFonts w:hint="eastAsia"/>
                      <w:color w:val="auto"/>
                      <w:u w:val="none" w:color="auto"/>
                      <w:lang w:val="en-US" w:eastAsia="zh-CN"/>
                    </w:rPr>
                    <w:t>3.327</w:t>
                  </w:r>
                </w:p>
              </w:tc>
            </w:tr>
            <w:tr w14:paraId="3504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3" w:type="pct"/>
                  <w:vMerge w:val="continue"/>
                  <w:noWrap w:val="0"/>
                  <w:vAlign w:val="center"/>
                </w:tcPr>
                <w:p w14:paraId="30962C7B">
                  <w:pPr>
                    <w:pStyle w:val="107"/>
                    <w:keepNext w:val="0"/>
                    <w:keepLines w:val="0"/>
                    <w:pageBreakBefore w:val="0"/>
                    <w:widowControl w:val="0"/>
                    <w:kinsoku/>
                    <w:bidi w:val="0"/>
                    <w:rPr>
                      <w:rFonts w:hint="eastAsia"/>
                      <w:color w:val="auto"/>
                      <w:u w:val="none" w:color="auto"/>
                    </w:rPr>
                  </w:pPr>
                </w:p>
              </w:tc>
              <w:tc>
                <w:tcPr>
                  <w:tcW w:w="677" w:type="pct"/>
                  <w:noWrap w:val="0"/>
                  <w:vAlign w:val="center"/>
                </w:tcPr>
                <w:p w14:paraId="4AB3EEE8">
                  <w:pPr>
                    <w:pStyle w:val="107"/>
                    <w:keepNext w:val="0"/>
                    <w:keepLines w:val="0"/>
                    <w:pageBreakBefore w:val="0"/>
                    <w:widowControl w:val="0"/>
                    <w:kinsoku/>
                    <w:bidi w:val="0"/>
                    <w:rPr>
                      <w:rFonts w:hint="eastAsia"/>
                      <w:color w:val="auto"/>
                      <w:u w:val="none" w:color="auto"/>
                    </w:rPr>
                  </w:pPr>
                  <w:r>
                    <w:rPr>
                      <w:rFonts w:hint="eastAsia"/>
                      <w:color w:val="auto"/>
                      <w:u w:val="none" w:color="auto"/>
                    </w:rPr>
                    <w:t>2</w:t>
                  </w:r>
                </w:p>
              </w:tc>
              <w:tc>
                <w:tcPr>
                  <w:tcW w:w="1514" w:type="pct"/>
                  <w:noWrap w:val="0"/>
                  <w:vAlign w:val="center"/>
                </w:tcPr>
                <w:p w14:paraId="22164E78">
                  <w:pPr>
                    <w:pStyle w:val="107"/>
                    <w:keepNext w:val="0"/>
                    <w:keepLines w:val="0"/>
                    <w:pageBreakBefore w:val="0"/>
                    <w:widowControl w:val="0"/>
                    <w:kinsoku/>
                    <w:bidi w:val="0"/>
                    <w:rPr>
                      <w:rFonts w:hint="eastAsia"/>
                      <w:color w:val="auto"/>
                      <w:u w:val="none" w:color="auto"/>
                    </w:rPr>
                  </w:pPr>
                  <w:r>
                    <w:rPr>
                      <w:rFonts w:hint="eastAsia"/>
                      <w:color w:val="auto"/>
                      <w:u w:val="none" w:color="auto"/>
                    </w:rPr>
                    <w:t>CO</w:t>
                  </w:r>
                </w:p>
              </w:tc>
              <w:tc>
                <w:tcPr>
                  <w:tcW w:w="1954" w:type="dxa"/>
                  <w:noWrap w:val="0"/>
                  <w:vAlign w:val="center"/>
                </w:tcPr>
                <w:p w14:paraId="6D5ACC93">
                  <w:pPr>
                    <w:pStyle w:val="107"/>
                    <w:keepNext w:val="0"/>
                    <w:keepLines w:val="0"/>
                    <w:pageBreakBefore w:val="0"/>
                    <w:widowControl w:val="0"/>
                    <w:kinsoku/>
                    <w:bidi w:val="0"/>
                    <w:ind w:firstLine="0" w:firstLineChars="0"/>
                    <w:rPr>
                      <w:rFonts w:hint="default"/>
                      <w:color w:val="auto"/>
                      <w:u w:val="none" w:color="auto"/>
                      <w:lang w:val="en-US"/>
                    </w:rPr>
                  </w:pPr>
                  <w:r>
                    <w:rPr>
                      <w:rFonts w:hint="eastAsia"/>
                      <w:color w:val="auto"/>
                      <w:u w:val="none" w:color="auto"/>
                      <w:lang w:val="en-US" w:eastAsia="zh-CN"/>
                    </w:rPr>
                    <w:t>0.986×10</w:t>
                  </w:r>
                  <w:r>
                    <w:rPr>
                      <w:rFonts w:hint="eastAsia"/>
                      <w:color w:val="auto"/>
                      <w:u w:val="none" w:color="auto"/>
                      <w:vertAlign w:val="superscript"/>
                      <w:lang w:val="en-US" w:eastAsia="zh-CN"/>
                    </w:rPr>
                    <w:t>-3</w:t>
                  </w:r>
                </w:p>
              </w:tc>
            </w:tr>
            <w:tr w14:paraId="48F0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3" w:type="pct"/>
                  <w:vMerge w:val="continue"/>
                  <w:noWrap w:val="0"/>
                  <w:vAlign w:val="center"/>
                </w:tcPr>
                <w:p w14:paraId="07BC8D7A">
                  <w:pPr>
                    <w:pStyle w:val="107"/>
                    <w:keepNext w:val="0"/>
                    <w:keepLines w:val="0"/>
                    <w:pageBreakBefore w:val="0"/>
                    <w:widowControl w:val="0"/>
                    <w:kinsoku/>
                    <w:bidi w:val="0"/>
                    <w:rPr>
                      <w:rFonts w:hint="eastAsia"/>
                      <w:color w:val="auto"/>
                      <w:u w:val="none" w:color="auto"/>
                    </w:rPr>
                  </w:pPr>
                </w:p>
              </w:tc>
              <w:tc>
                <w:tcPr>
                  <w:tcW w:w="677" w:type="pct"/>
                  <w:noWrap w:val="0"/>
                  <w:vAlign w:val="center"/>
                </w:tcPr>
                <w:p w14:paraId="5C541E3E">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3</w:t>
                  </w:r>
                </w:p>
              </w:tc>
              <w:tc>
                <w:tcPr>
                  <w:tcW w:w="1514" w:type="pct"/>
                  <w:noWrap w:val="0"/>
                  <w:vAlign w:val="center"/>
                </w:tcPr>
                <w:p w14:paraId="1F784A12">
                  <w:pPr>
                    <w:pStyle w:val="107"/>
                    <w:keepNext w:val="0"/>
                    <w:keepLines w:val="0"/>
                    <w:pageBreakBefore w:val="0"/>
                    <w:widowControl w:val="0"/>
                    <w:kinsoku/>
                    <w:bidi w:val="0"/>
                    <w:rPr>
                      <w:rFonts w:hint="default"/>
                      <w:color w:val="auto"/>
                      <w:u w:val="none" w:color="auto"/>
                      <w:lang w:val="en-US" w:eastAsia="zh-CN"/>
                    </w:rPr>
                  </w:pPr>
                  <w:r>
                    <w:rPr>
                      <w:rFonts w:hint="eastAsia"/>
                      <w:color w:val="auto"/>
                      <w:u w:val="none" w:color="auto"/>
                    </w:rPr>
                    <w:t>THC</w:t>
                  </w:r>
                </w:p>
              </w:tc>
              <w:tc>
                <w:tcPr>
                  <w:tcW w:w="1954" w:type="dxa"/>
                  <w:noWrap w:val="0"/>
                  <w:vAlign w:val="center"/>
                </w:tcPr>
                <w:p w14:paraId="71894F05">
                  <w:pPr>
                    <w:pStyle w:val="107"/>
                    <w:keepNext w:val="0"/>
                    <w:keepLines w:val="0"/>
                    <w:pageBreakBefore w:val="0"/>
                    <w:widowControl w:val="0"/>
                    <w:kinsoku/>
                    <w:bidi w:val="0"/>
                    <w:ind w:firstLine="0" w:firstLineChars="0"/>
                    <w:rPr>
                      <w:rFonts w:hint="default"/>
                      <w:color w:val="auto"/>
                      <w:u w:val="none" w:color="auto"/>
                      <w:lang w:val="en-US" w:eastAsia="zh-CN"/>
                    </w:rPr>
                  </w:pPr>
                  <w:r>
                    <w:rPr>
                      <w:rFonts w:hint="eastAsia"/>
                      <w:color w:val="auto"/>
                      <w:u w:val="none" w:color="auto"/>
                      <w:lang w:val="en-US" w:eastAsia="zh-CN"/>
                    </w:rPr>
                    <w:t>0.911×10</w:t>
                  </w:r>
                  <w:r>
                    <w:rPr>
                      <w:rFonts w:hint="eastAsia"/>
                      <w:color w:val="auto"/>
                      <w:u w:val="none" w:color="auto"/>
                      <w:vertAlign w:val="superscript"/>
                      <w:lang w:val="en-US" w:eastAsia="zh-CN"/>
                    </w:rPr>
                    <w:t>-3</w:t>
                  </w:r>
                </w:p>
              </w:tc>
            </w:tr>
            <w:tr w14:paraId="35B4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43" w:type="pct"/>
                  <w:vMerge w:val="continue"/>
                  <w:noWrap w:val="0"/>
                  <w:vAlign w:val="center"/>
                </w:tcPr>
                <w:p w14:paraId="69AFB791">
                  <w:pPr>
                    <w:pStyle w:val="107"/>
                    <w:keepNext w:val="0"/>
                    <w:keepLines w:val="0"/>
                    <w:pageBreakBefore w:val="0"/>
                    <w:widowControl w:val="0"/>
                    <w:kinsoku/>
                    <w:bidi w:val="0"/>
                    <w:rPr>
                      <w:rFonts w:hint="eastAsia"/>
                      <w:color w:val="auto"/>
                      <w:u w:val="none" w:color="auto"/>
                    </w:rPr>
                  </w:pPr>
                </w:p>
              </w:tc>
              <w:tc>
                <w:tcPr>
                  <w:tcW w:w="677" w:type="pct"/>
                  <w:noWrap w:val="0"/>
                  <w:vAlign w:val="center"/>
                </w:tcPr>
                <w:p w14:paraId="44690E67">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lang w:val="en-US" w:eastAsia="zh-CN"/>
                    </w:rPr>
                    <w:t>4</w:t>
                  </w:r>
                </w:p>
              </w:tc>
              <w:tc>
                <w:tcPr>
                  <w:tcW w:w="1514" w:type="pct"/>
                  <w:noWrap w:val="0"/>
                  <w:vAlign w:val="center"/>
                </w:tcPr>
                <w:p w14:paraId="01CD012C">
                  <w:pPr>
                    <w:pStyle w:val="107"/>
                    <w:keepNext w:val="0"/>
                    <w:keepLines w:val="0"/>
                    <w:pageBreakBefore w:val="0"/>
                    <w:widowControl w:val="0"/>
                    <w:kinsoku/>
                    <w:bidi w:val="0"/>
                    <w:rPr>
                      <w:rFonts w:hint="eastAsia"/>
                      <w:color w:val="auto"/>
                      <w:u w:val="none" w:color="auto"/>
                      <w:lang w:val="en-US" w:eastAsia="zh-CN"/>
                    </w:rPr>
                  </w:pPr>
                  <w:r>
                    <w:rPr>
                      <w:rFonts w:hint="eastAsia"/>
                      <w:color w:val="auto"/>
                      <w:u w:val="none" w:color="auto"/>
                    </w:rPr>
                    <w:t>NOx</w:t>
                  </w:r>
                </w:p>
              </w:tc>
              <w:tc>
                <w:tcPr>
                  <w:tcW w:w="1954" w:type="dxa"/>
                  <w:noWrap w:val="0"/>
                  <w:vAlign w:val="center"/>
                </w:tcPr>
                <w:p w14:paraId="0154FCE0">
                  <w:pPr>
                    <w:pStyle w:val="107"/>
                    <w:keepNext w:val="0"/>
                    <w:keepLines w:val="0"/>
                    <w:pageBreakBefore w:val="0"/>
                    <w:widowControl w:val="0"/>
                    <w:kinsoku/>
                    <w:bidi w:val="0"/>
                    <w:ind w:firstLine="0" w:firstLineChars="0"/>
                    <w:rPr>
                      <w:rFonts w:hint="eastAsia"/>
                      <w:color w:val="auto"/>
                      <w:u w:val="none" w:color="auto"/>
                      <w:lang w:val="en-US" w:eastAsia="zh-CN"/>
                    </w:rPr>
                  </w:pPr>
                  <w:r>
                    <w:rPr>
                      <w:rFonts w:hint="eastAsia"/>
                      <w:color w:val="auto"/>
                      <w:u w:val="none" w:color="auto"/>
                      <w:lang w:val="en-US" w:eastAsia="zh-CN"/>
                    </w:rPr>
                    <w:t>4.573×10</w:t>
                  </w:r>
                  <w:r>
                    <w:rPr>
                      <w:rFonts w:hint="eastAsia"/>
                      <w:color w:val="auto"/>
                      <w:u w:val="none" w:color="auto"/>
                      <w:vertAlign w:val="superscript"/>
                      <w:lang w:val="en-US" w:eastAsia="zh-CN"/>
                    </w:rPr>
                    <w:t>-3</w:t>
                  </w:r>
                </w:p>
              </w:tc>
            </w:tr>
          </w:tbl>
          <w:p w14:paraId="73DB31B6">
            <w:pPr>
              <w:spacing w:line="1" w:lineRule="exact"/>
              <w:ind w:firstLine="480"/>
              <w:rPr>
                <w:color w:val="auto"/>
                <w:u w:val="none" w:color="auto"/>
              </w:rPr>
            </w:pPr>
          </w:p>
          <w:p w14:paraId="2D1AD429">
            <w:pPr>
              <w:ind w:firstLine="482"/>
              <w:rPr>
                <w:rFonts w:hint="eastAsia"/>
                <w:b/>
                <w:bCs/>
                <w:color w:val="auto"/>
                <w:u w:val="none" w:color="auto"/>
                <w:lang w:val="en-US" w:eastAsia="zh-CN"/>
              </w:rPr>
            </w:pPr>
            <w:r>
              <w:rPr>
                <w:rFonts w:hint="eastAsia"/>
                <w:b/>
                <w:bCs/>
                <w:color w:val="auto"/>
                <w:u w:val="none" w:color="auto"/>
                <w:lang w:val="en-US" w:eastAsia="zh-CN"/>
              </w:rPr>
              <w:t>3、非正常排放量核算</w:t>
            </w:r>
          </w:p>
          <w:p w14:paraId="554E029A">
            <w:pPr>
              <w:spacing w:line="360" w:lineRule="auto"/>
              <w:ind w:firstLine="528" w:firstLineChars="0"/>
              <w:jc w:val="left"/>
              <w:rPr>
                <w:rFonts w:hint="eastAsia"/>
              </w:rPr>
            </w:pPr>
            <w:r>
              <w:rPr>
                <w:rFonts w:hint="eastAsia" w:ascii="Times New Roman" w:hAnsi="Times New Roman" w:eastAsia="宋体" w:cs="Times New Roman"/>
                <w:sz w:val="24"/>
                <w:lang w:val="en-US" w:eastAsia="zh-CN"/>
              </w:rPr>
              <w:t>根据大气导则规定，设备开停机、设备检修、污染物排放控制措施达不到应有效率、工艺设备运转异常等情况下的污染排放归为非正常排放。</w:t>
            </w:r>
            <w:r>
              <w:rPr>
                <w:rFonts w:hint="eastAsia"/>
              </w:rPr>
              <w:t>当雾炮机故障时，卸料扬尘按产生量100%排放，单次持续时间≤1h，年发生≤2次。</w:t>
            </w:r>
          </w:p>
          <w:p w14:paraId="1033ADF5">
            <w:pPr>
              <w:pStyle w:val="44"/>
              <w:rPr>
                <w:rFonts w:hint="eastAsia" w:ascii="Times New Roman" w:hAnsi="Times New Roman" w:eastAsia="宋体" w:cs="Times New Roman"/>
                <w:b/>
                <w:bCs w:val="0"/>
                <w:kern w:val="2"/>
                <w:sz w:val="21"/>
                <w:szCs w:val="21"/>
                <w:u w:val="none"/>
              </w:rPr>
            </w:pPr>
            <w:r>
              <w:rPr>
                <w:rFonts w:hint="eastAsia" w:ascii="Times New Roman" w:hAnsi="Times New Roman" w:eastAsia="宋体" w:cs="Times New Roman"/>
                <w:b/>
                <w:bCs w:val="0"/>
                <w:kern w:val="2"/>
                <w:sz w:val="21"/>
                <w:szCs w:val="21"/>
                <w:u w:val="none"/>
              </w:rPr>
              <w:t>表</w:t>
            </w:r>
            <w:r>
              <w:rPr>
                <w:rFonts w:hint="eastAsia" w:cs="Times New Roman"/>
                <w:b/>
                <w:bCs w:val="0"/>
                <w:kern w:val="2"/>
                <w:sz w:val="21"/>
                <w:szCs w:val="21"/>
                <w:u w:val="none"/>
                <w:lang w:val="en-US" w:eastAsia="zh-CN"/>
              </w:rPr>
              <w:t>4.2-9</w:t>
            </w:r>
            <w:r>
              <w:rPr>
                <w:rFonts w:hint="eastAsia" w:ascii="Times New Roman" w:hAnsi="Times New Roman" w:eastAsia="宋体" w:cs="Times New Roman"/>
                <w:b/>
                <w:bCs w:val="0"/>
                <w:kern w:val="2"/>
                <w:sz w:val="21"/>
                <w:szCs w:val="21"/>
                <w:u w:val="none"/>
                <w:lang w:val="en-US" w:eastAsia="zh-CN"/>
              </w:rPr>
              <w:t>：</w:t>
            </w:r>
            <w:r>
              <w:rPr>
                <w:rFonts w:hint="eastAsia" w:ascii="Times New Roman" w:hAnsi="Times New Roman" w:eastAsia="宋体" w:cs="Times New Roman"/>
                <w:b/>
                <w:bCs w:val="0"/>
                <w:kern w:val="2"/>
                <w:sz w:val="21"/>
                <w:szCs w:val="21"/>
                <w:u w:val="none"/>
              </w:rPr>
              <w:t>本项目废气非正常排放量核算表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90"/>
              <w:gridCol w:w="1115"/>
              <w:gridCol w:w="1415"/>
              <w:gridCol w:w="359"/>
              <w:gridCol w:w="1087"/>
              <w:gridCol w:w="622"/>
              <w:gridCol w:w="631"/>
              <w:gridCol w:w="3238"/>
            </w:tblGrid>
            <w:tr w14:paraId="49E9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0" w:type="dxa"/>
                  <w:tcBorders>
                    <w:tl2br w:val="nil"/>
                    <w:tr2bl w:val="nil"/>
                  </w:tcBorders>
                  <w:noWrap w:val="0"/>
                  <w:vAlign w:val="center"/>
                </w:tcPr>
                <w:p w14:paraId="6A1D469A">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序号</w:t>
                  </w:r>
                </w:p>
              </w:tc>
              <w:tc>
                <w:tcPr>
                  <w:tcW w:w="1115" w:type="dxa"/>
                  <w:tcBorders>
                    <w:tl2br w:val="nil"/>
                    <w:tr2bl w:val="nil"/>
                  </w:tcBorders>
                  <w:noWrap w:val="0"/>
                  <w:vAlign w:val="center"/>
                </w:tcPr>
                <w:p w14:paraId="278FE54B">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非正常排放源</w:t>
                  </w:r>
                </w:p>
              </w:tc>
              <w:tc>
                <w:tcPr>
                  <w:tcW w:w="1415" w:type="dxa"/>
                  <w:tcBorders>
                    <w:tl2br w:val="nil"/>
                    <w:tr2bl w:val="nil"/>
                  </w:tcBorders>
                  <w:noWrap w:val="0"/>
                  <w:vAlign w:val="center"/>
                </w:tcPr>
                <w:p w14:paraId="0BD80CC3">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非正常排放原因</w:t>
                  </w:r>
                </w:p>
              </w:tc>
              <w:tc>
                <w:tcPr>
                  <w:tcW w:w="359" w:type="dxa"/>
                  <w:tcBorders>
                    <w:tl2br w:val="nil"/>
                    <w:tr2bl w:val="nil"/>
                  </w:tcBorders>
                  <w:noWrap w:val="0"/>
                  <w:vAlign w:val="center"/>
                </w:tcPr>
                <w:p w14:paraId="7C3526A1">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污染物</w:t>
                  </w:r>
                </w:p>
              </w:tc>
              <w:tc>
                <w:tcPr>
                  <w:tcW w:w="1087" w:type="dxa"/>
                  <w:tcBorders>
                    <w:tl2br w:val="nil"/>
                    <w:tr2bl w:val="nil"/>
                  </w:tcBorders>
                  <w:noWrap w:val="0"/>
                  <w:vAlign w:val="center"/>
                </w:tcPr>
                <w:p w14:paraId="40DB0625">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非正常排放速率/</w:t>
                  </w:r>
                  <w:r>
                    <w:rPr>
                      <w:rFonts w:hint="eastAsia"/>
                      <w:b/>
                      <w:bCs/>
                      <w:color w:val="auto"/>
                      <w:sz w:val="21"/>
                      <w:szCs w:val="21"/>
                      <w:u w:val="none" w:color="auto"/>
                    </w:rPr>
                    <w:t>(kg/h)</w:t>
                  </w:r>
                </w:p>
              </w:tc>
              <w:tc>
                <w:tcPr>
                  <w:tcW w:w="622" w:type="dxa"/>
                  <w:tcBorders>
                    <w:tl2br w:val="nil"/>
                    <w:tr2bl w:val="nil"/>
                  </w:tcBorders>
                  <w:noWrap w:val="0"/>
                  <w:vAlign w:val="center"/>
                </w:tcPr>
                <w:p w14:paraId="6ACCEEEB">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单次持续时间/h</w:t>
                  </w:r>
                </w:p>
              </w:tc>
              <w:tc>
                <w:tcPr>
                  <w:tcW w:w="631" w:type="dxa"/>
                  <w:tcBorders>
                    <w:tl2br w:val="nil"/>
                    <w:tr2bl w:val="nil"/>
                  </w:tcBorders>
                  <w:noWrap w:val="0"/>
                  <w:vAlign w:val="center"/>
                </w:tcPr>
                <w:p w14:paraId="308D62E6">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年发生频次/次</w:t>
                  </w:r>
                </w:p>
              </w:tc>
              <w:tc>
                <w:tcPr>
                  <w:tcW w:w="3238" w:type="dxa"/>
                  <w:tcBorders>
                    <w:tl2br w:val="nil"/>
                    <w:tr2bl w:val="nil"/>
                  </w:tcBorders>
                  <w:noWrap w:val="0"/>
                  <w:vAlign w:val="center"/>
                </w:tcPr>
                <w:p w14:paraId="39E981D2">
                  <w:pPr>
                    <w:adjustRightInd w:val="0"/>
                    <w:spacing w:line="240" w:lineRule="auto"/>
                    <w:ind w:firstLine="0" w:firstLineChars="0"/>
                    <w:jc w:val="center"/>
                    <w:textAlignment w:val="center"/>
                    <w:rPr>
                      <w:b/>
                      <w:bCs/>
                      <w:color w:val="auto"/>
                      <w:sz w:val="21"/>
                      <w:szCs w:val="21"/>
                      <w:u w:val="none" w:color="auto"/>
                    </w:rPr>
                  </w:pPr>
                  <w:r>
                    <w:rPr>
                      <w:b/>
                      <w:bCs/>
                      <w:color w:val="auto"/>
                      <w:sz w:val="21"/>
                      <w:szCs w:val="21"/>
                      <w:u w:val="none" w:color="auto"/>
                    </w:rPr>
                    <w:t>应对措施</w:t>
                  </w:r>
                </w:p>
              </w:tc>
            </w:tr>
            <w:tr w14:paraId="71A9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290" w:type="dxa"/>
                  <w:tcBorders>
                    <w:tl2br w:val="nil"/>
                    <w:tr2bl w:val="nil"/>
                  </w:tcBorders>
                  <w:noWrap w:val="0"/>
                  <w:vAlign w:val="center"/>
                </w:tcPr>
                <w:p w14:paraId="5800435F">
                  <w:pPr>
                    <w:adjustRightInd w:val="0"/>
                    <w:spacing w:line="240" w:lineRule="auto"/>
                    <w:ind w:firstLine="0" w:firstLineChars="0"/>
                    <w:jc w:val="center"/>
                    <w:textAlignment w:val="center"/>
                    <w:rPr>
                      <w:rFonts w:hint="eastAsia"/>
                      <w:snapToGrid w:val="0"/>
                      <w:color w:val="auto"/>
                      <w:sz w:val="21"/>
                      <w:szCs w:val="21"/>
                      <w:u w:val="none" w:color="auto"/>
                    </w:rPr>
                  </w:pPr>
                  <w:r>
                    <w:rPr>
                      <w:rFonts w:hint="eastAsia"/>
                      <w:snapToGrid w:val="0"/>
                      <w:color w:val="auto"/>
                      <w:sz w:val="21"/>
                      <w:szCs w:val="21"/>
                      <w:u w:val="none" w:color="auto"/>
                    </w:rPr>
                    <w:t>1</w:t>
                  </w:r>
                </w:p>
              </w:tc>
              <w:tc>
                <w:tcPr>
                  <w:tcW w:w="1115" w:type="dxa"/>
                  <w:tcBorders>
                    <w:tl2br w:val="nil"/>
                    <w:tr2bl w:val="nil"/>
                  </w:tcBorders>
                  <w:noWrap w:val="0"/>
                  <w:vAlign w:val="center"/>
                </w:tcPr>
                <w:p w14:paraId="093A7CB1">
                  <w:pPr>
                    <w:adjustRightInd w:val="0"/>
                    <w:spacing w:line="240" w:lineRule="auto"/>
                    <w:ind w:firstLine="0" w:firstLineChars="0"/>
                    <w:jc w:val="center"/>
                    <w:textAlignment w:val="center"/>
                    <w:rPr>
                      <w:rFonts w:hint="default"/>
                      <w:snapToGrid w:val="0"/>
                      <w:color w:val="auto"/>
                      <w:sz w:val="21"/>
                      <w:szCs w:val="21"/>
                      <w:u w:val="none" w:color="auto"/>
                      <w:lang w:val="en-US"/>
                    </w:rPr>
                  </w:pPr>
                  <w:r>
                    <w:rPr>
                      <w:rFonts w:hint="eastAsia"/>
                      <w:snapToGrid w:val="0"/>
                      <w:color w:val="auto"/>
                      <w:sz w:val="21"/>
                      <w:szCs w:val="21"/>
                      <w:u w:val="none" w:color="auto"/>
                      <w:lang w:val="en-US" w:eastAsia="zh-CN"/>
                    </w:rPr>
                    <w:t>雾炮机故障，卸料扬尘排放</w:t>
                  </w:r>
                </w:p>
              </w:tc>
              <w:tc>
                <w:tcPr>
                  <w:tcW w:w="1415" w:type="dxa"/>
                  <w:tcBorders>
                    <w:tl2br w:val="nil"/>
                    <w:tr2bl w:val="nil"/>
                  </w:tcBorders>
                  <w:noWrap w:val="0"/>
                  <w:vAlign w:val="center"/>
                </w:tcPr>
                <w:p w14:paraId="57B9F35D">
                  <w:pPr>
                    <w:spacing w:line="240" w:lineRule="auto"/>
                    <w:ind w:firstLine="0" w:firstLineChars="0"/>
                    <w:jc w:val="center"/>
                    <w:rPr>
                      <w:rFonts w:hint="default"/>
                      <w:snapToGrid w:val="0"/>
                      <w:color w:val="auto"/>
                      <w:kern w:val="2"/>
                      <w:sz w:val="21"/>
                      <w:szCs w:val="21"/>
                      <w:u w:val="none" w:color="auto"/>
                      <w:lang w:val="en-US" w:eastAsia="zh-CN" w:bidi="ar-SA"/>
                    </w:rPr>
                  </w:pPr>
                  <w:r>
                    <w:rPr>
                      <w:rFonts w:hint="eastAsia"/>
                      <w:snapToGrid w:val="0"/>
                      <w:color w:val="auto"/>
                      <w:sz w:val="21"/>
                      <w:szCs w:val="21"/>
                      <w:u w:val="none" w:color="auto"/>
                      <w:lang w:val="en-US" w:eastAsia="zh-CN"/>
                    </w:rPr>
                    <w:t>颗粒物去除效率降低</w:t>
                  </w:r>
                  <w:r>
                    <w:rPr>
                      <w:snapToGrid w:val="0"/>
                      <w:color w:val="auto"/>
                      <w:sz w:val="21"/>
                      <w:szCs w:val="21"/>
                      <w:u w:val="none" w:color="auto"/>
                    </w:rPr>
                    <w:t>(η=</w:t>
                  </w:r>
                  <w:r>
                    <w:rPr>
                      <w:rFonts w:hint="eastAsia"/>
                      <w:snapToGrid w:val="0"/>
                      <w:color w:val="auto"/>
                      <w:sz w:val="21"/>
                      <w:szCs w:val="21"/>
                      <w:u w:val="none" w:color="auto"/>
                      <w:lang w:val="en-US" w:eastAsia="zh-CN"/>
                    </w:rPr>
                    <w:t>0</w:t>
                  </w:r>
                  <w:r>
                    <w:rPr>
                      <w:snapToGrid w:val="0"/>
                      <w:color w:val="auto"/>
                      <w:sz w:val="21"/>
                      <w:szCs w:val="21"/>
                      <w:u w:val="none" w:color="auto"/>
                    </w:rPr>
                    <w:t>%）</w:t>
                  </w:r>
                </w:p>
              </w:tc>
              <w:tc>
                <w:tcPr>
                  <w:tcW w:w="359" w:type="dxa"/>
                  <w:tcBorders>
                    <w:tl2br w:val="nil"/>
                    <w:tr2bl w:val="nil"/>
                  </w:tcBorders>
                  <w:noWrap w:val="0"/>
                  <w:vAlign w:val="center"/>
                </w:tcPr>
                <w:p w14:paraId="2ED956B6">
                  <w:pPr>
                    <w:spacing w:line="240" w:lineRule="auto"/>
                    <w:ind w:firstLine="0" w:firstLineChars="0"/>
                    <w:jc w:val="center"/>
                    <w:rPr>
                      <w:rFonts w:hint="eastAsia"/>
                      <w:snapToGrid w:val="0"/>
                      <w:color w:val="auto"/>
                      <w:kern w:val="2"/>
                      <w:sz w:val="21"/>
                      <w:szCs w:val="21"/>
                      <w:u w:val="none" w:color="auto"/>
                      <w:lang w:val="en-US" w:eastAsia="zh-CN" w:bidi="ar-SA"/>
                    </w:rPr>
                  </w:pPr>
                  <w:r>
                    <w:rPr>
                      <w:rFonts w:hint="eastAsia"/>
                      <w:snapToGrid w:val="0"/>
                      <w:color w:val="auto"/>
                      <w:sz w:val="21"/>
                      <w:szCs w:val="21"/>
                      <w:u w:val="none" w:color="auto"/>
                      <w:lang w:val="en-US" w:eastAsia="zh-CN"/>
                    </w:rPr>
                    <w:t>颗粒物</w:t>
                  </w:r>
                </w:p>
              </w:tc>
              <w:tc>
                <w:tcPr>
                  <w:tcW w:w="1087" w:type="dxa"/>
                  <w:tcBorders>
                    <w:tl2br w:val="nil"/>
                    <w:tr2bl w:val="nil"/>
                  </w:tcBorders>
                  <w:noWrap w:val="0"/>
                  <w:vAlign w:val="center"/>
                </w:tcPr>
                <w:p w14:paraId="19F52823">
                  <w:pPr>
                    <w:spacing w:line="240" w:lineRule="auto"/>
                    <w:ind w:firstLine="0" w:firstLineChars="0"/>
                    <w:jc w:val="center"/>
                    <w:rPr>
                      <w:rFonts w:hint="default"/>
                      <w:snapToGrid w:val="0"/>
                      <w:color w:val="auto"/>
                      <w:kern w:val="2"/>
                      <w:sz w:val="21"/>
                      <w:szCs w:val="21"/>
                      <w:u w:val="none" w:color="auto"/>
                      <w:lang w:val="en-US" w:eastAsia="zh-CN" w:bidi="ar-SA"/>
                    </w:rPr>
                  </w:pPr>
                  <w:r>
                    <w:rPr>
                      <w:rFonts w:hint="eastAsia"/>
                      <w:snapToGrid w:val="0"/>
                      <w:color w:val="auto"/>
                      <w:kern w:val="2"/>
                      <w:sz w:val="21"/>
                      <w:szCs w:val="21"/>
                      <w:u w:val="none" w:color="auto"/>
                      <w:lang w:val="en-US" w:eastAsia="zh-CN" w:bidi="ar-SA"/>
                    </w:rPr>
                    <w:t>42.657</w:t>
                  </w:r>
                </w:p>
              </w:tc>
              <w:tc>
                <w:tcPr>
                  <w:tcW w:w="622" w:type="dxa"/>
                  <w:tcBorders>
                    <w:tl2br w:val="nil"/>
                    <w:tr2bl w:val="nil"/>
                  </w:tcBorders>
                  <w:noWrap w:val="0"/>
                  <w:vAlign w:val="center"/>
                </w:tcPr>
                <w:p w14:paraId="42A25827">
                  <w:pPr>
                    <w:adjustRightInd w:val="0"/>
                    <w:spacing w:line="240" w:lineRule="auto"/>
                    <w:ind w:firstLine="0" w:firstLineChars="0"/>
                    <w:jc w:val="center"/>
                    <w:rPr>
                      <w:color w:val="auto"/>
                      <w:kern w:val="0"/>
                      <w:sz w:val="21"/>
                      <w:szCs w:val="21"/>
                      <w:u w:val="none" w:color="auto"/>
                    </w:rPr>
                  </w:pPr>
                  <w:r>
                    <w:rPr>
                      <w:rFonts w:hint="eastAsia"/>
                      <w:color w:val="auto"/>
                      <w:kern w:val="0"/>
                      <w:sz w:val="21"/>
                      <w:szCs w:val="21"/>
                      <w:u w:val="none" w:color="auto"/>
                    </w:rPr>
                    <w:t>1</w:t>
                  </w:r>
                </w:p>
              </w:tc>
              <w:tc>
                <w:tcPr>
                  <w:tcW w:w="631" w:type="dxa"/>
                  <w:tcBorders>
                    <w:tl2br w:val="nil"/>
                    <w:tr2bl w:val="nil"/>
                  </w:tcBorders>
                  <w:noWrap w:val="0"/>
                  <w:vAlign w:val="center"/>
                </w:tcPr>
                <w:p w14:paraId="45E6AA42">
                  <w:pPr>
                    <w:adjustRightInd w:val="0"/>
                    <w:spacing w:line="240" w:lineRule="auto"/>
                    <w:ind w:firstLine="0" w:firstLineChars="0"/>
                    <w:jc w:val="center"/>
                    <w:textAlignment w:val="center"/>
                    <w:rPr>
                      <w:color w:val="auto"/>
                      <w:sz w:val="21"/>
                      <w:szCs w:val="21"/>
                      <w:u w:val="none" w:color="auto"/>
                    </w:rPr>
                  </w:pPr>
                  <w:r>
                    <w:rPr>
                      <w:rFonts w:hint="eastAsia"/>
                      <w:color w:val="auto"/>
                      <w:sz w:val="21"/>
                      <w:szCs w:val="21"/>
                      <w:u w:val="none" w:color="auto"/>
                    </w:rPr>
                    <w:t>0-2次</w:t>
                  </w:r>
                </w:p>
              </w:tc>
              <w:tc>
                <w:tcPr>
                  <w:tcW w:w="3238" w:type="dxa"/>
                  <w:tcBorders>
                    <w:tl2br w:val="nil"/>
                    <w:tr2bl w:val="nil"/>
                  </w:tcBorders>
                  <w:noWrap w:val="0"/>
                  <w:vAlign w:val="center"/>
                </w:tcPr>
                <w:p w14:paraId="4609D6A9">
                  <w:pPr>
                    <w:adjustRightInd w:val="0"/>
                    <w:spacing w:line="240" w:lineRule="auto"/>
                    <w:ind w:firstLine="0" w:firstLineChars="0"/>
                    <w:jc w:val="center"/>
                    <w:textAlignment w:val="center"/>
                    <w:rPr>
                      <w:color w:val="auto"/>
                      <w:sz w:val="21"/>
                      <w:szCs w:val="21"/>
                      <w:u w:val="none" w:color="auto"/>
                    </w:rPr>
                  </w:pPr>
                  <w:r>
                    <w:rPr>
                      <w:color w:val="auto"/>
                      <w:sz w:val="21"/>
                      <w:szCs w:val="21"/>
                      <w:u w:val="none" w:color="auto"/>
                    </w:rPr>
                    <w:t>加强管理，确保环保设施正常稳定运行。发生</w:t>
                  </w:r>
                  <w:r>
                    <w:rPr>
                      <w:rFonts w:hint="eastAsia"/>
                      <w:color w:val="auto"/>
                      <w:sz w:val="21"/>
                      <w:szCs w:val="21"/>
                      <w:u w:val="none" w:color="auto"/>
                    </w:rPr>
                    <w:t>故障</w:t>
                  </w:r>
                  <w:r>
                    <w:rPr>
                      <w:color w:val="auto"/>
                      <w:sz w:val="21"/>
                      <w:szCs w:val="21"/>
                      <w:u w:val="none" w:color="auto"/>
                    </w:rPr>
                    <w:t>，停产及时检修，待恢复正常使用后再正常生产</w:t>
                  </w:r>
                </w:p>
              </w:tc>
            </w:tr>
          </w:tbl>
          <w:p w14:paraId="63846686">
            <w:pPr>
              <w:spacing w:line="360" w:lineRule="auto"/>
              <w:ind w:firstLine="528" w:firstLineChars="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本项目废气污染源均为无组织排放，为防止无组织废气颗粒物超标排放，应采取以下措施：</w:t>
            </w:r>
          </w:p>
          <w:p w14:paraId="1028DA94">
            <w:pPr>
              <w:spacing w:line="360" w:lineRule="auto"/>
              <w:ind w:firstLine="528" w:firstLineChars="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（1）注意雾炮降尘设施的维护保养，及时发现处理设备的隐患，确保雾炮降尘等设施正常运行，以保障无组织废气排放达标，杜绝无组织废气超标排放的可能性。</w:t>
            </w:r>
          </w:p>
          <w:p w14:paraId="5A040570">
            <w:pPr>
              <w:spacing w:line="360" w:lineRule="auto"/>
              <w:ind w:firstLine="528" w:firstLineChars="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（2）进一步加强对厂区降尘装置的监管（比如，日常检查厂区除尘设施是否开启，道路是否进行洒水除尘等）。</w:t>
            </w:r>
          </w:p>
          <w:p w14:paraId="70FF8883">
            <w:pPr>
              <w:spacing w:line="360" w:lineRule="auto"/>
              <w:ind w:firstLine="528" w:firstLineChars="0"/>
              <w:jc w:val="left"/>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（3）建立健全的环保管理机构，对环保管理人员和技术人员进行岗位培训，委托具有专业资质的环境检测单位对厂区排放的废气污染物进行定期检测。</w:t>
            </w:r>
          </w:p>
          <w:p w14:paraId="19384038">
            <w:pPr>
              <w:pStyle w:val="5"/>
              <w:bidi w:val="0"/>
              <w:rPr>
                <w:rFonts w:hint="eastAsia"/>
              </w:rPr>
            </w:pPr>
            <w:r>
              <w:rPr>
                <w:rFonts w:hint="eastAsia"/>
                <w:lang w:val="en-US" w:eastAsia="zh-CN"/>
              </w:rPr>
              <w:t>4.2.3</w:t>
            </w:r>
            <w:r>
              <w:rPr>
                <w:rFonts w:hint="eastAsia"/>
              </w:rPr>
              <w:t>污染防治措施及可行性分析</w:t>
            </w:r>
          </w:p>
          <w:p w14:paraId="458F4CC9">
            <w:pPr>
              <w:bidi w:val="0"/>
              <w:rPr>
                <w:rFonts w:hint="eastAsia"/>
                <w:lang w:val="en-US" w:eastAsia="zh-CN"/>
              </w:rPr>
            </w:pPr>
            <w:r>
              <w:rPr>
                <w:rFonts w:hint="eastAsia"/>
                <w:lang w:val="en-US" w:eastAsia="zh-CN"/>
              </w:rPr>
              <w:t>本项目建筑垃圾堆填作业卸料扬尘、堆料扬尘及车辆运输扬尘均采用洒水抑尘等措施，参照《排污许可证申请与核发技术规范 环境卫生管理业》（HJ 1106-2020）附录A 中表A.1“填埋作业可行技术为洒水抑尘、设置防风抑尘网、导气系统淋溶液导排系统、移动喷雾、除臭系统、填埋气综合利用”，因此项目采用洒水抑尘处理措施是可行的。厂界无组织监控点颗粒物浓度可满足《大气污染物综合排放标准》（GB 16297-1996）表2中无组织排放监控浓度限值要求。</w:t>
            </w:r>
          </w:p>
          <w:p w14:paraId="794A820F">
            <w:pPr>
              <w:bidi w:val="0"/>
            </w:pPr>
            <w:r>
              <w:rPr>
                <w:rFonts w:hint="eastAsia"/>
                <w:lang w:val="en-US" w:eastAsia="zh-CN"/>
              </w:rPr>
              <w:t>同时</w:t>
            </w:r>
            <w:r>
              <w:t>对比《</w:t>
            </w:r>
            <w:r>
              <w:rPr>
                <w:lang w:val="en-US" w:eastAsia="zh-CN"/>
              </w:rPr>
              <w:t>建筑垃圾污染控制技术规范</w:t>
            </w:r>
            <w:r>
              <w:t>》（HJ</w:t>
            </w:r>
            <w:r>
              <w:rPr>
                <w:rFonts w:hint="eastAsia"/>
                <w:lang w:val="en-US" w:eastAsia="zh-CN"/>
              </w:rPr>
              <w:t>1462</w:t>
            </w:r>
            <w:r>
              <w:t>-20</w:t>
            </w:r>
            <w:r>
              <w:rPr>
                <w:rFonts w:hint="eastAsia"/>
                <w:lang w:val="en-US" w:eastAsia="zh-CN"/>
              </w:rPr>
              <w:t>26</w:t>
            </w:r>
            <w:r>
              <w:t>）中</w:t>
            </w:r>
            <w:r>
              <w:rPr>
                <w:rFonts w:hint="eastAsia"/>
                <w:lang w:val="en-US" w:eastAsia="zh-CN"/>
              </w:rPr>
              <w:t>污染控制要求</w:t>
            </w:r>
            <w:r>
              <w:t>，项目废</w:t>
            </w:r>
            <w:r>
              <w:rPr>
                <w:rFonts w:hint="eastAsia"/>
                <w:lang w:val="en-US" w:eastAsia="zh-CN"/>
              </w:rPr>
              <w:t>气</w:t>
            </w:r>
            <w:r>
              <w:t>污染防治措施可行。</w:t>
            </w:r>
          </w:p>
          <w:p w14:paraId="5148F265">
            <w:pPr>
              <w:pStyle w:val="44"/>
              <w:bidi w:val="0"/>
            </w:pPr>
            <w:r>
              <w:t>表</w:t>
            </w:r>
            <w:r>
              <w:rPr>
                <w:rFonts w:hint="eastAsia"/>
                <w:lang w:val="en-US" w:eastAsia="zh-CN"/>
              </w:rPr>
              <w:t>4.2-10：</w:t>
            </w:r>
            <w:r>
              <w:t>项目废</w:t>
            </w:r>
            <w:r>
              <w:rPr>
                <w:rFonts w:hint="eastAsia"/>
                <w:lang w:val="en-US" w:eastAsia="zh-CN"/>
              </w:rPr>
              <w:t>气</w:t>
            </w:r>
            <w:r>
              <w:t>污染防治措施与HJ</w:t>
            </w:r>
            <w:r>
              <w:rPr>
                <w:rFonts w:hint="eastAsia"/>
                <w:lang w:val="en-US" w:eastAsia="zh-CN"/>
              </w:rPr>
              <w:t>1462</w:t>
            </w:r>
            <w:r>
              <w:t>-20</w:t>
            </w:r>
            <w:r>
              <w:rPr>
                <w:rFonts w:hint="eastAsia"/>
                <w:lang w:val="en-US" w:eastAsia="zh-CN"/>
              </w:rPr>
              <w:t>26</w:t>
            </w:r>
            <w:r>
              <w:t>符合性分析</w:t>
            </w:r>
          </w:p>
          <w:tbl>
            <w:tblPr>
              <w:tblStyle w:val="38"/>
              <w:tblW w:w="499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41"/>
              <w:gridCol w:w="2902"/>
              <w:gridCol w:w="3506"/>
              <w:gridCol w:w="991"/>
            </w:tblGrid>
            <w:tr w14:paraId="3F771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427" w:type="pct"/>
                  <w:gridSpan w:val="2"/>
                  <w:noWrap w:val="0"/>
                  <w:vAlign w:val="center"/>
                </w:tcPr>
                <w:p w14:paraId="465F12E6">
                  <w:pPr>
                    <w:pStyle w:val="115"/>
                    <w:bidi w:val="0"/>
                    <w:rPr>
                      <w:rFonts w:hint="eastAsia"/>
                      <w:b/>
                      <w:bCs/>
                      <w:lang w:eastAsia="zh-CN"/>
                    </w:rPr>
                  </w:pPr>
                  <w:r>
                    <w:rPr>
                      <w:rFonts w:hint="eastAsia"/>
                      <w:b/>
                      <w:bCs/>
                      <w:lang w:val="en-US" w:eastAsia="zh-CN"/>
                    </w:rPr>
                    <w:t>技术规范要求</w:t>
                  </w:r>
                </w:p>
              </w:tc>
              <w:tc>
                <w:tcPr>
                  <w:tcW w:w="2005" w:type="pct"/>
                  <w:noWrap w:val="0"/>
                  <w:vAlign w:val="center"/>
                </w:tcPr>
                <w:p w14:paraId="4DD2703A">
                  <w:pPr>
                    <w:pStyle w:val="115"/>
                    <w:bidi w:val="0"/>
                    <w:rPr>
                      <w:b/>
                      <w:bCs/>
                    </w:rPr>
                  </w:pPr>
                  <w:r>
                    <w:rPr>
                      <w:b/>
                      <w:bCs/>
                    </w:rPr>
                    <w:t>本项目措施</w:t>
                  </w:r>
                </w:p>
              </w:tc>
              <w:tc>
                <w:tcPr>
                  <w:tcW w:w="567" w:type="pct"/>
                  <w:noWrap w:val="0"/>
                  <w:vAlign w:val="center"/>
                </w:tcPr>
                <w:p w14:paraId="08B725C4">
                  <w:pPr>
                    <w:pStyle w:val="115"/>
                    <w:bidi w:val="0"/>
                    <w:rPr>
                      <w:b/>
                      <w:bCs/>
                    </w:rPr>
                  </w:pPr>
                  <w:r>
                    <w:rPr>
                      <w:b/>
                      <w:bCs/>
                    </w:rPr>
                    <w:t>符合性判断</w:t>
                  </w:r>
                </w:p>
              </w:tc>
            </w:tr>
            <w:tr w14:paraId="02191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7" w:hRule="atLeast"/>
              </w:trPr>
              <w:tc>
                <w:tcPr>
                  <w:tcW w:w="767" w:type="pct"/>
                  <w:vMerge w:val="restart"/>
                  <w:noWrap w:val="0"/>
                  <w:vAlign w:val="center"/>
                </w:tcPr>
                <w:p w14:paraId="5C26D845">
                  <w:pPr>
                    <w:pStyle w:val="115"/>
                    <w:bidi w:val="0"/>
                  </w:pPr>
                  <w:r>
                    <w:rPr>
                      <w:lang w:val="en-US" w:eastAsia="zh-CN"/>
                    </w:rPr>
                    <w:t>贮存与运输过程污染控制要求</w:t>
                  </w:r>
                </w:p>
              </w:tc>
              <w:tc>
                <w:tcPr>
                  <w:tcW w:w="1659" w:type="pct"/>
                  <w:noWrap w:val="0"/>
                  <w:vAlign w:val="center"/>
                </w:tcPr>
                <w:p w14:paraId="31AFADCC">
                  <w:pPr>
                    <w:pStyle w:val="115"/>
                    <w:bidi w:val="0"/>
                    <w:rPr>
                      <w:rFonts w:hint="eastAsia"/>
                      <w:lang w:val="en-US" w:eastAsia="zh-CN"/>
                    </w:rPr>
                  </w:pPr>
                  <w:r>
                    <w:rPr>
                      <w:rFonts w:hint="eastAsia"/>
                      <w:lang w:val="en-US" w:eastAsia="zh-CN"/>
                    </w:rPr>
                    <w:t>贮存设施或场所应对场内物料倒运、上料、卸料等环节采取降噪措施，并采取喷雾、洒水、苫盖等措施进行抑尘</w:t>
                  </w:r>
                </w:p>
              </w:tc>
              <w:tc>
                <w:tcPr>
                  <w:tcW w:w="2005" w:type="pct"/>
                  <w:noWrap w:val="0"/>
                  <w:vAlign w:val="center"/>
                </w:tcPr>
                <w:p w14:paraId="4F27830D">
                  <w:pPr>
                    <w:pStyle w:val="115"/>
                    <w:bidi w:val="0"/>
                    <w:rPr>
                      <w:rFonts w:hint="default"/>
                      <w:lang w:val="en-US" w:eastAsia="zh-CN"/>
                    </w:rPr>
                  </w:pPr>
                  <w:r>
                    <w:rPr>
                      <w:rFonts w:hint="eastAsia"/>
                      <w:lang w:val="en-US" w:eastAsia="zh-CN"/>
                    </w:rPr>
                    <w:t>项目在卸料、倒运工序通过采取降低倾倒高度降低噪声的影响、设有雾炮机装置降尘等措施减少粉尘产生量，达到抑尘效果</w:t>
                  </w:r>
                </w:p>
              </w:tc>
              <w:tc>
                <w:tcPr>
                  <w:tcW w:w="567" w:type="pct"/>
                  <w:noWrap w:val="0"/>
                  <w:vAlign w:val="center"/>
                </w:tcPr>
                <w:p w14:paraId="1F67C3F4">
                  <w:pPr>
                    <w:pStyle w:val="115"/>
                    <w:bidi w:val="0"/>
                  </w:pPr>
                  <w:r>
                    <w:t>符合</w:t>
                  </w:r>
                </w:p>
              </w:tc>
            </w:tr>
            <w:tr w14:paraId="2B0C44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3" w:hRule="atLeast"/>
              </w:trPr>
              <w:tc>
                <w:tcPr>
                  <w:tcW w:w="767" w:type="pct"/>
                  <w:vMerge w:val="continue"/>
                  <w:noWrap w:val="0"/>
                  <w:vAlign w:val="center"/>
                </w:tcPr>
                <w:p w14:paraId="015F5776">
                  <w:pPr>
                    <w:pStyle w:val="115"/>
                    <w:bidi w:val="0"/>
                  </w:pPr>
                </w:p>
              </w:tc>
              <w:tc>
                <w:tcPr>
                  <w:tcW w:w="1659" w:type="pct"/>
                  <w:noWrap w:val="0"/>
                  <w:vAlign w:val="center"/>
                </w:tcPr>
                <w:p w14:paraId="3E1C04CF">
                  <w:pPr>
                    <w:pStyle w:val="115"/>
                    <w:bidi w:val="0"/>
                    <w:rPr>
                      <w:rFonts w:hint="eastAsia"/>
                      <w:lang w:val="en-US" w:eastAsia="zh-CN"/>
                    </w:rPr>
                  </w:pPr>
                  <w:r>
                    <w:rPr>
                      <w:rFonts w:hint="eastAsia"/>
                      <w:lang w:val="en-US" w:eastAsia="zh-CN"/>
                    </w:rPr>
                    <w:t>建筑垃圾在装运过程中应避免混合，运输过程中应采取必要的防扬散、防遗撒、防渗漏、防噪声措施</w:t>
                  </w:r>
                </w:p>
              </w:tc>
              <w:tc>
                <w:tcPr>
                  <w:tcW w:w="2005" w:type="pct"/>
                  <w:noWrap w:val="0"/>
                  <w:vAlign w:val="center"/>
                </w:tcPr>
                <w:p w14:paraId="1B52926B">
                  <w:pPr>
                    <w:pStyle w:val="115"/>
                    <w:bidi w:val="0"/>
                    <w:rPr>
                      <w:rFonts w:hint="default"/>
                      <w:lang w:val="en-US"/>
                    </w:rPr>
                  </w:pPr>
                  <w:r>
                    <w:rPr>
                      <w:rFonts w:hint="eastAsia"/>
                      <w:lang w:val="en-US" w:eastAsia="zh-CN"/>
                    </w:rPr>
                    <w:t>车辆需根据运输的建筑垃圾类型（工程渣土、工程泥浆）选用专用车型；运输车辆车厢顶部必须安装自动全密闭装置（如推拉式柔性篷布），确保运输过程“零遗撒”；车厢尾门需安装密封条，防止泥浆滴漏；通过居民聚集区时采取禁鸣限速等措施</w:t>
                  </w:r>
                </w:p>
              </w:tc>
              <w:tc>
                <w:tcPr>
                  <w:tcW w:w="567" w:type="pct"/>
                  <w:noWrap w:val="0"/>
                  <w:vAlign w:val="center"/>
                </w:tcPr>
                <w:p w14:paraId="0D40BAF9">
                  <w:pPr>
                    <w:pStyle w:val="115"/>
                    <w:bidi w:val="0"/>
                  </w:pPr>
                  <w:r>
                    <w:t>符合</w:t>
                  </w:r>
                </w:p>
              </w:tc>
            </w:tr>
            <w:tr w14:paraId="0DFCD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7" w:hRule="atLeast"/>
              </w:trPr>
              <w:tc>
                <w:tcPr>
                  <w:tcW w:w="767" w:type="pct"/>
                  <w:vMerge w:val="restart"/>
                  <w:noWrap w:val="0"/>
                  <w:vAlign w:val="center"/>
                </w:tcPr>
                <w:p w14:paraId="3E0FB736">
                  <w:pPr>
                    <w:pStyle w:val="115"/>
                    <w:bidi w:val="0"/>
                  </w:pPr>
                  <w:r>
                    <w:rPr>
                      <w:lang w:val="en-US" w:eastAsia="zh-CN"/>
                    </w:rPr>
                    <w:t>利用与处置过程污染控制要求</w:t>
                  </w:r>
                </w:p>
              </w:tc>
              <w:tc>
                <w:tcPr>
                  <w:tcW w:w="1659" w:type="pct"/>
                  <w:noWrap w:val="0"/>
                  <w:vAlign w:val="center"/>
                </w:tcPr>
                <w:p w14:paraId="00B40004">
                  <w:pPr>
                    <w:pStyle w:val="115"/>
                    <w:bidi w:val="0"/>
                    <w:rPr>
                      <w:rFonts w:hint="eastAsia"/>
                      <w:lang w:val="en-US" w:eastAsia="zh-CN"/>
                    </w:rPr>
                  </w:pPr>
                  <w:r>
                    <w:rPr>
                      <w:rFonts w:hint="eastAsia"/>
                      <w:lang w:val="en-US" w:eastAsia="zh-CN"/>
                    </w:rPr>
                    <w:t>建筑垃圾堆放区应采取防扬尘措施</w:t>
                  </w:r>
                </w:p>
              </w:tc>
              <w:tc>
                <w:tcPr>
                  <w:tcW w:w="2005" w:type="pct"/>
                  <w:noWrap w:val="0"/>
                  <w:vAlign w:val="center"/>
                </w:tcPr>
                <w:p w14:paraId="6DDD2974">
                  <w:pPr>
                    <w:pStyle w:val="115"/>
                    <w:bidi w:val="0"/>
                  </w:pPr>
                  <w:r>
                    <w:rPr>
                      <w:rFonts w:hint="eastAsia"/>
                      <w:lang w:val="en-US" w:eastAsia="zh-CN"/>
                    </w:rPr>
                    <w:t>项目分拣平台设置顶棚、雾炮机装置降尘等措施减少粉尘产生量</w:t>
                  </w:r>
                </w:p>
              </w:tc>
              <w:tc>
                <w:tcPr>
                  <w:tcW w:w="567" w:type="pct"/>
                  <w:noWrap w:val="0"/>
                  <w:vAlign w:val="center"/>
                </w:tcPr>
                <w:p w14:paraId="09353E0D">
                  <w:pPr>
                    <w:pStyle w:val="115"/>
                    <w:bidi w:val="0"/>
                  </w:pPr>
                  <w:r>
                    <w:t>符合</w:t>
                  </w:r>
                </w:p>
              </w:tc>
            </w:tr>
            <w:tr w14:paraId="41F520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7" w:hRule="atLeast"/>
              </w:trPr>
              <w:tc>
                <w:tcPr>
                  <w:tcW w:w="767" w:type="pct"/>
                  <w:vMerge w:val="continue"/>
                  <w:noWrap w:val="0"/>
                  <w:vAlign w:val="center"/>
                </w:tcPr>
                <w:p w14:paraId="11A6EE24">
                  <w:pPr>
                    <w:pStyle w:val="115"/>
                    <w:bidi w:val="0"/>
                    <w:rPr>
                      <w:lang w:val="en-US" w:eastAsia="zh-CN"/>
                    </w:rPr>
                  </w:pPr>
                </w:p>
              </w:tc>
              <w:tc>
                <w:tcPr>
                  <w:tcW w:w="1659" w:type="pct"/>
                  <w:noWrap w:val="0"/>
                  <w:vAlign w:val="center"/>
                </w:tcPr>
                <w:p w14:paraId="01266A8A">
                  <w:pPr>
                    <w:pStyle w:val="115"/>
                    <w:bidi w:val="0"/>
                    <w:rPr>
                      <w:rFonts w:hint="eastAsia"/>
                      <w:lang w:val="en-US" w:eastAsia="zh-CN"/>
                    </w:rPr>
                  </w:pPr>
                  <w:r>
                    <w:rPr>
                      <w:rFonts w:hint="eastAsia"/>
                      <w:lang w:val="en-US" w:eastAsia="zh-CN"/>
                    </w:rPr>
                    <w:t>堆填利用作业过程中，应对作业面、场区内道路采取洒水抑尘措施，并对作业面回填压实后及时覆盖，车辆运输过程中做好密封措施</w:t>
                  </w:r>
                </w:p>
              </w:tc>
              <w:tc>
                <w:tcPr>
                  <w:tcW w:w="2005" w:type="pct"/>
                  <w:noWrap w:val="0"/>
                  <w:vAlign w:val="center"/>
                </w:tcPr>
                <w:p w14:paraId="348C22FE">
                  <w:pPr>
                    <w:pStyle w:val="115"/>
                    <w:bidi w:val="0"/>
                    <w:rPr>
                      <w:rFonts w:hint="default"/>
                      <w:lang w:val="en-US" w:eastAsia="zh-CN"/>
                    </w:rPr>
                  </w:pPr>
                  <w:r>
                    <w:rPr>
                      <w:rFonts w:hint="eastAsia"/>
                      <w:lang w:val="en-US" w:eastAsia="zh-CN"/>
                    </w:rPr>
                    <w:t>项目建筑垃圾消纳场设有雾炮机等洒水降尘装置，及时对作业面回填压实，运输车辆车厢顶部安装自动全密闭装置（如推拉式柔性篷布），确保运输过程“零遗撒”</w:t>
                  </w:r>
                </w:p>
              </w:tc>
              <w:tc>
                <w:tcPr>
                  <w:tcW w:w="567" w:type="pct"/>
                  <w:noWrap w:val="0"/>
                  <w:vAlign w:val="center"/>
                </w:tcPr>
                <w:p w14:paraId="26B0E744">
                  <w:pPr>
                    <w:pStyle w:val="115"/>
                    <w:bidi w:val="0"/>
                  </w:pPr>
                  <w:r>
                    <w:t>符合</w:t>
                  </w:r>
                </w:p>
              </w:tc>
            </w:tr>
            <w:tr w14:paraId="512CC2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07" w:hRule="atLeast"/>
              </w:trPr>
              <w:tc>
                <w:tcPr>
                  <w:tcW w:w="767" w:type="pct"/>
                  <w:noWrap w:val="0"/>
                  <w:vAlign w:val="center"/>
                </w:tcPr>
                <w:p w14:paraId="2326B15D">
                  <w:pPr>
                    <w:pStyle w:val="115"/>
                    <w:bidi w:val="0"/>
                    <w:rPr>
                      <w:lang w:val="en-US" w:eastAsia="zh-CN"/>
                    </w:rPr>
                  </w:pPr>
                  <w:r>
                    <w:rPr>
                      <w:lang w:val="en-US" w:eastAsia="zh-CN"/>
                    </w:rPr>
                    <w:t>污染物监测要求</w:t>
                  </w:r>
                </w:p>
              </w:tc>
              <w:tc>
                <w:tcPr>
                  <w:tcW w:w="1659" w:type="pct"/>
                  <w:noWrap w:val="0"/>
                  <w:vAlign w:val="center"/>
                </w:tcPr>
                <w:p w14:paraId="0C766693">
                  <w:pPr>
                    <w:pStyle w:val="115"/>
                    <w:bidi w:val="0"/>
                    <w:rPr>
                      <w:rFonts w:hint="eastAsia"/>
                      <w:lang w:val="en-US" w:eastAsia="zh-CN"/>
                    </w:rPr>
                  </w:pPr>
                  <w:r>
                    <w:rPr>
                      <w:rFonts w:hint="eastAsia"/>
                      <w:lang w:val="en-US" w:eastAsia="zh-CN"/>
                    </w:rPr>
                    <w:t>无组织气体的采样点布设、采样按GB 16297、GB 14554和HJ 905的规定执行，采用的监测分析方法应当符合生态环境监测有关规范和标准的规定，污染源下风方向应为主要监测范围。运行期间，企业自行监测频次至少每季度 1次。如监测结果出现异常，应及时进行重新监测， 间隔时间不超过1周。</w:t>
                  </w:r>
                </w:p>
              </w:tc>
              <w:tc>
                <w:tcPr>
                  <w:tcW w:w="2005" w:type="pct"/>
                  <w:noWrap w:val="0"/>
                  <w:vAlign w:val="center"/>
                </w:tcPr>
                <w:p w14:paraId="13C63D32">
                  <w:pPr>
                    <w:pStyle w:val="115"/>
                    <w:bidi w:val="0"/>
                    <w:rPr>
                      <w:rFonts w:hint="default"/>
                      <w:lang w:val="en-US" w:eastAsia="zh-CN"/>
                    </w:rPr>
                  </w:pPr>
                  <w:r>
                    <w:rPr>
                      <w:rFonts w:hint="eastAsia"/>
                      <w:lang w:val="en-US" w:eastAsia="zh-CN"/>
                    </w:rPr>
                    <w:t>项目大气自行监测计划中将于建筑垃圾消纳场厂界布置监测点：上风向1个、下风向2~3个；监测因子为颗粒物，监测频次为1次/季度</w:t>
                  </w:r>
                </w:p>
              </w:tc>
              <w:tc>
                <w:tcPr>
                  <w:tcW w:w="567" w:type="pct"/>
                  <w:noWrap w:val="0"/>
                  <w:vAlign w:val="center"/>
                </w:tcPr>
                <w:p w14:paraId="3C938FF8">
                  <w:pPr>
                    <w:pStyle w:val="115"/>
                    <w:bidi w:val="0"/>
                  </w:pPr>
                  <w:r>
                    <w:t>符合</w:t>
                  </w:r>
                </w:p>
              </w:tc>
            </w:tr>
          </w:tbl>
          <w:p w14:paraId="66020460">
            <w:pPr>
              <w:bidi w:val="0"/>
              <w:rPr>
                <w:rFonts w:hint="eastAsia"/>
              </w:rPr>
            </w:pPr>
            <w:r>
              <w:rPr>
                <w:rFonts w:hint="eastAsia"/>
              </w:rPr>
              <w:t>综上，本项目废气处理措施技术可行。</w:t>
            </w:r>
          </w:p>
          <w:p w14:paraId="680B9678">
            <w:pPr>
              <w:pStyle w:val="5"/>
              <w:bidi w:val="0"/>
              <w:rPr>
                <w:u w:val="single"/>
              </w:rPr>
            </w:pPr>
            <w:r>
              <w:rPr>
                <w:rFonts w:hint="eastAsia"/>
                <w:u w:val="single"/>
                <w:lang w:val="en-US" w:eastAsia="zh-CN"/>
              </w:rPr>
              <w:t>4.2.4</w:t>
            </w:r>
            <w:r>
              <w:rPr>
                <w:u w:val="single"/>
              </w:rPr>
              <w:t>达标排放</w:t>
            </w:r>
            <w:r>
              <w:rPr>
                <w:rFonts w:hint="eastAsia"/>
                <w:u w:val="single"/>
              </w:rPr>
              <w:t>及环境影响</w:t>
            </w:r>
          </w:p>
          <w:p w14:paraId="04E1F84D">
            <w:pPr>
              <w:keepNext w:val="0"/>
              <w:keepLines w:val="0"/>
              <w:widowControl/>
              <w:suppressLineNumbers w:val="0"/>
              <w:jc w:val="left"/>
              <w:rPr>
                <w:rFonts w:hint="eastAsia"/>
                <w:u w:val="single"/>
                <w:lang w:val="en-US" w:eastAsia="zh-CN"/>
              </w:rPr>
            </w:pPr>
            <w:r>
              <w:rPr>
                <w:rFonts w:hint="eastAsia"/>
                <w:u w:val="single"/>
                <w:lang w:val="en-US" w:eastAsia="zh-CN"/>
              </w:rPr>
              <w:t>项目废气主要包括</w:t>
            </w:r>
            <w:r>
              <w:rPr>
                <w:rFonts w:hint="eastAsia"/>
                <w:u w:val="single"/>
              </w:rPr>
              <w:t>建筑垃圾堆填场场内卸车、堆填场碾压扬尘、堆填场扬尘、以及道路运输扬尘、设备及车辆尾气</w:t>
            </w:r>
            <w:r>
              <w:rPr>
                <w:rFonts w:hint="eastAsia"/>
                <w:u w:val="single"/>
                <w:lang w:eastAsia="zh-CN"/>
              </w:rPr>
              <w:t>，</w:t>
            </w:r>
            <w:r>
              <w:rPr>
                <w:rFonts w:hint="eastAsia"/>
                <w:u w:val="single"/>
                <w:lang w:val="en-US" w:eastAsia="zh-CN"/>
              </w:rPr>
              <w:t>本项目无组织废气参考《东河区建筑垃圾堆填场建设项目竣工环境保护验收监测报告表》可知，堆填场处理建筑垃圾130t/d，总库容48万m3，堆填库区总面积约</w:t>
            </w:r>
            <w:r>
              <w:rPr>
                <w:rFonts w:hint="default"/>
                <w:u w:val="single"/>
                <w:lang w:val="en-US" w:eastAsia="zh-CN"/>
              </w:rPr>
              <w:t>6.4</w:t>
            </w:r>
            <w:r>
              <w:rPr>
                <w:rFonts w:hint="eastAsia"/>
                <w:u w:val="single"/>
                <w:lang w:val="en-US" w:eastAsia="zh-CN"/>
              </w:rPr>
              <w:t>万</w:t>
            </w:r>
            <w:r>
              <w:rPr>
                <w:rFonts w:hint="default"/>
                <w:u w:val="single"/>
                <w:lang w:val="en-US" w:eastAsia="zh-CN"/>
              </w:rPr>
              <w:t>m</w:t>
            </w:r>
            <w:r>
              <w:rPr>
                <w:rFonts w:hint="default"/>
                <w:u w:val="single"/>
                <w:vertAlign w:val="superscript"/>
                <w:lang w:val="en-US" w:eastAsia="zh-CN"/>
              </w:rPr>
              <w:t>2</w:t>
            </w:r>
            <w:r>
              <w:rPr>
                <w:rFonts w:hint="eastAsia"/>
                <w:u w:val="single"/>
                <w:lang w:val="en-US" w:eastAsia="zh-CN"/>
              </w:rPr>
              <w:t>；根据监测结果分析可知，厂界颗粒物的最大排放浓度为0.415mg/m</w:t>
            </w:r>
            <w:r>
              <w:rPr>
                <w:rFonts w:hint="eastAsia"/>
                <w:u w:val="single"/>
                <w:vertAlign w:val="superscript"/>
                <w:lang w:val="en-US" w:eastAsia="zh-CN"/>
              </w:rPr>
              <w:t>3</w:t>
            </w:r>
            <w:r>
              <w:rPr>
                <w:rFonts w:hint="eastAsia"/>
                <w:u w:val="single"/>
                <w:lang w:val="en-US" w:eastAsia="zh-CN"/>
              </w:rPr>
              <w:t>，满足《大气污染物综合排放标准》（GB16297-1996）表2新污染源大气污染物排放限值（颗粒物1.0mg/m</w:t>
            </w:r>
            <w:r>
              <w:rPr>
                <w:rFonts w:hint="eastAsia"/>
                <w:u w:val="single"/>
                <w:vertAlign w:val="superscript"/>
                <w:lang w:val="en-US" w:eastAsia="zh-CN"/>
              </w:rPr>
              <w:t>3</w:t>
            </w:r>
            <w:r>
              <w:rPr>
                <w:rFonts w:hint="eastAsia"/>
                <w:u w:val="single"/>
                <w:lang w:val="en-US" w:eastAsia="zh-CN"/>
              </w:rPr>
              <w:t>）。</w:t>
            </w:r>
          </w:p>
          <w:p w14:paraId="45F19540">
            <w:pPr>
              <w:bidi w:val="0"/>
              <w:rPr>
                <w:u w:val="single"/>
              </w:rPr>
            </w:pPr>
            <w:r>
              <w:rPr>
                <w:rFonts w:hint="eastAsia"/>
                <w:u w:val="single"/>
                <w:lang w:val="en-US" w:eastAsia="zh-CN"/>
              </w:rPr>
              <w:t>因此本项目</w:t>
            </w:r>
            <w:r>
              <w:rPr>
                <w:rFonts w:hint="eastAsia"/>
                <w:u w:val="single"/>
              </w:rPr>
              <w:t>采取措施后拟建项目颗粒物厂界浓度满足《大气污染物综合排放标准》（GB16297-1996）表2 无组织排放监控浓度，对周边环境空气质量及保护目标影响小。因此，拟建项目对大气环境的影响可接受。</w:t>
            </w:r>
          </w:p>
          <w:p w14:paraId="75E20334">
            <w:pPr>
              <w:pStyle w:val="5"/>
              <w:bidi w:val="0"/>
            </w:pPr>
            <w:r>
              <w:rPr>
                <w:rFonts w:hint="eastAsia"/>
                <w:lang w:val="en-US" w:eastAsia="zh-CN"/>
              </w:rPr>
              <w:t>4.2.5</w:t>
            </w:r>
            <w:r>
              <w:t>自行监测要求</w:t>
            </w:r>
          </w:p>
          <w:p w14:paraId="0FF53961">
            <w:pPr>
              <w:ind w:firstLine="480"/>
              <w:rPr>
                <w:color w:val="auto"/>
                <w:u w:val="single" w:color="auto"/>
              </w:rPr>
            </w:pPr>
            <w:r>
              <w:rPr>
                <w:rFonts w:hint="eastAsia"/>
                <w:color w:val="auto"/>
                <w:u w:val="single" w:color="auto"/>
              </w:rPr>
              <w:t>根据本项目生产工艺、产品等内容，根据《排污单位自行监测技术指南</w:t>
            </w:r>
            <w:r>
              <w:rPr>
                <w:rFonts w:hint="eastAsia"/>
                <w:color w:val="auto"/>
                <w:u w:val="single" w:color="auto"/>
                <w:lang w:val="en-US" w:eastAsia="zh-CN"/>
              </w:rPr>
              <w:t xml:space="preserve"> </w:t>
            </w:r>
            <w:r>
              <w:rPr>
                <w:rFonts w:hint="eastAsia"/>
                <w:color w:val="auto"/>
                <w:u w:val="single" w:color="auto"/>
              </w:rPr>
              <w:t>总则》（HJ819-2017），根据《排污单位自行监测技术指南</w:t>
            </w:r>
            <w:r>
              <w:rPr>
                <w:rFonts w:hint="eastAsia"/>
                <w:color w:val="auto"/>
                <w:u w:val="single" w:color="auto"/>
                <w:lang w:val="en-US" w:eastAsia="zh-CN"/>
              </w:rPr>
              <w:t xml:space="preserve"> </w:t>
            </w:r>
            <w:r>
              <w:rPr>
                <w:rFonts w:hint="eastAsia"/>
                <w:color w:val="auto"/>
                <w:u w:val="single" w:color="auto"/>
              </w:rPr>
              <w:t>总则》（H</w:t>
            </w:r>
            <w:r>
              <w:rPr>
                <w:color w:val="auto"/>
                <w:u w:val="single" w:color="auto"/>
              </w:rPr>
              <w:t>J819-2017</w:t>
            </w:r>
            <w:r>
              <w:rPr>
                <w:rFonts w:hint="eastAsia"/>
                <w:color w:val="auto"/>
                <w:u w:val="single" w:color="auto"/>
              </w:rPr>
              <w:t>）</w:t>
            </w:r>
            <w:r>
              <w:rPr>
                <w:rFonts w:hint="eastAsia"/>
                <w:color w:val="auto"/>
                <w:u w:val="single" w:color="auto"/>
                <w:lang w:eastAsia="zh-CN"/>
              </w:rPr>
              <w:t>、《建筑垃圾污染控制技术规范》（HJ 1462-2026）</w:t>
            </w:r>
            <w:r>
              <w:rPr>
                <w:rFonts w:hint="eastAsia"/>
                <w:color w:val="auto"/>
                <w:u w:val="single" w:color="auto"/>
              </w:rPr>
              <w:t>自行监测要求</w:t>
            </w:r>
            <w:r>
              <w:rPr>
                <w:rFonts w:hint="eastAsia"/>
                <w:color w:val="auto"/>
                <w:u w:val="single" w:color="auto"/>
                <w:lang w:eastAsia="zh-CN"/>
              </w:rPr>
              <w:t>，</w:t>
            </w:r>
            <w:r>
              <w:rPr>
                <w:rFonts w:hint="eastAsia"/>
                <w:color w:val="auto"/>
                <w:u w:val="single" w:color="auto"/>
              </w:rPr>
              <w:t>故本项目自行监测要求如下：</w:t>
            </w:r>
          </w:p>
          <w:p w14:paraId="53B6E61F">
            <w:pPr>
              <w:pStyle w:val="44"/>
              <w:bidi w:val="0"/>
              <w:rPr>
                <w:rFonts w:hint="eastAsia"/>
                <w:u w:val="single" w:color="auto"/>
                <w:lang w:val="en-US"/>
              </w:rPr>
            </w:pPr>
            <w:r>
              <w:rPr>
                <w:rFonts w:hint="eastAsia"/>
                <w:u w:val="single" w:color="auto"/>
                <w:lang w:val="en-US"/>
              </w:rPr>
              <w:t>表</w:t>
            </w:r>
            <w:r>
              <w:rPr>
                <w:rFonts w:hint="eastAsia"/>
                <w:u w:val="single" w:color="auto"/>
                <w:lang w:val="en-US" w:eastAsia="zh-CN"/>
              </w:rPr>
              <w:t>4.2-11：废气自行</w:t>
            </w:r>
            <w:r>
              <w:rPr>
                <w:rFonts w:hint="eastAsia"/>
                <w:u w:val="single" w:color="auto"/>
                <w:lang w:val="en-US"/>
              </w:rPr>
              <w:t>监测要求</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3002"/>
              <w:gridCol w:w="1277"/>
              <w:gridCol w:w="1189"/>
              <w:gridCol w:w="2523"/>
            </w:tblGrid>
            <w:tr w14:paraId="11BD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noWrap w:val="0"/>
                  <w:vAlign w:val="center"/>
                </w:tcPr>
                <w:p w14:paraId="4B5AC60E">
                  <w:pPr>
                    <w:pStyle w:val="107"/>
                    <w:bidi w:val="0"/>
                    <w:rPr>
                      <w:rFonts w:hint="eastAsia"/>
                      <w:b/>
                      <w:bCs/>
                      <w:u w:val="single" w:color="auto"/>
                    </w:rPr>
                  </w:pPr>
                  <w:r>
                    <w:rPr>
                      <w:rFonts w:hint="eastAsia"/>
                      <w:b/>
                      <w:bCs/>
                      <w:u w:val="single" w:color="auto"/>
                    </w:rPr>
                    <w:t>排放形式</w:t>
                  </w:r>
                </w:p>
              </w:tc>
              <w:tc>
                <w:tcPr>
                  <w:tcW w:w="3002" w:type="dxa"/>
                  <w:noWrap w:val="0"/>
                  <w:vAlign w:val="center"/>
                </w:tcPr>
                <w:p w14:paraId="13EFAB09">
                  <w:pPr>
                    <w:pStyle w:val="107"/>
                    <w:bidi w:val="0"/>
                    <w:rPr>
                      <w:b/>
                      <w:bCs/>
                      <w:u w:val="single" w:color="auto"/>
                    </w:rPr>
                  </w:pPr>
                  <w:r>
                    <w:rPr>
                      <w:b/>
                      <w:bCs/>
                      <w:u w:val="single" w:color="auto"/>
                    </w:rPr>
                    <w:t>监测点位</w:t>
                  </w:r>
                </w:p>
              </w:tc>
              <w:tc>
                <w:tcPr>
                  <w:tcW w:w="1277" w:type="dxa"/>
                  <w:noWrap w:val="0"/>
                  <w:vAlign w:val="center"/>
                </w:tcPr>
                <w:p w14:paraId="34FD4852">
                  <w:pPr>
                    <w:pStyle w:val="107"/>
                    <w:bidi w:val="0"/>
                    <w:rPr>
                      <w:b/>
                      <w:bCs/>
                      <w:u w:val="single" w:color="auto"/>
                    </w:rPr>
                  </w:pPr>
                  <w:r>
                    <w:rPr>
                      <w:b/>
                      <w:bCs/>
                      <w:u w:val="single" w:color="auto"/>
                    </w:rPr>
                    <w:t>监测因子</w:t>
                  </w:r>
                </w:p>
              </w:tc>
              <w:tc>
                <w:tcPr>
                  <w:tcW w:w="1189" w:type="dxa"/>
                  <w:noWrap w:val="0"/>
                  <w:vAlign w:val="center"/>
                </w:tcPr>
                <w:p w14:paraId="4DF65A91">
                  <w:pPr>
                    <w:pStyle w:val="107"/>
                    <w:bidi w:val="0"/>
                    <w:rPr>
                      <w:b/>
                      <w:bCs/>
                      <w:u w:val="single" w:color="auto"/>
                    </w:rPr>
                  </w:pPr>
                  <w:r>
                    <w:rPr>
                      <w:b/>
                      <w:bCs/>
                      <w:u w:val="single" w:color="auto"/>
                    </w:rPr>
                    <w:t>监测频次</w:t>
                  </w:r>
                </w:p>
              </w:tc>
              <w:tc>
                <w:tcPr>
                  <w:tcW w:w="2523" w:type="dxa"/>
                  <w:noWrap w:val="0"/>
                  <w:vAlign w:val="center"/>
                </w:tcPr>
                <w:p w14:paraId="0CFA927D">
                  <w:pPr>
                    <w:pStyle w:val="107"/>
                    <w:bidi w:val="0"/>
                    <w:rPr>
                      <w:b/>
                      <w:bCs/>
                      <w:u w:val="single" w:color="auto"/>
                    </w:rPr>
                  </w:pPr>
                  <w:r>
                    <w:rPr>
                      <w:b/>
                      <w:bCs/>
                      <w:u w:val="single" w:color="auto"/>
                    </w:rPr>
                    <w:t>执行标准</w:t>
                  </w:r>
                </w:p>
              </w:tc>
            </w:tr>
            <w:tr w14:paraId="5D2F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6" w:type="dxa"/>
                  <w:noWrap w:val="0"/>
                  <w:vAlign w:val="center"/>
                </w:tcPr>
                <w:p w14:paraId="64AEC166">
                  <w:pPr>
                    <w:pStyle w:val="107"/>
                    <w:bidi w:val="0"/>
                    <w:rPr>
                      <w:rFonts w:hint="eastAsia"/>
                      <w:u w:val="single" w:color="auto"/>
                    </w:rPr>
                  </w:pPr>
                  <w:r>
                    <w:rPr>
                      <w:rFonts w:hint="eastAsia"/>
                      <w:u w:val="single" w:color="auto"/>
                    </w:rPr>
                    <w:t>无组织</w:t>
                  </w:r>
                </w:p>
              </w:tc>
              <w:tc>
                <w:tcPr>
                  <w:tcW w:w="3002" w:type="dxa"/>
                  <w:noWrap w:val="0"/>
                  <w:vAlign w:val="center"/>
                </w:tcPr>
                <w:p w14:paraId="0227BDE6">
                  <w:pPr>
                    <w:pStyle w:val="107"/>
                    <w:bidi w:val="0"/>
                    <w:rPr>
                      <w:rFonts w:hint="eastAsia"/>
                      <w:u w:val="single" w:color="auto"/>
                    </w:rPr>
                  </w:pPr>
                  <w:r>
                    <w:rPr>
                      <w:rFonts w:hint="eastAsia"/>
                      <w:u w:val="single" w:color="auto"/>
                      <w:lang w:val="en-US" w:eastAsia="zh-CN"/>
                    </w:rPr>
                    <w:t>建筑垃圾消纳场厂界</w:t>
                  </w:r>
                  <w:r>
                    <w:rPr>
                      <w:rFonts w:hint="eastAsia"/>
                      <w:u w:val="single" w:color="auto"/>
                    </w:rPr>
                    <w:t>（上风向1个、下风向2~3个）</w:t>
                  </w:r>
                </w:p>
              </w:tc>
              <w:tc>
                <w:tcPr>
                  <w:tcW w:w="1277" w:type="dxa"/>
                  <w:noWrap w:val="0"/>
                  <w:vAlign w:val="center"/>
                </w:tcPr>
                <w:p w14:paraId="69D40ED9">
                  <w:pPr>
                    <w:pStyle w:val="107"/>
                    <w:bidi w:val="0"/>
                    <w:rPr>
                      <w:rFonts w:hint="default"/>
                      <w:u w:val="single" w:color="auto"/>
                      <w:lang w:val="en-US" w:eastAsia="zh-CN"/>
                    </w:rPr>
                  </w:pPr>
                  <w:r>
                    <w:rPr>
                      <w:rFonts w:hint="eastAsia"/>
                      <w:u w:val="single" w:color="auto"/>
                      <w:lang w:val="en-US" w:eastAsia="zh-CN"/>
                    </w:rPr>
                    <w:t>颗粒物</w:t>
                  </w:r>
                </w:p>
              </w:tc>
              <w:tc>
                <w:tcPr>
                  <w:tcW w:w="1189" w:type="dxa"/>
                  <w:noWrap w:val="0"/>
                  <w:vAlign w:val="center"/>
                </w:tcPr>
                <w:p w14:paraId="06B82658">
                  <w:pPr>
                    <w:pStyle w:val="107"/>
                    <w:bidi w:val="0"/>
                    <w:rPr>
                      <w:rFonts w:hint="eastAsia"/>
                      <w:u w:val="single" w:color="auto"/>
                      <w:lang w:val="en-US" w:eastAsia="zh-CN"/>
                    </w:rPr>
                  </w:pPr>
                  <w:r>
                    <w:rPr>
                      <w:rFonts w:hint="eastAsia"/>
                      <w:u w:val="single" w:color="auto"/>
                    </w:rPr>
                    <w:t>1次/</w:t>
                  </w:r>
                  <w:r>
                    <w:rPr>
                      <w:rFonts w:hint="eastAsia"/>
                      <w:u w:val="single" w:color="auto"/>
                      <w:lang w:val="en-US" w:eastAsia="zh-CN"/>
                    </w:rPr>
                    <w:t>季度</w:t>
                  </w:r>
                </w:p>
              </w:tc>
              <w:tc>
                <w:tcPr>
                  <w:tcW w:w="2523" w:type="dxa"/>
                  <w:noWrap w:val="0"/>
                  <w:vAlign w:val="center"/>
                </w:tcPr>
                <w:p w14:paraId="37D931F4">
                  <w:pPr>
                    <w:pStyle w:val="107"/>
                    <w:bidi w:val="0"/>
                    <w:rPr>
                      <w:rFonts w:hint="eastAsia"/>
                      <w:u w:val="single" w:color="auto"/>
                    </w:rPr>
                  </w:pPr>
                  <w:r>
                    <w:rPr>
                      <w:rFonts w:hint="eastAsia"/>
                      <w:u w:val="single" w:color="auto"/>
                    </w:rPr>
                    <w:t>《大气污染物综合排放标准》（GB16297-1996）</w:t>
                  </w:r>
                </w:p>
              </w:tc>
            </w:tr>
          </w:tbl>
          <w:p w14:paraId="12F7B3A3">
            <w:pPr>
              <w:pStyle w:val="5"/>
              <w:bidi w:val="0"/>
              <w:rPr>
                <w:rFonts w:hint="eastAsia" w:ascii="Times New Roman" w:hAnsi="Times New Roman" w:eastAsia="宋体" w:cs="Times New Roman"/>
                <w:lang w:val="en-US" w:eastAsia="zh-CN"/>
              </w:rPr>
            </w:pPr>
            <w:bookmarkStart w:id="94" w:name="_Toc18994"/>
            <w:bookmarkStart w:id="95" w:name="_Toc5462"/>
            <w:bookmarkStart w:id="96" w:name="_Toc18764"/>
            <w:r>
              <w:rPr>
                <w:rFonts w:hint="eastAsia" w:ascii="Times New Roman" w:hAnsi="Times New Roman" w:eastAsia="宋体" w:cs="Times New Roman"/>
                <w:lang w:val="en-US" w:eastAsia="zh-CN"/>
              </w:rPr>
              <w:t>4.2.</w:t>
            </w:r>
            <w:r>
              <w:rPr>
                <w:rFonts w:hint="eastAsia" w:cs="Times New Roman"/>
                <w:lang w:val="en-US" w:eastAsia="zh-CN"/>
              </w:rPr>
              <w:t>6</w:t>
            </w:r>
            <w:r>
              <w:rPr>
                <w:rFonts w:hint="eastAsia" w:ascii="Times New Roman" w:hAnsi="Times New Roman" w:eastAsia="宋体" w:cs="Times New Roman"/>
                <w:lang w:val="en-US" w:eastAsia="zh-CN"/>
              </w:rPr>
              <w:t>废气治理小结</w:t>
            </w:r>
          </w:p>
          <w:p w14:paraId="638B1DC2">
            <w:pPr>
              <w:bidi w:val="0"/>
              <w:rPr>
                <w:rFonts w:hint="eastAsia"/>
                <w:lang w:val="en-US" w:eastAsia="zh-CN"/>
              </w:rPr>
            </w:pPr>
            <w:r>
              <w:rPr>
                <w:rFonts w:hint="eastAsia"/>
                <w:lang w:val="en-US" w:eastAsia="zh-CN"/>
              </w:rPr>
              <w:t>综上所述，本项目废气经采取以上措施后，各污染物可确保达标排放，采取的废气污染防治措施可行、可靠。</w:t>
            </w:r>
          </w:p>
          <w:p w14:paraId="54339FC6">
            <w:pPr>
              <w:pStyle w:val="4"/>
              <w:bidi w:val="0"/>
              <w:rPr>
                <w:rFonts w:hint="eastAsia"/>
                <w:lang w:val="en-US" w:eastAsia="zh-CN"/>
              </w:rPr>
            </w:pPr>
            <w:r>
              <w:rPr>
                <w:rFonts w:hint="eastAsia"/>
                <w:lang w:val="en-US" w:eastAsia="zh-CN"/>
              </w:rPr>
              <w:t>4.3水环境影响分析及污染防治措施</w:t>
            </w:r>
            <w:bookmarkEnd w:id="94"/>
            <w:bookmarkEnd w:id="95"/>
            <w:bookmarkEnd w:id="96"/>
          </w:p>
          <w:p w14:paraId="2B62D031">
            <w:pPr>
              <w:pStyle w:val="5"/>
              <w:bidi w:val="0"/>
              <w:rPr>
                <w:rFonts w:hint="eastAsia"/>
                <w:lang w:val="en-US" w:eastAsia="zh-CN"/>
              </w:rPr>
            </w:pPr>
            <w:r>
              <w:rPr>
                <w:rFonts w:hint="eastAsia"/>
                <w:lang w:val="en-US" w:eastAsia="zh-CN"/>
              </w:rPr>
              <w:t>4.3.1废水污染源强分析</w:t>
            </w:r>
          </w:p>
          <w:p w14:paraId="7E2F4733">
            <w:pPr>
              <w:bidi w:val="0"/>
              <w:rPr>
                <w:rFonts w:hint="eastAsia"/>
              </w:rPr>
            </w:pPr>
            <w:r>
              <w:rPr>
                <w:rFonts w:hint="eastAsia"/>
              </w:rPr>
              <w:t>根据前述给排水和水平衡分析，项目</w:t>
            </w:r>
            <w:r>
              <w:rPr>
                <w:rFonts w:hint="eastAsia"/>
                <w:lang w:val="en-US" w:eastAsia="zh-CN"/>
              </w:rPr>
              <w:t>产生的</w:t>
            </w:r>
            <w:r>
              <w:rPr>
                <w:rFonts w:hint="eastAsia"/>
              </w:rPr>
              <w:t>废水主要分为生活污水</w:t>
            </w:r>
            <w:r>
              <w:rPr>
                <w:rFonts w:hint="eastAsia"/>
                <w:lang w:val="en-US" w:eastAsia="zh-CN"/>
              </w:rPr>
              <w:t>以及生产废水</w:t>
            </w:r>
            <w:r>
              <w:rPr>
                <w:rFonts w:hint="eastAsia"/>
              </w:rPr>
              <w:t>。</w:t>
            </w:r>
          </w:p>
          <w:p w14:paraId="1019BB2C">
            <w:pPr>
              <w:ind w:firstLine="480"/>
              <w:rPr>
                <w:rFonts w:hint="eastAsia"/>
                <w:color w:val="auto"/>
                <w:u w:val="none" w:color="auto"/>
              </w:rPr>
            </w:pPr>
            <w:r>
              <w:rPr>
                <w:rFonts w:hint="eastAsia"/>
                <w:color w:val="auto"/>
                <w:u w:val="none" w:color="auto"/>
              </w:rPr>
              <w:t>（1）生活污水</w:t>
            </w:r>
          </w:p>
          <w:p w14:paraId="42562AA8">
            <w:pPr>
              <w:ind w:firstLine="480"/>
              <w:rPr>
                <w:rFonts w:hint="eastAsia"/>
                <w:color w:val="auto"/>
                <w:u w:val="none" w:color="auto"/>
              </w:rPr>
            </w:pPr>
            <w:r>
              <w:rPr>
                <w:rFonts w:hint="eastAsia"/>
                <w:color w:val="auto"/>
                <w:u w:val="none" w:color="auto"/>
              </w:rPr>
              <w:t>项目生活污水中主要污染物为COD</w:t>
            </w:r>
            <w:r>
              <w:rPr>
                <w:rFonts w:hint="eastAsia"/>
                <w:color w:val="auto"/>
                <w:u w:val="none" w:color="auto"/>
                <w:vertAlign w:val="subscript"/>
              </w:rPr>
              <w:t>Cr</w:t>
            </w:r>
            <w:r>
              <w:rPr>
                <w:rFonts w:hint="eastAsia"/>
                <w:color w:val="auto"/>
                <w:u w:val="none" w:color="auto"/>
              </w:rPr>
              <w:t>、BOD</w:t>
            </w:r>
            <w:r>
              <w:rPr>
                <w:rFonts w:hint="eastAsia"/>
                <w:color w:val="auto"/>
                <w:u w:val="none" w:color="auto"/>
                <w:vertAlign w:val="subscript"/>
              </w:rPr>
              <w:t>5</w:t>
            </w:r>
            <w:r>
              <w:rPr>
                <w:rFonts w:hint="eastAsia"/>
                <w:color w:val="auto"/>
                <w:u w:val="none" w:color="auto"/>
              </w:rPr>
              <w:t>、SS、NH</w:t>
            </w:r>
            <w:r>
              <w:rPr>
                <w:rFonts w:hint="eastAsia"/>
                <w:color w:val="auto"/>
                <w:u w:val="none" w:color="auto"/>
                <w:vertAlign w:val="subscript"/>
              </w:rPr>
              <w:t>3</w:t>
            </w:r>
            <w:r>
              <w:rPr>
                <w:rFonts w:hint="eastAsia"/>
                <w:color w:val="auto"/>
                <w:u w:val="none" w:color="auto"/>
              </w:rPr>
              <w:t>-N</w:t>
            </w:r>
            <w:r>
              <w:rPr>
                <w:rFonts w:hint="eastAsia"/>
                <w:color w:val="auto"/>
                <w:u w:val="none" w:color="auto"/>
                <w:lang w:val="en-US" w:eastAsia="zh-CN"/>
              </w:rPr>
              <w:t>等</w:t>
            </w:r>
            <w:r>
              <w:rPr>
                <w:rFonts w:hint="eastAsia"/>
                <w:color w:val="auto"/>
                <w:u w:val="none" w:color="auto"/>
              </w:rPr>
              <w:t>，考虑到本项目员工生活污水主要来自日常洗手、上厕所等，生活污水中污染物浓度较一般居民生活污水浓度低，生活污染物浓度参照</w:t>
            </w:r>
            <w:r>
              <w:rPr>
                <w:color w:val="auto"/>
                <w:u w:val="none" w:color="auto"/>
                <w:lang w:val="en-GB"/>
              </w:rPr>
              <w:t>《排放源统计调查产排污核算方法和系数手册》（生态环境部公告2021年第24号）—生活污染源产排系数手册—城镇生活源水污染物产生系数，湖南属于五区，COD、NH</w:t>
            </w:r>
            <w:r>
              <w:rPr>
                <w:color w:val="auto"/>
                <w:u w:val="none" w:color="auto"/>
                <w:vertAlign w:val="subscript"/>
                <w:lang w:val="en-GB"/>
              </w:rPr>
              <w:t>3</w:t>
            </w:r>
            <w:r>
              <w:rPr>
                <w:color w:val="auto"/>
                <w:u w:val="none" w:color="auto"/>
                <w:lang w:val="en-GB"/>
              </w:rPr>
              <w:t>-N、TN、TP产生浓度取值分别为285mg/L、28.3mg/L、39.4mg/L、4.10mg/L，BOD</w:t>
            </w:r>
            <w:r>
              <w:rPr>
                <w:color w:val="auto"/>
                <w:u w:val="none" w:color="auto"/>
                <w:vertAlign w:val="subscript"/>
                <w:lang w:val="en-GB"/>
              </w:rPr>
              <w:t>5</w:t>
            </w:r>
            <w:r>
              <w:rPr>
                <w:color w:val="auto"/>
                <w:u w:val="none" w:color="auto"/>
                <w:lang w:val="en-GB"/>
              </w:rPr>
              <w:t>和SS产生浓度分别为200mg/L和200mg/L</w:t>
            </w:r>
            <w:r>
              <w:rPr>
                <w:rFonts w:hint="eastAsia"/>
                <w:color w:val="auto"/>
                <w:u w:val="none" w:color="auto"/>
              </w:rPr>
              <w:t>。生活污水经</w:t>
            </w:r>
            <w:r>
              <w:rPr>
                <w:rFonts w:hint="eastAsia"/>
                <w:color w:val="auto"/>
                <w:u w:val="none" w:color="auto"/>
                <w:lang w:val="en-US" w:eastAsia="zh-CN"/>
              </w:rPr>
              <w:t>化粪池收集处理后外运作为农肥，不外排</w:t>
            </w:r>
            <w:r>
              <w:rPr>
                <w:rFonts w:hint="eastAsia"/>
                <w:color w:val="auto"/>
                <w:u w:val="none" w:color="auto"/>
              </w:rPr>
              <w:t>。</w:t>
            </w:r>
          </w:p>
          <w:p w14:paraId="0EFBE7D9">
            <w:pPr>
              <w:pStyle w:val="44"/>
              <w:bidi w:val="0"/>
              <w:rPr>
                <w:rFonts w:hint="eastAsia"/>
              </w:rPr>
            </w:pPr>
            <w:r>
              <w:rPr>
                <w:rFonts w:hint="eastAsia"/>
              </w:rPr>
              <w:t>表</w:t>
            </w:r>
            <w:r>
              <w:rPr>
                <w:rFonts w:hint="eastAsia"/>
                <w:lang w:val="en-US" w:eastAsia="zh-CN"/>
              </w:rPr>
              <w:t>4.3-1</w:t>
            </w:r>
            <w:r>
              <w:rPr>
                <w:rFonts w:hint="eastAsia"/>
              </w:rPr>
              <w:t>：废水污染源产生及排放情况一览表</w:t>
            </w:r>
          </w:p>
          <w:tbl>
            <w:tblPr>
              <w:tblStyle w:val="3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423"/>
              <w:gridCol w:w="1661"/>
              <w:gridCol w:w="856"/>
              <w:gridCol w:w="799"/>
              <w:gridCol w:w="799"/>
              <w:gridCol w:w="834"/>
              <w:gridCol w:w="806"/>
              <w:gridCol w:w="813"/>
            </w:tblGrid>
            <w:tr w14:paraId="4692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noWrap w:val="0"/>
                  <w:vAlign w:val="center"/>
                </w:tcPr>
                <w:p w14:paraId="4A2EC36F">
                  <w:pPr>
                    <w:pStyle w:val="166"/>
                    <w:rPr>
                      <w:b/>
                      <w:bCs w:val="0"/>
                      <w:color w:val="auto"/>
                      <w:u w:val="none" w:color="auto"/>
                    </w:rPr>
                  </w:pPr>
                  <w:r>
                    <w:rPr>
                      <w:b/>
                      <w:bCs w:val="0"/>
                      <w:color w:val="auto"/>
                      <w:u w:val="none" w:color="auto"/>
                    </w:rPr>
                    <w:t>废水量</w:t>
                  </w:r>
                </w:p>
              </w:tc>
              <w:tc>
                <w:tcPr>
                  <w:tcW w:w="1762" w:type="pct"/>
                  <w:gridSpan w:val="2"/>
                  <w:noWrap w:val="0"/>
                  <w:vAlign w:val="center"/>
                </w:tcPr>
                <w:p w14:paraId="547FBEC3">
                  <w:pPr>
                    <w:pStyle w:val="166"/>
                    <w:rPr>
                      <w:b/>
                      <w:bCs w:val="0"/>
                      <w:color w:val="auto"/>
                      <w:u w:val="none" w:color="auto"/>
                    </w:rPr>
                  </w:pPr>
                  <w:r>
                    <w:rPr>
                      <w:b/>
                      <w:bCs w:val="0"/>
                      <w:color w:val="auto"/>
                      <w:u w:val="none" w:color="auto"/>
                    </w:rPr>
                    <w:t>污染因子</w:t>
                  </w:r>
                </w:p>
              </w:tc>
              <w:tc>
                <w:tcPr>
                  <w:tcW w:w="489" w:type="pct"/>
                  <w:noWrap w:val="0"/>
                  <w:vAlign w:val="center"/>
                </w:tcPr>
                <w:p w14:paraId="38D17FF1">
                  <w:pPr>
                    <w:pStyle w:val="166"/>
                    <w:rPr>
                      <w:b/>
                      <w:bCs w:val="0"/>
                      <w:color w:val="auto"/>
                      <w:u w:val="none" w:color="auto"/>
                    </w:rPr>
                  </w:pPr>
                  <w:r>
                    <w:rPr>
                      <w:b/>
                      <w:bCs w:val="0"/>
                      <w:color w:val="auto"/>
                      <w:u w:val="none" w:color="auto"/>
                    </w:rPr>
                    <w:t>COD</w:t>
                  </w:r>
                  <w:r>
                    <w:rPr>
                      <w:rFonts w:hint="eastAsia"/>
                      <w:b/>
                      <w:bCs w:val="0"/>
                      <w:color w:val="auto"/>
                      <w:u w:val="none" w:color="auto"/>
                      <w:vertAlign w:val="subscript"/>
                    </w:rPr>
                    <w:t>Cr</w:t>
                  </w:r>
                </w:p>
              </w:tc>
              <w:tc>
                <w:tcPr>
                  <w:tcW w:w="456" w:type="pct"/>
                  <w:noWrap w:val="0"/>
                  <w:vAlign w:val="center"/>
                </w:tcPr>
                <w:p w14:paraId="4A8FA82C">
                  <w:pPr>
                    <w:pStyle w:val="166"/>
                    <w:rPr>
                      <w:b/>
                      <w:bCs w:val="0"/>
                      <w:color w:val="auto"/>
                      <w:u w:val="none" w:color="auto"/>
                    </w:rPr>
                  </w:pPr>
                  <w:r>
                    <w:rPr>
                      <w:b/>
                      <w:bCs w:val="0"/>
                      <w:color w:val="auto"/>
                      <w:u w:val="none" w:color="auto"/>
                    </w:rPr>
                    <w:t>BOD</w:t>
                  </w:r>
                  <w:r>
                    <w:rPr>
                      <w:b/>
                      <w:bCs w:val="0"/>
                      <w:color w:val="auto"/>
                      <w:u w:val="none" w:color="auto"/>
                      <w:vertAlign w:val="subscript"/>
                    </w:rPr>
                    <w:t>5</w:t>
                  </w:r>
                </w:p>
              </w:tc>
              <w:tc>
                <w:tcPr>
                  <w:tcW w:w="456" w:type="pct"/>
                  <w:noWrap w:val="0"/>
                  <w:vAlign w:val="center"/>
                </w:tcPr>
                <w:p w14:paraId="10735544">
                  <w:pPr>
                    <w:pStyle w:val="166"/>
                    <w:rPr>
                      <w:b/>
                      <w:bCs w:val="0"/>
                      <w:color w:val="auto"/>
                      <w:u w:val="none" w:color="auto"/>
                    </w:rPr>
                  </w:pPr>
                  <w:r>
                    <w:rPr>
                      <w:b/>
                      <w:bCs w:val="0"/>
                      <w:color w:val="auto"/>
                      <w:u w:val="none" w:color="auto"/>
                    </w:rPr>
                    <w:t>SS</w:t>
                  </w:r>
                </w:p>
              </w:tc>
              <w:tc>
                <w:tcPr>
                  <w:tcW w:w="476" w:type="pct"/>
                  <w:noWrap w:val="0"/>
                  <w:vAlign w:val="center"/>
                </w:tcPr>
                <w:p w14:paraId="38ED8749">
                  <w:pPr>
                    <w:pStyle w:val="166"/>
                    <w:rPr>
                      <w:b/>
                      <w:bCs w:val="0"/>
                      <w:color w:val="auto"/>
                      <w:u w:val="none" w:color="auto"/>
                    </w:rPr>
                  </w:pPr>
                  <w:r>
                    <w:rPr>
                      <w:b/>
                      <w:bCs w:val="0"/>
                      <w:color w:val="auto"/>
                      <w:u w:val="none" w:color="auto"/>
                    </w:rPr>
                    <w:t>NH</w:t>
                  </w:r>
                  <w:r>
                    <w:rPr>
                      <w:b/>
                      <w:bCs w:val="0"/>
                      <w:color w:val="auto"/>
                      <w:u w:val="none" w:color="auto"/>
                      <w:vertAlign w:val="subscript"/>
                    </w:rPr>
                    <w:t>3</w:t>
                  </w:r>
                  <w:r>
                    <w:rPr>
                      <w:b/>
                      <w:bCs w:val="0"/>
                      <w:color w:val="auto"/>
                      <w:u w:val="none" w:color="auto"/>
                    </w:rPr>
                    <w:t>-N</w:t>
                  </w:r>
                </w:p>
              </w:tc>
              <w:tc>
                <w:tcPr>
                  <w:tcW w:w="460" w:type="pct"/>
                  <w:noWrap w:val="0"/>
                  <w:vAlign w:val="center"/>
                </w:tcPr>
                <w:p w14:paraId="452CA274">
                  <w:pPr>
                    <w:pStyle w:val="166"/>
                    <w:rPr>
                      <w:rFonts w:hint="default" w:eastAsia="宋体"/>
                      <w:b/>
                      <w:bCs w:val="0"/>
                      <w:color w:val="auto"/>
                      <w:u w:val="none" w:color="auto"/>
                      <w:lang w:val="en-US" w:eastAsia="zh-CN"/>
                    </w:rPr>
                  </w:pPr>
                  <w:r>
                    <w:rPr>
                      <w:rFonts w:hint="eastAsia"/>
                      <w:b/>
                      <w:bCs w:val="0"/>
                      <w:color w:val="auto"/>
                      <w:u w:val="none" w:color="auto"/>
                      <w:lang w:val="en-US" w:eastAsia="zh-CN"/>
                    </w:rPr>
                    <w:t>TN</w:t>
                  </w:r>
                </w:p>
              </w:tc>
              <w:tc>
                <w:tcPr>
                  <w:tcW w:w="463" w:type="pct"/>
                  <w:noWrap w:val="0"/>
                  <w:vAlign w:val="center"/>
                </w:tcPr>
                <w:p w14:paraId="33458648">
                  <w:pPr>
                    <w:pStyle w:val="166"/>
                    <w:rPr>
                      <w:rFonts w:hint="default" w:eastAsia="宋体"/>
                      <w:b/>
                      <w:bCs w:val="0"/>
                      <w:color w:val="auto"/>
                      <w:u w:val="none" w:color="auto"/>
                      <w:lang w:val="en-US" w:eastAsia="zh-CN"/>
                    </w:rPr>
                  </w:pPr>
                  <w:r>
                    <w:rPr>
                      <w:rFonts w:hint="eastAsia"/>
                      <w:b/>
                      <w:bCs w:val="0"/>
                      <w:color w:val="auto"/>
                      <w:u w:val="none" w:color="auto"/>
                      <w:lang w:val="en-US" w:eastAsia="zh-CN"/>
                    </w:rPr>
                    <w:t>TP</w:t>
                  </w:r>
                </w:p>
              </w:tc>
            </w:tr>
            <w:tr w14:paraId="72DA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restart"/>
                  <w:noWrap w:val="0"/>
                  <w:vAlign w:val="center"/>
                </w:tcPr>
                <w:p w14:paraId="4F28A853">
                  <w:pPr>
                    <w:pStyle w:val="166"/>
                    <w:rPr>
                      <w:color w:val="auto"/>
                      <w:u w:val="none" w:color="auto"/>
                    </w:rPr>
                  </w:pPr>
                  <w:r>
                    <w:rPr>
                      <w:color w:val="auto"/>
                      <w:u w:val="none" w:color="auto"/>
                    </w:rPr>
                    <w:t>生活</w:t>
                  </w:r>
                  <w:r>
                    <w:rPr>
                      <w:rFonts w:hint="eastAsia"/>
                      <w:color w:val="auto"/>
                      <w:u w:val="none" w:color="auto"/>
                    </w:rPr>
                    <w:t>污</w:t>
                  </w:r>
                  <w:r>
                    <w:rPr>
                      <w:color w:val="auto"/>
                      <w:u w:val="none" w:color="auto"/>
                    </w:rPr>
                    <w:t>水</w:t>
                  </w:r>
                  <w:r>
                    <w:rPr>
                      <w:rFonts w:hint="eastAsia"/>
                      <w:color w:val="auto"/>
                      <w:u w:val="none" w:color="auto"/>
                      <w:lang w:val="en-US" w:eastAsia="zh-CN"/>
                    </w:rPr>
                    <w:t>323</w:t>
                  </w:r>
                  <w:r>
                    <w:rPr>
                      <w:rFonts w:hint="eastAsia"/>
                      <w:color w:val="auto"/>
                      <w:u w:val="none" w:color="auto"/>
                    </w:rPr>
                    <w:t>t</w:t>
                  </w:r>
                  <w:r>
                    <w:rPr>
                      <w:color w:val="auto"/>
                      <w:u w:val="none" w:color="auto"/>
                    </w:rPr>
                    <w:t>/a</w:t>
                  </w:r>
                </w:p>
              </w:tc>
              <w:tc>
                <w:tcPr>
                  <w:tcW w:w="1762" w:type="pct"/>
                  <w:gridSpan w:val="2"/>
                  <w:noWrap w:val="0"/>
                  <w:vAlign w:val="center"/>
                </w:tcPr>
                <w:p w14:paraId="1B12F432">
                  <w:pPr>
                    <w:pStyle w:val="166"/>
                    <w:rPr>
                      <w:rFonts w:hint="eastAsia"/>
                      <w:color w:val="auto"/>
                      <w:u w:val="none" w:color="auto"/>
                    </w:rPr>
                  </w:pPr>
                  <w:r>
                    <w:rPr>
                      <w:rFonts w:hint="eastAsia"/>
                      <w:color w:val="auto"/>
                      <w:u w:val="none" w:color="auto"/>
                    </w:rPr>
                    <w:t>产生浓度</w:t>
                  </w:r>
                  <w:r>
                    <w:rPr>
                      <w:color w:val="auto"/>
                      <w:u w:val="none" w:color="auto"/>
                    </w:rPr>
                    <w:t>（mg/L）</w:t>
                  </w:r>
                </w:p>
              </w:tc>
              <w:tc>
                <w:tcPr>
                  <w:tcW w:w="489" w:type="pct"/>
                  <w:noWrap w:val="0"/>
                  <w:vAlign w:val="center"/>
                </w:tcPr>
                <w:p w14:paraId="5E4782DC">
                  <w:pPr>
                    <w:pStyle w:val="166"/>
                    <w:rPr>
                      <w:rFonts w:hint="default" w:eastAsia="宋体"/>
                      <w:color w:val="auto"/>
                      <w:u w:val="none" w:color="auto"/>
                      <w:lang w:val="en-US" w:eastAsia="zh-CN"/>
                    </w:rPr>
                  </w:pPr>
                  <w:r>
                    <w:rPr>
                      <w:rFonts w:hint="eastAsia"/>
                      <w:color w:val="auto"/>
                      <w:u w:val="none" w:color="auto"/>
                      <w:lang w:val="en-US" w:eastAsia="zh-CN"/>
                    </w:rPr>
                    <w:t>285</w:t>
                  </w:r>
                </w:p>
              </w:tc>
              <w:tc>
                <w:tcPr>
                  <w:tcW w:w="456" w:type="pct"/>
                  <w:noWrap w:val="0"/>
                  <w:vAlign w:val="center"/>
                </w:tcPr>
                <w:p w14:paraId="6F08F45E">
                  <w:pPr>
                    <w:pStyle w:val="166"/>
                    <w:rPr>
                      <w:rFonts w:hint="default" w:eastAsia="宋体"/>
                      <w:color w:val="auto"/>
                      <w:u w:val="none" w:color="auto"/>
                      <w:lang w:val="en-US" w:eastAsia="zh-CN"/>
                    </w:rPr>
                  </w:pPr>
                  <w:r>
                    <w:rPr>
                      <w:rFonts w:hint="eastAsia"/>
                      <w:color w:val="auto"/>
                      <w:u w:val="none" w:color="auto"/>
                      <w:lang w:val="en-US" w:eastAsia="zh-CN"/>
                    </w:rPr>
                    <w:t>200</w:t>
                  </w:r>
                </w:p>
              </w:tc>
              <w:tc>
                <w:tcPr>
                  <w:tcW w:w="456" w:type="pct"/>
                  <w:noWrap w:val="0"/>
                  <w:vAlign w:val="center"/>
                </w:tcPr>
                <w:p w14:paraId="5F097B09">
                  <w:pPr>
                    <w:pStyle w:val="166"/>
                    <w:rPr>
                      <w:rFonts w:hint="default" w:eastAsia="宋体"/>
                      <w:color w:val="auto"/>
                      <w:u w:val="none" w:color="auto"/>
                      <w:lang w:val="en-US" w:eastAsia="zh-CN"/>
                    </w:rPr>
                  </w:pPr>
                  <w:r>
                    <w:rPr>
                      <w:rFonts w:hint="eastAsia"/>
                      <w:color w:val="auto"/>
                      <w:u w:val="none" w:color="auto"/>
                      <w:lang w:val="en-US" w:eastAsia="zh-CN"/>
                    </w:rPr>
                    <w:t>200</w:t>
                  </w:r>
                </w:p>
              </w:tc>
              <w:tc>
                <w:tcPr>
                  <w:tcW w:w="476" w:type="pct"/>
                  <w:noWrap w:val="0"/>
                  <w:vAlign w:val="center"/>
                </w:tcPr>
                <w:p w14:paraId="5C85A3F9">
                  <w:pPr>
                    <w:pStyle w:val="166"/>
                    <w:rPr>
                      <w:rFonts w:hint="default" w:eastAsia="宋体"/>
                      <w:color w:val="auto"/>
                      <w:u w:val="none" w:color="auto"/>
                      <w:lang w:val="en-US" w:eastAsia="zh-CN"/>
                    </w:rPr>
                  </w:pPr>
                  <w:r>
                    <w:rPr>
                      <w:rFonts w:hint="eastAsia"/>
                      <w:color w:val="auto"/>
                      <w:u w:val="none" w:color="auto"/>
                      <w:lang w:val="en-US" w:eastAsia="zh-CN"/>
                    </w:rPr>
                    <w:t>28.3</w:t>
                  </w:r>
                </w:p>
              </w:tc>
              <w:tc>
                <w:tcPr>
                  <w:tcW w:w="460" w:type="pct"/>
                  <w:noWrap w:val="0"/>
                  <w:vAlign w:val="center"/>
                </w:tcPr>
                <w:p w14:paraId="7E90C1B3">
                  <w:pPr>
                    <w:pStyle w:val="166"/>
                    <w:rPr>
                      <w:rFonts w:hint="default" w:eastAsia="宋体"/>
                      <w:color w:val="auto"/>
                      <w:u w:val="none" w:color="auto"/>
                      <w:lang w:val="en-US" w:eastAsia="zh-CN"/>
                    </w:rPr>
                  </w:pPr>
                  <w:r>
                    <w:rPr>
                      <w:rFonts w:hint="eastAsia"/>
                      <w:color w:val="auto"/>
                      <w:u w:val="none" w:color="auto"/>
                      <w:lang w:val="en-US" w:eastAsia="zh-CN"/>
                    </w:rPr>
                    <w:t>39.4</w:t>
                  </w:r>
                </w:p>
              </w:tc>
              <w:tc>
                <w:tcPr>
                  <w:tcW w:w="463" w:type="pct"/>
                  <w:noWrap w:val="0"/>
                  <w:vAlign w:val="center"/>
                </w:tcPr>
                <w:p w14:paraId="640DE45B">
                  <w:pPr>
                    <w:pStyle w:val="166"/>
                    <w:rPr>
                      <w:rFonts w:hint="default" w:eastAsia="宋体"/>
                      <w:color w:val="auto"/>
                      <w:u w:val="none" w:color="auto"/>
                      <w:lang w:val="en-US" w:eastAsia="zh-CN"/>
                    </w:rPr>
                  </w:pPr>
                  <w:r>
                    <w:rPr>
                      <w:rFonts w:hint="eastAsia"/>
                      <w:color w:val="auto"/>
                      <w:u w:val="none" w:color="auto"/>
                      <w:lang w:val="en-US" w:eastAsia="zh-CN"/>
                    </w:rPr>
                    <w:t>4.10</w:t>
                  </w:r>
                </w:p>
              </w:tc>
            </w:tr>
            <w:tr w14:paraId="4FD1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678E72EB">
                  <w:pPr>
                    <w:pStyle w:val="166"/>
                    <w:rPr>
                      <w:color w:val="auto"/>
                      <w:u w:val="none" w:color="auto"/>
                    </w:rPr>
                  </w:pPr>
                </w:p>
              </w:tc>
              <w:tc>
                <w:tcPr>
                  <w:tcW w:w="1762" w:type="pct"/>
                  <w:gridSpan w:val="2"/>
                  <w:noWrap w:val="0"/>
                  <w:vAlign w:val="center"/>
                </w:tcPr>
                <w:p w14:paraId="57EECB72">
                  <w:pPr>
                    <w:pStyle w:val="166"/>
                    <w:rPr>
                      <w:color w:val="auto"/>
                      <w:u w:val="none" w:color="auto"/>
                    </w:rPr>
                  </w:pPr>
                  <w:r>
                    <w:rPr>
                      <w:rFonts w:hint="eastAsia"/>
                      <w:color w:val="auto"/>
                      <w:u w:val="none" w:color="auto"/>
                    </w:rPr>
                    <w:t>产生量</w:t>
                  </w:r>
                  <w:r>
                    <w:rPr>
                      <w:color w:val="auto"/>
                      <w:u w:val="none" w:color="auto"/>
                    </w:rPr>
                    <w:t>（t/a）</w:t>
                  </w:r>
                </w:p>
              </w:tc>
              <w:tc>
                <w:tcPr>
                  <w:tcW w:w="842" w:type="dxa"/>
                  <w:noWrap w:val="0"/>
                  <w:vAlign w:val="center"/>
                </w:tcPr>
                <w:p w14:paraId="25D424BC">
                  <w:pPr>
                    <w:pStyle w:val="107"/>
                    <w:bidi w:val="0"/>
                    <w:rPr>
                      <w:rFonts w:hint="default"/>
                      <w:lang w:val="en-US" w:eastAsia="zh-CN"/>
                    </w:rPr>
                  </w:pPr>
                  <w:r>
                    <w:rPr>
                      <w:rFonts w:hint="default"/>
                      <w:lang w:val="en-US" w:eastAsia="zh-CN"/>
                    </w:rPr>
                    <w:t xml:space="preserve">0.092 </w:t>
                  </w:r>
                </w:p>
              </w:tc>
              <w:tc>
                <w:tcPr>
                  <w:tcW w:w="794" w:type="dxa"/>
                  <w:noWrap w:val="0"/>
                  <w:vAlign w:val="center"/>
                </w:tcPr>
                <w:p w14:paraId="324973D1">
                  <w:pPr>
                    <w:pStyle w:val="107"/>
                    <w:bidi w:val="0"/>
                    <w:rPr>
                      <w:rFonts w:hint="default"/>
                      <w:lang w:val="en-US" w:eastAsia="zh-CN"/>
                    </w:rPr>
                  </w:pPr>
                  <w:r>
                    <w:rPr>
                      <w:rFonts w:hint="default"/>
                      <w:lang w:val="en-US" w:eastAsia="zh-CN"/>
                    </w:rPr>
                    <w:t xml:space="preserve">0.065 </w:t>
                  </w:r>
                </w:p>
              </w:tc>
              <w:tc>
                <w:tcPr>
                  <w:tcW w:w="794" w:type="dxa"/>
                  <w:noWrap w:val="0"/>
                  <w:vAlign w:val="center"/>
                </w:tcPr>
                <w:p w14:paraId="40DC5CE9">
                  <w:pPr>
                    <w:pStyle w:val="107"/>
                    <w:bidi w:val="0"/>
                    <w:rPr>
                      <w:rFonts w:hint="default"/>
                      <w:lang w:val="en-US" w:eastAsia="zh-CN"/>
                    </w:rPr>
                  </w:pPr>
                  <w:r>
                    <w:rPr>
                      <w:rFonts w:hint="default"/>
                      <w:lang w:val="en-US" w:eastAsia="zh-CN"/>
                    </w:rPr>
                    <w:t xml:space="preserve">0.065 </w:t>
                  </w:r>
                </w:p>
              </w:tc>
              <w:tc>
                <w:tcPr>
                  <w:tcW w:w="821" w:type="dxa"/>
                  <w:noWrap w:val="0"/>
                  <w:vAlign w:val="center"/>
                </w:tcPr>
                <w:p w14:paraId="7C8C8481">
                  <w:pPr>
                    <w:pStyle w:val="107"/>
                    <w:bidi w:val="0"/>
                    <w:rPr>
                      <w:rFonts w:hint="default"/>
                      <w:lang w:val="en-US" w:eastAsia="zh-CN"/>
                    </w:rPr>
                  </w:pPr>
                  <w:r>
                    <w:rPr>
                      <w:rFonts w:hint="default"/>
                      <w:lang w:val="en-US" w:eastAsia="zh-CN"/>
                    </w:rPr>
                    <w:t xml:space="preserve">0.009 </w:t>
                  </w:r>
                </w:p>
              </w:tc>
              <w:tc>
                <w:tcPr>
                  <w:tcW w:w="794" w:type="dxa"/>
                  <w:noWrap w:val="0"/>
                  <w:vAlign w:val="center"/>
                </w:tcPr>
                <w:p w14:paraId="1A5EA8C9">
                  <w:pPr>
                    <w:pStyle w:val="107"/>
                    <w:bidi w:val="0"/>
                    <w:rPr>
                      <w:rFonts w:hint="default"/>
                      <w:lang w:val="en-US" w:eastAsia="zh-CN"/>
                    </w:rPr>
                  </w:pPr>
                  <w:r>
                    <w:rPr>
                      <w:rFonts w:hint="default"/>
                      <w:lang w:val="en-US" w:eastAsia="zh-CN"/>
                    </w:rPr>
                    <w:t xml:space="preserve">0.013 </w:t>
                  </w:r>
                </w:p>
              </w:tc>
              <w:tc>
                <w:tcPr>
                  <w:tcW w:w="795" w:type="dxa"/>
                  <w:noWrap w:val="0"/>
                  <w:vAlign w:val="center"/>
                </w:tcPr>
                <w:p w14:paraId="6EF2F40E">
                  <w:pPr>
                    <w:pStyle w:val="107"/>
                    <w:bidi w:val="0"/>
                    <w:rPr>
                      <w:rFonts w:hint="default"/>
                      <w:lang w:val="en-US" w:eastAsia="zh-CN"/>
                    </w:rPr>
                  </w:pPr>
                  <w:r>
                    <w:rPr>
                      <w:rFonts w:hint="default"/>
                      <w:lang w:val="en-US" w:eastAsia="zh-CN"/>
                    </w:rPr>
                    <w:t xml:space="preserve">0.001 </w:t>
                  </w:r>
                </w:p>
              </w:tc>
            </w:tr>
            <w:tr w14:paraId="4CF4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512D2E54">
                  <w:pPr>
                    <w:pStyle w:val="166"/>
                    <w:rPr>
                      <w:color w:val="auto"/>
                      <w:u w:val="none" w:color="auto"/>
                    </w:rPr>
                  </w:pPr>
                </w:p>
              </w:tc>
              <w:tc>
                <w:tcPr>
                  <w:tcW w:w="813" w:type="pct"/>
                  <w:vMerge w:val="restart"/>
                  <w:noWrap w:val="0"/>
                  <w:vAlign w:val="center"/>
                </w:tcPr>
                <w:p w14:paraId="6D1C0845">
                  <w:pPr>
                    <w:pStyle w:val="166"/>
                    <w:rPr>
                      <w:color w:val="auto"/>
                      <w:u w:val="none" w:color="auto"/>
                    </w:rPr>
                  </w:pPr>
                  <w:r>
                    <w:rPr>
                      <w:rFonts w:hint="eastAsia"/>
                      <w:color w:val="auto"/>
                      <w:u w:val="none" w:color="auto"/>
                    </w:rPr>
                    <w:t>厂内处理措施</w:t>
                  </w:r>
                </w:p>
              </w:tc>
              <w:tc>
                <w:tcPr>
                  <w:tcW w:w="948" w:type="pct"/>
                  <w:noWrap w:val="0"/>
                  <w:vAlign w:val="center"/>
                </w:tcPr>
                <w:p w14:paraId="063DA190">
                  <w:pPr>
                    <w:pStyle w:val="166"/>
                    <w:rPr>
                      <w:color w:val="auto"/>
                      <w:u w:val="none" w:color="auto"/>
                    </w:rPr>
                  </w:pPr>
                  <w:r>
                    <w:rPr>
                      <w:rFonts w:hint="eastAsia"/>
                      <w:color w:val="auto"/>
                      <w:u w:val="none" w:color="auto"/>
                    </w:rPr>
                    <w:t>处理</w:t>
                  </w:r>
                </w:p>
              </w:tc>
              <w:tc>
                <w:tcPr>
                  <w:tcW w:w="2801" w:type="pct"/>
                  <w:gridSpan w:val="6"/>
                  <w:noWrap w:val="0"/>
                  <w:vAlign w:val="center"/>
                </w:tcPr>
                <w:p w14:paraId="6159B496">
                  <w:pPr>
                    <w:pStyle w:val="166"/>
                    <w:rPr>
                      <w:rFonts w:hint="eastAsia"/>
                      <w:color w:val="auto"/>
                      <w:u w:val="none" w:color="auto"/>
                    </w:rPr>
                  </w:pPr>
                  <w:r>
                    <w:rPr>
                      <w:rFonts w:hint="eastAsia"/>
                      <w:color w:val="auto"/>
                      <w:u w:val="none" w:color="auto"/>
                    </w:rPr>
                    <w:t>化粪池预处理</w:t>
                  </w:r>
                </w:p>
              </w:tc>
            </w:tr>
            <w:tr w14:paraId="40EE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163D1D44">
                  <w:pPr>
                    <w:pStyle w:val="166"/>
                    <w:rPr>
                      <w:color w:val="auto"/>
                      <w:u w:val="none" w:color="auto"/>
                    </w:rPr>
                  </w:pPr>
                </w:p>
              </w:tc>
              <w:tc>
                <w:tcPr>
                  <w:tcW w:w="813" w:type="pct"/>
                  <w:vMerge w:val="continue"/>
                  <w:noWrap w:val="0"/>
                  <w:vAlign w:val="center"/>
                </w:tcPr>
                <w:p w14:paraId="319AE48D">
                  <w:pPr>
                    <w:pStyle w:val="166"/>
                    <w:rPr>
                      <w:color w:val="auto"/>
                      <w:u w:val="none" w:color="auto"/>
                    </w:rPr>
                  </w:pPr>
                </w:p>
              </w:tc>
              <w:tc>
                <w:tcPr>
                  <w:tcW w:w="948" w:type="pct"/>
                  <w:noWrap w:val="0"/>
                  <w:vAlign w:val="center"/>
                </w:tcPr>
                <w:p w14:paraId="48A6F8BA">
                  <w:pPr>
                    <w:pStyle w:val="166"/>
                    <w:rPr>
                      <w:rFonts w:hint="eastAsia"/>
                      <w:color w:val="auto"/>
                      <w:u w:val="none" w:color="auto"/>
                    </w:rPr>
                  </w:pPr>
                  <w:r>
                    <w:rPr>
                      <w:rFonts w:hint="eastAsia"/>
                      <w:color w:val="auto"/>
                      <w:u w:val="none" w:color="auto"/>
                    </w:rPr>
                    <w:t>效果</w:t>
                  </w:r>
                </w:p>
              </w:tc>
              <w:tc>
                <w:tcPr>
                  <w:tcW w:w="489" w:type="pct"/>
                  <w:noWrap w:val="0"/>
                  <w:vAlign w:val="center"/>
                </w:tcPr>
                <w:p w14:paraId="66047F00">
                  <w:pPr>
                    <w:pStyle w:val="166"/>
                    <w:rPr>
                      <w:color w:val="auto"/>
                      <w:u w:val="none" w:color="auto"/>
                    </w:rPr>
                  </w:pPr>
                  <w:r>
                    <w:rPr>
                      <w:rFonts w:hint="eastAsia"/>
                      <w:color w:val="auto"/>
                      <w:u w:val="none" w:color="auto"/>
                    </w:rPr>
                    <w:t>15%</w:t>
                  </w:r>
                </w:p>
              </w:tc>
              <w:tc>
                <w:tcPr>
                  <w:tcW w:w="456" w:type="pct"/>
                  <w:noWrap w:val="0"/>
                  <w:vAlign w:val="center"/>
                </w:tcPr>
                <w:p w14:paraId="7E4AC388">
                  <w:pPr>
                    <w:pStyle w:val="166"/>
                    <w:rPr>
                      <w:color w:val="auto"/>
                      <w:u w:val="none" w:color="auto"/>
                    </w:rPr>
                  </w:pPr>
                  <w:r>
                    <w:rPr>
                      <w:rFonts w:hint="eastAsia"/>
                      <w:color w:val="auto"/>
                      <w:u w:val="none" w:color="auto"/>
                      <w:lang w:val="en-US" w:eastAsia="zh-CN"/>
                    </w:rPr>
                    <w:t>10</w:t>
                  </w:r>
                  <w:r>
                    <w:rPr>
                      <w:rFonts w:hint="eastAsia"/>
                      <w:color w:val="auto"/>
                      <w:u w:val="none" w:color="auto"/>
                    </w:rPr>
                    <w:t>%</w:t>
                  </w:r>
                </w:p>
              </w:tc>
              <w:tc>
                <w:tcPr>
                  <w:tcW w:w="456" w:type="pct"/>
                  <w:noWrap w:val="0"/>
                  <w:vAlign w:val="center"/>
                </w:tcPr>
                <w:p w14:paraId="3AD3352E">
                  <w:pPr>
                    <w:pStyle w:val="166"/>
                    <w:rPr>
                      <w:color w:val="auto"/>
                      <w:u w:val="none" w:color="auto"/>
                    </w:rPr>
                  </w:pPr>
                  <w:r>
                    <w:rPr>
                      <w:rFonts w:hint="eastAsia"/>
                      <w:color w:val="auto"/>
                      <w:u w:val="none" w:color="auto"/>
                    </w:rPr>
                    <w:t>30%</w:t>
                  </w:r>
                </w:p>
              </w:tc>
              <w:tc>
                <w:tcPr>
                  <w:tcW w:w="476" w:type="pct"/>
                  <w:noWrap w:val="0"/>
                  <w:vAlign w:val="center"/>
                </w:tcPr>
                <w:p w14:paraId="1457A004">
                  <w:pPr>
                    <w:pStyle w:val="166"/>
                    <w:rPr>
                      <w:color w:val="auto"/>
                      <w:u w:val="none" w:color="auto"/>
                    </w:rPr>
                  </w:pPr>
                  <w:r>
                    <w:rPr>
                      <w:rFonts w:hint="eastAsia"/>
                      <w:color w:val="auto"/>
                      <w:u w:val="none" w:color="auto"/>
                    </w:rPr>
                    <w:t>3%</w:t>
                  </w:r>
                </w:p>
              </w:tc>
              <w:tc>
                <w:tcPr>
                  <w:tcW w:w="460" w:type="pct"/>
                  <w:noWrap w:val="0"/>
                  <w:vAlign w:val="center"/>
                </w:tcPr>
                <w:p w14:paraId="430D9354">
                  <w:pPr>
                    <w:pStyle w:val="166"/>
                    <w:rPr>
                      <w:rFonts w:hint="eastAsia"/>
                      <w:color w:val="auto"/>
                      <w:u w:val="none" w:color="auto"/>
                    </w:rPr>
                  </w:pPr>
                  <w:r>
                    <w:rPr>
                      <w:rFonts w:hint="eastAsia"/>
                      <w:color w:val="auto"/>
                      <w:u w:val="none" w:color="auto"/>
                    </w:rPr>
                    <w:t>3%</w:t>
                  </w:r>
                </w:p>
              </w:tc>
              <w:tc>
                <w:tcPr>
                  <w:tcW w:w="463" w:type="pct"/>
                  <w:noWrap w:val="0"/>
                  <w:vAlign w:val="center"/>
                </w:tcPr>
                <w:p w14:paraId="33B3A0EF">
                  <w:pPr>
                    <w:pStyle w:val="166"/>
                    <w:rPr>
                      <w:rFonts w:hint="eastAsia"/>
                      <w:color w:val="auto"/>
                      <w:u w:val="none" w:color="auto"/>
                    </w:rPr>
                  </w:pPr>
                  <w:r>
                    <w:rPr>
                      <w:rFonts w:hint="eastAsia"/>
                      <w:color w:val="auto"/>
                      <w:u w:val="none" w:color="auto"/>
                    </w:rPr>
                    <w:t>3%</w:t>
                  </w:r>
                </w:p>
              </w:tc>
            </w:tr>
            <w:tr w14:paraId="751D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4021AC09">
                  <w:pPr>
                    <w:pStyle w:val="166"/>
                    <w:rPr>
                      <w:color w:val="auto"/>
                      <w:u w:val="none" w:color="auto"/>
                    </w:rPr>
                  </w:pPr>
                </w:p>
              </w:tc>
              <w:tc>
                <w:tcPr>
                  <w:tcW w:w="813" w:type="pct"/>
                  <w:vMerge w:val="continue"/>
                  <w:noWrap w:val="0"/>
                  <w:vAlign w:val="center"/>
                </w:tcPr>
                <w:p w14:paraId="3E8C1B91">
                  <w:pPr>
                    <w:pStyle w:val="166"/>
                    <w:rPr>
                      <w:color w:val="auto"/>
                      <w:u w:val="none" w:color="auto"/>
                    </w:rPr>
                  </w:pPr>
                </w:p>
              </w:tc>
              <w:tc>
                <w:tcPr>
                  <w:tcW w:w="948" w:type="pct"/>
                  <w:noWrap w:val="0"/>
                  <w:vAlign w:val="center"/>
                </w:tcPr>
                <w:p w14:paraId="3A1BEC0E">
                  <w:pPr>
                    <w:pStyle w:val="166"/>
                    <w:rPr>
                      <w:color w:val="auto"/>
                      <w:u w:val="none" w:color="auto"/>
                    </w:rPr>
                  </w:pPr>
                  <w:r>
                    <w:rPr>
                      <w:rFonts w:hint="eastAsia"/>
                      <w:color w:val="auto"/>
                      <w:u w:val="none" w:color="auto"/>
                    </w:rPr>
                    <w:t>排水去向</w:t>
                  </w:r>
                </w:p>
              </w:tc>
              <w:tc>
                <w:tcPr>
                  <w:tcW w:w="2801" w:type="pct"/>
                  <w:gridSpan w:val="6"/>
                  <w:noWrap w:val="0"/>
                  <w:vAlign w:val="center"/>
                </w:tcPr>
                <w:p w14:paraId="5D1099EF">
                  <w:pPr>
                    <w:pStyle w:val="166"/>
                    <w:rPr>
                      <w:rFonts w:hint="eastAsia"/>
                      <w:color w:val="auto"/>
                      <w:u w:val="none" w:color="auto"/>
                    </w:rPr>
                  </w:pPr>
                  <w:r>
                    <w:rPr>
                      <w:rFonts w:hint="eastAsia"/>
                      <w:color w:val="auto"/>
                      <w:u w:val="none" w:color="auto"/>
                      <w:lang w:val="en-US" w:eastAsia="zh-CN"/>
                    </w:rPr>
                    <w:t>外运作为农肥，不外排</w:t>
                  </w:r>
                </w:p>
              </w:tc>
            </w:tr>
            <w:tr w14:paraId="6A02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268DF591">
                  <w:pPr>
                    <w:pStyle w:val="166"/>
                    <w:rPr>
                      <w:color w:val="auto"/>
                      <w:u w:val="none" w:color="auto"/>
                    </w:rPr>
                  </w:pPr>
                </w:p>
              </w:tc>
              <w:tc>
                <w:tcPr>
                  <w:tcW w:w="1762" w:type="pct"/>
                  <w:gridSpan w:val="2"/>
                  <w:noWrap w:val="0"/>
                  <w:vAlign w:val="center"/>
                </w:tcPr>
                <w:p w14:paraId="18DAB007">
                  <w:pPr>
                    <w:pStyle w:val="166"/>
                    <w:rPr>
                      <w:color w:val="auto"/>
                      <w:u w:val="none" w:color="auto"/>
                    </w:rPr>
                  </w:pPr>
                  <w:r>
                    <w:rPr>
                      <w:rFonts w:hint="eastAsia"/>
                      <w:color w:val="auto"/>
                      <w:u w:val="none" w:color="auto"/>
                    </w:rPr>
                    <w:t>排放浓度</w:t>
                  </w:r>
                  <w:r>
                    <w:rPr>
                      <w:color w:val="auto"/>
                      <w:u w:val="none" w:color="auto"/>
                    </w:rPr>
                    <w:t>（mg/L）</w:t>
                  </w:r>
                </w:p>
              </w:tc>
              <w:tc>
                <w:tcPr>
                  <w:tcW w:w="489" w:type="pct"/>
                  <w:noWrap w:val="0"/>
                  <w:vAlign w:val="center"/>
                </w:tcPr>
                <w:p w14:paraId="302D3786">
                  <w:pPr>
                    <w:pStyle w:val="166"/>
                    <w:rPr>
                      <w:color w:val="auto"/>
                      <w:u w:val="none" w:color="auto"/>
                    </w:rPr>
                  </w:pPr>
                  <w:r>
                    <w:rPr>
                      <w:rFonts w:hint="eastAsia"/>
                      <w:color w:val="auto"/>
                      <w:u w:val="none" w:color="auto"/>
                      <w:lang w:val="en-US" w:eastAsia="zh-CN"/>
                    </w:rPr>
                    <w:t>242.25</w:t>
                  </w:r>
                </w:p>
              </w:tc>
              <w:tc>
                <w:tcPr>
                  <w:tcW w:w="456" w:type="pct"/>
                  <w:noWrap w:val="0"/>
                  <w:vAlign w:val="center"/>
                </w:tcPr>
                <w:p w14:paraId="6A39A05E">
                  <w:pPr>
                    <w:pStyle w:val="166"/>
                    <w:rPr>
                      <w:rFonts w:hint="default" w:eastAsia="宋体"/>
                      <w:color w:val="auto"/>
                      <w:u w:val="none" w:color="auto"/>
                      <w:lang w:val="en-US" w:eastAsia="zh-CN"/>
                    </w:rPr>
                  </w:pPr>
                  <w:r>
                    <w:rPr>
                      <w:rFonts w:hint="eastAsia"/>
                      <w:color w:val="auto"/>
                      <w:u w:val="none" w:color="auto"/>
                      <w:lang w:val="en-US" w:eastAsia="zh-CN"/>
                    </w:rPr>
                    <w:t>180</w:t>
                  </w:r>
                </w:p>
              </w:tc>
              <w:tc>
                <w:tcPr>
                  <w:tcW w:w="456" w:type="pct"/>
                  <w:noWrap w:val="0"/>
                  <w:vAlign w:val="center"/>
                </w:tcPr>
                <w:p w14:paraId="48C2E012">
                  <w:pPr>
                    <w:pStyle w:val="166"/>
                    <w:rPr>
                      <w:color w:val="auto"/>
                      <w:u w:val="none" w:color="auto"/>
                    </w:rPr>
                  </w:pPr>
                  <w:r>
                    <w:rPr>
                      <w:rFonts w:hint="eastAsia"/>
                      <w:color w:val="auto"/>
                      <w:u w:val="none" w:color="auto"/>
                      <w:lang w:val="en-US" w:eastAsia="zh-CN"/>
                    </w:rPr>
                    <w:t>140</w:t>
                  </w:r>
                </w:p>
              </w:tc>
              <w:tc>
                <w:tcPr>
                  <w:tcW w:w="476" w:type="pct"/>
                  <w:noWrap w:val="0"/>
                  <w:vAlign w:val="center"/>
                </w:tcPr>
                <w:p w14:paraId="6B356901">
                  <w:pPr>
                    <w:pStyle w:val="166"/>
                    <w:rPr>
                      <w:color w:val="auto"/>
                      <w:u w:val="none" w:color="auto"/>
                    </w:rPr>
                  </w:pPr>
                  <w:r>
                    <w:rPr>
                      <w:rFonts w:hint="eastAsia"/>
                      <w:color w:val="auto"/>
                      <w:u w:val="none" w:color="auto"/>
                      <w:lang w:val="en-US" w:eastAsia="zh-CN"/>
                    </w:rPr>
                    <w:t>27.451</w:t>
                  </w:r>
                </w:p>
              </w:tc>
              <w:tc>
                <w:tcPr>
                  <w:tcW w:w="460" w:type="pct"/>
                  <w:noWrap w:val="0"/>
                  <w:vAlign w:val="center"/>
                </w:tcPr>
                <w:p w14:paraId="0A7094DB">
                  <w:pPr>
                    <w:pStyle w:val="166"/>
                    <w:rPr>
                      <w:rFonts w:hint="default" w:eastAsia="宋体"/>
                      <w:color w:val="auto"/>
                      <w:u w:val="none" w:color="auto"/>
                      <w:lang w:val="en-US" w:eastAsia="zh-CN"/>
                    </w:rPr>
                  </w:pPr>
                  <w:r>
                    <w:rPr>
                      <w:rFonts w:hint="eastAsia"/>
                      <w:color w:val="auto"/>
                      <w:u w:val="none" w:color="auto"/>
                      <w:lang w:val="en-US" w:eastAsia="zh-CN"/>
                    </w:rPr>
                    <w:t>38.218</w:t>
                  </w:r>
                </w:p>
              </w:tc>
              <w:tc>
                <w:tcPr>
                  <w:tcW w:w="463" w:type="pct"/>
                  <w:noWrap w:val="0"/>
                  <w:vAlign w:val="center"/>
                </w:tcPr>
                <w:p w14:paraId="3E687E2F">
                  <w:pPr>
                    <w:pStyle w:val="166"/>
                    <w:rPr>
                      <w:rFonts w:hint="default" w:eastAsia="宋体"/>
                      <w:color w:val="auto"/>
                      <w:u w:val="none" w:color="auto"/>
                      <w:lang w:val="en-US" w:eastAsia="zh-CN"/>
                    </w:rPr>
                  </w:pPr>
                  <w:r>
                    <w:rPr>
                      <w:rFonts w:hint="eastAsia"/>
                      <w:color w:val="auto"/>
                      <w:u w:val="none" w:color="auto"/>
                      <w:lang w:val="en-US" w:eastAsia="zh-CN"/>
                    </w:rPr>
                    <w:t>3.977</w:t>
                  </w:r>
                </w:p>
              </w:tc>
            </w:tr>
            <w:tr w14:paraId="5137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5" w:type="pct"/>
                  <w:vMerge w:val="continue"/>
                  <w:noWrap w:val="0"/>
                  <w:vAlign w:val="center"/>
                </w:tcPr>
                <w:p w14:paraId="1F07BF13">
                  <w:pPr>
                    <w:pStyle w:val="166"/>
                    <w:rPr>
                      <w:color w:val="auto"/>
                      <w:u w:val="none" w:color="auto"/>
                    </w:rPr>
                  </w:pPr>
                </w:p>
              </w:tc>
              <w:tc>
                <w:tcPr>
                  <w:tcW w:w="1762" w:type="pct"/>
                  <w:gridSpan w:val="2"/>
                  <w:noWrap w:val="0"/>
                  <w:vAlign w:val="center"/>
                </w:tcPr>
                <w:p w14:paraId="3AB55F0E">
                  <w:pPr>
                    <w:pStyle w:val="166"/>
                    <w:rPr>
                      <w:color w:val="auto"/>
                      <w:u w:val="none" w:color="auto"/>
                    </w:rPr>
                  </w:pPr>
                  <w:r>
                    <w:rPr>
                      <w:rFonts w:hint="eastAsia"/>
                      <w:color w:val="auto"/>
                      <w:u w:val="none" w:color="auto"/>
                    </w:rPr>
                    <w:t>排放量</w:t>
                  </w:r>
                  <w:r>
                    <w:rPr>
                      <w:color w:val="auto"/>
                      <w:u w:val="none" w:color="auto"/>
                    </w:rPr>
                    <w:t>（t/a）</w:t>
                  </w:r>
                </w:p>
              </w:tc>
              <w:tc>
                <w:tcPr>
                  <w:tcW w:w="842" w:type="dxa"/>
                  <w:noWrap w:val="0"/>
                  <w:vAlign w:val="center"/>
                </w:tcPr>
                <w:p w14:paraId="0BA98986">
                  <w:pPr>
                    <w:pStyle w:val="107"/>
                    <w:bidi w:val="0"/>
                    <w:rPr>
                      <w:rFonts w:hint="default"/>
                      <w:lang w:val="en-US" w:eastAsia="zh-CN"/>
                    </w:rPr>
                  </w:pPr>
                  <w:r>
                    <w:rPr>
                      <w:rFonts w:hint="default"/>
                      <w:lang w:val="en-US" w:eastAsia="zh-CN"/>
                    </w:rPr>
                    <w:t xml:space="preserve">0.078 </w:t>
                  </w:r>
                </w:p>
              </w:tc>
              <w:tc>
                <w:tcPr>
                  <w:tcW w:w="794" w:type="dxa"/>
                  <w:noWrap w:val="0"/>
                  <w:vAlign w:val="center"/>
                </w:tcPr>
                <w:p w14:paraId="69FC254C">
                  <w:pPr>
                    <w:pStyle w:val="107"/>
                    <w:bidi w:val="0"/>
                    <w:rPr>
                      <w:rFonts w:hint="default"/>
                      <w:lang w:val="en-US" w:eastAsia="zh-CN"/>
                    </w:rPr>
                  </w:pPr>
                  <w:r>
                    <w:rPr>
                      <w:rFonts w:hint="default"/>
                      <w:lang w:val="en-US" w:eastAsia="zh-CN"/>
                    </w:rPr>
                    <w:t xml:space="preserve">0.058 </w:t>
                  </w:r>
                </w:p>
              </w:tc>
              <w:tc>
                <w:tcPr>
                  <w:tcW w:w="794" w:type="dxa"/>
                  <w:noWrap w:val="0"/>
                  <w:vAlign w:val="center"/>
                </w:tcPr>
                <w:p w14:paraId="3D5A7475">
                  <w:pPr>
                    <w:pStyle w:val="107"/>
                    <w:bidi w:val="0"/>
                    <w:rPr>
                      <w:rFonts w:hint="default"/>
                      <w:lang w:val="en-US" w:eastAsia="zh-CN"/>
                    </w:rPr>
                  </w:pPr>
                  <w:r>
                    <w:rPr>
                      <w:rFonts w:hint="default"/>
                      <w:lang w:val="en-US" w:eastAsia="zh-CN"/>
                    </w:rPr>
                    <w:t xml:space="preserve">0.045 </w:t>
                  </w:r>
                </w:p>
              </w:tc>
              <w:tc>
                <w:tcPr>
                  <w:tcW w:w="821" w:type="dxa"/>
                  <w:noWrap w:val="0"/>
                  <w:vAlign w:val="center"/>
                </w:tcPr>
                <w:p w14:paraId="4C5D29E9">
                  <w:pPr>
                    <w:pStyle w:val="107"/>
                    <w:bidi w:val="0"/>
                    <w:rPr>
                      <w:rFonts w:hint="default"/>
                      <w:lang w:val="en-US" w:eastAsia="zh-CN"/>
                    </w:rPr>
                  </w:pPr>
                  <w:r>
                    <w:rPr>
                      <w:rFonts w:hint="default"/>
                      <w:lang w:val="en-US" w:eastAsia="zh-CN"/>
                    </w:rPr>
                    <w:t xml:space="preserve">0.009 </w:t>
                  </w:r>
                </w:p>
              </w:tc>
              <w:tc>
                <w:tcPr>
                  <w:tcW w:w="794" w:type="dxa"/>
                  <w:noWrap w:val="0"/>
                  <w:vAlign w:val="center"/>
                </w:tcPr>
                <w:p w14:paraId="58458851">
                  <w:pPr>
                    <w:pStyle w:val="107"/>
                    <w:bidi w:val="0"/>
                    <w:rPr>
                      <w:rFonts w:hint="default"/>
                      <w:lang w:val="en-US" w:eastAsia="zh-CN"/>
                    </w:rPr>
                  </w:pPr>
                  <w:r>
                    <w:rPr>
                      <w:rFonts w:hint="default"/>
                      <w:lang w:val="en-US" w:eastAsia="zh-CN"/>
                    </w:rPr>
                    <w:t xml:space="preserve">0.012 </w:t>
                  </w:r>
                </w:p>
              </w:tc>
              <w:tc>
                <w:tcPr>
                  <w:tcW w:w="795" w:type="dxa"/>
                  <w:noWrap w:val="0"/>
                  <w:vAlign w:val="center"/>
                </w:tcPr>
                <w:p w14:paraId="0BD93ECC">
                  <w:pPr>
                    <w:pStyle w:val="107"/>
                    <w:bidi w:val="0"/>
                    <w:rPr>
                      <w:rFonts w:hint="default"/>
                      <w:lang w:val="en-US" w:eastAsia="zh-CN"/>
                    </w:rPr>
                  </w:pPr>
                  <w:r>
                    <w:rPr>
                      <w:rFonts w:hint="default"/>
                      <w:lang w:val="en-US" w:eastAsia="zh-CN"/>
                    </w:rPr>
                    <w:t xml:space="preserve">0.001 </w:t>
                  </w:r>
                </w:p>
              </w:tc>
            </w:tr>
          </w:tbl>
          <w:p w14:paraId="3734EB4D">
            <w:pPr>
              <w:bidi w:val="0"/>
              <w:rPr>
                <w:rFonts w:hint="eastAsia"/>
                <w:color w:val="auto"/>
                <w:u w:val="none" w:color="auto"/>
                <w:lang w:eastAsia="zh-CN"/>
              </w:rPr>
            </w:pPr>
            <w:r>
              <w:rPr>
                <w:rFonts w:hint="eastAsia"/>
                <w:color w:val="auto"/>
                <w:u w:val="none" w:color="auto"/>
                <w:lang w:eastAsia="zh-CN"/>
              </w:rPr>
              <w:t>（</w:t>
            </w:r>
            <w:r>
              <w:rPr>
                <w:rFonts w:hint="eastAsia"/>
                <w:color w:val="auto"/>
                <w:u w:val="none" w:color="auto"/>
                <w:lang w:val="en-US" w:eastAsia="zh-CN"/>
              </w:rPr>
              <w:t>2</w:t>
            </w:r>
            <w:r>
              <w:rPr>
                <w:rFonts w:hint="eastAsia"/>
                <w:color w:val="auto"/>
                <w:u w:val="none" w:color="auto"/>
                <w:lang w:eastAsia="zh-CN"/>
              </w:rPr>
              <w:t>）生产废水</w:t>
            </w:r>
          </w:p>
          <w:p w14:paraId="6696C187">
            <w:pPr>
              <w:bidi w:val="0"/>
              <w:rPr>
                <w:rFonts w:hint="default" w:eastAsia="宋体"/>
                <w:color w:val="auto"/>
                <w:u w:val="none" w:color="auto"/>
                <w:lang w:val="en-US" w:eastAsia="zh-CN"/>
              </w:rPr>
            </w:pPr>
            <w:r>
              <w:rPr>
                <w:rFonts w:hint="eastAsia"/>
                <w:color w:val="auto"/>
                <w:u w:val="none" w:color="auto"/>
                <w:lang w:val="en-US" w:eastAsia="zh-CN"/>
              </w:rPr>
              <w:t>生产废水主要为车辆运输道路抑尘废水、车辆冲洗废水、堆填场堆填作业面及堆填场抑尘废水、堆填场淋滤水，其中车辆运输道路抑尘废水、堆填场堆填作业面及堆填场抑尘废水</w:t>
            </w:r>
            <w:r>
              <w:rPr>
                <w:rFonts w:hint="eastAsia"/>
              </w:rPr>
              <w:t>这部分水将全部蒸发或渗透入道路中</w:t>
            </w:r>
            <w:r>
              <w:rPr>
                <w:rFonts w:hint="eastAsia"/>
                <w:lang w:eastAsia="zh-CN"/>
              </w:rPr>
              <w:t>，</w:t>
            </w:r>
            <w:r>
              <w:rPr>
                <w:rFonts w:hint="eastAsia"/>
                <w:lang w:val="en-US" w:eastAsia="zh-CN"/>
              </w:rPr>
              <w:t>生产废水主要为车辆冲洗废水、堆填场淋滤水。</w:t>
            </w:r>
          </w:p>
          <w:p w14:paraId="069BBF4F">
            <w:pPr>
              <w:bidi w:val="0"/>
              <w:rPr>
                <w:rFonts w:hint="eastAsia"/>
                <w:color w:val="auto"/>
                <w:u w:val="none" w:color="auto"/>
                <w:lang w:eastAsia="zh-CN"/>
              </w:rPr>
            </w:pPr>
            <w:r>
              <w:rPr>
                <w:rFonts w:hint="eastAsia"/>
                <w:color w:val="auto"/>
                <w:u w:val="none" w:color="auto"/>
                <w:lang w:val="en-US" w:eastAsia="zh-CN"/>
              </w:rPr>
              <w:t>①</w:t>
            </w:r>
            <w:r>
              <w:rPr>
                <w:rFonts w:hint="eastAsia" w:cs="Times New Roman"/>
                <w:color w:val="auto"/>
                <w:kern w:val="0"/>
                <w:szCs w:val="24"/>
                <w:u w:val="none" w:color="auto"/>
              </w:rPr>
              <w:t>车辆冲洗</w:t>
            </w:r>
            <w:r>
              <w:rPr>
                <w:rFonts w:hint="eastAsia" w:cs="Times New Roman"/>
                <w:color w:val="auto"/>
                <w:kern w:val="0"/>
                <w:szCs w:val="20"/>
                <w:u w:val="none" w:color="auto"/>
                <w:lang w:val="en-US" w:eastAsia="zh-CN"/>
              </w:rPr>
              <w:t>废</w:t>
            </w:r>
            <w:r>
              <w:rPr>
                <w:rFonts w:hint="eastAsia" w:cs="Times New Roman"/>
                <w:color w:val="auto"/>
                <w:kern w:val="0"/>
                <w:szCs w:val="24"/>
                <w:u w:val="none" w:color="auto"/>
                <w:lang w:eastAsia="zh-CN"/>
              </w:rPr>
              <w:t>水</w:t>
            </w:r>
          </w:p>
          <w:p w14:paraId="7B1E31C2">
            <w:pPr>
              <w:ind w:firstLine="480"/>
              <w:rPr>
                <w:rFonts w:hint="default" w:ascii="Times New Roman" w:hAnsi="Times New Roman" w:cs="Times New Roman"/>
                <w:color w:val="auto"/>
                <w:u w:val="none" w:color="auto"/>
              </w:rPr>
            </w:pPr>
            <w:r>
              <w:rPr>
                <w:rFonts w:hint="eastAsia"/>
                <w:sz w:val="24"/>
                <w:lang w:val="en-US" w:eastAsia="zh-CN"/>
              </w:rPr>
              <w:t>运输车辆和作业机械清洗会产生冲洗废水，本项目消纳场每天处理建筑垃圾规模约为54吨，根据建设单位提供的资料，项目一辆车的运输重量为10吨，预计运输车辆为6辆次/天，根据《建筑给排水设计标准》（GB50015-2019）3.2.7 规定：载重汽车高压水枪冲洗最高日用水定额为80~120L/（辆·次），取车辆清洗耗水量100L/（辆·次），则本项目车辆冲洗用水量为0.6m</w:t>
            </w:r>
            <w:r>
              <w:rPr>
                <w:rFonts w:hint="eastAsia"/>
                <w:sz w:val="24"/>
                <w:vertAlign w:val="superscript"/>
                <w:lang w:val="en-US" w:eastAsia="zh-CN"/>
              </w:rPr>
              <w:t>3</w:t>
            </w:r>
            <w:r>
              <w:rPr>
                <w:rFonts w:hint="eastAsia"/>
                <w:sz w:val="24"/>
                <w:lang w:val="en-US" w:eastAsia="zh-CN"/>
              </w:rPr>
              <w:t>/d（219m</w:t>
            </w:r>
            <w:r>
              <w:rPr>
                <w:rFonts w:hint="eastAsia"/>
                <w:sz w:val="24"/>
                <w:vertAlign w:val="superscript"/>
                <w:lang w:val="en-US" w:eastAsia="zh-CN"/>
              </w:rPr>
              <w:t>3</w:t>
            </w:r>
            <w:r>
              <w:rPr>
                <w:rFonts w:hint="eastAsia"/>
                <w:sz w:val="24"/>
                <w:lang w:val="en-US" w:eastAsia="zh-CN"/>
              </w:rPr>
              <w:t>/a）</w:t>
            </w:r>
            <w:r>
              <w:rPr>
                <w:rFonts w:hint="eastAsia" w:ascii="Times New Roman" w:hAnsi="Times New Roman" w:cs="Times New Roman"/>
                <w:color w:val="auto"/>
                <w:u w:val="none" w:color="auto"/>
                <w:lang w:eastAsia="zh-CN"/>
              </w:rPr>
              <w:t>，</w:t>
            </w:r>
            <w:r>
              <w:rPr>
                <w:rFonts w:hint="eastAsia"/>
                <w:sz w:val="24"/>
                <w:lang w:val="en-US" w:eastAsia="zh-CN"/>
              </w:rPr>
              <w:t>车辆冲洗废水产生量约为用水量85%，则车辆冲洗废水产生量约为0.51m</w:t>
            </w:r>
            <w:r>
              <w:rPr>
                <w:rFonts w:hint="eastAsia"/>
                <w:sz w:val="24"/>
                <w:vertAlign w:val="superscript"/>
                <w:lang w:val="en-US" w:eastAsia="zh-CN"/>
              </w:rPr>
              <w:t>3</w:t>
            </w:r>
            <w:r>
              <w:rPr>
                <w:rFonts w:hint="eastAsia"/>
                <w:sz w:val="24"/>
                <w:lang w:val="en-US" w:eastAsia="zh-CN"/>
              </w:rPr>
              <w:t xml:space="preserve"> /d（186.15m</w:t>
            </w:r>
            <w:r>
              <w:rPr>
                <w:rFonts w:hint="eastAsia"/>
                <w:sz w:val="24"/>
                <w:vertAlign w:val="superscript"/>
                <w:lang w:val="en-US" w:eastAsia="zh-CN"/>
              </w:rPr>
              <w:t>3</w:t>
            </w:r>
            <w:r>
              <w:rPr>
                <w:rFonts w:hint="eastAsia"/>
                <w:sz w:val="24"/>
                <w:lang w:val="en-US" w:eastAsia="zh-CN"/>
              </w:rPr>
              <w:t xml:space="preserve"> /a）。废水中主要污染物为SS</w:t>
            </w:r>
            <w:r>
              <w:rPr>
                <w:color w:val="auto"/>
                <w:sz w:val="24"/>
                <w:u w:val="none" w:color="auto"/>
              </w:rPr>
              <w:t>，</w:t>
            </w:r>
            <w:r>
              <w:rPr>
                <w:rFonts w:hint="eastAsia"/>
                <w:color w:val="auto"/>
                <w:sz w:val="24"/>
                <w:u w:val="none" w:color="auto"/>
                <w:lang w:val="en-US" w:eastAsia="zh-CN"/>
              </w:rPr>
              <w:t>车辆冲洗</w:t>
            </w:r>
            <w:r>
              <w:rPr>
                <w:color w:val="auto"/>
                <w:sz w:val="24"/>
                <w:u w:val="none" w:color="auto"/>
              </w:rPr>
              <w:t>废水</w:t>
            </w:r>
            <w:r>
              <w:rPr>
                <w:rFonts w:hint="eastAsia"/>
                <w:color w:val="auto"/>
                <w:sz w:val="24"/>
                <w:u w:val="none" w:color="auto"/>
                <w:lang w:val="en-US" w:eastAsia="zh-CN"/>
              </w:rPr>
              <w:t>由洗车废水</w:t>
            </w:r>
            <w:r>
              <w:rPr>
                <w:color w:val="auto"/>
                <w:sz w:val="24"/>
                <w:u w:val="none" w:color="auto"/>
              </w:rPr>
              <w:t>沉淀池</w:t>
            </w:r>
            <w:r>
              <w:rPr>
                <w:rFonts w:hint="eastAsia"/>
                <w:color w:val="auto"/>
                <w:sz w:val="24"/>
                <w:u w:val="none" w:color="auto"/>
                <w:lang w:eastAsia="zh-CN"/>
              </w:rPr>
              <w:t>（</w:t>
            </w:r>
            <w:r>
              <w:rPr>
                <w:rFonts w:hint="eastAsia"/>
                <w:color w:val="auto"/>
                <w:sz w:val="24"/>
                <w:u w:val="none" w:color="auto"/>
                <w:lang w:val="en-US" w:eastAsia="zh-CN"/>
              </w:rPr>
              <w:t>10m</w:t>
            </w:r>
            <w:r>
              <w:rPr>
                <w:rFonts w:hint="eastAsia"/>
                <w:color w:val="auto"/>
                <w:sz w:val="24"/>
                <w:u w:val="none" w:color="auto"/>
                <w:vertAlign w:val="superscript"/>
                <w:lang w:val="en-US" w:eastAsia="zh-CN"/>
              </w:rPr>
              <w:t>3</w:t>
            </w:r>
            <w:r>
              <w:rPr>
                <w:rFonts w:hint="eastAsia"/>
                <w:color w:val="auto"/>
                <w:sz w:val="24"/>
                <w:u w:val="none" w:color="auto"/>
                <w:lang w:eastAsia="zh-CN"/>
              </w:rPr>
              <w:t>）</w:t>
            </w:r>
            <w:r>
              <w:rPr>
                <w:rFonts w:hint="eastAsia"/>
                <w:color w:val="auto"/>
                <w:sz w:val="24"/>
                <w:u w:val="none" w:color="auto"/>
                <w:lang w:val="en-US" w:eastAsia="zh-CN"/>
              </w:rPr>
              <w:t>沉淀处理</w:t>
            </w:r>
            <w:r>
              <w:rPr>
                <w:rFonts w:hint="default" w:ascii="Times New Roman" w:hAnsi="Times New Roman" w:cs="Times New Roman"/>
                <w:color w:val="auto"/>
                <w:u w:val="none" w:color="auto"/>
              </w:rPr>
              <w:t>后作为车辆冲洗废水回用。</w:t>
            </w:r>
          </w:p>
          <w:p w14:paraId="71217AA9">
            <w:pPr>
              <w:ind w:firstLine="480"/>
              <w:rPr>
                <w:rFonts w:hint="default"/>
                <w:bCs/>
                <w:sz w:val="24"/>
                <w:szCs w:val="22"/>
                <w:highlight w:val="none"/>
                <w:u w:val="none" w:color="auto"/>
                <w:lang w:val="en-US" w:eastAsia="zh-CN"/>
              </w:rPr>
            </w:pPr>
            <w:r>
              <w:rPr>
                <w:rFonts w:hint="eastAsia"/>
                <w:bCs/>
                <w:sz w:val="24"/>
                <w:szCs w:val="22"/>
                <w:highlight w:val="none"/>
                <w:u w:val="none" w:color="auto"/>
                <w:lang w:val="en-US" w:eastAsia="zh-CN"/>
              </w:rPr>
              <w:t>②矿坑积水（淋滤水）</w:t>
            </w:r>
          </w:p>
          <w:p w14:paraId="4C92FB5E">
            <w:pPr>
              <w:spacing w:line="360" w:lineRule="auto"/>
              <w:ind w:firstLine="480" w:firstLineChars="200"/>
              <w:rPr>
                <w:rFonts w:hint="eastAsia"/>
                <w:sz w:val="24"/>
                <w:lang w:val="en-US" w:eastAsia="zh-CN"/>
              </w:rPr>
            </w:pPr>
            <w:r>
              <w:rPr>
                <w:rFonts w:hint="eastAsia"/>
                <w:sz w:val="24"/>
                <w:lang w:val="en-US" w:eastAsia="zh-CN"/>
              </w:rPr>
              <w:t>本项目运营期间，若恰逢雨季，由于冲刷填埋区，使初期雨水中含有大量的污染物质，将产生淋滤水。由于本项目填方均为洪江市建筑垃圾，不涉及危险废物、工业污泥及生活垃圾，因此所产生的渗水不含有毒有害成分，主要为SS。</w:t>
            </w:r>
          </w:p>
          <w:p w14:paraId="6C64876B">
            <w:pPr>
              <w:pStyle w:val="167"/>
              <w:spacing w:line="360" w:lineRule="auto"/>
              <w:ind w:firstLine="480"/>
              <w:jc w:val="left"/>
              <w:rPr>
                <w:rFonts w:hint="eastAsia"/>
                <w:u w:val="single"/>
              </w:rPr>
            </w:pPr>
            <w:r>
              <w:rPr>
                <w:rFonts w:hint="eastAsia"/>
                <w:u w:val="single"/>
              </w:rPr>
              <w:t>本项目雨水淋溶液产生量参照《建筑垃圾处理技术标准》（CJJ/T134-2019）附录C计算，采用如下公式计算：</w:t>
            </w:r>
          </w:p>
          <w:p w14:paraId="1FDD0C06">
            <w:pPr>
              <w:pStyle w:val="167"/>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u w:val="single"/>
              </w:rPr>
            </w:pPr>
            <w:r>
              <w:rPr>
                <w:rFonts w:hint="eastAsia"/>
                <w:u w:val="single"/>
              </w:rPr>
              <w:t>Q=Ix(C1A1+C2A2+C3A3+C4A4)/1000</w:t>
            </w:r>
          </w:p>
          <w:p w14:paraId="01A71E2C">
            <w:pPr>
              <w:pStyle w:val="167"/>
              <w:spacing w:line="360" w:lineRule="auto"/>
              <w:ind w:firstLine="480"/>
              <w:jc w:val="left"/>
              <w:rPr>
                <w:rFonts w:hint="eastAsia"/>
                <w:u w:val="single"/>
              </w:rPr>
            </w:pPr>
            <w:r>
              <w:rPr>
                <w:rFonts w:hint="eastAsia"/>
                <w:u w:val="single"/>
              </w:rPr>
              <w:t>式中：</w:t>
            </w:r>
          </w:p>
          <w:p w14:paraId="5A9D9DAB">
            <w:pPr>
              <w:pStyle w:val="167"/>
              <w:spacing w:line="360" w:lineRule="auto"/>
              <w:ind w:firstLine="480"/>
              <w:jc w:val="left"/>
              <w:rPr>
                <w:rFonts w:hint="eastAsia"/>
                <w:u w:val="single"/>
              </w:rPr>
            </w:pPr>
            <w:r>
              <w:rPr>
                <w:rFonts w:hint="eastAsia"/>
                <w:u w:val="single"/>
              </w:rPr>
              <w:t>Q 一雨水淋溶液产生量（m</w:t>
            </w:r>
            <w:r>
              <w:rPr>
                <w:rFonts w:hint="eastAsia"/>
                <w:u w:val="single"/>
                <w:vertAlign w:val="superscript"/>
              </w:rPr>
              <w:t>3</w:t>
            </w:r>
            <w:r>
              <w:rPr>
                <w:rFonts w:hint="eastAsia"/>
                <w:u w:val="single"/>
              </w:rPr>
              <w:t>/d）</w:t>
            </w:r>
          </w:p>
          <w:p w14:paraId="3EE3F287">
            <w:pPr>
              <w:pStyle w:val="167"/>
              <w:spacing w:line="360" w:lineRule="auto"/>
              <w:ind w:firstLine="480"/>
              <w:jc w:val="left"/>
              <w:rPr>
                <w:rFonts w:hint="eastAsia"/>
                <w:u w:val="single"/>
              </w:rPr>
            </w:pPr>
            <w:r>
              <w:rPr>
                <w:rFonts w:hint="eastAsia"/>
                <w:u w:val="single"/>
              </w:rPr>
              <w:t>I一降水量（mm/d）；</w:t>
            </w:r>
          </w:p>
          <w:p w14:paraId="767EDB57">
            <w:pPr>
              <w:pStyle w:val="167"/>
              <w:spacing w:line="360" w:lineRule="auto"/>
              <w:ind w:firstLine="480"/>
              <w:jc w:val="left"/>
              <w:rPr>
                <w:rFonts w:hint="eastAsia"/>
                <w:u w:val="single"/>
              </w:rPr>
            </w:pPr>
            <w:r>
              <w:rPr>
                <w:rFonts w:hint="eastAsia"/>
                <w:u w:val="single"/>
              </w:rPr>
              <w:t>C1一正在作业单元浸出系数，一般宜取0.4-1.0之间，取 0.4；</w:t>
            </w:r>
          </w:p>
          <w:p w14:paraId="1E2BE99D">
            <w:pPr>
              <w:pStyle w:val="167"/>
              <w:spacing w:line="360" w:lineRule="auto"/>
              <w:ind w:firstLine="480"/>
              <w:jc w:val="left"/>
              <w:rPr>
                <w:rFonts w:hint="eastAsia"/>
                <w:u w:val="single"/>
              </w:rPr>
            </w:pPr>
            <w:r>
              <w:rPr>
                <w:rFonts w:hint="eastAsia"/>
                <w:u w:val="single"/>
              </w:rPr>
              <w:t>Al一正在作业单元汇水面积（m</w:t>
            </w:r>
            <w:r>
              <w:rPr>
                <w:rFonts w:hint="eastAsia"/>
                <w:u w:val="single"/>
                <w:vertAlign w:val="superscript"/>
              </w:rPr>
              <w:t>2</w:t>
            </w:r>
            <w:r>
              <w:rPr>
                <w:rFonts w:hint="eastAsia"/>
                <w:u w:val="single"/>
              </w:rPr>
              <w:t>），取</w:t>
            </w:r>
            <w:r>
              <w:rPr>
                <w:rFonts w:hint="eastAsia"/>
                <w:u w:val="single"/>
                <w:lang w:val="en-US" w:eastAsia="zh-CN"/>
              </w:rPr>
              <w:t>1000</w:t>
            </w:r>
            <w:r>
              <w:rPr>
                <w:rFonts w:hint="eastAsia"/>
                <w:u w:val="single"/>
              </w:rPr>
              <w:t>；</w:t>
            </w:r>
          </w:p>
          <w:p w14:paraId="477846DE">
            <w:pPr>
              <w:pStyle w:val="167"/>
              <w:spacing w:line="360" w:lineRule="auto"/>
              <w:ind w:firstLine="480"/>
              <w:jc w:val="left"/>
              <w:rPr>
                <w:rFonts w:hint="eastAsia"/>
                <w:u w:val="single"/>
              </w:rPr>
            </w:pPr>
            <w:r>
              <w:rPr>
                <w:rFonts w:hint="eastAsia"/>
                <w:u w:val="single"/>
              </w:rPr>
              <w:t>C2一已中间覆盖渗出系数，当采用土覆盖时宜取（0.4-0.6）C1之间，取0.4C1，即0.16；</w:t>
            </w:r>
          </w:p>
          <w:p w14:paraId="406F88D9">
            <w:pPr>
              <w:pStyle w:val="167"/>
              <w:spacing w:line="360" w:lineRule="auto"/>
              <w:ind w:firstLine="480"/>
              <w:jc w:val="left"/>
              <w:rPr>
                <w:rFonts w:hint="eastAsia"/>
                <w:u w:val="single"/>
              </w:rPr>
            </w:pPr>
            <w:r>
              <w:rPr>
                <w:rFonts w:hint="eastAsia"/>
                <w:u w:val="single"/>
              </w:rPr>
              <w:t>A2一已中间覆盖单元汇水面积（m</w:t>
            </w:r>
            <w:r>
              <w:rPr>
                <w:rFonts w:hint="eastAsia"/>
                <w:u w:val="single"/>
                <w:vertAlign w:val="superscript"/>
              </w:rPr>
              <w:t>2</w:t>
            </w:r>
            <w:r>
              <w:rPr>
                <w:rFonts w:hint="eastAsia"/>
                <w:u w:val="single"/>
              </w:rPr>
              <w:t>），取</w:t>
            </w:r>
            <w:r>
              <w:rPr>
                <w:rFonts w:hint="eastAsia"/>
                <w:u w:val="single"/>
                <w:lang w:val="en-US" w:eastAsia="zh-CN"/>
              </w:rPr>
              <w:t>1</w:t>
            </w:r>
            <w:r>
              <w:rPr>
                <w:rFonts w:hint="eastAsia"/>
                <w:u w:val="single"/>
              </w:rPr>
              <w:t>000</w:t>
            </w:r>
            <w:r>
              <w:rPr>
                <w:rFonts w:hint="eastAsia"/>
                <w:u w:val="single"/>
                <w:lang w:val="en-US" w:eastAsia="zh-CN"/>
              </w:rPr>
              <w:t>m</w:t>
            </w:r>
            <w:r>
              <w:rPr>
                <w:rFonts w:hint="eastAsia"/>
                <w:u w:val="single"/>
                <w:vertAlign w:val="superscript"/>
                <w:lang w:val="en-US" w:eastAsia="zh-CN"/>
              </w:rPr>
              <w:t>2</w:t>
            </w:r>
            <w:r>
              <w:rPr>
                <w:rFonts w:hint="eastAsia"/>
                <w:u w:val="single"/>
              </w:rPr>
              <w:t>；</w:t>
            </w:r>
          </w:p>
          <w:p w14:paraId="7E45ECFF">
            <w:pPr>
              <w:pStyle w:val="167"/>
              <w:spacing w:line="360" w:lineRule="auto"/>
              <w:ind w:firstLine="480"/>
              <w:jc w:val="left"/>
              <w:rPr>
                <w:rFonts w:hint="eastAsia"/>
                <w:u w:val="single"/>
              </w:rPr>
            </w:pPr>
            <w:r>
              <w:rPr>
                <w:rFonts w:hint="eastAsia"/>
                <w:u w:val="single"/>
              </w:rPr>
              <w:t>C3一终场覆盖单元渗出系数，一般取 0.1-0.2，取0.1；</w:t>
            </w:r>
          </w:p>
          <w:p w14:paraId="375679D2">
            <w:pPr>
              <w:pStyle w:val="167"/>
              <w:spacing w:line="360" w:lineRule="auto"/>
              <w:ind w:firstLine="480"/>
              <w:jc w:val="left"/>
              <w:rPr>
                <w:rFonts w:hint="eastAsia"/>
                <w:u w:val="single"/>
              </w:rPr>
            </w:pPr>
            <w:r>
              <w:rPr>
                <w:rFonts w:hint="eastAsia"/>
                <w:u w:val="single"/>
              </w:rPr>
              <w:t>A3一已终场覆盖单元汇水面积（m</w:t>
            </w:r>
            <w:r>
              <w:rPr>
                <w:rFonts w:hint="eastAsia"/>
                <w:u w:val="single"/>
                <w:vertAlign w:val="superscript"/>
              </w:rPr>
              <w:t>2</w:t>
            </w:r>
            <w:r>
              <w:rPr>
                <w:rFonts w:hint="eastAsia"/>
                <w:u w:val="single"/>
              </w:rPr>
              <w:t>），取6102.56</w:t>
            </w:r>
            <w:r>
              <w:rPr>
                <w:rFonts w:hint="eastAsia"/>
                <w:u w:val="single"/>
                <w:lang w:val="en-US" w:eastAsia="zh-CN"/>
              </w:rPr>
              <w:t>m</w:t>
            </w:r>
            <w:r>
              <w:rPr>
                <w:rFonts w:hint="eastAsia"/>
                <w:u w:val="single"/>
                <w:vertAlign w:val="superscript"/>
                <w:lang w:val="en-US" w:eastAsia="zh-CN"/>
              </w:rPr>
              <w:t>2</w:t>
            </w:r>
            <w:r>
              <w:rPr>
                <w:rFonts w:hint="eastAsia"/>
                <w:u w:val="single"/>
              </w:rPr>
              <w:t>；</w:t>
            </w:r>
          </w:p>
          <w:p w14:paraId="50915CB9">
            <w:pPr>
              <w:pStyle w:val="167"/>
              <w:spacing w:line="360" w:lineRule="auto"/>
              <w:ind w:firstLine="480"/>
              <w:jc w:val="left"/>
              <w:rPr>
                <w:rFonts w:hint="eastAsia"/>
                <w:u w:val="single"/>
              </w:rPr>
            </w:pPr>
            <w:r>
              <w:rPr>
                <w:rFonts w:hint="eastAsia"/>
                <w:u w:val="single"/>
              </w:rPr>
              <w:t>C4一渗出系数，取0或1（若调节池设置有覆盖系统取 0，若调节池未设置覆盖系统取1.0），本工程有覆盖系统取0；</w:t>
            </w:r>
          </w:p>
          <w:p w14:paraId="366B74B5">
            <w:pPr>
              <w:pStyle w:val="167"/>
              <w:spacing w:line="360" w:lineRule="auto"/>
              <w:ind w:firstLine="480"/>
              <w:jc w:val="left"/>
              <w:rPr>
                <w:rFonts w:hint="eastAsia"/>
                <w:u w:val="single"/>
              </w:rPr>
            </w:pPr>
            <w:r>
              <w:rPr>
                <w:rFonts w:hint="eastAsia"/>
                <w:u w:val="single"/>
              </w:rPr>
              <w:t>A4一调节池汇水面积（m</w:t>
            </w:r>
            <w:r>
              <w:rPr>
                <w:rFonts w:hint="eastAsia"/>
                <w:u w:val="single"/>
                <w:vertAlign w:val="superscript"/>
                <w:lang w:val="en-US" w:eastAsia="zh-CN"/>
              </w:rPr>
              <w:t>2</w:t>
            </w:r>
            <w:r>
              <w:rPr>
                <w:rFonts w:hint="eastAsia"/>
                <w:u w:val="single"/>
              </w:rPr>
              <w:t>）。</w:t>
            </w:r>
          </w:p>
          <w:p w14:paraId="0C53A34A">
            <w:pPr>
              <w:pStyle w:val="167"/>
              <w:spacing w:line="360" w:lineRule="auto"/>
              <w:ind w:firstLine="480"/>
              <w:jc w:val="left"/>
              <w:rPr>
                <w:rFonts w:hint="eastAsia"/>
                <w:u w:val="single"/>
              </w:rPr>
            </w:pPr>
            <w:r>
              <w:rPr>
                <w:rFonts w:hint="eastAsia"/>
                <w:u w:val="single"/>
              </w:rPr>
              <w:t>据</w:t>
            </w:r>
            <w:r>
              <w:rPr>
                <w:rFonts w:hint="eastAsia"/>
                <w:u w:val="single"/>
                <w:lang w:val="en-US" w:eastAsia="zh-CN"/>
              </w:rPr>
              <w:t>洪江市</w:t>
            </w:r>
            <w:r>
              <w:rPr>
                <w:rFonts w:hint="eastAsia"/>
                <w:u w:val="single"/>
              </w:rPr>
              <w:t>气象资料，多年平均降水量</w:t>
            </w:r>
            <w:r>
              <w:rPr>
                <w:rFonts w:hint="eastAsia"/>
                <w:u w:val="single"/>
                <w:lang w:val="en-US" w:eastAsia="zh-CN"/>
              </w:rPr>
              <w:t>1494</w:t>
            </w:r>
            <w:r>
              <w:rPr>
                <w:rFonts w:hint="eastAsia"/>
                <w:u w:val="single"/>
              </w:rPr>
              <w:t>mm，日最大暴雨量</w:t>
            </w:r>
            <w:r>
              <w:rPr>
                <w:rFonts w:hint="eastAsia"/>
                <w:u w:val="single"/>
                <w:lang w:val="en-US" w:eastAsia="zh-CN"/>
              </w:rPr>
              <w:t>161.5</w:t>
            </w:r>
            <w:r>
              <w:rPr>
                <w:rFonts w:hint="eastAsia"/>
                <w:u w:val="single"/>
              </w:rPr>
              <w:t>mm</w:t>
            </w:r>
            <w:r>
              <w:rPr>
                <w:rFonts w:hint="eastAsia"/>
                <w:u w:val="single"/>
                <w:lang w:eastAsia="zh-CN"/>
              </w:rPr>
              <w:t>。</w:t>
            </w:r>
            <w:r>
              <w:rPr>
                <w:rFonts w:hint="eastAsia"/>
                <w:u w:val="single"/>
              </w:rPr>
              <w:t>经计算本项目雨水淋溶液日平最大产生量为</w:t>
            </w:r>
            <w:r>
              <w:rPr>
                <w:rFonts w:hint="eastAsia"/>
                <w:u w:val="single"/>
                <w:lang w:val="en-US" w:eastAsia="zh-CN"/>
              </w:rPr>
              <w:t>188.99</w:t>
            </w:r>
            <w:r>
              <w:rPr>
                <w:rFonts w:hint="eastAsia"/>
                <w:u w:val="single"/>
              </w:rPr>
              <w:t>m</w:t>
            </w:r>
            <w:r>
              <w:rPr>
                <w:rFonts w:hint="eastAsia"/>
                <w:u w:val="single"/>
                <w:vertAlign w:val="superscript"/>
              </w:rPr>
              <w:t>3</w:t>
            </w:r>
            <w:r>
              <w:rPr>
                <w:rFonts w:hint="eastAsia"/>
                <w:u w:val="single"/>
              </w:rPr>
              <w:t>，年产生量为</w:t>
            </w:r>
            <w:r>
              <w:rPr>
                <w:rFonts w:hint="eastAsia"/>
                <w:u w:val="single"/>
                <w:lang w:val="en-US" w:eastAsia="zh-CN"/>
              </w:rPr>
              <w:t>30238.4</w:t>
            </w:r>
            <w:r>
              <w:rPr>
                <w:rFonts w:hint="eastAsia"/>
                <w:u w:val="single"/>
              </w:rPr>
              <w:t>m</w:t>
            </w:r>
            <w:r>
              <w:rPr>
                <w:rFonts w:hint="eastAsia"/>
                <w:u w:val="single"/>
                <w:vertAlign w:val="superscript"/>
              </w:rPr>
              <w:t>3</w:t>
            </w:r>
            <w:r>
              <w:rPr>
                <w:rFonts w:hint="eastAsia"/>
                <w:u w:val="single"/>
              </w:rPr>
              <w:t>/a</w:t>
            </w:r>
            <w:r>
              <w:rPr>
                <w:rFonts w:hint="eastAsia"/>
                <w:u w:val="single"/>
                <w:lang w:eastAsia="zh-CN"/>
              </w:rPr>
              <w:t>（</w:t>
            </w:r>
            <w:r>
              <w:rPr>
                <w:rFonts w:hint="eastAsia"/>
                <w:u w:val="single"/>
                <w:lang w:val="en-US" w:eastAsia="zh-CN"/>
              </w:rPr>
              <w:t>年降雨天数按照160天计算</w:t>
            </w:r>
            <w:r>
              <w:rPr>
                <w:rFonts w:hint="eastAsia"/>
                <w:u w:val="single"/>
                <w:lang w:eastAsia="zh-CN"/>
              </w:rPr>
              <w:t>），产生的积水优先用于车辆冲洗、堆填场洒水降尘等。</w:t>
            </w:r>
          </w:p>
          <w:p w14:paraId="53280BDC">
            <w:pPr>
              <w:spacing w:line="360" w:lineRule="auto"/>
              <w:ind w:firstLine="480" w:firstLineChars="200"/>
              <w:rPr>
                <w:rFonts w:hint="eastAsia" w:ascii="Times New Roman" w:hAnsi="Times New Roman" w:eastAsia="宋体" w:cs="Times New Roman"/>
                <w:u w:val="single"/>
                <w:lang w:val="en-US" w:eastAsia="zh-CN"/>
              </w:rPr>
            </w:pPr>
            <w:r>
              <w:rPr>
                <w:rFonts w:hint="eastAsia" w:ascii="Times New Roman" w:hAnsi="Times New Roman" w:eastAsia="宋体" w:cs="Times New Roman"/>
                <w:u w:val="single"/>
                <w:lang w:val="en-US" w:eastAsia="zh-CN"/>
              </w:rPr>
              <w:t>由以上公式可计算得一期工程堆填场雨水量为30238.4m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/a，淋滤水优先回用于道路洒水（522.135m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/a）、堆场作业及堆场抑尘（820m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/a）、及车辆冲洗补充用水（约21.6m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/a），合计回用量约953.735m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/a，剩余约28863.415m</w:t>
            </w:r>
            <w:r>
              <w:rPr>
                <w:rFonts w:hint="eastAsia" w:ascii="Times New Roman" w:hAnsi="Times New Roman" w:eastAsia="宋体" w:cs="Times New Roman"/>
                <w:u w:val="single"/>
                <w:vertAlign w:val="superscript"/>
                <w:lang w:val="en-US" w:eastAsia="zh-CN"/>
              </w:rPr>
              <w:t>3</w:t>
            </w:r>
            <w:r>
              <w:rPr>
                <w:rFonts w:hint="eastAsia" w:ascii="Times New Roman" w:hAnsi="Times New Roman" w:eastAsia="宋体" w:cs="Times New Roman"/>
                <w:u w:val="single"/>
                <w:lang w:val="en-US" w:eastAsia="zh-CN"/>
              </w:rPr>
              <w:t>/a经处理达标后外排。</w:t>
            </w:r>
          </w:p>
          <w:p w14:paraId="56687875">
            <w:pPr>
              <w:spacing w:line="360" w:lineRule="auto"/>
              <w:ind w:firstLine="480" w:firstLineChars="200"/>
              <w:rPr>
                <w:rFonts w:hint="eastAsia" w:ascii="Times New Roman" w:hAnsi="Times New Roman" w:eastAsia="宋体" w:cs="Times New Roman"/>
                <w:u w:val="single"/>
              </w:rPr>
            </w:pPr>
            <w:r>
              <w:rPr>
                <w:rFonts w:hint="eastAsia" w:ascii="Times New Roman" w:hAnsi="Times New Roman" w:eastAsia="宋体" w:cs="Times New Roman"/>
                <w:u w:val="single"/>
              </w:rPr>
              <w:t>处理及排放：坑底设集水坑及潜污泵（一用一备），将淋滤水抽至地面淋滤水沉淀池（容积30m</w:t>
            </w:r>
            <w:r>
              <w:rPr>
                <w:rFonts w:hint="eastAsia" w:ascii="Times New Roman" w:hAnsi="Times New Roman" w:eastAsia="宋体" w:cs="Times New Roman"/>
                <w:u w:val="single"/>
                <w:vertAlign w:val="superscript"/>
                <w:lang w:eastAsia="zh-CN"/>
              </w:rPr>
              <w:t>3</w:t>
            </w:r>
            <w:r>
              <w:rPr>
                <w:rFonts w:hint="eastAsia" w:ascii="Times New Roman" w:hAnsi="Times New Roman" w:eastAsia="宋体" w:cs="Times New Roman"/>
                <w:u w:val="single"/>
              </w:rPr>
              <w:t>）</w:t>
            </w:r>
            <w:r>
              <w:rPr>
                <w:rFonts w:hint="eastAsia" w:cs="Times New Roman"/>
                <w:u w:val="single"/>
                <w:lang w:val="en-US" w:eastAsia="zh-CN"/>
              </w:rPr>
              <w:t>，</w:t>
            </w:r>
            <w:r>
              <w:rPr>
                <w:rFonts w:hint="eastAsia" w:ascii="Times New Roman" w:hAnsi="Times New Roman" w:eastAsia="宋体" w:cs="Times New Roman"/>
                <w:u w:val="single"/>
              </w:rPr>
              <w:t>淋滤水主要污染物为SS，经沉淀处理后出水水质可达《污水综合排放标准》（GB8978-1996）一级标准。</w:t>
            </w:r>
          </w:p>
          <w:p w14:paraId="69798BA8">
            <w:pPr>
              <w:spacing w:line="360" w:lineRule="auto"/>
              <w:ind w:firstLine="480" w:firstLineChars="200"/>
              <w:rPr>
                <w:rFonts w:hint="eastAsia" w:ascii="Times New Roman" w:hAnsi="Times New Roman" w:eastAsia="宋体" w:cs="Times New Roman"/>
                <w:u w:val="single"/>
              </w:rPr>
            </w:pPr>
            <w:r>
              <w:rPr>
                <w:rFonts w:hint="eastAsia" w:ascii="Times New Roman" w:hAnsi="Times New Roman" w:eastAsia="宋体" w:cs="Times New Roman"/>
                <w:u w:val="single"/>
              </w:rPr>
              <w:t>水质类比说明：</w:t>
            </w:r>
            <w:r>
              <w:rPr>
                <w:rFonts w:hint="default"/>
                <w:u w:val="single"/>
                <w:lang w:val="en-US" w:eastAsia="zh-CN"/>
              </w:rPr>
              <w:t>本项目建筑垃圾以工程渣土为主，辅以少量工程垃圾、拆除垃圾，不含危险废物、生活垃圾、工业污泥</w:t>
            </w:r>
            <w:r>
              <w:rPr>
                <w:rFonts w:hint="eastAsia"/>
                <w:u w:val="single"/>
                <w:lang w:val="en-US" w:eastAsia="zh-CN"/>
              </w:rPr>
              <w:t>，</w:t>
            </w:r>
            <w:r>
              <w:rPr>
                <w:rFonts w:hint="eastAsia" w:cs="Times New Roman"/>
                <w:u w:val="single"/>
                <w:lang w:val="en-US" w:eastAsia="zh-CN"/>
              </w:rPr>
              <w:t>本项目淋滤水水质参考《保靖县建筑垃圾资源化处置利用项目环境影响报告表》项目淋滤水排放口中淋滤水水质、《呼和浩特市玉泉区小黑河镇茂林太村建筑垃圾消纳场项目竣工环境保护验收监测报告表》项目填埋区调节池水质</w:t>
            </w:r>
            <w:r>
              <w:rPr>
                <w:rFonts w:hint="eastAsia" w:ascii="Times New Roman" w:hAnsi="Times New Roman" w:eastAsia="宋体" w:cs="Times New Roman"/>
                <w:u w:val="single"/>
                <w:lang w:eastAsia="zh-CN"/>
              </w:rPr>
              <w:t>，</w:t>
            </w:r>
            <w:r>
              <w:rPr>
                <w:rFonts w:hint="eastAsia" w:ascii="Times New Roman" w:hAnsi="Times New Roman" w:eastAsia="宋体" w:cs="Times New Roman"/>
                <w:u w:val="single"/>
                <w:lang w:val="en-US" w:eastAsia="zh-CN"/>
              </w:rPr>
              <w:t>具体监测结果详见下表4.3-2</w:t>
            </w:r>
            <w:r>
              <w:rPr>
                <w:rFonts w:hint="eastAsia" w:cs="Times New Roman"/>
                <w:u w:val="single"/>
                <w:lang w:val="en-US" w:eastAsia="zh-CN"/>
              </w:rPr>
              <w:t>、4.3-3</w:t>
            </w:r>
            <w:r>
              <w:rPr>
                <w:rFonts w:hint="eastAsia" w:ascii="Times New Roman" w:hAnsi="Times New Roman" w:eastAsia="宋体" w:cs="Times New Roman"/>
                <w:u w:val="single"/>
              </w:rPr>
              <w:t>，本项目淋滤水沉淀后可以稳定</w:t>
            </w:r>
            <w:r>
              <w:rPr>
                <w:rFonts w:hint="eastAsia" w:cs="Times New Roman"/>
                <w:u w:val="single"/>
                <w:lang w:val="en-US" w:eastAsia="zh-CN"/>
              </w:rPr>
              <w:t>达到</w:t>
            </w:r>
            <w:r>
              <w:rPr>
                <w:rFonts w:hint="eastAsia" w:ascii="Times New Roman" w:hAnsi="Times New Roman" w:eastAsia="宋体" w:cs="Times New Roman"/>
                <w:u w:val="single"/>
              </w:rPr>
              <w:t>《污水综合排放标准》（GB8978-1996）一级标准。</w:t>
            </w:r>
          </w:p>
          <w:p w14:paraId="014F6C96">
            <w:pPr>
              <w:spacing w:line="360" w:lineRule="auto"/>
              <w:ind w:firstLine="480" w:firstLineChars="200"/>
              <w:rPr>
                <w:rFonts w:hint="eastAsia" w:ascii="Times New Roman" w:hAnsi="Times New Roman" w:eastAsia="宋体" w:cs="Times New Roman"/>
              </w:rPr>
            </w:pPr>
            <w:r>
              <w:rPr>
                <w:rFonts w:hint="eastAsia" w:ascii="Times New Roman" w:hAnsi="Times New Roman" w:eastAsia="宋体" w:cs="Times New Roman"/>
              </w:rPr>
              <w:t>雨洪排口：</w:t>
            </w:r>
            <w:r>
              <w:rPr>
                <w:rFonts w:hint="eastAsia"/>
              </w:rPr>
              <w:t>本项目建筑垃圾消纳场服务对象为各类建筑物、构筑物、管网等地基开挖过程中产生的建筑垃圾，不含化工、重金属、危险废物等污染物，主要污染物为COD、SS等。根据《入河排污口监督管理办法》（生态环境环境部令第35号）第十一条明确规定，工矿企业排污口、工业以及其他各类园区污水处理厂排污口、城镇污水处理厂排污口需要报生态环境部门审批，工矿企业雨洪排口、工业以及其他各类园区污水处理厂雨洪排口，未被纳入审批范围。本项目建筑垃圾消纳场仅涉及雨水排放，无生产废水、生活污水混入，因此单纯排放雨水的雨洪排口，无需办理入河排污口设置审批手续，故本项目对其不进行单独论证。但根据《入河排污口监督管理办法》第二十二条，设置第十一条规定以外的入河排污口（即不需要审批的类型），应当在入河排污口设置前，向所在的设区的市级生态环境主管部门提交入河排污口登记表</w:t>
            </w:r>
            <w:r>
              <w:rPr>
                <w:rFonts w:hint="eastAsia"/>
                <w:lang w:eastAsia="zh-CN"/>
              </w:rPr>
              <w:t>，</w:t>
            </w:r>
            <w:r>
              <w:rPr>
                <w:rFonts w:hint="eastAsia" w:ascii="Times New Roman" w:hAnsi="Times New Roman" w:eastAsia="宋体" w:cs="Times New Roman"/>
              </w:rPr>
              <w:t>建设单位承诺在投运前完成登记，并按照《入河排污口监督管理技术指南 规范化建设》要求设置标识牌、采样监测井、视频监控等设施，严格实行雨污分流。</w:t>
            </w:r>
          </w:p>
          <w:p w14:paraId="1668E935">
            <w:pPr>
              <w:bidi w:val="0"/>
              <w:rPr>
                <w:rFonts w:hint="eastAsia"/>
                <w:u w:val="single"/>
                <w:lang w:val="en-US" w:eastAsia="zh-CN"/>
              </w:rPr>
            </w:pPr>
            <w:r>
              <w:rPr>
                <w:rFonts w:hint="eastAsia"/>
                <w:u w:val="single"/>
                <w:lang w:val="en-US" w:eastAsia="zh-CN"/>
              </w:rPr>
              <w:t>本项目淋滤水水质类比《保靖县建筑垃圾资源化处置利用项目环境影响报告表》项目淋滤水排放口中淋滤水水质、《呼和浩特市玉泉区小黑河镇茂林太村建筑垃圾消纳场项目竣工环境保护验收监测报告表》项目填埋区调节池水质，其中本项目与</w:t>
            </w:r>
            <w:r>
              <w:rPr>
                <w:rFonts w:hint="eastAsia"/>
                <w:u w:val="single"/>
              </w:rPr>
              <w:t>保靖县</w:t>
            </w:r>
            <w:r>
              <w:rPr>
                <w:rFonts w:hint="eastAsia"/>
                <w:u w:val="single"/>
                <w:lang w:val="en-US" w:eastAsia="zh-CN"/>
              </w:rPr>
              <w:t>建筑垃圾填埋场均位于湖南片区、项目建设类似，保靖绿建渣土工程有限责任公司委托湘西三智有限公司于2024年6月3日对保靖县建筑垃圾淋滤水排放口进行监测，根据监测结果可知</w:t>
            </w:r>
            <w:r>
              <w:rPr>
                <w:rFonts w:hint="eastAsia"/>
                <w:u w:val="single"/>
              </w:rPr>
              <w:t>现原有场区南侧堆填渣土淋滤水可满足《污水综合排放标准》（GB8978-1996）一级标准</w:t>
            </w:r>
            <w:r>
              <w:rPr>
                <w:rFonts w:hint="eastAsia"/>
                <w:u w:val="single"/>
                <w:lang w:val="en-US" w:eastAsia="zh-CN"/>
              </w:rPr>
              <w:t>，具体的监测结果详见下表4.3-2。</w:t>
            </w:r>
          </w:p>
          <w:p w14:paraId="25E83927">
            <w:pPr>
              <w:bidi w:val="0"/>
              <w:rPr>
                <w:rFonts w:hint="default"/>
                <w:u w:val="single"/>
                <w:lang w:val="en-US" w:eastAsia="zh-CN"/>
              </w:rPr>
            </w:pPr>
            <w:r>
              <w:rPr>
                <w:rFonts w:hint="default"/>
                <w:u w:val="single"/>
                <w:lang w:val="en-US" w:eastAsia="zh-CN"/>
              </w:rPr>
              <w:t>本项目建筑垃圾以工程渣土为主，辅以少量工程垃圾、拆除垃圾，不含危险废物、生活垃圾、工业污泥</w:t>
            </w:r>
            <w:r>
              <w:rPr>
                <w:rFonts w:hint="eastAsia"/>
                <w:u w:val="single"/>
                <w:lang w:val="en-US" w:eastAsia="zh-CN"/>
              </w:rPr>
              <w:t>，其中《呼和浩特市玉泉区小黑河镇茂林太村建筑垃圾消纳场项目竣工环境保护验收监测报告表》中建筑垃圾堆填区已运行两年，堆填区主要为混凝土，砖石，木料，包装材料等大件垃圾（装修垃圾），项目填埋区渗出水经盲管及管道收集后进入调节池，本项目收集验收监测报告表中调节池废水检测数据，具体的监测结果详见下表4.3-3。</w:t>
            </w:r>
          </w:p>
          <w:p w14:paraId="39D451D7">
            <w:pPr>
              <w:pStyle w:val="44"/>
              <w:bidi w:val="0"/>
              <w:rPr>
                <w:rFonts w:hint="eastAsia"/>
                <w:u w:val="single" w:color="auto"/>
              </w:rPr>
            </w:pPr>
            <w:r>
              <w:rPr>
                <w:rFonts w:hint="eastAsia"/>
                <w:u w:val="single" w:color="auto"/>
              </w:rPr>
              <w:t>表</w:t>
            </w:r>
            <w:r>
              <w:rPr>
                <w:rFonts w:hint="eastAsia"/>
                <w:u w:val="single" w:color="auto"/>
                <w:lang w:val="en-US" w:eastAsia="zh-CN"/>
              </w:rPr>
              <w:t>4.3-2</w:t>
            </w:r>
            <w:r>
              <w:rPr>
                <w:rFonts w:hint="eastAsia"/>
                <w:u w:val="single" w:color="auto"/>
                <w:lang w:eastAsia="zh-CN"/>
              </w:rPr>
              <w:t>：保靖县建筑垃圾</w:t>
            </w:r>
            <w:r>
              <w:rPr>
                <w:rFonts w:hint="eastAsia"/>
                <w:u w:val="single" w:color="auto"/>
                <w:lang w:val="en-US" w:eastAsia="zh-CN"/>
              </w:rPr>
              <w:t>消纳场</w:t>
            </w:r>
            <w:r>
              <w:rPr>
                <w:rFonts w:hint="eastAsia"/>
                <w:u w:val="single" w:color="auto"/>
              </w:rPr>
              <w:t>原有渣土淋滤水监测结果一览表（单位：mg/L，</w:t>
            </w:r>
            <w:r>
              <w:rPr>
                <w:rFonts w:hint="eastAsia"/>
                <w:u w:val="single" w:color="auto"/>
                <w:lang w:eastAsia="zh-CN"/>
              </w:rPr>
              <w:t>pH</w:t>
            </w:r>
            <w:r>
              <w:rPr>
                <w:rFonts w:hint="eastAsia"/>
                <w:u w:val="single" w:color="auto"/>
              </w:rPr>
              <w:t xml:space="preserve"> 无量纲）</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103"/>
              <w:gridCol w:w="1518"/>
              <w:gridCol w:w="1084"/>
              <w:gridCol w:w="2223"/>
              <w:gridCol w:w="1231"/>
            </w:tblGrid>
            <w:tr w14:paraId="4ADD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noWrap w:val="0"/>
                  <w:vAlign w:val="center"/>
                </w:tcPr>
                <w:p w14:paraId="52F1F8EA">
                  <w:pPr>
                    <w:pStyle w:val="107"/>
                    <w:bidi w:val="0"/>
                    <w:rPr>
                      <w:rFonts w:hint="eastAsia"/>
                      <w:b/>
                      <w:bCs/>
                      <w:color w:val="000000"/>
                      <w:highlight w:val="none"/>
                      <w:u w:val="single" w:color="auto"/>
                    </w:rPr>
                  </w:pPr>
                  <w:r>
                    <w:rPr>
                      <w:rFonts w:hint="eastAsia"/>
                      <w:b/>
                      <w:bCs/>
                      <w:color w:val="000000"/>
                      <w:highlight w:val="none"/>
                      <w:u w:val="single" w:color="auto"/>
                    </w:rPr>
                    <w:t>监测点位</w:t>
                  </w:r>
                </w:p>
              </w:tc>
              <w:tc>
                <w:tcPr>
                  <w:tcW w:w="1103" w:type="dxa"/>
                  <w:noWrap w:val="0"/>
                  <w:vAlign w:val="center"/>
                </w:tcPr>
                <w:p w14:paraId="1F0B6ABB">
                  <w:pPr>
                    <w:pStyle w:val="107"/>
                    <w:bidi w:val="0"/>
                    <w:rPr>
                      <w:rFonts w:hint="eastAsia"/>
                      <w:b/>
                      <w:bCs/>
                      <w:color w:val="000000"/>
                      <w:highlight w:val="none"/>
                      <w:u w:val="single" w:color="auto"/>
                    </w:rPr>
                  </w:pPr>
                  <w:r>
                    <w:rPr>
                      <w:b/>
                      <w:bCs/>
                      <w:color w:val="000000"/>
                      <w:highlight w:val="none"/>
                      <w:u w:val="single" w:color="auto"/>
                    </w:rPr>
                    <w:t>日期</w:t>
                  </w:r>
                </w:p>
              </w:tc>
              <w:tc>
                <w:tcPr>
                  <w:tcW w:w="1518" w:type="dxa"/>
                  <w:noWrap w:val="0"/>
                  <w:vAlign w:val="center"/>
                </w:tcPr>
                <w:p w14:paraId="38135D6D">
                  <w:pPr>
                    <w:pStyle w:val="107"/>
                    <w:bidi w:val="0"/>
                    <w:rPr>
                      <w:rFonts w:hint="eastAsia"/>
                      <w:b/>
                      <w:bCs/>
                      <w:color w:val="000000"/>
                      <w:highlight w:val="none"/>
                      <w:u w:val="single" w:color="auto"/>
                    </w:rPr>
                  </w:pPr>
                  <w:r>
                    <w:rPr>
                      <w:rFonts w:hint="eastAsia"/>
                      <w:b/>
                      <w:bCs/>
                      <w:color w:val="000000"/>
                      <w:highlight w:val="none"/>
                      <w:u w:val="single" w:color="auto"/>
                    </w:rPr>
                    <w:t>检测项目</w:t>
                  </w:r>
                </w:p>
              </w:tc>
              <w:tc>
                <w:tcPr>
                  <w:tcW w:w="1084" w:type="dxa"/>
                  <w:noWrap w:val="0"/>
                  <w:vAlign w:val="center"/>
                </w:tcPr>
                <w:p w14:paraId="644ADF94">
                  <w:pPr>
                    <w:pStyle w:val="107"/>
                    <w:bidi w:val="0"/>
                    <w:rPr>
                      <w:rFonts w:hint="eastAsia"/>
                      <w:b/>
                      <w:bCs/>
                      <w:color w:val="000000"/>
                      <w:highlight w:val="none"/>
                      <w:u w:val="single" w:color="auto"/>
                    </w:rPr>
                  </w:pPr>
                  <w:r>
                    <w:rPr>
                      <w:rFonts w:hint="eastAsia"/>
                      <w:b/>
                      <w:bCs/>
                      <w:color w:val="000000"/>
                      <w:highlight w:val="none"/>
                      <w:u w:val="single" w:color="auto"/>
                    </w:rPr>
                    <w:t>检测结果</w:t>
                  </w:r>
                </w:p>
              </w:tc>
              <w:tc>
                <w:tcPr>
                  <w:tcW w:w="2223" w:type="dxa"/>
                  <w:noWrap w:val="0"/>
                  <w:vAlign w:val="center"/>
                </w:tcPr>
                <w:p w14:paraId="24301EC1">
                  <w:pPr>
                    <w:pStyle w:val="107"/>
                    <w:bidi w:val="0"/>
                    <w:rPr>
                      <w:rFonts w:hint="eastAsia" w:eastAsia="宋体"/>
                      <w:b/>
                      <w:bCs/>
                      <w:color w:val="000000"/>
                      <w:highlight w:val="none"/>
                      <w:u w:val="single" w:color="auto"/>
                      <w:lang w:eastAsia="zh-CN"/>
                    </w:rPr>
                  </w:pPr>
                  <w:r>
                    <w:rPr>
                      <w:rFonts w:hint="eastAsia"/>
                      <w:b/>
                      <w:bCs/>
                      <w:color w:val="000000"/>
                      <w:highlight w:val="none"/>
                      <w:u w:val="single" w:color="auto"/>
                    </w:rPr>
                    <w:t>标准限值</w:t>
                  </w:r>
                  <w:r>
                    <w:rPr>
                      <w:rFonts w:hint="eastAsia"/>
                      <w:b/>
                      <w:bCs/>
                      <w:color w:val="000000"/>
                      <w:highlight w:val="none"/>
                      <w:u w:val="single" w:color="auto"/>
                      <w:lang w:eastAsia="zh-CN"/>
                    </w:rPr>
                    <w:t>（</w:t>
                  </w:r>
                  <w:r>
                    <w:rPr>
                      <w:rFonts w:hint="eastAsia"/>
                      <w:b/>
                      <w:bCs/>
                      <w:color w:val="000000"/>
                      <w:highlight w:val="none"/>
                      <w:u w:val="single" w:color="auto"/>
                      <w:lang w:val="en-US" w:eastAsia="zh-CN"/>
                    </w:rPr>
                    <w:t>一级标准</w:t>
                  </w:r>
                  <w:r>
                    <w:rPr>
                      <w:rFonts w:hint="eastAsia"/>
                      <w:b/>
                      <w:bCs/>
                      <w:color w:val="000000"/>
                      <w:highlight w:val="none"/>
                      <w:u w:val="single" w:color="auto"/>
                      <w:lang w:eastAsia="zh-CN"/>
                    </w:rPr>
                    <w:t>）</w:t>
                  </w:r>
                </w:p>
              </w:tc>
              <w:tc>
                <w:tcPr>
                  <w:tcW w:w="1231" w:type="dxa"/>
                  <w:noWrap w:val="0"/>
                  <w:vAlign w:val="center"/>
                </w:tcPr>
                <w:p w14:paraId="32B5E350">
                  <w:pPr>
                    <w:pStyle w:val="107"/>
                    <w:bidi w:val="0"/>
                    <w:rPr>
                      <w:rFonts w:hint="default" w:eastAsia="宋体"/>
                      <w:b/>
                      <w:bCs/>
                      <w:color w:val="000000"/>
                      <w:highlight w:val="none"/>
                      <w:u w:val="single" w:color="auto"/>
                      <w:lang w:val="en-US" w:eastAsia="zh-CN"/>
                    </w:rPr>
                  </w:pPr>
                  <w:r>
                    <w:rPr>
                      <w:rFonts w:hint="eastAsia"/>
                      <w:b/>
                      <w:bCs/>
                      <w:color w:val="000000"/>
                      <w:highlight w:val="none"/>
                      <w:u w:val="single" w:color="auto"/>
                      <w:lang w:val="en-US" w:eastAsia="zh-CN"/>
                    </w:rPr>
                    <w:t>是否达标</w:t>
                  </w:r>
                </w:p>
              </w:tc>
            </w:tr>
            <w:tr w14:paraId="10C9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restart"/>
                  <w:noWrap w:val="0"/>
                  <w:vAlign w:val="center"/>
                </w:tcPr>
                <w:p w14:paraId="37E868A9">
                  <w:pPr>
                    <w:pStyle w:val="107"/>
                    <w:bidi w:val="0"/>
                    <w:rPr>
                      <w:rFonts w:hint="eastAsia"/>
                      <w:color w:val="000000"/>
                      <w:highlight w:val="none"/>
                      <w:u w:val="single" w:color="auto"/>
                    </w:rPr>
                  </w:pPr>
                  <w:r>
                    <w:rPr>
                      <w:rFonts w:hint="eastAsia"/>
                      <w:color w:val="000000"/>
                      <w:highlight w:val="none"/>
                      <w:u w:val="single" w:color="auto"/>
                    </w:rPr>
                    <w:t>原有渣土</w:t>
                  </w:r>
                  <w:r>
                    <w:rPr>
                      <w:rFonts w:hint="eastAsia"/>
                      <w:color w:val="000000"/>
                      <w:highlight w:val="none"/>
                      <w:u w:val="single" w:color="auto"/>
                      <w:lang w:eastAsia="zh-CN"/>
                    </w:rPr>
                    <w:t>淋滤水</w:t>
                  </w:r>
                  <w:r>
                    <w:rPr>
                      <w:rFonts w:hint="eastAsia"/>
                      <w:color w:val="000000"/>
                      <w:highlight w:val="none"/>
                      <w:u w:val="single" w:color="auto"/>
                    </w:rPr>
                    <w:t>排放口</w:t>
                  </w:r>
                </w:p>
              </w:tc>
              <w:tc>
                <w:tcPr>
                  <w:tcW w:w="1103" w:type="dxa"/>
                  <w:vMerge w:val="restart"/>
                  <w:noWrap w:val="0"/>
                  <w:vAlign w:val="center"/>
                </w:tcPr>
                <w:p w14:paraId="186C7BE6">
                  <w:pPr>
                    <w:pStyle w:val="107"/>
                    <w:bidi w:val="0"/>
                    <w:rPr>
                      <w:rFonts w:hint="eastAsia"/>
                      <w:color w:val="000000"/>
                      <w:highlight w:val="none"/>
                      <w:u w:val="single" w:color="auto"/>
                    </w:rPr>
                  </w:pPr>
                  <w:r>
                    <w:rPr>
                      <w:rFonts w:hint="eastAsia"/>
                      <w:color w:val="000000"/>
                      <w:highlight w:val="none"/>
                      <w:u w:val="single" w:color="auto"/>
                    </w:rPr>
                    <w:t>2024.6.3</w:t>
                  </w:r>
                </w:p>
              </w:tc>
              <w:tc>
                <w:tcPr>
                  <w:tcW w:w="1518" w:type="dxa"/>
                  <w:noWrap w:val="0"/>
                  <w:vAlign w:val="center"/>
                </w:tcPr>
                <w:p w14:paraId="6E405B04">
                  <w:pPr>
                    <w:pStyle w:val="107"/>
                    <w:bidi w:val="0"/>
                    <w:rPr>
                      <w:rFonts w:hint="eastAsia"/>
                      <w:color w:val="000000"/>
                      <w:highlight w:val="none"/>
                      <w:u w:val="single" w:color="auto"/>
                    </w:rPr>
                  </w:pPr>
                  <w:r>
                    <w:rPr>
                      <w:rFonts w:hint="eastAsia"/>
                      <w:color w:val="000000"/>
                      <w:highlight w:val="none"/>
                      <w:u w:val="single" w:color="auto"/>
                    </w:rPr>
                    <w:t>化学需氧量</w:t>
                  </w:r>
                </w:p>
              </w:tc>
              <w:tc>
                <w:tcPr>
                  <w:tcW w:w="1084" w:type="dxa"/>
                  <w:noWrap w:val="0"/>
                  <w:vAlign w:val="center"/>
                </w:tcPr>
                <w:p w14:paraId="2241DB14">
                  <w:pPr>
                    <w:pStyle w:val="107"/>
                    <w:bidi w:val="0"/>
                    <w:rPr>
                      <w:rFonts w:hint="eastAsia"/>
                      <w:color w:val="000000"/>
                      <w:highlight w:val="none"/>
                      <w:u w:val="single" w:color="auto"/>
                    </w:rPr>
                  </w:pPr>
                  <w:r>
                    <w:rPr>
                      <w:rFonts w:hint="eastAsia"/>
                      <w:color w:val="000000"/>
                      <w:highlight w:val="none"/>
                      <w:u w:val="single" w:color="auto"/>
                    </w:rPr>
                    <w:t>16</w:t>
                  </w:r>
                </w:p>
              </w:tc>
              <w:tc>
                <w:tcPr>
                  <w:tcW w:w="2223" w:type="dxa"/>
                  <w:noWrap w:val="0"/>
                  <w:vAlign w:val="center"/>
                </w:tcPr>
                <w:p w14:paraId="35D0D224">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100</w:t>
                  </w:r>
                </w:p>
              </w:tc>
              <w:tc>
                <w:tcPr>
                  <w:tcW w:w="1231" w:type="dxa"/>
                  <w:noWrap w:val="0"/>
                  <w:vAlign w:val="center"/>
                </w:tcPr>
                <w:p w14:paraId="582B3DEB">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是</w:t>
                  </w:r>
                </w:p>
              </w:tc>
            </w:tr>
            <w:tr w14:paraId="2164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2CCC149F">
                  <w:pPr>
                    <w:pStyle w:val="107"/>
                    <w:bidi w:val="0"/>
                    <w:rPr>
                      <w:rFonts w:hint="eastAsia"/>
                      <w:color w:val="000000"/>
                      <w:highlight w:val="none"/>
                      <w:u w:val="single" w:color="auto"/>
                    </w:rPr>
                  </w:pPr>
                </w:p>
              </w:tc>
              <w:tc>
                <w:tcPr>
                  <w:tcW w:w="1103" w:type="dxa"/>
                  <w:vMerge w:val="continue"/>
                  <w:noWrap w:val="0"/>
                  <w:vAlign w:val="center"/>
                </w:tcPr>
                <w:p w14:paraId="1AFD8EC0">
                  <w:pPr>
                    <w:pStyle w:val="107"/>
                    <w:bidi w:val="0"/>
                    <w:rPr>
                      <w:rFonts w:hint="eastAsia"/>
                      <w:color w:val="000000"/>
                      <w:highlight w:val="none"/>
                      <w:u w:val="single" w:color="auto"/>
                    </w:rPr>
                  </w:pPr>
                </w:p>
              </w:tc>
              <w:tc>
                <w:tcPr>
                  <w:tcW w:w="1518" w:type="dxa"/>
                  <w:noWrap w:val="0"/>
                  <w:vAlign w:val="center"/>
                </w:tcPr>
                <w:p w14:paraId="4578B099">
                  <w:pPr>
                    <w:pStyle w:val="107"/>
                    <w:bidi w:val="0"/>
                    <w:rPr>
                      <w:rFonts w:hint="eastAsia"/>
                      <w:color w:val="000000"/>
                      <w:highlight w:val="none"/>
                      <w:u w:val="single" w:color="auto"/>
                    </w:rPr>
                  </w:pPr>
                  <w:r>
                    <w:rPr>
                      <w:rFonts w:hint="eastAsia"/>
                      <w:color w:val="000000"/>
                      <w:highlight w:val="none"/>
                      <w:u w:val="single" w:color="auto"/>
                    </w:rPr>
                    <w:t>悬浮物</w:t>
                  </w:r>
                </w:p>
              </w:tc>
              <w:tc>
                <w:tcPr>
                  <w:tcW w:w="1084" w:type="dxa"/>
                  <w:noWrap w:val="0"/>
                  <w:vAlign w:val="center"/>
                </w:tcPr>
                <w:p w14:paraId="63AF3128">
                  <w:pPr>
                    <w:pStyle w:val="107"/>
                    <w:bidi w:val="0"/>
                    <w:rPr>
                      <w:rFonts w:hint="eastAsia"/>
                      <w:color w:val="000000"/>
                      <w:highlight w:val="none"/>
                      <w:u w:val="single" w:color="auto"/>
                    </w:rPr>
                  </w:pPr>
                  <w:r>
                    <w:rPr>
                      <w:rFonts w:hint="eastAsia"/>
                      <w:color w:val="000000"/>
                      <w:highlight w:val="none"/>
                      <w:u w:val="single" w:color="auto"/>
                    </w:rPr>
                    <w:t>28</w:t>
                  </w:r>
                </w:p>
              </w:tc>
              <w:tc>
                <w:tcPr>
                  <w:tcW w:w="2223" w:type="dxa"/>
                  <w:noWrap w:val="0"/>
                  <w:vAlign w:val="center"/>
                </w:tcPr>
                <w:p w14:paraId="5358A95F">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70</w:t>
                  </w:r>
                </w:p>
              </w:tc>
              <w:tc>
                <w:tcPr>
                  <w:tcW w:w="1231" w:type="dxa"/>
                  <w:noWrap w:val="0"/>
                  <w:vAlign w:val="center"/>
                </w:tcPr>
                <w:p w14:paraId="6DB73132">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3A97A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1C782966">
                  <w:pPr>
                    <w:pStyle w:val="107"/>
                    <w:bidi w:val="0"/>
                    <w:rPr>
                      <w:rFonts w:hint="eastAsia"/>
                      <w:color w:val="000000"/>
                      <w:highlight w:val="none"/>
                      <w:u w:val="single" w:color="auto"/>
                    </w:rPr>
                  </w:pPr>
                </w:p>
              </w:tc>
              <w:tc>
                <w:tcPr>
                  <w:tcW w:w="1103" w:type="dxa"/>
                  <w:vMerge w:val="continue"/>
                  <w:noWrap w:val="0"/>
                  <w:vAlign w:val="center"/>
                </w:tcPr>
                <w:p w14:paraId="066788CF">
                  <w:pPr>
                    <w:pStyle w:val="107"/>
                    <w:bidi w:val="0"/>
                    <w:rPr>
                      <w:rFonts w:hint="eastAsia"/>
                      <w:color w:val="000000"/>
                      <w:highlight w:val="none"/>
                      <w:u w:val="single" w:color="auto"/>
                    </w:rPr>
                  </w:pPr>
                </w:p>
              </w:tc>
              <w:tc>
                <w:tcPr>
                  <w:tcW w:w="1518" w:type="dxa"/>
                  <w:noWrap w:val="0"/>
                  <w:vAlign w:val="center"/>
                </w:tcPr>
                <w:p w14:paraId="305E5205">
                  <w:pPr>
                    <w:pStyle w:val="107"/>
                    <w:bidi w:val="0"/>
                    <w:rPr>
                      <w:rFonts w:hint="eastAsia" w:eastAsia="宋体"/>
                      <w:color w:val="000000"/>
                      <w:highlight w:val="none"/>
                      <w:u w:val="single" w:color="auto"/>
                      <w:lang w:eastAsia="zh-CN"/>
                    </w:rPr>
                  </w:pPr>
                  <w:r>
                    <w:rPr>
                      <w:rFonts w:hint="eastAsia"/>
                      <w:color w:val="000000"/>
                      <w:highlight w:val="none"/>
                      <w:u w:val="single" w:color="auto"/>
                      <w:lang w:eastAsia="zh-CN"/>
                    </w:rPr>
                    <w:t>pH</w:t>
                  </w:r>
                </w:p>
              </w:tc>
              <w:tc>
                <w:tcPr>
                  <w:tcW w:w="1084" w:type="dxa"/>
                  <w:noWrap w:val="0"/>
                  <w:vAlign w:val="center"/>
                </w:tcPr>
                <w:p w14:paraId="01A47830">
                  <w:pPr>
                    <w:pStyle w:val="107"/>
                    <w:bidi w:val="0"/>
                    <w:rPr>
                      <w:rFonts w:hint="eastAsia"/>
                      <w:color w:val="000000"/>
                      <w:highlight w:val="none"/>
                      <w:u w:val="single" w:color="auto"/>
                    </w:rPr>
                  </w:pPr>
                  <w:r>
                    <w:rPr>
                      <w:rFonts w:hint="eastAsia"/>
                      <w:color w:val="000000"/>
                      <w:highlight w:val="none"/>
                      <w:u w:val="single" w:color="auto"/>
                    </w:rPr>
                    <w:t>7.4</w:t>
                  </w:r>
                </w:p>
              </w:tc>
              <w:tc>
                <w:tcPr>
                  <w:tcW w:w="2223" w:type="dxa"/>
                  <w:noWrap w:val="0"/>
                  <w:vAlign w:val="center"/>
                </w:tcPr>
                <w:p w14:paraId="4DB860CF">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6-9</w:t>
                  </w:r>
                </w:p>
              </w:tc>
              <w:tc>
                <w:tcPr>
                  <w:tcW w:w="1231" w:type="dxa"/>
                  <w:noWrap w:val="0"/>
                  <w:vAlign w:val="center"/>
                </w:tcPr>
                <w:p w14:paraId="5F091760">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40AB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243D607C">
                  <w:pPr>
                    <w:pStyle w:val="107"/>
                    <w:bidi w:val="0"/>
                    <w:rPr>
                      <w:rFonts w:hint="eastAsia"/>
                      <w:color w:val="000000"/>
                      <w:highlight w:val="none"/>
                      <w:u w:val="single" w:color="auto"/>
                    </w:rPr>
                  </w:pPr>
                </w:p>
              </w:tc>
              <w:tc>
                <w:tcPr>
                  <w:tcW w:w="1103" w:type="dxa"/>
                  <w:vMerge w:val="continue"/>
                  <w:noWrap w:val="0"/>
                  <w:vAlign w:val="center"/>
                </w:tcPr>
                <w:p w14:paraId="4D9C84DE">
                  <w:pPr>
                    <w:pStyle w:val="107"/>
                    <w:bidi w:val="0"/>
                    <w:rPr>
                      <w:rFonts w:hint="eastAsia"/>
                      <w:color w:val="000000"/>
                      <w:highlight w:val="none"/>
                      <w:u w:val="single" w:color="auto"/>
                    </w:rPr>
                  </w:pPr>
                </w:p>
              </w:tc>
              <w:tc>
                <w:tcPr>
                  <w:tcW w:w="1518" w:type="dxa"/>
                  <w:noWrap w:val="0"/>
                  <w:vAlign w:val="center"/>
                </w:tcPr>
                <w:p w14:paraId="02D3012B">
                  <w:pPr>
                    <w:pStyle w:val="107"/>
                    <w:bidi w:val="0"/>
                    <w:rPr>
                      <w:rFonts w:hint="eastAsia"/>
                      <w:color w:val="000000"/>
                      <w:highlight w:val="none"/>
                      <w:u w:val="single" w:color="auto"/>
                    </w:rPr>
                  </w:pPr>
                  <w:r>
                    <w:rPr>
                      <w:rFonts w:hint="eastAsia"/>
                      <w:color w:val="000000"/>
                      <w:highlight w:val="none"/>
                      <w:u w:val="single" w:color="auto"/>
                    </w:rPr>
                    <w:t>总铜</w:t>
                  </w:r>
                </w:p>
              </w:tc>
              <w:tc>
                <w:tcPr>
                  <w:tcW w:w="1084" w:type="dxa"/>
                  <w:noWrap w:val="0"/>
                  <w:vAlign w:val="center"/>
                </w:tcPr>
                <w:p w14:paraId="1A1C8AA5">
                  <w:pPr>
                    <w:pStyle w:val="107"/>
                    <w:bidi w:val="0"/>
                    <w:rPr>
                      <w:rFonts w:hint="eastAsia" w:eastAsia="宋体"/>
                      <w:color w:val="000000"/>
                      <w:highlight w:val="none"/>
                      <w:u w:val="single" w:color="auto"/>
                      <w:lang w:val="en-US" w:eastAsia="zh-CN"/>
                    </w:rPr>
                  </w:pPr>
                  <w:r>
                    <w:rPr>
                      <w:rFonts w:hint="eastAsia"/>
                      <w:color w:val="000000"/>
                      <w:highlight w:val="none"/>
                      <w:u w:val="single" w:color="auto"/>
                    </w:rPr>
                    <w:t>0.001</w:t>
                  </w:r>
                  <w:r>
                    <w:rPr>
                      <w:rFonts w:hint="eastAsia"/>
                      <w:color w:val="000000"/>
                      <w:highlight w:val="none"/>
                      <w:u w:val="single" w:color="auto"/>
                      <w:lang w:val="en-US" w:eastAsia="zh-CN"/>
                    </w:rPr>
                    <w:t>L</w:t>
                  </w:r>
                </w:p>
              </w:tc>
              <w:tc>
                <w:tcPr>
                  <w:tcW w:w="2223" w:type="dxa"/>
                  <w:noWrap w:val="0"/>
                  <w:vAlign w:val="center"/>
                </w:tcPr>
                <w:p w14:paraId="7B959951">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0.5</w:t>
                  </w:r>
                </w:p>
              </w:tc>
              <w:tc>
                <w:tcPr>
                  <w:tcW w:w="1231" w:type="dxa"/>
                  <w:noWrap w:val="0"/>
                  <w:vAlign w:val="center"/>
                </w:tcPr>
                <w:p w14:paraId="7F6E8BD4">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4DB2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2D8BB0F3">
                  <w:pPr>
                    <w:pStyle w:val="107"/>
                    <w:bidi w:val="0"/>
                    <w:rPr>
                      <w:rFonts w:hint="eastAsia"/>
                      <w:color w:val="000000"/>
                      <w:highlight w:val="none"/>
                      <w:u w:val="single" w:color="auto"/>
                    </w:rPr>
                  </w:pPr>
                </w:p>
              </w:tc>
              <w:tc>
                <w:tcPr>
                  <w:tcW w:w="1103" w:type="dxa"/>
                  <w:vMerge w:val="continue"/>
                  <w:noWrap w:val="0"/>
                  <w:vAlign w:val="center"/>
                </w:tcPr>
                <w:p w14:paraId="3FD78187">
                  <w:pPr>
                    <w:pStyle w:val="107"/>
                    <w:bidi w:val="0"/>
                    <w:rPr>
                      <w:rFonts w:hint="eastAsia"/>
                      <w:color w:val="000000"/>
                      <w:highlight w:val="none"/>
                      <w:u w:val="single" w:color="auto"/>
                    </w:rPr>
                  </w:pPr>
                </w:p>
              </w:tc>
              <w:tc>
                <w:tcPr>
                  <w:tcW w:w="1518" w:type="dxa"/>
                  <w:noWrap w:val="0"/>
                  <w:vAlign w:val="center"/>
                </w:tcPr>
                <w:p w14:paraId="07E78999">
                  <w:pPr>
                    <w:pStyle w:val="107"/>
                    <w:bidi w:val="0"/>
                    <w:rPr>
                      <w:rFonts w:hint="eastAsia"/>
                      <w:color w:val="000000"/>
                      <w:highlight w:val="none"/>
                      <w:u w:val="single" w:color="auto"/>
                    </w:rPr>
                  </w:pPr>
                  <w:r>
                    <w:rPr>
                      <w:rFonts w:hint="eastAsia"/>
                      <w:color w:val="000000"/>
                      <w:highlight w:val="none"/>
                      <w:u w:val="single" w:color="auto"/>
                    </w:rPr>
                    <w:t>总镍</w:t>
                  </w:r>
                </w:p>
              </w:tc>
              <w:tc>
                <w:tcPr>
                  <w:tcW w:w="1084" w:type="dxa"/>
                  <w:noWrap w:val="0"/>
                  <w:vAlign w:val="center"/>
                </w:tcPr>
                <w:p w14:paraId="4E0B3FF0">
                  <w:pPr>
                    <w:pStyle w:val="107"/>
                    <w:bidi w:val="0"/>
                    <w:rPr>
                      <w:rFonts w:hint="eastAsia" w:eastAsia="宋体"/>
                      <w:color w:val="000000"/>
                      <w:highlight w:val="none"/>
                      <w:u w:val="single" w:color="auto"/>
                      <w:lang w:val="en-US" w:eastAsia="zh-CN"/>
                    </w:rPr>
                  </w:pPr>
                  <w:r>
                    <w:rPr>
                      <w:rFonts w:hint="eastAsia"/>
                      <w:color w:val="000000"/>
                      <w:highlight w:val="none"/>
                      <w:u w:val="single" w:color="auto"/>
                    </w:rPr>
                    <w:t>0.05</w:t>
                  </w:r>
                  <w:r>
                    <w:rPr>
                      <w:rFonts w:hint="eastAsia"/>
                      <w:color w:val="000000"/>
                      <w:highlight w:val="none"/>
                      <w:u w:val="single" w:color="auto"/>
                      <w:lang w:val="en-US" w:eastAsia="zh-CN"/>
                    </w:rPr>
                    <w:t>L</w:t>
                  </w:r>
                </w:p>
              </w:tc>
              <w:tc>
                <w:tcPr>
                  <w:tcW w:w="2223" w:type="dxa"/>
                  <w:noWrap w:val="0"/>
                  <w:vAlign w:val="center"/>
                </w:tcPr>
                <w:p w14:paraId="2DCFBBD2">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w:t>
                  </w:r>
                </w:p>
              </w:tc>
              <w:tc>
                <w:tcPr>
                  <w:tcW w:w="1231" w:type="dxa"/>
                  <w:noWrap w:val="0"/>
                  <w:vAlign w:val="center"/>
                </w:tcPr>
                <w:p w14:paraId="17A6E025">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1B5F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6C90FF42">
                  <w:pPr>
                    <w:pStyle w:val="107"/>
                    <w:bidi w:val="0"/>
                    <w:rPr>
                      <w:rFonts w:hint="eastAsia"/>
                      <w:color w:val="000000"/>
                      <w:highlight w:val="none"/>
                      <w:u w:val="single" w:color="auto"/>
                    </w:rPr>
                  </w:pPr>
                </w:p>
              </w:tc>
              <w:tc>
                <w:tcPr>
                  <w:tcW w:w="1103" w:type="dxa"/>
                  <w:vMerge w:val="continue"/>
                  <w:noWrap w:val="0"/>
                  <w:vAlign w:val="center"/>
                </w:tcPr>
                <w:p w14:paraId="2B8D195A">
                  <w:pPr>
                    <w:pStyle w:val="107"/>
                    <w:bidi w:val="0"/>
                    <w:rPr>
                      <w:rFonts w:hint="eastAsia"/>
                      <w:color w:val="000000"/>
                      <w:highlight w:val="none"/>
                      <w:u w:val="single" w:color="auto"/>
                    </w:rPr>
                  </w:pPr>
                </w:p>
              </w:tc>
              <w:tc>
                <w:tcPr>
                  <w:tcW w:w="1518" w:type="dxa"/>
                  <w:noWrap w:val="0"/>
                  <w:vAlign w:val="center"/>
                </w:tcPr>
                <w:p w14:paraId="3BEFAF49">
                  <w:pPr>
                    <w:pStyle w:val="107"/>
                    <w:bidi w:val="0"/>
                    <w:rPr>
                      <w:rFonts w:hint="eastAsia"/>
                      <w:color w:val="000000"/>
                      <w:highlight w:val="none"/>
                      <w:u w:val="single" w:color="auto"/>
                    </w:rPr>
                  </w:pPr>
                  <w:r>
                    <w:rPr>
                      <w:rFonts w:hint="eastAsia"/>
                      <w:color w:val="000000"/>
                      <w:highlight w:val="none"/>
                      <w:u w:val="single" w:color="auto"/>
                    </w:rPr>
                    <w:t>总砷</w:t>
                  </w:r>
                </w:p>
              </w:tc>
              <w:tc>
                <w:tcPr>
                  <w:tcW w:w="1084" w:type="dxa"/>
                  <w:noWrap w:val="0"/>
                  <w:vAlign w:val="center"/>
                </w:tcPr>
                <w:p w14:paraId="320B9CFD">
                  <w:pPr>
                    <w:pStyle w:val="107"/>
                    <w:bidi w:val="0"/>
                    <w:rPr>
                      <w:rFonts w:hint="eastAsia" w:eastAsia="宋体"/>
                      <w:color w:val="000000"/>
                      <w:highlight w:val="none"/>
                      <w:u w:val="single" w:color="auto"/>
                      <w:lang w:val="en-US" w:eastAsia="zh-CN"/>
                    </w:rPr>
                  </w:pPr>
                  <w:r>
                    <w:rPr>
                      <w:rFonts w:hint="eastAsia"/>
                      <w:color w:val="000000"/>
                      <w:highlight w:val="none"/>
                      <w:u w:val="single" w:color="auto"/>
                    </w:rPr>
                    <w:t>0.0003</w:t>
                  </w:r>
                  <w:r>
                    <w:rPr>
                      <w:rFonts w:hint="eastAsia"/>
                      <w:color w:val="000000"/>
                      <w:highlight w:val="none"/>
                      <w:u w:val="single" w:color="auto"/>
                      <w:lang w:val="en-US" w:eastAsia="zh-CN"/>
                    </w:rPr>
                    <w:t>L</w:t>
                  </w:r>
                </w:p>
              </w:tc>
              <w:tc>
                <w:tcPr>
                  <w:tcW w:w="2223" w:type="dxa"/>
                  <w:noWrap w:val="0"/>
                  <w:vAlign w:val="center"/>
                </w:tcPr>
                <w:p w14:paraId="4EDFFC33">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0.5</w:t>
                  </w:r>
                </w:p>
              </w:tc>
              <w:tc>
                <w:tcPr>
                  <w:tcW w:w="1231" w:type="dxa"/>
                  <w:noWrap w:val="0"/>
                  <w:vAlign w:val="center"/>
                </w:tcPr>
                <w:p w14:paraId="1500199B">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68F7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6133E999">
                  <w:pPr>
                    <w:pStyle w:val="107"/>
                    <w:bidi w:val="0"/>
                    <w:rPr>
                      <w:rFonts w:hint="eastAsia"/>
                      <w:color w:val="000000"/>
                      <w:highlight w:val="none"/>
                      <w:u w:val="single" w:color="auto"/>
                    </w:rPr>
                  </w:pPr>
                </w:p>
              </w:tc>
              <w:tc>
                <w:tcPr>
                  <w:tcW w:w="1103" w:type="dxa"/>
                  <w:vMerge w:val="continue"/>
                  <w:noWrap w:val="0"/>
                  <w:vAlign w:val="center"/>
                </w:tcPr>
                <w:p w14:paraId="55FD16DF">
                  <w:pPr>
                    <w:pStyle w:val="107"/>
                    <w:bidi w:val="0"/>
                    <w:rPr>
                      <w:rFonts w:hint="eastAsia"/>
                      <w:color w:val="000000"/>
                      <w:highlight w:val="none"/>
                      <w:u w:val="single" w:color="auto"/>
                    </w:rPr>
                  </w:pPr>
                </w:p>
              </w:tc>
              <w:tc>
                <w:tcPr>
                  <w:tcW w:w="1518" w:type="dxa"/>
                  <w:noWrap w:val="0"/>
                  <w:vAlign w:val="center"/>
                </w:tcPr>
                <w:p w14:paraId="112E4579">
                  <w:pPr>
                    <w:pStyle w:val="107"/>
                    <w:bidi w:val="0"/>
                    <w:rPr>
                      <w:rFonts w:hint="eastAsia"/>
                      <w:color w:val="000000"/>
                      <w:highlight w:val="none"/>
                      <w:u w:val="single" w:color="auto"/>
                    </w:rPr>
                  </w:pPr>
                  <w:r>
                    <w:rPr>
                      <w:rFonts w:hint="eastAsia"/>
                      <w:color w:val="000000"/>
                      <w:highlight w:val="none"/>
                      <w:u w:val="single" w:color="auto"/>
                    </w:rPr>
                    <w:t>总铬</w:t>
                  </w:r>
                </w:p>
              </w:tc>
              <w:tc>
                <w:tcPr>
                  <w:tcW w:w="1084" w:type="dxa"/>
                  <w:noWrap w:val="0"/>
                  <w:vAlign w:val="center"/>
                </w:tcPr>
                <w:p w14:paraId="4EA62BD9">
                  <w:pPr>
                    <w:pStyle w:val="107"/>
                    <w:bidi w:val="0"/>
                    <w:rPr>
                      <w:rFonts w:hint="eastAsia" w:eastAsia="宋体"/>
                      <w:color w:val="000000"/>
                      <w:highlight w:val="none"/>
                      <w:u w:val="single" w:color="auto"/>
                      <w:lang w:val="en-US" w:eastAsia="zh-CN"/>
                    </w:rPr>
                  </w:pPr>
                  <w:r>
                    <w:rPr>
                      <w:rFonts w:hint="eastAsia"/>
                      <w:color w:val="000000"/>
                      <w:highlight w:val="none"/>
                      <w:u w:val="single" w:color="auto"/>
                    </w:rPr>
                    <w:t>0.03</w:t>
                  </w:r>
                  <w:r>
                    <w:rPr>
                      <w:rFonts w:hint="eastAsia"/>
                      <w:color w:val="000000"/>
                      <w:highlight w:val="none"/>
                      <w:u w:val="single" w:color="auto"/>
                      <w:lang w:val="en-US" w:eastAsia="zh-CN"/>
                    </w:rPr>
                    <w:t>L</w:t>
                  </w:r>
                </w:p>
              </w:tc>
              <w:tc>
                <w:tcPr>
                  <w:tcW w:w="2223" w:type="dxa"/>
                  <w:noWrap w:val="0"/>
                  <w:vAlign w:val="center"/>
                </w:tcPr>
                <w:p w14:paraId="0A3916FB">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1.5</w:t>
                  </w:r>
                </w:p>
              </w:tc>
              <w:tc>
                <w:tcPr>
                  <w:tcW w:w="1231" w:type="dxa"/>
                  <w:noWrap w:val="0"/>
                  <w:vAlign w:val="center"/>
                </w:tcPr>
                <w:p w14:paraId="4CCEFC94">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74C3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3E2CFFC5">
                  <w:pPr>
                    <w:pStyle w:val="107"/>
                    <w:bidi w:val="0"/>
                    <w:rPr>
                      <w:rFonts w:hint="eastAsia"/>
                      <w:color w:val="000000"/>
                      <w:highlight w:val="none"/>
                      <w:u w:val="single" w:color="auto"/>
                    </w:rPr>
                  </w:pPr>
                </w:p>
              </w:tc>
              <w:tc>
                <w:tcPr>
                  <w:tcW w:w="1103" w:type="dxa"/>
                  <w:vMerge w:val="continue"/>
                  <w:noWrap w:val="0"/>
                  <w:vAlign w:val="center"/>
                </w:tcPr>
                <w:p w14:paraId="4B3E33AB">
                  <w:pPr>
                    <w:pStyle w:val="107"/>
                    <w:bidi w:val="0"/>
                    <w:rPr>
                      <w:rFonts w:hint="eastAsia"/>
                      <w:color w:val="000000"/>
                      <w:highlight w:val="none"/>
                      <w:u w:val="single" w:color="auto"/>
                    </w:rPr>
                  </w:pPr>
                </w:p>
              </w:tc>
              <w:tc>
                <w:tcPr>
                  <w:tcW w:w="1518" w:type="dxa"/>
                  <w:noWrap w:val="0"/>
                  <w:vAlign w:val="center"/>
                </w:tcPr>
                <w:p w14:paraId="6129FFEE">
                  <w:pPr>
                    <w:pStyle w:val="107"/>
                    <w:bidi w:val="0"/>
                    <w:rPr>
                      <w:rFonts w:hint="eastAsia"/>
                      <w:color w:val="000000"/>
                      <w:highlight w:val="none"/>
                      <w:u w:val="single" w:color="auto"/>
                    </w:rPr>
                  </w:pPr>
                  <w:r>
                    <w:rPr>
                      <w:rFonts w:hint="eastAsia"/>
                      <w:color w:val="000000"/>
                      <w:highlight w:val="none"/>
                      <w:u w:val="single" w:color="auto"/>
                    </w:rPr>
                    <w:t>总铅</w:t>
                  </w:r>
                </w:p>
              </w:tc>
              <w:tc>
                <w:tcPr>
                  <w:tcW w:w="1084" w:type="dxa"/>
                  <w:noWrap w:val="0"/>
                  <w:vAlign w:val="center"/>
                </w:tcPr>
                <w:p w14:paraId="753D6114">
                  <w:pPr>
                    <w:pStyle w:val="107"/>
                    <w:bidi w:val="0"/>
                    <w:rPr>
                      <w:rFonts w:hint="eastAsia"/>
                      <w:color w:val="000000"/>
                      <w:highlight w:val="none"/>
                      <w:u w:val="single" w:color="auto"/>
                    </w:rPr>
                  </w:pPr>
                  <w:r>
                    <w:rPr>
                      <w:rFonts w:hint="eastAsia"/>
                      <w:color w:val="000000"/>
                      <w:highlight w:val="none"/>
                      <w:u w:val="single" w:color="auto"/>
                    </w:rPr>
                    <w:t>0.008</w:t>
                  </w:r>
                </w:p>
              </w:tc>
              <w:tc>
                <w:tcPr>
                  <w:tcW w:w="2223" w:type="dxa"/>
                  <w:noWrap w:val="0"/>
                  <w:vAlign w:val="center"/>
                </w:tcPr>
                <w:p w14:paraId="5ABC5203">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1.0</w:t>
                  </w:r>
                </w:p>
              </w:tc>
              <w:tc>
                <w:tcPr>
                  <w:tcW w:w="1231" w:type="dxa"/>
                  <w:noWrap w:val="0"/>
                  <w:vAlign w:val="center"/>
                </w:tcPr>
                <w:p w14:paraId="6D7AC597">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r w14:paraId="5A7E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98" w:type="dxa"/>
                  <w:vMerge w:val="continue"/>
                  <w:noWrap w:val="0"/>
                  <w:vAlign w:val="center"/>
                </w:tcPr>
                <w:p w14:paraId="01BB7C03">
                  <w:pPr>
                    <w:pStyle w:val="107"/>
                    <w:bidi w:val="0"/>
                    <w:rPr>
                      <w:rFonts w:hint="eastAsia"/>
                      <w:color w:val="000000"/>
                      <w:highlight w:val="none"/>
                      <w:u w:val="single" w:color="auto"/>
                    </w:rPr>
                  </w:pPr>
                </w:p>
              </w:tc>
              <w:tc>
                <w:tcPr>
                  <w:tcW w:w="1103" w:type="dxa"/>
                  <w:vMerge w:val="continue"/>
                  <w:noWrap w:val="0"/>
                  <w:vAlign w:val="center"/>
                </w:tcPr>
                <w:p w14:paraId="6A019622">
                  <w:pPr>
                    <w:pStyle w:val="107"/>
                    <w:bidi w:val="0"/>
                    <w:rPr>
                      <w:rFonts w:hint="eastAsia"/>
                      <w:color w:val="000000"/>
                      <w:highlight w:val="none"/>
                      <w:u w:val="single" w:color="auto"/>
                    </w:rPr>
                  </w:pPr>
                </w:p>
              </w:tc>
              <w:tc>
                <w:tcPr>
                  <w:tcW w:w="1518" w:type="dxa"/>
                  <w:noWrap w:val="0"/>
                  <w:vAlign w:val="center"/>
                </w:tcPr>
                <w:p w14:paraId="62071655">
                  <w:pPr>
                    <w:pStyle w:val="107"/>
                    <w:bidi w:val="0"/>
                    <w:rPr>
                      <w:rFonts w:hint="eastAsia"/>
                      <w:color w:val="000000"/>
                      <w:highlight w:val="none"/>
                      <w:u w:val="single" w:color="auto"/>
                    </w:rPr>
                  </w:pPr>
                  <w:r>
                    <w:rPr>
                      <w:rFonts w:hint="eastAsia"/>
                      <w:color w:val="000000"/>
                      <w:highlight w:val="none"/>
                      <w:u w:val="single" w:color="auto"/>
                    </w:rPr>
                    <w:t>总镉</w:t>
                  </w:r>
                </w:p>
              </w:tc>
              <w:tc>
                <w:tcPr>
                  <w:tcW w:w="1084" w:type="dxa"/>
                  <w:noWrap w:val="0"/>
                  <w:vAlign w:val="center"/>
                </w:tcPr>
                <w:p w14:paraId="78C51867">
                  <w:pPr>
                    <w:pStyle w:val="107"/>
                    <w:bidi w:val="0"/>
                    <w:rPr>
                      <w:rFonts w:hint="eastAsia"/>
                      <w:color w:val="000000"/>
                      <w:highlight w:val="none"/>
                      <w:u w:val="single" w:color="auto"/>
                    </w:rPr>
                  </w:pPr>
                  <w:r>
                    <w:rPr>
                      <w:rFonts w:hint="eastAsia"/>
                      <w:color w:val="000000"/>
                      <w:highlight w:val="none"/>
                      <w:u w:val="single" w:color="auto"/>
                    </w:rPr>
                    <w:t>0.0006</w:t>
                  </w:r>
                </w:p>
              </w:tc>
              <w:tc>
                <w:tcPr>
                  <w:tcW w:w="2223" w:type="dxa"/>
                  <w:noWrap w:val="0"/>
                  <w:vAlign w:val="center"/>
                </w:tcPr>
                <w:p w14:paraId="70F55708">
                  <w:pPr>
                    <w:pStyle w:val="107"/>
                    <w:bidi w:val="0"/>
                    <w:rPr>
                      <w:rFonts w:hint="default" w:eastAsia="宋体"/>
                      <w:color w:val="000000"/>
                      <w:highlight w:val="none"/>
                      <w:u w:val="single" w:color="auto"/>
                      <w:lang w:val="en-US" w:eastAsia="zh-CN"/>
                    </w:rPr>
                  </w:pPr>
                  <w:r>
                    <w:rPr>
                      <w:rFonts w:hint="eastAsia"/>
                      <w:color w:val="000000"/>
                      <w:highlight w:val="none"/>
                      <w:u w:val="single" w:color="auto"/>
                      <w:lang w:val="en-US" w:eastAsia="zh-CN"/>
                    </w:rPr>
                    <w:t>0.1</w:t>
                  </w:r>
                </w:p>
              </w:tc>
              <w:tc>
                <w:tcPr>
                  <w:tcW w:w="1231" w:type="dxa"/>
                  <w:noWrap w:val="0"/>
                  <w:vAlign w:val="center"/>
                </w:tcPr>
                <w:p w14:paraId="64D26650">
                  <w:pPr>
                    <w:pStyle w:val="107"/>
                    <w:bidi w:val="0"/>
                    <w:rPr>
                      <w:rFonts w:hint="eastAsia"/>
                      <w:color w:val="000000"/>
                      <w:highlight w:val="none"/>
                      <w:u w:val="single" w:color="auto"/>
                    </w:rPr>
                  </w:pPr>
                  <w:r>
                    <w:rPr>
                      <w:rFonts w:hint="eastAsia"/>
                      <w:color w:val="000000"/>
                      <w:highlight w:val="none"/>
                      <w:u w:val="single" w:color="auto"/>
                      <w:lang w:val="en-US" w:eastAsia="zh-CN"/>
                    </w:rPr>
                    <w:t>是</w:t>
                  </w:r>
                </w:p>
              </w:tc>
            </w:tr>
          </w:tbl>
          <w:p w14:paraId="1B2D81DF">
            <w:pPr>
              <w:pStyle w:val="44"/>
              <w:bidi w:val="0"/>
              <w:rPr>
                <w:rFonts w:hint="default"/>
                <w:u w:val="single" w:color="auto"/>
                <w:lang w:val="en-US" w:eastAsia="zh-CN"/>
              </w:rPr>
            </w:pPr>
            <w:r>
              <w:rPr>
                <w:rFonts w:hint="eastAsia"/>
                <w:u w:val="single" w:color="auto"/>
                <w:lang w:val="en-US" w:eastAsia="zh-CN"/>
              </w:rPr>
              <w:t>表4.3-3：《呼和浩特市玉泉区小黑河镇茂林太村建筑垃圾消纳场项目竣工环境保护验收监测报告表》淋滤水监测结果</w:t>
            </w:r>
            <w:r>
              <w:rPr>
                <w:rFonts w:hint="eastAsia"/>
                <w:u w:val="single" w:color="auto"/>
              </w:rPr>
              <w:t>（单位：mg/L，</w:t>
            </w:r>
            <w:r>
              <w:rPr>
                <w:rFonts w:hint="eastAsia"/>
                <w:u w:val="single" w:color="auto"/>
                <w:lang w:eastAsia="zh-CN"/>
              </w:rPr>
              <w:t>pH</w:t>
            </w:r>
            <w:r>
              <w:rPr>
                <w:rFonts w:hint="eastAsia"/>
                <w:u w:val="single" w:color="auto"/>
              </w:rPr>
              <w:t xml:space="preserve"> 无量纲）</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937"/>
              <w:gridCol w:w="764"/>
              <w:gridCol w:w="721"/>
              <w:gridCol w:w="721"/>
              <w:gridCol w:w="847"/>
              <w:gridCol w:w="741"/>
              <w:gridCol w:w="706"/>
              <w:gridCol w:w="759"/>
              <w:gridCol w:w="670"/>
              <w:gridCol w:w="750"/>
            </w:tblGrid>
            <w:tr w14:paraId="0238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41" w:type="dxa"/>
                  <w:vMerge w:val="restart"/>
                  <w:vAlign w:val="center"/>
                </w:tcPr>
                <w:p w14:paraId="1AC31E90">
                  <w:pPr>
                    <w:pStyle w:val="115"/>
                    <w:bidi w:val="0"/>
                    <w:rPr>
                      <w:rFonts w:hint="default"/>
                      <w:b/>
                      <w:bCs/>
                      <w:u w:val="single" w:color="auto"/>
                      <w:lang w:val="en-US" w:eastAsia="zh-CN"/>
                    </w:rPr>
                  </w:pPr>
                  <w:r>
                    <w:rPr>
                      <w:rFonts w:hint="eastAsia"/>
                      <w:b/>
                      <w:bCs/>
                      <w:u w:val="single" w:color="auto"/>
                      <w:lang w:val="en-US" w:eastAsia="zh-CN"/>
                    </w:rPr>
                    <w:t>检测项目</w:t>
                  </w:r>
                </w:p>
              </w:tc>
              <w:tc>
                <w:tcPr>
                  <w:tcW w:w="6196" w:type="dxa"/>
                  <w:gridSpan w:val="8"/>
                  <w:vAlign w:val="center"/>
                </w:tcPr>
                <w:p w14:paraId="78637B73">
                  <w:pPr>
                    <w:pStyle w:val="115"/>
                    <w:bidi w:val="0"/>
                    <w:rPr>
                      <w:rFonts w:hint="eastAsia"/>
                      <w:b/>
                      <w:bCs/>
                      <w:u w:val="single" w:color="auto"/>
                      <w:lang w:eastAsia="zh-CN"/>
                    </w:rPr>
                  </w:pPr>
                  <w:r>
                    <w:rPr>
                      <w:rFonts w:hint="eastAsia"/>
                      <w:b/>
                      <w:bCs/>
                      <w:u w:val="single" w:color="auto"/>
                      <w:lang w:val="en-US" w:eastAsia="zh-CN"/>
                    </w:rPr>
                    <w:t>监测日期</w:t>
                  </w:r>
                </w:p>
              </w:tc>
              <w:tc>
                <w:tcPr>
                  <w:tcW w:w="670" w:type="dxa"/>
                  <w:vMerge w:val="restart"/>
                  <w:vAlign w:val="center"/>
                </w:tcPr>
                <w:p w14:paraId="4A0C6DFC">
                  <w:pPr>
                    <w:pStyle w:val="115"/>
                    <w:bidi w:val="0"/>
                    <w:rPr>
                      <w:rFonts w:hint="eastAsia"/>
                      <w:b/>
                      <w:bCs/>
                      <w:u w:val="single" w:color="auto"/>
                      <w:lang w:val="en-US" w:eastAsia="zh-CN"/>
                    </w:rPr>
                  </w:pPr>
                  <w:r>
                    <w:rPr>
                      <w:rFonts w:hint="eastAsia"/>
                      <w:b/>
                      <w:bCs/>
                      <w:u w:val="single" w:color="auto"/>
                      <w:lang w:val="en-US" w:eastAsia="zh-CN"/>
                    </w:rPr>
                    <w:t>标准值</w:t>
                  </w:r>
                </w:p>
              </w:tc>
              <w:tc>
                <w:tcPr>
                  <w:tcW w:w="750" w:type="dxa"/>
                  <w:vMerge w:val="restart"/>
                  <w:vAlign w:val="center"/>
                </w:tcPr>
                <w:p w14:paraId="59898CF0">
                  <w:pPr>
                    <w:pStyle w:val="115"/>
                    <w:bidi w:val="0"/>
                    <w:rPr>
                      <w:rFonts w:hint="eastAsia"/>
                      <w:b/>
                      <w:bCs/>
                      <w:u w:val="single" w:color="auto"/>
                      <w:lang w:val="en-US" w:eastAsia="zh-CN"/>
                    </w:rPr>
                  </w:pPr>
                  <w:r>
                    <w:rPr>
                      <w:rFonts w:hint="eastAsia"/>
                      <w:b/>
                      <w:bCs/>
                      <w:u w:val="single" w:color="auto"/>
                      <w:lang w:val="en-US" w:eastAsia="zh-CN"/>
                    </w:rPr>
                    <w:t>达标情况</w:t>
                  </w:r>
                </w:p>
              </w:tc>
            </w:tr>
            <w:tr w14:paraId="1226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vMerge w:val="continue"/>
                  <w:vAlign w:val="center"/>
                </w:tcPr>
                <w:p w14:paraId="24BE1F2D">
                  <w:pPr>
                    <w:pStyle w:val="115"/>
                    <w:bidi w:val="0"/>
                    <w:rPr>
                      <w:rFonts w:hint="eastAsia"/>
                      <w:u w:val="single" w:color="auto"/>
                      <w:lang w:eastAsia="zh-CN"/>
                    </w:rPr>
                  </w:pPr>
                </w:p>
              </w:tc>
              <w:tc>
                <w:tcPr>
                  <w:tcW w:w="3143" w:type="dxa"/>
                  <w:gridSpan w:val="4"/>
                  <w:vAlign w:val="center"/>
                </w:tcPr>
                <w:p w14:paraId="1B9C43C4">
                  <w:pPr>
                    <w:pStyle w:val="115"/>
                    <w:bidi w:val="0"/>
                    <w:rPr>
                      <w:rFonts w:hint="eastAsia"/>
                      <w:b/>
                      <w:bCs/>
                      <w:u w:val="single" w:color="auto"/>
                      <w:lang w:eastAsia="zh-CN"/>
                    </w:rPr>
                  </w:pPr>
                  <w:r>
                    <w:rPr>
                      <w:rFonts w:hint="eastAsia"/>
                      <w:b/>
                      <w:bCs/>
                      <w:u w:val="single" w:color="auto"/>
                      <w:lang w:val="en-US" w:eastAsia="zh-CN"/>
                    </w:rPr>
                    <w:t>2025.06.03</w:t>
                  </w:r>
                </w:p>
              </w:tc>
              <w:tc>
                <w:tcPr>
                  <w:tcW w:w="3053" w:type="dxa"/>
                  <w:gridSpan w:val="4"/>
                  <w:vAlign w:val="center"/>
                </w:tcPr>
                <w:p w14:paraId="24284E68">
                  <w:pPr>
                    <w:pStyle w:val="115"/>
                    <w:bidi w:val="0"/>
                    <w:rPr>
                      <w:rFonts w:hint="eastAsia"/>
                      <w:b/>
                      <w:bCs/>
                      <w:u w:val="single" w:color="auto"/>
                      <w:lang w:eastAsia="zh-CN"/>
                    </w:rPr>
                  </w:pPr>
                  <w:r>
                    <w:rPr>
                      <w:rFonts w:hint="eastAsia"/>
                      <w:b/>
                      <w:bCs/>
                      <w:u w:val="single" w:color="auto"/>
                      <w:lang w:val="en-US" w:eastAsia="zh-CN"/>
                    </w:rPr>
                    <w:t>2025.06.04</w:t>
                  </w:r>
                </w:p>
              </w:tc>
              <w:tc>
                <w:tcPr>
                  <w:tcW w:w="670" w:type="dxa"/>
                  <w:vMerge w:val="continue"/>
                  <w:vAlign w:val="center"/>
                </w:tcPr>
                <w:p w14:paraId="790C9AB2">
                  <w:pPr>
                    <w:pStyle w:val="115"/>
                    <w:bidi w:val="0"/>
                    <w:rPr>
                      <w:rFonts w:hint="eastAsia"/>
                      <w:u w:val="single" w:color="auto"/>
                      <w:lang w:eastAsia="zh-CN"/>
                    </w:rPr>
                  </w:pPr>
                </w:p>
              </w:tc>
              <w:tc>
                <w:tcPr>
                  <w:tcW w:w="750" w:type="dxa"/>
                  <w:vMerge w:val="continue"/>
                  <w:vAlign w:val="center"/>
                </w:tcPr>
                <w:p w14:paraId="0D46B4C9">
                  <w:pPr>
                    <w:pStyle w:val="115"/>
                    <w:bidi w:val="0"/>
                    <w:rPr>
                      <w:rFonts w:hint="eastAsia"/>
                      <w:u w:val="single" w:color="auto"/>
                      <w:lang w:eastAsia="zh-CN"/>
                    </w:rPr>
                  </w:pPr>
                </w:p>
              </w:tc>
            </w:tr>
            <w:tr w14:paraId="46EA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vMerge w:val="continue"/>
                  <w:vAlign w:val="center"/>
                </w:tcPr>
                <w:p w14:paraId="7D7952D5">
                  <w:pPr>
                    <w:pStyle w:val="115"/>
                    <w:bidi w:val="0"/>
                    <w:rPr>
                      <w:rFonts w:hint="eastAsia"/>
                      <w:u w:val="single" w:color="auto"/>
                      <w:lang w:eastAsia="zh-CN"/>
                    </w:rPr>
                  </w:pPr>
                </w:p>
              </w:tc>
              <w:tc>
                <w:tcPr>
                  <w:tcW w:w="937" w:type="dxa"/>
                  <w:vAlign w:val="center"/>
                </w:tcPr>
                <w:p w14:paraId="18E93C49">
                  <w:pPr>
                    <w:pStyle w:val="115"/>
                    <w:bidi w:val="0"/>
                    <w:rPr>
                      <w:rFonts w:hint="eastAsia"/>
                      <w:u w:val="single" w:color="auto"/>
                      <w:lang w:val="en-US" w:eastAsia="zh-CN"/>
                    </w:rPr>
                  </w:pPr>
                  <w:r>
                    <w:rPr>
                      <w:rFonts w:hint="eastAsia"/>
                      <w:u w:val="single" w:color="auto"/>
                      <w:lang w:val="en-US" w:eastAsia="zh-CN"/>
                    </w:rPr>
                    <w:t>第一次</w:t>
                  </w:r>
                </w:p>
              </w:tc>
              <w:tc>
                <w:tcPr>
                  <w:tcW w:w="764" w:type="dxa"/>
                  <w:vAlign w:val="center"/>
                </w:tcPr>
                <w:p w14:paraId="027C616F">
                  <w:pPr>
                    <w:pStyle w:val="115"/>
                    <w:bidi w:val="0"/>
                    <w:rPr>
                      <w:rFonts w:hint="eastAsia"/>
                      <w:u w:val="single" w:color="auto"/>
                      <w:lang w:val="en-US" w:eastAsia="zh-CN"/>
                    </w:rPr>
                  </w:pPr>
                  <w:r>
                    <w:rPr>
                      <w:rFonts w:hint="eastAsia"/>
                      <w:u w:val="single" w:color="auto"/>
                      <w:lang w:val="en-US" w:eastAsia="zh-CN"/>
                    </w:rPr>
                    <w:t>第二次</w:t>
                  </w:r>
                </w:p>
              </w:tc>
              <w:tc>
                <w:tcPr>
                  <w:tcW w:w="721" w:type="dxa"/>
                  <w:vAlign w:val="center"/>
                </w:tcPr>
                <w:p w14:paraId="25F87848">
                  <w:pPr>
                    <w:pStyle w:val="115"/>
                    <w:bidi w:val="0"/>
                    <w:rPr>
                      <w:rFonts w:hint="eastAsia"/>
                      <w:u w:val="single" w:color="auto"/>
                      <w:lang w:val="en-US" w:eastAsia="zh-CN"/>
                    </w:rPr>
                  </w:pPr>
                  <w:r>
                    <w:rPr>
                      <w:rFonts w:hint="eastAsia"/>
                      <w:u w:val="single" w:color="auto"/>
                      <w:lang w:val="en-US" w:eastAsia="zh-CN"/>
                    </w:rPr>
                    <w:t>第三次</w:t>
                  </w:r>
                </w:p>
              </w:tc>
              <w:tc>
                <w:tcPr>
                  <w:tcW w:w="721" w:type="dxa"/>
                  <w:vAlign w:val="center"/>
                </w:tcPr>
                <w:p w14:paraId="0DD35EA5">
                  <w:pPr>
                    <w:pStyle w:val="115"/>
                    <w:bidi w:val="0"/>
                    <w:rPr>
                      <w:rFonts w:hint="eastAsia"/>
                      <w:u w:val="single" w:color="auto"/>
                      <w:lang w:val="en-US" w:eastAsia="zh-CN"/>
                    </w:rPr>
                  </w:pPr>
                  <w:r>
                    <w:rPr>
                      <w:rFonts w:hint="eastAsia"/>
                      <w:u w:val="single" w:color="auto"/>
                      <w:lang w:val="en-US" w:eastAsia="zh-CN"/>
                    </w:rPr>
                    <w:t>第四次</w:t>
                  </w:r>
                </w:p>
              </w:tc>
              <w:tc>
                <w:tcPr>
                  <w:tcW w:w="847" w:type="dxa"/>
                  <w:shd w:val="clear" w:color="auto" w:fill="auto"/>
                  <w:vAlign w:val="center"/>
                </w:tcPr>
                <w:p w14:paraId="6FA882E2">
                  <w:pPr>
                    <w:pStyle w:val="115"/>
                    <w:bidi w:val="0"/>
                    <w:rPr>
                      <w:rFonts w:hint="eastAsia"/>
                      <w:u w:val="single" w:color="auto"/>
                      <w:lang w:val="en-US" w:eastAsia="zh-CN"/>
                    </w:rPr>
                  </w:pPr>
                  <w:r>
                    <w:rPr>
                      <w:rFonts w:hint="eastAsia"/>
                      <w:u w:val="single" w:color="auto"/>
                      <w:lang w:val="en-US" w:eastAsia="zh-CN"/>
                    </w:rPr>
                    <w:t>第一次</w:t>
                  </w:r>
                </w:p>
              </w:tc>
              <w:tc>
                <w:tcPr>
                  <w:tcW w:w="741" w:type="dxa"/>
                  <w:shd w:val="clear" w:color="auto" w:fill="auto"/>
                  <w:vAlign w:val="center"/>
                </w:tcPr>
                <w:p w14:paraId="36621913">
                  <w:pPr>
                    <w:pStyle w:val="115"/>
                    <w:bidi w:val="0"/>
                    <w:rPr>
                      <w:rFonts w:hint="eastAsia"/>
                      <w:u w:val="single" w:color="auto"/>
                      <w:lang w:val="en-US" w:eastAsia="zh-CN"/>
                    </w:rPr>
                  </w:pPr>
                  <w:r>
                    <w:rPr>
                      <w:rFonts w:hint="eastAsia"/>
                      <w:u w:val="single" w:color="auto"/>
                      <w:lang w:val="en-US" w:eastAsia="zh-CN"/>
                    </w:rPr>
                    <w:t>第二次</w:t>
                  </w:r>
                </w:p>
              </w:tc>
              <w:tc>
                <w:tcPr>
                  <w:tcW w:w="706" w:type="dxa"/>
                  <w:shd w:val="clear" w:color="auto" w:fill="auto"/>
                  <w:vAlign w:val="center"/>
                </w:tcPr>
                <w:p w14:paraId="04AC8F3D">
                  <w:pPr>
                    <w:pStyle w:val="115"/>
                    <w:bidi w:val="0"/>
                    <w:rPr>
                      <w:rFonts w:hint="eastAsia"/>
                      <w:u w:val="single" w:color="auto"/>
                      <w:lang w:val="en-US" w:eastAsia="zh-CN"/>
                    </w:rPr>
                  </w:pPr>
                  <w:r>
                    <w:rPr>
                      <w:rFonts w:hint="eastAsia"/>
                      <w:u w:val="single" w:color="auto"/>
                      <w:lang w:val="en-US" w:eastAsia="zh-CN"/>
                    </w:rPr>
                    <w:t>第三次</w:t>
                  </w:r>
                </w:p>
              </w:tc>
              <w:tc>
                <w:tcPr>
                  <w:tcW w:w="759" w:type="dxa"/>
                  <w:shd w:val="clear" w:color="auto" w:fill="auto"/>
                  <w:vAlign w:val="center"/>
                </w:tcPr>
                <w:p w14:paraId="2E628BF7">
                  <w:pPr>
                    <w:pStyle w:val="115"/>
                    <w:bidi w:val="0"/>
                    <w:rPr>
                      <w:rFonts w:hint="eastAsia"/>
                      <w:u w:val="single" w:color="auto"/>
                      <w:lang w:val="en-US" w:eastAsia="zh-CN"/>
                    </w:rPr>
                  </w:pPr>
                  <w:r>
                    <w:rPr>
                      <w:rFonts w:hint="eastAsia"/>
                      <w:u w:val="single" w:color="auto"/>
                      <w:lang w:val="en-US" w:eastAsia="zh-CN"/>
                    </w:rPr>
                    <w:t>第四次</w:t>
                  </w:r>
                </w:p>
              </w:tc>
              <w:tc>
                <w:tcPr>
                  <w:tcW w:w="670" w:type="dxa"/>
                  <w:vMerge w:val="continue"/>
                  <w:vAlign w:val="center"/>
                </w:tcPr>
                <w:p w14:paraId="254BD4AB">
                  <w:pPr>
                    <w:pStyle w:val="115"/>
                    <w:bidi w:val="0"/>
                    <w:rPr>
                      <w:rFonts w:hint="eastAsia"/>
                      <w:u w:val="single" w:color="auto"/>
                      <w:lang w:eastAsia="zh-CN"/>
                    </w:rPr>
                  </w:pPr>
                </w:p>
              </w:tc>
              <w:tc>
                <w:tcPr>
                  <w:tcW w:w="750" w:type="dxa"/>
                  <w:vMerge w:val="continue"/>
                  <w:vAlign w:val="center"/>
                </w:tcPr>
                <w:p w14:paraId="2093C499">
                  <w:pPr>
                    <w:pStyle w:val="115"/>
                    <w:bidi w:val="0"/>
                    <w:rPr>
                      <w:rFonts w:hint="eastAsia"/>
                      <w:u w:val="single" w:color="auto"/>
                      <w:lang w:eastAsia="zh-CN"/>
                    </w:rPr>
                  </w:pPr>
                </w:p>
              </w:tc>
            </w:tr>
            <w:tr w14:paraId="6267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41" w:type="dxa"/>
                  <w:shd w:val="clear" w:color="auto" w:fill="auto"/>
                  <w:vAlign w:val="center"/>
                </w:tcPr>
                <w:p w14:paraId="5DE90927">
                  <w:pPr>
                    <w:pStyle w:val="115"/>
                    <w:bidi w:val="0"/>
                    <w:rPr>
                      <w:rFonts w:hint="eastAsia"/>
                      <w:u w:val="single" w:color="auto"/>
                      <w:lang w:val="en-US" w:eastAsia="zh-CN"/>
                    </w:rPr>
                  </w:pPr>
                  <w:r>
                    <w:rPr>
                      <w:rFonts w:hint="eastAsia"/>
                      <w:u w:val="single" w:color="auto"/>
                      <w:lang w:eastAsia="zh-CN"/>
                    </w:rPr>
                    <w:t>pH值</w:t>
                  </w:r>
                </w:p>
              </w:tc>
              <w:tc>
                <w:tcPr>
                  <w:tcW w:w="937" w:type="dxa"/>
                  <w:shd w:val="clear" w:color="auto" w:fill="auto"/>
                  <w:vAlign w:val="center"/>
                </w:tcPr>
                <w:p w14:paraId="70CFF235">
                  <w:pPr>
                    <w:pStyle w:val="115"/>
                    <w:bidi w:val="0"/>
                    <w:rPr>
                      <w:rFonts w:hint="eastAsia"/>
                      <w:u w:val="single" w:color="auto"/>
                      <w:lang w:val="en-US" w:eastAsia="zh-CN"/>
                    </w:rPr>
                  </w:pPr>
                  <w:r>
                    <w:rPr>
                      <w:rFonts w:hint="eastAsia"/>
                      <w:u w:val="single" w:color="auto"/>
                      <w:lang w:eastAsia="zh-CN"/>
                    </w:rPr>
                    <w:t>7.5</w:t>
                  </w:r>
                </w:p>
              </w:tc>
              <w:tc>
                <w:tcPr>
                  <w:tcW w:w="764" w:type="dxa"/>
                  <w:shd w:val="clear" w:color="auto" w:fill="auto"/>
                  <w:vAlign w:val="center"/>
                </w:tcPr>
                <w:p w14:paraId="5FFD6CA8">
                  <w:pPr>
                    <w:pStyle w:val="115"/>
                    <w:bidi w:val="0"/>
                    <w:rPr>
                      <w:rFonts w:hint="eastAsia"/>
                      <w:u w:val="single" w:color="auto"/>
                      <w:lang w:val="en-US" w:eastAsia="zh-CN"/>
                    </w:rPr>
                  </w:pPr>
                  <w:r>
                    <w:rPr>
                      <w:rFonts w:hint="eastAsia"/>
                      <w:u w:val="single" w:color="auto"/>
                      <w:lang w:eastAsia="zh-CN"/>
                    </w:rPr>
                    <w:t>7.7</w:t>
                  </w:r>
                </w:p>
              </w:tc>
              <w:tc>
                <w:tcPr>
                  <w:tcW w:w="721" w:type="dxa"/>
                  <w:shd w:val="clear" w:color="auto" w:fill="auto"/>
                  <w:vAlign w:val="center"/>
                </w:tcPr>
                <w:p w14:paraId="572BB480">
                  <w:pPr>
                    <w:pStyle w:val="115"/>
                    <w:bidi w:val="0"/>
                    <w:rPr>
                      <w:rFonts w:hint="eastAsia"/>
                      <w:u w:val="single" w:color="auto"/>
                      <w:lang w:val="en-US" w:eastAsia="zh-CN"/>
                    </w:rPr>
                  </w:pPr>
                  <w:r>
                    <w:rPr>
                      <w:rFonts w:hint="eastAsia"/>
                      <w:u w:val="single" w:color="auto"/>
                      <w:lang w:eastAsia="zh-CN"/>
                    </w:rPr>
                    <w:t>7.6</w:t>
                  </w:r>
                </w:p>
              </w:tc>
              <w:tc>
                <w:tcPr>
                  <w:tcW w:w="721" w:type="dxa"/>
                  <w:shd w:val="clear" w:color="auto" w:fill="auto"/>
                  <w:vAlign w:val="center"/>
                </w:tcPr>
                <w:p w14:paraId="59AB9B69">
                  <w:pPr>
                    <w:pStyle w:val="115"/>
                    <w:bidi w:val="0"/>
                    <w:rPr>
                      <w:rFonts w:hint="eastAsia"/>
                      <w:u w:val="single" w:color="auto"/>
                      <w:lang w:val="en-US" w:eastAsia="zh-CN"/>
                    </w:rPr>
                  </w:pPr>
                  <w:r>
                    <w:rPr>
                      <w:rFonts w:hint="eastAsia"/>
                      <w:u w:val="single" w:color="auto"/>
                      <w:lang w:eastAsia="zh-CN"/>
                    </w:rPr>
                    <w:t>7.7</w:t>
                  </w:r>
                </w:p>
              </w:tc>
              <w:tc>
                <w:tcPr>
                  <w:tcW w:w="847" w:type="dxa"/>
                  <w:shd w:val="clear" w:color="auto" w:fill="auto"/>
                  <w:vAlign w:val="center"/>
                </w:tcPr>
                <w:p w14:paraId="686C0584">
                  <w:pPr>
                    <w:pStyle w:val="115"/>
                    <w:bidi w:val="0"/>
                    <w:rPr>
                      <w:rFonts w:hint="eastAsia"/>
                      <w:u w:val="single" w:color="auto"/>
                      <w:lang w:val="en-US" w:eastAsia="zh-CN"/>
                    </w:rPr>
                  </w:pPr>
                  <w:r>
                    <w:rPr>
                      <w:rFonts w:hint="eastAsia"/>
                      <w:u w:val="single" w:color="auto"/>
                      <w:lang w:eastAsia="zh-CN"/>
                    </w:rPr>
                    <w:t>7.6</w:t>
                  </w:r>
                </w:p>
              </w:tc>
              <w:tc>
                <w:tcPr>
                  <w:tcW w:w="741" w:type="dxa"/>
                  <w:shd w:val="clear" w:color="auto" w:fill="auto"/>
                  <w:vAlign w:val="center"/>
                </w:tcPr>
                <w:p w14:paraId="641D3D8F">
                  <w:pPr>
                    <w:pStyle w:val="115"/>
                    <w:bidi w:val="0"/>
                    <w:rPr>
                      <w:rFonts w:hint="eastAsia"/>
                      <w:u w:val="single" w:color="auto"/>
                      <w:lang w:val="en-US" w:eastAsia="zh-CN"/>
                    </w:rPr>
                  </w:pPr>
                  <w:r>
                    <w:rPr>
                      <w:rFonts w:hint="eastAsia"/>
                      <w:u w:val="single" w:color="auto"/>
                      <w:lang w:eastAsia="zh-CN"/>
                    </w:rPr>
                    <w:t>7.4</w:t>
                  </w:r>
                </w:p>
              </w:tc>
              <w:tc>
                <w:tcPr>
                  <w:tcW w:w="706" w:type="dxa"/>
                  <w:shd w:val="clear" w:color="auto" w:fill="auto"/>
                  <w:vAlign w:val="center"/>
                </w:tcPr>
                <w:p w14:paraId="6379F68E">
                  <w:pPr>
                    <w:pStyle w:val="115"/>
                    <w:bidi w:val="0"/>
                    <w:rPr>
                      <w:rFonts w:hint="eastAsia"/>
                      <w:u w:val="single" w:color="auto"/>
                      <w:lang w:val="en-US" w:eastAsia="zh-CN"/>
                    </w:rPr>
                  </w:pPr>
                  <w:r>
                    <w:rPr>
                      <w:rFonts w:hint="eastAsia"/>
                      <w:u w:val="single" w:color="auto"/>
                      <w:lang w:eastAsia="zh-CN"/>
                    </w:rPr>
                    <w:t>7.6</w:t>
                  </w:r>
                </w:p>
              </w:tc>
              <w:tc>
                <w:tcPr>
                  <w:tcW w:w="759" w:type="dxa"/>
                  <w:shd w:val="clear" w:color="auto" w:fill="auto"/>
                  <w:vAlign w:val="center"/>
                </w:tcPr>
                <w:p w14:paraId="231849A7">
                  <w:pPr>
                    <w:pStyle w:val="115"/>
                    <w:bidi w:val="0"/>
                    <w:rPr>
                      <w:rFonts w:hint="eastAsia"/>
                      <w:u w:val="single" w:color="auto"/>
                      <w:lang w:val="en-US" w:eastAsia="zh-CN"/>
                    </w:rPr>
                  </w:pPr>
                  <w:r>
                    <w:rPr>
                      <w:rFonts w:hint="eastAsia"/>
                      <w:u w:val="single" w:color="auto"/>
                      <w:lang w:eastAsia="zh-CN"/>
                    </w:rPr>
                    <w:t>7.5</w:t>
                  </w:r>
                </w:p>
              </w:tc>
              <w:tc>
                <w:tcPr>
                  <w:tcW w:w="670" w:type="dxa"/>
                  <w:vAlign w:val="center"/>
                </w:tcPr>
                <w:p w14:paraId="4A85335F">
                  <w:pPr>
                    <w:pStyle w:val="115"/>
                    <w:bidi w:val="0"/>
                    <w:rPr>
                      <w:rFonts w:hint="default"/>
                      <w:u w:val="single" w:color="auto"/>
                      <w:lang w:val="en-US" w:eastAsia="zh-CN"/>
                    </w:rPr>
                  </w:pPr>
                  <w:r>
                    <w:rPr>
                      <w:rFonts w:hint="eastAsia"/>
                      <w:u w:val="single" w:color="auto"/>
                      <w:lang w:val="en-US" w:eastAsia="zh-CN"/>
                    </w:rPr>
                    <w:t>6~9</w:t>
                  </w:r>
                </w:p>
              </w:tc>
              <w:tc>
                <w:tcPr>
                  <w:tcW w:w="750" w:type="dxa"/>
                  <w:vAlign w:val="center"/>
                </w:tcPr>
                <w:p w14:paraId="4B8C6E23">
                  <w:pPr>
                    <w:pStyle w:val="115"/>
                    <w:bidi w:val="0"/>
                    <w:rPr>
                      <w:rFonts w:hint="default"/>
                      <w:u w:val="single" w:color="auto"/>
                      <w:lang w:val="en-US" w:eastAsia="zh-CN"/>
                    </w:rPr>
                  </w:pPr>
                  <w:r>
                    <w:rPr>
                      <w:rFonts w:hint="eastAsia"/>
                      <w:u w:val="single" w:color="auto"/>
                      <w:lang w:val="en-US" w:eastAsia="zh-CN"/>
                    </w:rPr>
                    <w:t>达标</w:t>
                  </w:r>
                </w:p>
              </w:tc>
            </w:tr>
            <w:tr w14:paraId="1659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1644A6FA">
                  <w:pPr>
                    <w:pStyle w:val="115"/>
                    <w:bidi w:val="0"/>
                    <w:rPr>
                      <w:rFonts w:hint="eastAsia"/>
                      <w:u w:val="single" w:color="auto"/>
                      <w:lang w:val="en-US" w:eastAsia="zh-CN"/>
                    </w:rPr>
                  </w:pPr>
                  <w:r>
                    <w:rPr>
                      <w:rFonts w:hint="eastAsia"/>
                      <w:u w:val="single" w:color="auto"/>
                      <w:lang w:eastAsia="zh-CN"/>
                    </w:rPr>
                    <w:t>悬浮物</w:t>
                  </w:r>
                </w:p>
              </w:tc>
              <w:tc>
                <w:tcPr>
                  <w:tcW w:w="937" w:type="dxa"/>
                  <w:shd w:val="clear" w:color="auto" w:fill="auto"/>
                  <w:vAlign w:val="center"/>
                </w:tcPr>
                <w:p w14:paraId="74AA07EC">
                  <w:pPr>
                    <w:pStyle w:val="115"/>
                    <w:bidi w:val="0"/>
                    <w:rPr>
                      <w:rFonts w:hint="eastAsia"/>
                      <w:u w:val="single" w:color="auto"/>
                      <w:lang w:val="en-US" w:eastAsia="zh-CN"/>
                    </w:rPr>
                  </w:pPr>
                  <w:r>
                    <w:rPr>
                      <w:rFonts w:hint="eastAsia"/>
                      <w:u w:val="single" w:color="auto"/>
                      <w:lang w:eastAsia="zh-CN"/>
                    </w:rPr>
                    <w:t>19</w:t>
                  </w:r>
                </w:p>
              </w:tc>
              <w:tc>
                <w:tcPr>
                  <w:tcW w:w="764" w:type="dxa"/>
                  <w:shd w:val="clear" w:color="auto" w:fill="auto"/>
                  <w:vAlign w:val="center"/>
                </w:tcPr>
                <w:p w14:paraId="25BA06D2">
                  <w:pPr>
                    <w:pStyle w:val="115"/>
                    <w:bidi w:val="0"/>
                    <w:rPr>
                      <w:rFonts w:hint="eastAsia"/>
                      <w:u w:val="single" w:color="auto"/>
                      <w:lang w:val="en-US" w:eastAsia="zh-CN"/>
                    </w:rPr>
                  </w:pPr>
                  <w:r>
                    <w:rPr>
                      <w:rFonts w:hint="eastAsia"/>
                      <w:u w:val="single" w:color="auto"/>
                      <w:lang w:eastAsia="zh-CN"/>
                    </w:rPr>
                    <w:t>16</w:t>
                  </w:r>
                </w:p>
              </w:tc>
              <w:tc>
                <w:tcPr>
                  <w:tcW w:w="721" w:type="dxa"/>
                  <w:shd w:val="clear" w:color="auto" w:fill="auto"/>
                  <w:vAlign w:val="center"/>
                </w:tcPr>
                <w:p w14:paraId="3951C0D1">
                  <w:pPr>
                    <w:pStyle w:val="115"/>
                    <w:bidi w:val="0"/>
                    <w:rPr>
                      <w:rFonts w:hint="eastAsia"/>
                      <w:u w:val="single" w:color="auto"/>
                      <w:lang w:val="en-US" w:eastAsia="zh-CN"/>
                    </w:rPr>
                  </w:pPr>
                  <w:r>
                    <w:rPr>
                      <w:rFonts w:hint="eastAsia"/>
                      <w:u w:val="single" w:color="auto"/>
                      <w:lang w:eastAsia="zh-CN"/>
                    </w:rPr>
                    <w:t>18</w:t>
                  </w:r>
                </w:p>
              </w:tc>
              <w:tc>
                <w:tcPr>
                  <w:tcW w:w="721" w:type="dxa"/>
                  <w:shd w:val="clear" w:color="auto" w:fill="auto"/>
                  <w:vAlign w:val="center"/>
                </w:tcPr>
                <w:p w14:paraId="25F43067">
                  <w:pPr>
                    <w:pStyle w:val="115"/>
                    <w:bidi w:val="0"/>
                    <w:rPr>
                      <w:rFonts w:hint="eastAsia"/>
                      <w:u w:val="single" w:color="auto"/>
                      <w:lang w:val="en-US" w:eastAsia="zh-CN"/>
                    </w:rPr>
                  </w:pPr>
                  <w:r>
                    <w:rPr>
                      <w:rFonts w:hint="eastAsia"/>
                      <w:u w:val="single" w:color="auto"/>
                      <w:lang w:eastAsia="zh-CN"/>
                    </w:rPr>
                    <w:t>15</w:t>
                  </w:r>
                </w:p>
              </w:tc>
              <w:tc>
                <w:tcPr>
                  <w:tcW w:w="847" w:type="dxa"/>
                  <w:shd w:val="clear" w:color="auto" w:fill="auto"/>
                  <w:vAlign w:val="center"/>
                </w:tcPr>
                <w:p w14:paraId="2B63F469">
                  <w:pPr>
                    <w:pStyle w:val="115"/>
                    <w:bidi w:val="0"/>
                    <w:rPr>
                      <w:rFonts w:hint="eastAsia"/>
                      <w:u w:val="single" w:color="auto"/>
                      <w:lang w:val="en-US" w:eastAsia="zh-CN"/>
                    </w:rPr>
                  </w:pPr>
                  <w:r>
                    <w:rPr>
                      <w:rFonts w:hint="eastAsia"/>
                      <w:u w:val="single" w:color="auto"/>
                      <w:lang w:eastAsia="zh-CN"/>
                    </w:rPr>
                    <w:t>18</w:t>
                  </w:r>
                </w:p>
              </w:tc>
              <w:tc>
                <w:tcPr>
                  <w:tcW w:w="741" w:type="dxa"/>
                  <w:shd w:val="clear" w:color="auto" w:fill="auto"/>
                  <w:vAlign w:val="center"/>
                </w:tcPr>
                <w:p w14:paraId="7320AD86">
                  <w:pPr>
                    <w:pStyle w:val="115"/>
                    <w:bidi w:val="0"/>
                    <w:rPr>
                      <w:rFonts w:hint="eastAsia"/>
                      <w:u w:val="single" w:color="auto"/>
                      <w:lang w:val="en-US" w:eastAsia="zh-CN"/>
                    </w:rPr>
                  </w:pPr>
                  <w:r>
                    <w:rPr>
                      <w:rFonts w:hint="eastAsia"/>
                      <w:u w:val="single" w:color="auto"/>
                      <w:lang w:eastAsia="zh-CN"/>
                    </w:rPr>
                    <w:t>17</w:t>
                  </w:r>
                </w:p>
              </w:tc>
              <w:tc>
                <w:tcPr>
                  <w:tcW w:w="706" w:type="dxa"/>
                  <w:shd w:val="clear" w:color="auto" w:fill="auto"/>
                  <w:vAlign w:val="center"/>
                </w:tcPr>
                <w:p w14:paraId="16386DCC">
                  <w:pPr>
                    <w:pStyle w:val="115"/>
                    <w:bidi w:val="0"/>
                    <w:rPr>
                      <w:rFonts w:hint="eastAsia"/>
                      <w:u w:val="single" w:color="auto"/>
                      <w:lang w:val="en-US" w:eastAsia="zh-CN"/>
                    </w:rPr>
                  </w:pPr>
                  <w:r>
                    <w:rPr>
                      <w:rFonts w:hint="eastAsia"/>
                      <w:u w:val="single" w:color="auto"/>
                      <w:lang w:eastAsia="zh-CN"/>
                    </w:rPr>
                    <w:t>19</w:t>
                  </w:r>
                </w:p>
              </w:tc>
              <w:tc>
                <w:tcPr>
                  <w:tcW w:w="759" w:type="dxa"/>
                  <w:shd w:val="clear" w:color="auto" w:fill="auto"/>
                  <w:vAlign w:val="center"/>
                </w:tcPr>
                <w:p w14:paraId="2B7F866F">
                  <w:pPr>
                    <w:pStyle w:val="115"/>
                    <w:bidi w:val="0"/>
                    <w:rPr>
                      <w:rFonts w:hint="eastAsia"/>
                      <w:u w:val="single" w:color="auto"/>
                      <w:lang w:val="en-US" w:eastAsia="zh-CN"/>
                    </w:rPr>
                  </w:pPr>
                  <w:r>
                    <w:rPr>
                      <w:rFonts w:hint="eastAsia"/>
                      <w:u w:val="single" w:color="auto"/>
                      <w:lang w:eastAsia="zh-CN"/>
                    </w:rPr>
                    <w:t>20</w:t>
                  </w:r>
                </w:p>
              </w:tc>
              <w:tc>
                <w:tcPr>
                  <w:tcW w:w="670" w:type="dxa"/>
                  <w:vAlign w:val="center"/>
                </w:tcPr>
                <w:p w14:paraId="18BAAEEE">
                  <w:pPr>
                    <w:pStyle w:val="115"/>
                    <w:bidi w:val="0"/>
                    <w:rPr>
                      <w:rFonts w:hint="default"/>
                      <w:u w:val="single" w:color="auto"/>
                      <w:lang w:val="en-US" w:eastAsia="zh-CN"/>
                    </w:rPr>
                  </w:pPr>
                  <w:r>
                    <w:rPr>
                      <w:rFonts w:hint="eastAsia"/>
                      <w:u w:val="single" w:color="auto"/>
                      <w:lang w:val="en-US" w:eastAsia="zh-CN"/>
                    </w:rPr>
                    <w:t>70</w:t>
                  </w:r>
                </w:p>
              </w:tc>
              <w:tc>
                <w:tcPr>
                  <w:tcW w:w="750" w:type="dxa"/>
                  <w:vAlign w:val="center"/>
                </w:tcPr>
                <w:p w14:paraId="4E0B103D">
                  <w:pPr>
                    <w:pStyle w:val="115"/>
                    <w:bidi w:val="0"/>
                    <w:rPr>
                      <w:rFonts w:hint="eastAsia"/>
                      <w:u w:val="single" w:color="auto"/>
                      <w:lang w:eastAsia="zh-CN"/>
                    </w:rPr>
                  </w:pPr>
                  <w:r>
                    <w:rPr>
                      <w:rFonts w:hint="eastAsia"/>
                      <w:u w:val="single" w:color="auto"/>
                      <w:lang w:val="en-US" w:eastAsia="zh-CN"/>
                    </w:rPr>
                    <w:t>达标</w:t>
                  </w:r>
                </w:p>
              </w:tc>
            </w:tr>
            <w:tr w14:paraId="7A83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38D9DB40">
                  <w:pPr>
                    <w:pStyle w:val="115"/>
                    <w:bidi w:val="0"/>
                    <w:rPr>
                      <w:rFonts w:hint="eastAsia"/>
                      <w:u w:val="single" w:color="auto"/>
                      <w:lang w:val="en-US" w:eastAsia="zh-CN"/>
                    </w:rPr>
                  </w:pPr>
                  <w:r>
                    <w:rPr>
                      <w:rFonts w:hint="eastAsia"/>
                      <w:u w:val="single" w:color="auto"/>
                      <w:lang w:eastAsia="zh-CN"/>
                    </w:rPr>
                    <w:t>氨氮</w:t>
                  </w:r>
                </w:p>
              </w:tc>
              <w:tc>
                <w:tcPr>
                  <w:tcW w:w="937" w:type="dxa"/>
                  <w:shd w:val="clear" w:color="auto" w:fill="auto"/>
                  <w:vAlign w:val="center"/>
                </w:tcPr>
                <w:p w14:paraId="77164E31">
                  <w:pPr>
                    <w:pStyle w:val="115"/>
                    <w:bidi w:val="0"/>
                    <w:rPr>
                      <w:rFonts w:hint="eastAsia"/>
                      <w:u w:val="single" w:color="auto"/>
                      <w:lang w:val="en-US" w:eastAsia="zh-CN"/>
                    </w:rPr>
                  </w:pPr>
                  <w:r>
                    <w:rPr>
                      <w:rFonts w:hint="eastAsia"/>
                      <w:u w:val="single" w:color="auto"/>
                      <w:lang w:eastAsia="zh-CN"/>
                    </w:rPr>
                    <w:t>1.58</w:t>
                  </w:r>
                </w:p>
              </w:tc>
              <w:tc>
                <w:tcPr>
                  <w:tcW w:w="764" w:type="dxa"/>
                  <w:shd w:val="clear" w:color="auto" w:fill="auto"/>
                  <w:vAlign w:val="center"/>
                </w:tcPr>
                <w:p w14:paraId="6E00835D">
                  <w:pPr>
                    <w:pStyle w:val="115"/>
                    <w:bidi w:val="0"/>
                    <w:rPr>
                      <w:rFonts w:hint="eastAsia"/>
                      <w:u w:val="single" w:color="auto"/>
                      <w:lang w:val="en-US" w:eastAsia="zh-CN"/>
                    </w:rPr>
                  </w:pPr>
                  <w:r>
                    <w:rPr>
                      <w:rFonts w:hint="eastAsia"/>
                      <w:u w:val="single" w:color="auto"/>
                      <w:lang w:eastAsia="zh-CN"/>
                    </w:rPr>
                    <w:t>1.65</w:t>
                  </w:r>
                </w:p>
              </w:tc>
              <w:tc>
                <w:tcPr>
                  <w:tcW w:w="721" w:type="dxa"/>
                  <w:shd w:val="clear" w:color="auto" w:fill="auto"/>
                  <w:vAlign w:val="center"/>
                </w:tcPr>
                <w:p w14:paraId="6B75E72B">
                  <w:pPr>
                    <w:pStyle w:val="115"/>
                    <w:bidi w:val="0"/>
                    <w:rPr>
                      <w:rFonts w:hint="eastAsia"/>
                      <w:u w:val="single" w:color="auto"/>
                      <w:lang w:val="en-US" w:eastAsia="zh-CN"/>
                    </w:rPr>
                  </w:pPr>
                  <w:r>
                    <w:rPr>
                      <w:rFonts w:hint="eastAsia"/>
                      <w:u w:val="single" w:color="auto"/>
                      <w:lang w:eastAsia="zh-CN"/>
                    </w:rPr>
                    <w:t>1.62</w:t>
                  </w:r>
                </w:p>
              </w:tc>
              <w:tc>
                <w:tcPr>
                  <w:tcW w:w="721" w:type="dxa"/>
                  <w:shd w:val="clear" w:color="auto" w:fill="auto"/>
                  <w:vAlign w:val="center"/>
                </w:tcPr>
                <w:p w14:paraId="41917E34">
                  <w:pPr>
                    <w:pStyle w:val="115"/>
                    <w:bidi w:val="0"/>
                    <w:rPr>
                      <w:rFonts w:hint="eastAsia"/>
                      <w:u w:val="single" w:color="auto"/>
                      <w:lang w:val="en-US" w:eastAsia="zh-CN"/>
                    </w:rPr>
                  </w:pPr>
                  <w:r>
                    <w:rPr>
                      <w:rFonts w:hint="eastAsia"/>
                      <w:u w:val="single" w:color="auto"/>
                      <w:lang w:eastAsia="zh-CN"/>
                    </w:rPr>
                    <w:t>1.57</w:t>
                  </w:r>
                </w:p>
              </w:tc>
              <w:tc>
                <w:tcPr>
                  <w:tcW w:w="847" w:type="dxa"/>
                  <w:shd w:val="clear" w:color="auto" w:fill="auto"/>
                  <w:vAlign w:val="center"/>
                </w:tcPr>
                <w:p w14:paraId="3248C06F">
                  <w:pPr>
                    <w:pStyle w:val="115"/>
                    <w:bidi w:val="0"/>
                    <w:rPr>
                      <w:rFonts w:hint="eastAsia"/>
                      <w:u w:val="single" w:color="auto"/>
                      <w:lang w:val="en-US" w:eastAsia="zh-CN"/>
                    </w:rPr>
                  </w:pPr>
                  <w:r>
                    <w:rPr>
                      <w:rFonts w:hint="eastAsia"/>
                      <w:u w:val="single" w:color="auto"/>
                      <w:lang w:eastAsia="zh-CN"/>
                    </w:rPr>
                    <w:t>1.66</w:t>
                  </w:r>
                </w:p>
              </w:tc>
              <w:tc>
                <w:tcPr>
                  <w:tcW w:w="741" w:type="dxa"/>
                  <w:shd w:val="clear" w:color="auto" w:fill="auto"/>
                  <w:vAlign w:val="center"/>
                </w:tcPr>
                <w:p w14:paraId="445F918A">
                  <w:pPr>
                    <w:pStyle w:val="115"/>
                    <w:bidi w:val="0"/>
                    <w:rPr>
                      <w:rFonts w:hint="eastAsia"/>
                      <w:u w:val="single" w:color="auto"/>
                      <w:lang w:val="en-US" w:eastAsia="zh-CN"/>
                    </w:rPr>
                  </w:pPr>
                  <w:r>
                    <w:rPr>
                      <w:rFonts w:hint="eastAsia"/>
                      <w:u w:val="single" w:color="auto"/>
                      <w:lang w:eastAsia="zh-CN"/>
                    </w:rPr>
                    <w:t>1.62</w:t>
                  </w:r>
                </w:p>
              </w:tc>
              <w:tc>
                <w:tcPr>
                  <w:tcW w:w="706" w:type="dxa"/>
                  <w:shd w:val="clear" w:color="auto" w:fill="auto"/>
                  <w:vAlign w:val="center"/>
                </w:tcPr>
                <w:p w14:paraId="75A36440">
                  <w:pPr>
                    <w:pStyle w:val="115"/>
                    <w:bidi w:val="0"/>
                    <w:rPr>
                      <w:rFonts w:hint="eastAsia"/>
                      <w:u w:val="single" w:color="auto"/>
                      <w:lang w:val="en-US" w:eastAsia="zh-CN"/>
                    </w:rPr>
                  </w:pPr>
                  <w:r>
                    <w:rPr>
                      <w:rFonts w:hint="eastAsia"/>
                      <w:u w:val="single" w:color="auto"/>
                      <w:lang w:eastAsia="zh-CN"/>
                    </w:rPr>
                    <w:t>1.64</w:t>
                  </w:r>
                </w:p>
              </w:tc>
              <w:tc>
                <w:tcPr>
                  <w:tcW w:w="759" w:type="dxa"/>
                  <w:shd w:val="clear" w:color="auto" w:fill="auto"/>
                  <w:vAlign w:val="center"/>
                </w:tcPr>
                <w:p w14:paraId="3DE96E09">
                  <w:pPr>
                    <w:pStyle w:val="115"/>
                    <w:bidi w:val="0"/>
                    <w:rPr>
                      <w:rFonts w:hint="eastAsia"/>
                      <w:u w:val="single" w:color="auto"/>
                      <w:lang w:val="en-US" w:eastAsia="zh-CN"/>
                    </w:rPr>
                  </w:pPr>
                  <w:r>
                    <w:rPr>
                      <w:rFonts w:hint="eastAsia"/>
                      <w:u w:val="single" w:color="auto"/>
                      <w:lang w:eastAsia="zh-CN"/>
                    </w:rPr>
                    <w:t>1.57</w:t>
                  </w:r>
                </w:p>
              </w:tc>
              <w:tc>
                <w:tcPr>
                  <w:tcW w:w="670" w:type="dxa"/>
                  <w:vAlign w:val="center"/>
                </w:tcPr>
                <w:p w14:paraId="1B7AF585">
                  <w:pPr>
                    <w:pStyle w:val="115"/>
                    <w:bidi w:val="0"/>
                    <w:rPr>
                      <w:rFonts w:hint="default"/>
                      <w:u w:val="single" w:color="auto"/>
                      <w:lang w:val="en-US" w:eastAsia="zh-CN"/>
                    </w:rPr>
                  </w:pPr>
                  <w:r>
                    <w:rPr>
                      <w:rFonts w:hint="eastAsia"/>
                      <w:u w:val="single" w:color="auto"/>
                      <w:lang w:val="en-US" w:eastAsia="zh-CN"/>
                    </w:rPr>
                    <w:t>15</w:t>
                  </w:r>
                </w:p>
              </w:tc>
              <w:tc>
                <w:tcPr>
                  <w:tcW w:w="750" w:type="dxa"/>
                  <w:vAlign w:val="center"/>
                </w:tcPr>
                <w:p w14:paraId="3DA1150B">
                  <w:pPr>
                    <w:pStyle w:val="115"/>
                    <w:bidi w:val="0"/>
                    <w:rPr>
                      <w:rFonts w:hint="eastAsia"/>
                      <w:u w:val="single" w:color="auto"/>
                      <w:lang w:eastAsia="zh-CN"/>
                    </w:rPr>
                  </w:pPr>
                  <w:r>
                    <w:rPr>
                      <w:rFonts w:hint="eastAsia"/>
                      <w:u w:val="single" w:color="auto"/>
                      <w:lang w:val="en-US" w:eastAsia="zh-CN"/>
                    </w:rPr>
                    <w:t>达标</w:t>
                  </w:r>
                </w:p>
              </w:tc>
            </w:tr>
            <w:tr w14:paraId="2866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60A51F1C">
                  <w:pPr>
                    <w:pStyle w:val="115"/>
                    <w:bidi w:val="0"/>
                    <w:rPr>
                      <w:rFonts w:hint="default"/>
                      <w:u w:val="single" w:color="auto"/>
                      <w:lang w:val="en-US" w:eastAsia="zh-CN"/>
                    </w:rPr>
                  </w:pPr>
                  <w:r>
                    <w:rPr>
                      <w:rFonts w:hint="eastAsia"/>
                      <w:u w:val="single" w:color="auto"/>
                      <w:lang w:val="en-US" w:eastAsia="zh-CN"/>
                    </w:rPr>
                    <w:t>COD</w:t>
                  </w:r>
                </w:p>
              </w:tc>
              <w:tc>
                <w:tcPr>
                  <w:tcW w:w="937" w:type="dxa"/>
                  <w:shd w:val="clear" w:color="auto" w:fill="auto"/>
                  <w:vAlign w:val="center"/>
                </w:tcPr>
                <w:p w14:paraId="6EA8D591">
                  <w:pPr>
                    <w:pStyle w:val="115"/>
                    <w:bidi w:val="0"/>
                    <w:rPr>
                      <w:rFonts w:hint="eastAsia"/>
                      <w:u w:val="single" w:color="auto"/>
                      <w:lang w:val="en-US" w:eastAsia="zh-CN"/>
                    </w:rPr>
                  </w:pPr>
                  <w:r>
                    <w:rPr>
                      <w:rFonts w:hint="eastAsia"/>
                      <w:u w:val="single" w:color="auto"/>
                      <w:lang w:eastAsia="zh-CN"/>
                    </w:rPr>
                    <w:t>40</w:t>
                  </w:r>
                </w:p>
              </w:tc>
              <w:tc>
                <w:tcPr>
                  <w:tcW w:w="764" w:type="dxa"/>
                  <w:shd w:val="clear" w:color="auto" w:fill="auto"/>
                  <w:vAlign w:val="center"/>
                </w:tcPr>
                <w:p w14:paraId="462853ED">
                  <w:pPr>
                    <w:pStyle w:val="115"/>
                    <w:bidi w:val="0"/>
                    <w:rPr>
                      <w:rFonts w:hint="eastAsia"/>
                      <w:u w:val="single" w:color="auto"/>
                      <w:lang w:val="en-US" w:eastAsia="zh-CN"/>
                    </w:rPr>
                  </w:pPr>
                  <w:r>
                    <w:rPr>
                      <w:rFonts w:hint="eastAsia"/>
                      <w:u w:val="single" w:color="auto"/>
                      <w:lang w:eastAsia="zh-CN"/>
                    </w:rPr>
                    <w:t>41</w:t>
                  </w:r>
                </w:p>
              </w:tc>
              <w:tc>
                <w:tcPr>
                  <w:tcW w:w="721" w:type="dxa"/>
                  <w:shd w:val="clear" w:color="auto" w:fill="auto"/>
                  <w:vAlign w:val="center"/>
                </w:tcPr>
                <w:p w14:paraId="556C39E6">
                  <w:pPr>
                    <w:pStyle w:val="115"/>
                    <w:bidi w:val="0"/>
                    <w:rPr>
                      <w:rFonts w:hint="eastAsia"/>
                      <w:u w:val="single" w:color="auto"/>
                      <w:lang w:val="en-US" w:eastAsia="zh-CN"/>
                    </w:rPr>
                  </w:pPr>
                  <w:r>
                    <w:rPr>
                      <w:rFonts w:hint="eastAsia"/>
                      <w:u w:val="single" w:color="auto"/>
                      <w:lang w:eastAsia="zh-CN"/>
                    </w:rPr>
                    <w:t>38</w:t>
                  </w:r>
                </w:p>
              </w:tc>
              <w:tc>
                <w:tcPr>
                  <w:tcW w:w="721" w:type="dxa"/>
                  <w:shd w:val="clear" w:color="auto" w:fill="auto"/>
                  <w:vAlign w:val="center"/>
                </w:tcPr>
                <w:p w14:paraId="14398C42">
                  <w:pPr>
                    <w:pStyle w:val="115"/>
                    <w:bidi w:val="0"/>
                    <w:rPr>
                      <w:rFonts w:hint="eastAsia"/>
                      <w:u w:val="single" w:color="auto"/>
                      <w:lang w:val="en-US" w:eastAsia="zh-CN"/>
                    </w:rPr>
                  </w:pPr>
                  <w:r>
                    <w:rPr>
                      <w:rFonts w:hint="eastAsia"/>
                      <w:u w:val="single" w:color="auto"/>
                      <w:lang w:eastAsia="zh-CN"/>
                    </w:rPr>
                    <w:t>40</w:t>
                  </w:r>
                </w:p>
              </w:tc>
              <w:tc>
                <w:tcPr>
                  <w:tcW w:w="847" w:type="dxa"/>
                  <w:shd w:val="clear" w:color="auto" w:fill="auto"/>
                  <w:vAlign w:val="center"/>
                </w:tcPr>
                <w:p w14:paraId="68784E9F">
                  <w:pPr>
                    <w:pStyle w:val="115"/>
                    <w:bidi w:val="0"/>
                    <w:rPr>
                      <w:rFonts w:hint="eastAsia"/>
                      <w:u w:val="single" w:color="auto"/>
                      <w:lang w:val="en-US" w:eastAsia="zh-CN"/>
                    </w:rPr>
                  </w:pPr>
                  <w:r>
                    <w:rPr>
                      <w:rFonts w:hint="eastAsia"/>
                      <w:u w:val="single" w:color="auto"/>
                      <w:lang w:eastAsia="zh-CN"/>
                    </w:rPr>
                    <w:t>39</w:t>
                  </w:r>
                </w:p>
              </w:tc>
              <w:tc>
                <w:tcPr>
                  <w:tcW w:w="741" w:type="dxa"/>
                  <w:shd w:val="clear" w:color="auto" w:fill="auto"/>
                  <w:vAlign w:val="center"/>
                </w:tcPr>
                <w:p w14:paraId="485DB514">
                  <w:pPr>
                    <w:pStyle w:val="115"/>
                    <w:bidi w:val="0"/>
                    <w:rPr>
                      <w:rFonts w:hint="eastAsia"/>
                      <w:u w:val="single" w:color="auto"/>
                      <w:lang w:val="en-US" w:eastAsia="zh-CN"/>
                    </w:rPr>
                  </w:pPr>
                  <w:r>
                    <w:rPr>
                      <w:rFonts w:hint="eastAsia"/>
                      <w:u w:val="single" w:color="auto"/>
                      <w:lang w:eastAsia="zh-CN"/>
                    </w:rPr>
                    <w:t>43</w:t>
                  </w:r>
                </w:p>
              </w:tc>
              <w:tc>
                <w:tcPr>
                  <w:tcW w:w="706" w:type="dxa"/>
                  <w:shd w:val="clear" w:color="auto" w:fill="auto"/>
                  <w:vAlign w:val="center"/>
                </w:tcPr>
                <w:p w14:paraId="0678EB8E">
                  <w:pPr>
                    <w:pStyle w:val="115"/>
                    <w:bidi w:val="0"/>
                    <w:rPr>
                      <w:rFonts w:hint="eastAsia"/>
                      <w:u w:val="single" w:color="auto"/>
                      <w:lang w:val="en-US" w:eastAsia="zh-CN"/>
                    </w:rPr>
                  </w:pPr>
                  <w:r>
                    <w:rPr>
                      <w:rFonts w:hint="eastAsia"/>
                      <w:u w:val="single" w:color="auto"/>
                      <w:lang w:eastAsia="zh-CN"/>
                    </w:rPr>
                    <w:t>41</w:t>
                  </w:r>
                </w:p>
              </w:tc>
              <w:tc>
                <w:tcPr>
                  <w:tcW w:w="759" w:type="dxa"/>
                  <w:shd w:val="clear" w:color="auto" w:fill="auto"/>
                  <w:vAlign w:val="center"/>
                </w:tcPr>
                <w:p w14:paraId="71BA8F6C">
                  <w:pPr>
                    <w:pStyle w:val="115"/>
                    <w:bidi w:val="0"/>
                    <w:rPr>
                      <w:rFonts w:hint="eastAsia"/>
                      <w:u w:val="single" w:color="auto"/>
                      <w:lang w:val="en-US" w:eastAsia="zh-CN"/>
                    </w:rPr>
                  </w:pPr>
                  <w:r>
                    <w:rPr>
                      <w:rFonts w:hint="eastAsia"/>
                      <w:u w:val="single" w:color="auto"/>
                      <w:lang w:eastAsia="zh-CN"/>
                    </w:rPr>
                    <w:t>42</w:t>
                  </w:r>
                </w:p>
              </w:tc>
              <w:tc>
                <w:tcPr>
                  <w:tcW w:w="670" w:type="dxa"/>
                  <w:vAlign w:val="center"/>
                </w:tcPr>
                <w:p w14:paraId="24A50D21">
                  <w:pPr>
                    <w:pStyle w:val="115"/>
                    <w:bidi w:val="0"/>
                    <w:rPr>
                      <w:rFonts w:hint="default"/>
                      <w:u w:val="single" w:color="auto"/>
                      <w:lang w:val="en-US" w:eastAsia="zh-CN"/>
                    </w:rPr>
                  </w:pPr>
                  <w:r>
                    <w:rPr>
                      <w:rFonts w:hint="eastAsia"/>
                      <w:u w:val="single" w:color="auto"/>
                      <w:lang w:val="en-US" w:eastAsia="zh-CN"/>
                    </w:rPr>
                    <w:t>100</w:t>
                  </w:r>
                </w:p>
              </w:tc>
              <w:tc>
                <w:tcPr>
                  <w:tcW w:w="750" w:type="dxa"/>
                  <w:vAlign w:val="center"/>
                </w:tcPr>
                <w:p w14:paraId="1C4968AF">
                  <w:pPr>
                    <w:pStyle w:val="115"/>
                    <w:bidi w:val="0"/>
                    <w:rPr>
                      <w:rFonts w:hint="eastAsia"/>
                      <w:u w:val="single" w:color="auto"/>
                      <w:lang w:eastAsia="zh-CN"/>
                    </w:rPr>
                  </w:pPr>
                  <w:r>
                    <w:rPr>
                      <w:rFonts w:hint="eastAsia"/>
                      <w:u w:val="single" w:color="auto"/>
                      <w:lang w:val="en-US" w:eastAsia="zh-CN"/>
                    </w:rPr>
                    <w:t>达标</w:t>
                  </w:r>
                </w:p>
              </w:tc>
            </w:tr>
            <w:tr w14:paraId="3329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06CE9934">
                  <w:pPr>
                    <w:pStyle w:val="115"/>
                    <w:bidi w:val="0"/>
                    <w:rPr>
                      <w:rFonts w:hint="default"/>
                      <w:u w:val="single" w:color="auto"/>
                      <w:lang w:val="en-US" w:eastAsia="zh-CN"/>
                    </w:rPr>
                  </w:pPr>
                  <w:r>
                    <w:rPr>
                      <w:rFonts w:hint="eastAsia"/>
                      <w:u w:val="single" w:color="auto"/>
                      <w:lang w:val="en-US" w:eastAsia="zh-CN"/>
                    </w:rPr>
                    <w:t>BOD</w:t>
                  </w:r>
                  <w:r>
                    <w:rPr>
                      <w:rFonts w:hint="eastAsia"/>
                      <w:u w:val="single" w:color="auto"/>
                      <w:vertAlign w:val="subscript"/>
                      <w:lang w:val="en-US" w:eastAsia="zh-CN"/>
                    </w:rPr>
                    <w:t>5</w:t>
                  </w:r>
                </w:p>
              </w:tc>
              <w:tc>
                <w:tcPr>
                  <w:tcW w:w="937" w:type="dxa"/>
                  <w:shd w:val="clear" w:color="auto" w:fill="auto"/>
                  <w:vAlign w:val="center"/>
                </w:tcPr>
                <w:p w14:paraId="4BBDFB79">
                  <w:pPr>
                    <w:pStyle w:val="115"/>
                    <w:bidi w:val="0"/>
                    <w:rPr>
                      <w:rFonts w:hint="eastAsia"/>
                      <w:u w:val="single" w:color="auto"/>
                      <w:lang w:val="en-US" w:eastAsia="zh-CN"/>
                    </w:rPr>
                  </w:pPr>
                  <w:r>
                    <w:rPr>
                      <w:rFonts w:hint="eastAsia"/>
                      <w:u w:val="single" w:color="auto"/>
                      <w:lang w:eastAsia="zh-CN"/>
                    </w:rPr>
                    <w:t>14.6</w:t>
                  </w:r>
                </w:p>
              </w:tc>
              <w:tc>
                <w:tcPr>
                  <w:tcW w:w="764" w:type="dxa"/>
                  <w:shd w:val="clear" w:color="auto" w:fill="auto"/>
                  <w:vAlign w:val="center"/>
                </w:tcPr>
                <w:p w14:paraId="5F1D6316">
                  <w:pPr>
                    <w:pStyle w:val="115"/>
                    <w:bidi w:val="0"/>
                    <w:rPr>
                      <w:rFonts w:hint="eastAsia"/>
                      <w:u w:val="single" w:color="auto"/>
                      <w:lang w:val="en-US" w:eastAsia="zh-CN"/>
                    </w:rPr>
                  </w:pPr>
                  <w:r>
                    <w:rPr>
                      <w:rFonts w:hint="eastAsia"/>
                      <w:u w:val="single" w:color="auto"/>
                      <w:lang w:eastAsia="zh-CN"/>
                    </w:rPr>
                    <w:t>14. 1</w:t>
                  </w:r>
                </w:p>
              </w:tc>
              <w:tc>
                <w:tcPr>
                  <w:tcW w:w="721" w:type="dxa"/>
                  <w:shd w:val="clear" w:color="auto" w:fill="auto"/>
                  <w:vAlign w:val="center"/>
                </w:tcPr>
                <w:p w14:paraId="198DC313">
                  <w:pPr>
                    <w:pStyle w:val="115"/>
                    <w:bidi w:val="0"/>
                    <w:rPr>
                      <w:rFonts w:hint="eastAsia"/>
                      <w:u w:val="single" w:color="auto"/>
                      <w:lang w:val="en-US" w:eastAsia="zh-CN"/>
                    </w:rPr>
                  </w:pPr>
                  <w:r>
                    <w:rPr>
                      <w:rFonts w:hint="eastAsia"/>
                      <w:u w:val="single" w:color="auto"/>
                      <w:lang w:eastAsia="zh-CN"/>
                    </w:rPr>
                    <w:t>13. 1</w:t>
                  </w:r>
                </w:p>
              </w:tc>
              <w:tc>
                <w:tcPr>
                  <w:tcW w:w="721" w:type="dxa"/>
                  <w:shd w:val="clear" w:color="auto" w:fill="auto"/>
                  <w:vAlign w:val="center"/>
                </w:tcPr>
                <w:p w14:paraId="214436B7">
                  <w:pPr>
                    <w:pStyle w:val="115"/>
                    <w:bidi w:val="0"/>
                    <w:rPr>
                      <w:rFonts w:hint="eastAsia"/>
                      <w:u w:val="single" w:color="auto"/>
                      <w:lang w:val="en-US" w:eastAsia="zh-CN"/>
                    </w:rPr>
                  </w:pPr>
                  <w:r>
                    <w:rPr>
                      <w:rFonts w:hint="eastAsia"/>
                      <w:u w:val="single" w:color="auto"/>
                      <w:lang w:eastAsia="zh-CN"/>
                    </w:rPr>
                    <w:t>13.6</w:t>
                  </w:r>
                </w:p>
              </w:tc>
              <w:tc>
                <w:tcPr>
                  <w:tcW w:w="847" w:type="dxa"/>
                  <w:shd w:val="clear" w:color="auto" w:fill="auto"/>
                  <w:vAlign w:val="center"/>
                </w:tcPr>
                <w:p w14:paraId="4E7F0F57">
                  <w:pPr>
                    <w:pStyle w:val="115"/>
                    <w:bidi w:val="0"/>
                    <w:rPr>
                      <w:rFonts w:hint="eastAsia"/>
                      <w:u w:val="single" w:color="auto"/>
                      <w:lang w:val="en-US" w:eastAsia="zh-CN"/>
                    </w:rPr>
                  </w:pPr>
                  <w:r>
                    <w:rPr>
                      <w:rFonts w:hint="eastAsia"/>
                      <w:u w:val="single" w:color="auto"/>
                      <w:lang w:eastAsia="zh-CN"/>
                    </w:rPr>
                    <w:t>13.6</w:t>
                  </w:r>
                </w:p>
              </w:tc>
              <w:tc>
                <w:tcPr>
                  <w:tcW w:w="741" w:type="dxa"/>
                  <w:shd w:val="clear" w:color="auto" w:fill="auto"/>
                  <w:vAlign w:val="center"/>
                </w:tcPr>
                <w:p w14:paraId="691D21A8">
                  <w:pPr>
                    <w:pStyle w:val="115"/>
                    <w:bidi w:val="0"/>
                    <w:rPr>
                      <w:rFonts w:hint="eastAsia"/>
                      <w:u w:val="single" w:color="auto"/>
                      <w:lang w:val="en-US" w:eastAsia="zh-CN"/>
                    </w:rPr>
                  </w:pPr>
                  <w:r>
                    <w:rPr>
                      <w:rFonts w:hint="eastAsia"/>
                      <w:u w:val="single" w:color="auto"/>
                      <w:lang w:eastAsia="zh-CN"/>
                    </w:rPr>
                    <w:t>13.1</w:t>
                  </w:r>
                </w:p>
              </w:tc>
              <w:tc>
                <w:tcPr>
                  <w:tcW w:w="706" w:type="dxa"/>
                  <w:shd w:val="clear" w:color="auto" w:fill="auto"/>
                  <w:vAlign w:val="center"/>
                </w:tcPr>
                <w:p w14:paraId="426798FA">
                  <w:pPr>
                    <w:pStyle w:val="115"/>
                    <w:bidi w:val="0"/>
                    <w:rPr>
                      <w:rFonts w:hint="eastAsia"/>
                      <w:u w:val="single" w:color="auto"/>
                      <w:lang w:val="en-US" w:eastAsia="zh-CN"/>
                    </w:rPr>
                  </w:pPr>
                  <w:r>
                    <w:rPr>
                      <w:rFonts w:hint="eastAsia"/>
                      <w:u w:val="single" w:color="auto"/>
                      <w:lang w:eastAsia="zh-CN"/>
                    </w:rPr>
                    <w:t>12.6</w:t>
                  </w:r>
                </w:p>
              </w:tc>
              <w:tc>
                <w:tcPr>
                  <w:tcW w:w="759" w:type="dxa"/>
                  <w:shd w:val="clear" w:color="auto" w:fill="auto"/>
                  <w:vAlign w:val="center"/>
                </w:tcPr>
                <w:p w14:paraId="5BC9196D">
                  <w:pPr>
                    <w:pStyle w:val="115"/>
                    <w:bidi w:val="0"/>
                    <w:rPr>
                      <w:rFonts w:hint="eastAsia"/>
                      <w:u w:val="single" w:color="auto"/>
                      <w:lang w:val="en-US" w:eastAsia="zh-CN"/>
                    </w:rPr>
                  </w:pPr>
                  <w:r>
                    <w:rPr>
                      <w:rFonts w:hint="eastAsia"/>
                      <w:u w:val="single" w:color="auto"/>
                      <w:lang w:eastAsia="zh-CN"/>
                    </w:rPr>
                    <w:t>14. 1</w:t>
                  </w:r>
                </w:p>
              </w:tc>
              <w:tc>
                <w:tcPr>
                  <w:tcW w:w="670" w:type="dxa"/>
                  <w:vAlign w:val="center"/>
                </w:tcPr>
                <w:p w14:paraId="15C3555B">
                  <w:pPr>
                    <w:pStyle w:val="115"/>
                    <w:bidi w:val="0"/>
                    <w:rPr>
                      <w:rFonts w:hint="default"/>
                      <w:u w:val="single" w:color="auto"/>
                      <w:lang w:val="en-US" w:eastAsia="zh-CN"/>
                    </w:rPr>
                  </w:pPr>
                  <w:r>
                    <w:rPr>
                      <w:rFonts w:hint="eastAsia"/>
                      <w:u w:val="single" w:color="auto"/>
                      <w:lang w:val="en-US" w:eastAsia="zh-CN"/>
                    </w:rPr>
                    <w:t>20</w:t>
                  </w:r>
                </w:p>
              </w:tc>
              <w:tc>
                <w:tcPr>
                  <w:tcW w:w="750" w:type="dxa"/>
                  <w:vAlign w:val="center"/>
                </w:tcPr>
                <w:p w14:paraId="42A305D6">
                  <w:pPr>
                    <w:pStyle w:val="115"/>
                    <w:bidi w:val="0"/>
                    <w:rPr>
                      <w:rFonts w:hint="eastAsia"/>
                      <w:u w:val="single" w:color="auto"/>
                      <w:lang w:eastAsia="zh-CN"/>
                    </w:rPr>
                  </w:pPr>
                  <w:r>
                    <w:rPr>
                      <w:rFonts w:hint="eastAsia"/>
                      <w:u w:val="single" w:color="auto"/>
                      <w:lang w:val="en-US" w:eastAsia="zh-CN"/>
                    </w:rPr>
                    <w:t>达标</w:t>
                  </w:r>
                </w:p>
              </w:tc>
            </w:tr>
            <w:tr w14:paraId="692C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193ABC28">
                  <w:pPr>
                    <w:pStyle w:val="115"/>
                    <w:bidi w:val="0"/>
                    <w:rPr>
                      <w:rFonts w:hint="eastAsia"/>
                      <w:u w:val="single" w:color="auto"/>
                      <w:lang w:val="en-US" w:eastAsia="zh-CN"/>
                    </w:rPr>
                  </w:pPr>
                  <w:r>
                    <w:rPr>
                      <w:rFonts w:hint="eastAsia"/>
                      <w:u w:val="single" w:color="auto"/>
                      <w:lang w:eastAsia="zh-CN"/>
                    </w:rPr>
                    <w:t>动植物油</w:t>
                  </w:r>
                </w:p>
              </w:tc>
              <w:tc>
                <w:tcPr>
                  <w:tcW w:w="937" w:type="dxa"/>
                  <w:shd w:val="clear" w:color="auto" w:fill="auto"/>
                  <w:vAlign w:val="center"/>
                </w:tcPr>
                <w:p w14:paraId="7BEECC9B">
                  <w:pPr>
                    <w:pStyle w:val="115"/>
                    <w:bidi w:val="0"/>
                    <w:rPr>
                      <w:rFonts w:hint="eastAsia"/>
                      <w:u w:val="single" w:color="auto"/>
                      <w:lang w:val="en-US" w:eastAsia="zh-CN"/>
                    </w:rPr>
                  </w:pPr>
                  <w:r>
                    <w:rPr>
                      <w:rFonts w:hint="eastAsia"/>
                      <w:u w:val="single" w:color="auto"/>
                      <w:lang w:eastAsia="zh-CN"/>
                    </w:rPr>
                    <w:t>0.54</w:t>
                  </w:r>
                </w:p>
              </w:tc>
              <w:tc>
                <w:tcPr>
                  <w:tcW w:w="764" w:type="dxa"/>
                  <w:shd w:val="clear" w:color="auto" w:fill="auto"/>
                  <w:vAlign w:val="center"/>
                </w:tcPr>
                <w:p w14:paraId="2BE706C7">
                  <w:pPr>
                    <w:pStyle w:val="115"/>
                    <w:bidi w:val="0"/>
                    <w:rPr>
                      <w:rFonts w:hint="eastAsia"/>
                      <w:u w:val="single" w:color="auto"/>
                      <w:lang w:val="en-US" w:eastAsia="zh-CN"/>
                    </w:rPr>
                  </w:pPr>
                  <w:r>
                    <w:rPr>
                      <w:rFonts w:hint="eastAsia"/>
                      <w:u w:val="single" w:color="auto"/>
                      <w:lang w:eastAsia="zh-CN"/>
                    </w:rPr>
                    <w:t>0.56</w:t>
                  </w:r>
                </w:p>
              </w:tc>
              <w:tc>
                <w:tcPr>
                  <w:tcW w:w="721" w:type="dxa"/>
                  <w:shd w:val="clear" w:color="auto" w:fill="auto"/>
                  <w:vAlign w:val="center"/>
                </w:tcPr>
                <w:p w14:paraId="74D7CC6B">
                  <w:pPr>
                    <w:pStyle w:val="115"/>
                    <w:bidi w:val="0"/>
                    <w:rPr>
                      <w:rFonts w:hint="eastAsia"/>
                      <w:u w:val="single" w:color="auto"/>
                      <w:lang w:val="en-US" w:eastAsia="zh-CN"/>
                    </w:rPr>
                  </w:pPr>
                  <w:r>
                    <w:rPr>
                      <w:rFonts w:hint="eastAsia"/>
                      <w:u w:val="single" w:color="auto"/>
                      <w:lang w:eastAsia="zh-CN"/>
                    </w:rPr>
                    <w:t>0.57</w:t>
                  </w:r>
                </w:p>
              </w:tc>
              <w:tc>
                <w:tcPr>
                  <w:tcW w:w="721" w:type="dxa"/>
                  <w:shd w:val="clear" w:color="auto" w:fill="auto"/>
                  <w:vAlign w:val="center"/>
                </w:tcPr>
                <w:p w14:paraId="2E50B365">
                  <w:pPr>
                    <w:pStyle w:val="115"/>
                    <w:bidi w:val="0"/>
                    <w:rPr>
                      <w:rFonts w:hint="eastAsia"/>
                      <w:u w:val="single" w:color="auto"/>
                      <w:lang w:val="en-US" w:eastAsia="zh-CN"/>
                    </w:rPr>
                  </w:pPr>
                  <w:r>
                    <w:rPr>
                      <w:rFonts w:hint="eastAsia"/>
                      <w:u w:val="single" w:color="auto"/>
                      <w:lang w:eastAsia="zh-CN"/>
                    </w:rPr>
                    <w:t>0.61</w:t>
                  </w:r>
                </w:p>
              </w:tc>
              <w:tc>
                <w:tcPr>
                  <w:tcW w:w="847" w:type="dxa"/>
                  <w:shd w:val="clear" w:color="auto" w:fill="auto"/>
                  <w:vAlign w:val="center"/>
                </w:tcPr>
                <w:p w14:paraId="41D1DC48">
                  <w:pPr>
                    <w:pStyle w:val="115"/>
                    <w:bidi w:val="0"/>
                    <w:rPr>
                      <w:rFonts w:hint="eastAsia"/>
                      <w:u w:val="single" w:color="auto"/>
                      <w:lang w:val="en-US" w:eastAsia="zh-CN"/>
                    </w:rPr>
                  </w:pPr>
                  <w:r>
                    <w:rPr>
                      <w:rFonts w:hint="eastAsia"/>
                      <w:u w:val="single" w:color="auto"/>
                      <w:lang w:eastAsia="zh-CN"/>
                    </w:rPr>
                    <w:t>0.60</w:t>
                  </w:r>
                </w:p>
              </w:tc>
              <w:tc>
                <w:tcPr>
                  <w:tcW w:w="741" w:type="dxa"/>
                  <w:shd w:val="clear" w:color="auto" w:fill="auto"/>
                  <w:vAlign w:val="center"/>
                </w:tcPr>
                <w:p w14:paraId="3F2154AF">
                  <w:pPr>
                    <w:pStyle w:val="115"/>
                    <w:bidi w:val="0"/>
                    <w:rPr>
                      <w:rFonts w:hint="eastAsia"/>
                      <w:u w:val="single" w:color="auto"/>
                      <w:lang w:val="en-US" w:eastAsia="zh-CN"/>
                    </w:rPr>
                  </w:pPr>
                  <w:r>
                    <w:rPr>
                      <w:rFonts w:hint="eastAsia"/>
                      <w:u w:val="single" w:color="auto"/>
                      <w:lang w:eastAsia="zh-CN"/>
                    </w:rPr>
                    <w:t>0.53</w:t>
                  </w:r>
                </w:p>
              </w:tc>
              <w:tc>
                <w:tcPr>
                  <w:tcW w:w="706" w:type="dxa"/>
                  <w:shd w:val="clear" w:color="auto" w:fill="auto"/>
                  <w:vAlign w:val="center"/>
                </w:tcPr>
                <w:p w14:paraId="6D10784E">
                  <w:pPr>
                    <w:pStyle w:val="115"/>
                    <w:bidi w:val="0"/>
                    <w:rPr>
                      <w:rFonts w:hint="eastAsia"/>
                      <w:u w:val="single" w:color="auto"/>
                      <w:lang w:val="en-US" w:eastAsia="zh-CN"/>
                    </w:rPr>
                  </w:pPr>
                  <w:r>
                    <w:rPr>
                      <w:rFonts w:hint="eastAsia"/>
                      <w:u w:val="single" w:color="auto"/>
                      <w:lang w:eastAsia="zh-CN"/>
                    </w:rPr>
                    <w:t>0.52</w:t>
                  </w:r>
                </w:p>
              </w:tc>
              <w:tc>
                <w:tcPr>
                  <w:tcW w:w="759" w:type="dxa"/>
                  <w:shd w:val="clear" w:color="auto" w:fill="auto"/>
                  <w:vAlign w:val="center"/>
                </w:tcPr>
                <w:p w14:paraId="32E9268C">
                  <w:pPr>
                    <w:pStyle w:val="115"/>
                    <w:bidi w:val="0"/>
                    <w:rPr>
                      <w:rFonts w:hint="eastAsia"/>
                      <w:u w:val="single" w:color="auto"/>
                      <w:lang w:val="en-US" w:eastAsia="zh-CN"/>
                    </w:rPr>
                  </w:pPr>
                  <w:r>
                    <w:rPr>
                      <w:rFonts w:hint="eastAsia"/>
                      <w:u w:val="single" w:color="auto"/>
                      <w:lang w:eastAsia="zh-CN"/>
                    </w:rPr>
                    <w:t>0.55</w:t>
                  </w:r>
                </w:p>
              </w:tc>
              <w:tc>
                <w:tcPr>
                  <w:tcW w:w="670" w:type="dxa"/>
                  <w:vAlign w:val="center"/>
                </w:tcPr>
                <w:p w14:paraId="31D9D938">
                  <w:pPr>
                    <w:pStyle w:val="115"/>
                    <w:bidi w:val="0"/>
                    <w:rPr>
                      <w:rFonts w:hint="default"/>
                      <w:u w:val="single" w:color="auto"/>
                      <w:lang w:val="en-US" w:eastAsia="zh-CN"/>
                    </w:rPr>
                  </w:pPr>
                  <w:r>
                    <w:rPr>
                      <w:rFonts w:hint="eastAsia"/>
                      <w:u w:val="single" w:color="auto"/>
                      <w:lang w:val="en-US" w:eastAsia="zh-CN"/>
                    </w:rPr>
                    <w:t>10</w:t>
                  </w:r>
                </w:p>
              </w:tc>
              <w:tc>
                <w:tcPr>
                  <w:tcW w:w="750" w:type="dxa"/>
                  <w:vAlign w:val="center"/>
                </w:tcPr>
                <w:p w14:paraId="166C1283">
                  <w:pPr>
                    <w:pStyle w:val="115"/>
                    <w:bidi w:val="0"/>
                    <w:rPr>
                      <w:rFonts w:hint="eastAsia"/>
                      <w:u w:val="single" w:color="auto"/>
                      <w:lang w:eastAsia="zh-CN"/>
                    </w:rPr>
                  </w:pPr>
                  <w:r>
                    <w:rPr>
                      <w:rFonts w:hint="eastAsia"/>
                      <w:u w:val="single" w:color="auto"/>
                      <w:lang w:val="en-US" w:eastAsia="zh-CN"/>
                    </w:rPr>
                    <w:t>达标</w:t>
                  </w:r>
                </w:p>
              </w:tc>
            </w:tr>
            <w:tr w14:paraId="6B36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51719A21">
                  <w:pPr>
                    <w:pStyle w:val="115"/>
                    <w:bidi w:val="0"/>
                    <w:rPr>
                      <w:rFonts w:hint="eastAsia"/>
                      <w:u w:val="single" w:color="auto"/>
                      <w:lang w:val="en-US" w:eastAsia="zh-CN"/>
                    </w:rPr>
                  </w:pPr>
                  <w:r>
                    <w:rPr>
                      <w:rFonts w:hint="eastAsia"/>
                      <w:u w:val="single" w:color="auto"/>
                      <w:lang w:eastAsia="zh-CN"/>
                    </w:rPr>
                    <w:t>色度（倍）</w:t>
                  </w:r>
                </w:p>
              </w:tc>
              <w:tc>
                <w:tcPr>
                  <w:tcW w:w="937" w:type="dxa"/>
                  <w:shd w:val="clear" w:color="auto" w:fill="auto"/>
                  <w:vAlign w:val="center"/>
                </w:tcPr>
                <w:p w14:paraId="49C9F666">
                  <w:pPr>
                    <w:pStyle w:val="115"/>
                    <w:bidi w:val="0"/>
                    <w:rPr>
                      <w:rFonts w:hint="eastAsia"/>
                      <w:u w:val="single" w:color="auto"/>
                      <w:lang w:val="en-US" w:eastAsia="zh-CN"/>
                    </w:rPr>
                  </w:pPr>
                  <w:r>
                    <w:rPr>
                      <w:rFonts w:hint="eastAsia"/>
                      <w:u w:val="single" w:color="auto"/>
                      <w:lang w:eastAsia="zh-CN"/>
                    </w:rPr>
                    <w:t>8</w:t>
                  </w:r>
                </w:p>
              </w:tc>
              <w:tc>
                <w:tcPr>
                  <w:tcW w:w="764" w:type="dxa"/>
                  <w:shd w:val="clear" w:color="auto" w:fill="auto"/>
                  <w:vAlign w:val="center"/>
                </w:tcPr>
                <w:p w14:paraId="4184F0F1">
                  <w:pPr>
                    <w:pStyle w:val="115"/>
                    <w:bidi w:val="0"/>
                    <w:rPr>
                      <w:rFonts w:hint="eastAsia"/>
                      <w:u w:val="single" w:color="auto"/>
                      <w:lang w:val="en-US" w:eastAsia="zh-CN"/>
                    </w:rPr>
                  </w:pPr>
                  <w:r>
                    <w:rPr>
                      <w:rFonts w:hint="eastAsia"/>
                      <w:u w:val="single" w:color="auto"/>
                      <w:lang w:eastAsia="zh-CN"/>
                    </w:rPr>
                    <w:t>7</w:t>
                  </w:r>
                </w:p>
              </w:tc>
              <w:tc>
                <w:tcPr>
                  <w:tcW w:w="721" w:type="dxa"/>
                  <w:shd w:val="clear" w:color="auto" w:fill="auto"/>
                  <w:vAlign w:val="center"/>
                </w:tcPr>
                <w:p w14:paraId="3FA0AF77">
                  <w:pPr>
                    <w:pStyle w:val="115"/>
                    <w:bidi w:val="0"/>
                    <w:rPr>
                      <w:rFonts w:hint="eastAsia"/>
                      <w:u w:val="single" w:color="auto"/>
                      <w:lang w:val="en-US" w:eastAsia="zh-CN"/>
                    </w:rPr>
                  </w:pPr>
                  <w:r>
                    <w:rPr>
                      <w:rFonts w:hint="eastAsia"/>
                      <w:u w:val="single" w:color="auto"/>
                      <w:lang w:eastAsia="zh-CN"/>
                    </w:rPr>
                    <w:t>8</w:t>
                  </w:r>
                </w:p>
              </w:tc>
              <w:tc>
                <w:tcPr>
                  <w:tcW w:w="721" w:type="dxa"/>
                  <w:shd w:val="clear" w:color="auto" w:fill="auto"/>
                  <w:vAlign w:val="center"/>
                </w:tcPr>
                <w:p w14:paraId="4031A1DB">
                  <w:pPr>
                    <w:pStyle w:val="115"/>
                    <w:bidi w:val="0"/>
                    <w:rPr>
                      <w:rFonts w:hint="eastAsia"/>
                      <w:u w:val="single" w:color="auto"/>
                      <w:lang w:val="en-US" w:eastAsia="zh-CN"/>
                    </w:rPr>
                  </w:pPr>
                  <w:r>
                    <w:rPr>
                      <w:rFonts w:hint="eastAsia"/>
                      <w:u w:val="single" w:color="auto"/>
                      <w:lang w:eastAsia="zh-CN"/>
                    </w:rPr>
                    <w:t>9</w:t>
                  </w:r>
                </w:p>
              </w:tc>
              <w:tc>
                <w:tcPr>
                  <w:tcW w:w="847" w:type="dxa"/>
                  <w:shd w:val="clear" w:color="auto" w:fill="auto"/>
                  <w:vAlign w:val="center"/>
                </w:tcPr>
                <w:p w14:paraId="3553804F">
                  <w:pPr>
                    <w:pStyle w:val="115"/>
                    <w:bidi w:val="0"/>
                    <w:rPr>
                      <w:rFonts w:hint="eastAsia"/>
                      <w:u w:val="single" w:color="auto"/>
                      <w:lang w:val="en-US" w:eastAsia="zh-CN"/>
                    </w:rPr>
                  </w:pPr>
                  <w:r>
                    <w:rPr>
                      <w:rFonts w:hint="eastAsia"/>
                      <w:u w:val="single" w:color="auto"/>
                      <w:lang w:eastAsia="zh-CN"/>
                    </w:rPr>
                    <w:t>7</w:t>
                  </w:r>
                </w:p>
              </w:tc>
              <w:tc>
                <w:tcPr>
                  <w:tcW w:w="741" w:type="dxa"/>
                  <w:shd w:val="clear" w:color="auto" w:fill="auto"/>
                  <w:vAlign w:val="center"/>
                </w:tcPr>
                <w:p w14:paraId="4B4B65D4">
                  <w:pPr>
                    <w:pStyle w:val="115"/>
                    <w:bidi w:val="0"/>
                    <w:rPr>
                      <w:rFonts w:hint="eastAsia"/>
                      <w:u w:val="single" w:color="auto"/>
                      <w:lang w:val="en-US" w:eastAsia="zh-CN"/>
                    </w:rPr>
                  </w:pPr>
                  <w:r>
                    <w:rPr>
                      <w:rFonts w:hint="eastAsia"/>
                      <w:u w:val="single" w:color="auto"/>
                      <w:lang w:eastAsia="zh-CN"/>
                    </w:rPr>
                    <w:t>8</w:t>
                  </w:r>
                </w:p>
              </w:tc>
              <w:tc>
                <w:tcPr>
                  <w:tcW w:w="706" w:type="dxa"/>
                  <w:shd w:val="clear" w:color="auto" w:fill="auto"/>
                  <w:vAlign w:val="center"/>
                </w:tcPr>
                <w:p w14:paraId="7B66761C">
                  <w:pPr>
                    <w:pStyle w:val="115"/>
                    <w:bidi w:val="0"/>
                    <w:rPr>
                      <w:rFonts w:hint="eastAsia"/>
                      <w:u w:val="single" w:color="auto"/>
                      <w:lang w:val="en-US" w:eastAsia="zh-CN"/>
                    </w:rPr>
                  </w:pPr>
                  <w:r>
                    <w:rPr>
                      <w:rFonts w:hint="eastAsia"/>
                      <w:u w:val="single" w:color="auto"/>
                      <w:lang w:eastAsia="zh-CN"/>
                    </w:rPr>
                    <w:t>8</w:t>
                  </w:r>
                </w:p>
              </w:tc>
              <w:tc>
                <w:tcPr>
                  <w:tcW w:w="759" w:type="dxa"/>
                  <w:shd w:val="clear" w:color="auto" w:fill="auto"/>
                  <w:vAlign w:val="center"/>
                </w:tcPr>
                <w:p w14:paraId="2E4D0257">
                  <w:pPr>
                    <w:pStyle w:val="115"/>
                    <w:bidi w:val="0"/>
                    <w:rPr>
                      <w:rFonts w:hint="eastAsia"/>
                      <w:u w:val="single" w:color="auto"/>
                      <w:lang w:val="en-US" w:eastAsia="zh-CN"/>
                    </w:rPr>
                  </w:pPr>
                  <w:r>
                    <w:rPr>
                      <w:rFonts w:hint="eastAsia"/>
                      <w:u w:val="single" w:color="auto"/>
                      <w:lang w:eastAsia="zh-CN"/>
                    </w:rPr>
                    <w:t>6</w:t>
                  </w:r>
                </w:p>
              </w:tc>
              <w:tc>
                <w:tcPr>
                  <w:tcW w:w="670" w:type="dxa"/>
                  <w:vAlign w:val="center"/>
                </w:tcPr>
                <w:p w14:paraId="32CE034D">
                  <w:pPr>
                    <w:pStyle w:val="115"/>
                    <w:bidi w:val="0"/>
                    <w:rPr>
                      <w:rFonts w:hint="default"/>
                      <w:u w:val="single" w:color="auto"/>
                      <w:lang w:val="en-US" w:eastAsia="zh-CN"/>
                    </w:rPr>
                  </w:pPr>
                  <w:r>
                    <w:rPr>
                      <w:rFonts w:hint="eastAsia"/>
                      <w:u w:val="single" w:color="auto"/>
                      <w:lang w:val="en-US" w:eastAsia="zh-CN"/>
                    </w:rPr>
                    <w:t>50</w:t>
                  </w:r>
                </w:p>
              </w:tc>
              <w:tc>
                <w:tcPr>
                  <w:tcW w:w="750" w:type="dxa"/>
                  <w:vAlign w:val="center"/>
                </w:tcPr>
                <w:p w14:paraId="3A344DEA">
                  <w:pPr>
                    <w:pStyle w:val="115"/>
                    <w:bidi w:val="0"/>
                    <w:rPr>
                      <w:rFonts w:hint="eastAsia"/>
                      <w:u w:val="single" w:color="auto"/>
                      <w:lang w:eastAsia="zh-CN"/>
                    </w:rPr>
                  </w:pPr>
                  <w:r>
                    <w:rPr>
                      <w:rFonts w:hint="eastAsia"/>
                      <w:u w:val="single" w:color="auto"/>
                      <w:lang w:val="en-US" w:eastAsia="zh-CN"/>
                    </w:rPr>
                    <w:t>达标</w:t>
                  </w:r>
                </w:p>
              </w:tc>
            </w:tr>
            <w:tr w14:paraId="4E36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1" w:type="dxa"/>
                  <w:shd w:val="clear" w:color="auto" w:fill="auto"/>
                  <w:vAlign w:val="center"/>
                </w:tcPr>
                <w:p w14:paraId="12521EFE">
                  <w:pPr>
                    <w:pStyle w:val="115"/>
                    <w:bidi w:val="0"/>
                    <w:rPr>
                      <w:rFonts w:hint="eastAsia"/>
                      <w:u w:val="single" w:color="auto"/>
                      <w:lang w:val="en-US" w:eastAsia="zh-CN"/>
                    </w:rPr>
                  </w:pPr>
                  <w:r>
                    <w:rPr>
                      <w:rFonts w:hint="eastAsia"/>
                      <w:u w:val="single" w:color="auto"/>
                      <w:lang w:eastAsia="zh-CN"/>
                    </w:rPr>
                    <w:t>氟化物</w:t>
                  </w:r>
                </w:p>
              </w:tc>
              <w:tc>
                <w:tcPr>
                  <w:tcW w:w="937" w:type="dxa"/>
                  <w:shd w:val="clear" w:color="auto" w:fill="auto"/>
                  <w:vAlign w:val="center"/>
                </w:tcPr>
                <w:p w14:paraId="06D2B4C6">
                  <w:pPr>
                    <w:pStyle w:val="115"/>
                    <w:bidi w:val="0"/>
                    <w:rPr>
                      <w:rFonts w:hint="eastAsia"/>
                      <w:u w:val="single" w:color="auto"/>
                      <w:lang w:val="en-US" w:eastAsia="zh-CN"/>
                    </w:rPr>
                  </w:pPr>
                  <w:r>
                    <w:rPr>
                      <w:rFonts w:hint="eastAsia"/>
                      <w:u w:val="single" w:color="auto"/>
                      <w:lang w:eastAsia="zh-CN"/>
                    </w:rPr>
                    <w:t>0.90</w:t>
                  </w:r>
                </w:p>
              </w:tc>
              <w:tc>
                <w:tcPr>
                  <w:tcW w:w="764" w:type="dxa"/>
                  <w:shd w:val="clear" w:color="auto" w:fill="auto"/>
                  <w:vAlign w:val="center"/>
                </w:tcPr>
                <w:p w14:paraId="7538ABC2">
                  <w:pPr>
                    <w:pStyle w:val="115"/>
                    <w:bidi w:val="0"/>
                    <w:rPr>
                      <w:rFonts w:hint="eastAsia"/>
                      <w:u w:val="single" w:color="auto"/>
                      <w:lang w:val="en-US" w:eastAsia="zh-CN"/>
                    </w:rPr>
                  </w:pPr>
                  <w:r>
                    <w:rPr>
                      <w:rFonts w:hint="eastAsia"/>
                      <w:u w:val="single" w:color="auto"/>
                      <w:lang w:eastAsia="zh-CN"/>
                    </w:rPr>
                    <w:t>0.93</w:t>
                  </w:r>
                </w:p>
              </w:tc>
              <w:tc>
                <w:tcPr>
                  <w:tcW w:w="721" w:type="dxa"/>
                  <w:shd w:val="clear" w:color="auto" w:fill="auto"/>
                  <w:vAlign w:val="center"/>
                </w:tcPr>
                <w:p w14:paraId="52E5BCA2">
                  <w:pPr>
                    <w:pStyle w:val="115"/>
                    <w:bidi w:val="0"/>
                    <w:rPr>
                      <w:rFonts w:hint="eastAsia"/>
                      <w:u w:val="single" w:color="auto"/>
                      <w:lang w:val="en-US" w:eastAsia="zh-CN"/>
                    </w:rPr>
                  </w:pPr>
                  <w:r>
                    <w:rPr>
                      <w:rFonts w:hint="eastAsia"/>
                      <w:u w:val="single" w:color="auto"/>
                      <w:lang w:eastAsia="zh-CN"/>
                    </w:rPr>
                    <w:t>0.95</w:t>
                  </w:r>
                </w:p>
              </w:tc>
              <w:tc>
                <w:tcPr>
                  <w:tcW w:w="721" w:type="dxa"/>
                  <w:shd w:val="clear" w:color="auto" w:fill="auto"/>
                  <w:vAlign w:val="center"/>
                </w:tcPr>
                <w:p w14:paraId="199861D4">
                  <w:pPr>
                    <w:pStyle w:val="115"/>
                    <w:bidi w:val="0"/>
                    <w:rPr>
                      <w:rFonts w:hint="eastAsia"/>
                      <w:u w:val="single" w:color="auto"/>
                      <w:lang w:val="en-US" w:eastAsia="zh-CN"/>
                    </w:rPr>
                  </w:pPr>
                  <w:r>
                    <w:rPr>
                      <w:rFonts w:hint="eastAsia"/>
                      <w:u w:val="single" w:color="auto"/>
                      <w:lang w:eastAsia="zh-CN"/>
                    </w:rPr>
                    <w:t>0.87</w:t>
                  </w:r>
                </w:p>
              </w:tc>
              <w:tc>
                <w:tcPr>
                  <w:tcW w:w="847" w:type="dxa"/>
                  <w:shd w:val="clear" w:color="auto" w:fill="auto"/>
                  <w:vAlign w:val="center"/>
                </w:tcPr>
                <w:p w14:paraId="6BA6169D">
                  <w:pPr>
                    <w:pStyle w:val="115"/>
                    <w:bidi w:val="0"/>
                    <w:rPr>
                      <w:rFonts w:hint="eastAsia"/>
                      <w:u w:val="single" w:color="auto"/>
                      <w:lang w:val="en-US" w:eastAsia="zh-CN"/>
                    </w:rPr>
                  </w:pPr>
                  <w:r>
                    <w:rPr>
                      <w:rFonts w:hint="eastAsia"/>
                      <w:u w:val="single" w:color="auto"/>
                      <w:lang w:eastAsia="zh-CN"/>
                    </w:rPr>
                    <w:t>0.89</w:t>
                  </w:r>
                </w:p>
              </w:tc>
              <w:tc>
                <w:tcPr>
                  <w:tcW w:w="741" w:type="dxa"/>
                  <w:shd w:val="clear" w:color="auto" w:fill="auto"/>
                  <w:vAlign w:val="center"/>
                </w:tcPr>
                <w:p w14:paraId="1992ACC4">
                  <w:pPr>
                    <w:pStyle w:val="115"/>
                    <w:bidi w:val="0"/>
                    <w:rPr>
                      <w:rFonts w:hint="eastAsia"/>
                      <w:u w:val="single" w:color="auto"/>
                      <w:lang w:val="en-US" w:eastAsia="zh-CN"/>
                    </w:rPr>
                  </w:pPr>
                  <w:r>
                    <w:rPr>
                      <w:rFonts w:hint="eastAsia"/>
                      <w:u w:val="single" w:color="auto"/>
                      <w:lang w:eastAsia="zh-CN"/>
                    </w:rPr>
                    <w:t>0.94</w:t>
                  </w:r>
                </w:p>
              </w:tc>
              <w:tc>
                <w:tcPr>
                  <w:tcW w:w="706" w:type="dxa"/>
                  <w:shd w:val="clear" w:color="auto" w:fill="auto"/>
                  <w:vAlign w:val="center"/>
                </w:tcPr>
                <w:p w14:paraId="0B0BD5C1">
                  <w:pPr>
                    <w:pStyle w:val="115"/>
                    <w:bidi w:val="0"/>
                    <w:rPr>
                      <w:rFonts w:hint="eastAsia"/>
                      <w:u w:val="single" w:color="auto"/>
                      <w:lang w:val="en-US" w:eastAsia="zh-CN"/>
                    </w:rPr>
                  </w:pPr>
                  <w:r>
                    <w:rPr>
                      <w:rFonts w:hint="eastAsia"/>
                      <w:u w:val="single" w:color="auto"/>
                      <w:lang w:eastAsia="zh-CN"/>
                    </w:rPr>
                    <w:t>0.97</w:t>
                  </w:r>
                </w:p>
              </w:tc>
              <w:tc>
                <w:tcPr>
                  <w:tcW w:w="759" w:type="dxa"/>
                  <w:shd w:val="clear" w:color="auto" w:fill="auto"/>
                  <w:vAlign w:val="center"/>
                </w:tcPr>
                <w:p w14:paraId="3F3C6603">
                  <w:pPr>
                    <w:pStyle w:val="115"/>
                    <w:bidi w:val="0"/>
                    <w:rPr>
                      <w:rFonts w:hint="eastAsia"/>
                      <w:u w:val="single" w:color="auto"/>
                      <w:lang w:val="en-US" w:eastAsia="zh-CN"/>
                    </w:rPr>
                  </w:pPr>
                  <w:r>
                    <w:rPr>
                      <w:rFonts w:hint="eastAsia"/>
                      <w:u w:val="single" w:color="auto"/>
                      <w:lang w:eastAsia="zh-CN"/>
                    </w:rPr>
                    <w:t>0.88</w:t>
                  </w:r>
                </w:p>
              </w:tc>
              <w:tc>
                <w:tcPr>
                  <w:tcW w:w="670" w:type="dxa"/>
                  <w:vAlign w:val="center"/>
                </w:tcPr>
                <w:p w14:paraId="012145CB">
                  <w:pPr>
                    <w:pStyle w:val="115"/>
                    <w:bidi w:val="0"/>
                    <w:rPr>
                      <w:rFonts w:hint="default"/>
                      <w:u w:val="single" w:color="auto"/>
                      <w:lang w:val="en-US" w:eastAsia="zh-CN"/>
                    </w:rPr>
                  </w:pPr>
                  <w:r>
                    <w:rPr>
                      <w:rFonts w:hint="eastAsia"/>
                      <w:u w:val="single" w:color="auto"/>
                      <w:lang w:val="en-US" w:eastAsia="zh-CN"/>
                    </w:rPr>
                    <w:t>10</w:t>
                  </w:r>
                </w:p>
              </w:tc>
              <w:tc>
                <w:tcPr>
                  <w:tcW w:w="750" w:type="dxa"/>
                  <w:vAlign w:val="center"/>
                </w:tcPr>
                <w:p w14:paraId="34B63A52">
                  <w:pPr>
                    <w:pStyle w:val="115"/>
                    <w:bidi w:val="0"/>
                    <w:rPr>
                      <w:rFonts w:hint="eastAsia"/>
                      <w:u w:val="single" w:color="auto"/>
                      <w:lang w:eastAsia="zh-CN"/>
                    </w:rPr>
                  </w:pPr>
                  <w:r>
                    <w:rPr>
                      <w:rFonts w:hint="eastAsia"/>
                      <w:u w:val="single" w:color="auto"/>
                      <w:lang w:val="en-US" w:eastAsia="zh-CN"/>
                    </w:rPr>
                    <w:t>达标</w:t>
                  </w:r>
                </w:p>
              </w:tc>
            </w:tr>
          </w:tbl>
          <w:p w14:paraId="28FF71BA">
            <w:pPr>
              <w:bidi w:val="0"/>
              <w:rPr>
                <w:rFonts w:hint="default"/>
                <w:u w:val="single" w:color="auto"/>
              </w:rPr>
            </w:pPr>
            <w:r>
              <w:rPr>
                <w:rFonts w:hint="default"/>
                <w:u w:val="single" w:color="auto"/>
              </w:rPr>
              <w:t>因此</w:t>
            </w:r>
            <w:r>
              <w:rPr>
                <w:rFonts w:hint="eastAsia"/>
                <w:u w:val="single" w:color="auto"/>
                <w:lang w:eastAsia="zh-CN"/>
              </w:rPr>
              <w:t>，</w:t>
            </w:r>
            <w:r>
              <w:rPr>
                <w:rFonts w:hint="eastAsia"/>
                <w:u w:val="single" w:color="auto"/>
                <w:lang w:val="en-US" w:eastAsia="zh-CN"/>
              </w:rPr>
              <w:t>本项目</w:t>
            </w:r>
            <w:r>
              <w:rPr>
                <w:rFonts w:hint="default"/>
                <w:u w:val="single" w:color="auto"/>
              </w:rPr>
              <w:t>堆填场矿坑积水（淋滤水）经</w:t>
            </w:r>
            <w:r>
              <w:rPr>
                <w:rFonts w:hint="eastAsia"/>
                <w:u w:val="single" w:color="auto"/>
                <w:lang w:val="en-US" w:eastAsia="zh-CN"/>
              </w:rPr>
              <w:t>沉淀池</w:t>
            </w:r>
            <w:r>
              <w:rPr>
                <w:rFonts w:hint="default"/>
                <w:u w:val="single" w:color="auto"/>
              </w:rPr>
              <w:t>沉淀后</w:t>
            </w:r>
            <w:r>
              <w:rPr>
                <w:rFonts w:hint="eastAsia"/>
                <w:u w:val="single" w:color="auto"/>
                <w:lang w:val="en-US" w:eastAsia="zh-CN"/>
              </w:rPr>
              <w:t>可达到</w:t>
            </w:r>
            <w:r>
              <w:rPr>
                <w:rFonts w:hint="eastAsia"/>
                <w:color w:val="000000"/>
                <w:highlight w:val="none"/>
                <w:u w:val="single" w:color="auto"/>
              </w:rPr>
              <w:t>《污水综合排放标准》（GB8978-1996）一级标准</w:t>
            </w:r>
            <w:r>
              <w:rPr>
                <w:rFonts w:hint="eastAsia"/>
                <w:u w:val="single" w:color="auto"/>
                <w:lang w:eastAsia="zh-CN"/>
              </w:rPr>
              <w:t>，</w:t>
            </w:r>
            <w:r>
              <w:rPr>
                <w:rFonts w:hint="eastAsia"/>
                <w:u w:val="single" w:color="auto"/>
                <w:lang w:val="en-US" w:eastAsia="zh-CN"/>
              </w:rPr>
              <w:t>矿坑积水（淋滤水）</w:t>
            </w:r>
            <w:r>
              <w:rPr>
                <w:rFonts w:hint="default"/>
                <w:u w:val="single" w:color="auto"/>
              </w:rPr>
              <w:t>直接排放对下游地表水环境影响较小。</w:t>
            </w:r>
          </w:p>
          <w:p w14:paraId="275BCE8D">
            <w:pPr>
              <w:pStyle w:val="44"/>
              <w:bidi w:val="0"/>
              <w:rPr>
                <w:rFonts w:hint="eastAsia"/>
                <w:lang w:eastAsia="zh-CN"/>
              </w:rPr>
            </w:pPr>
            <w:r>
              <w:rPr>
                <w:rFonts w:hint="eastAsia"/>
              </w:rPr>
              <w:t>表</w:t>
            </w:r>
            <w:r>
              <w:rPr>
                <w:rFonts w:hint="eastAsia"/>
                <w:lang w:val="en-US" w:eastAsia="zh-CN"/>
              </w:rPr>
              <w:t>4.3-4：</w:t>
            </w:r>
            <w:r>
              <w:rPr>
                <w:rFonts w:hint="eastAsia"/>
                <w:lang w:eastAsia="zh-CN"/>
              </w:rPr>
              <w:t>项目废水产生及排放</w:t>
            </w:r>
            <w:r>
              <w:rPr>
                <w:rFonts w:hint="eastAsia"/>
              </w:rPr>
              <w:t>情况</w:t>
            </w:r>
            <w:r>
              <w:rPr>
                <w:rFonts w:hint="eastAsia"/>
                <w:lang w:eastAsia="zh-CN"/>
              </w:rPr>
              <w:t>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264"/>
              <w:gridCol w:w="1151"/>
              <w:gridCol w:w="900"/>
              <w:gridCol w:w="1923"/>
              <w:gridCol w:w="2152"/>
            </w:tblGrid>
            <w:tr w14:paraId="1892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8" w:type="dxa"/>
                  <w:tcBorders>
                    <w:tl2br w:val="nil"/>
                    <w:tr2bl w:val="nil"/>
                  </w:tcBorders>
                  <w:noWrap w:val="0"/>
                  <w:vAlign w:val="center"/>
                </w:tcPr>
                <w:p w14:paraId="60D7D152">
                  <w:pPr>
                    <w:pStyle w:val="107"/>
                    <w:bidi w:val="0"/>
                    <w:rPr>
                      <w:b/>
                      <w:bCs/>
                      <w:u w:val="none"/>
                    </w:rPr>
                  </w:pPr>
                  <w:r>
                    <w:rPr>
                      <w:b/>
                      <w:bCs/>
                      <w:u w:val="none"/>
                    </w:rPr>
                    <w:t>序号</w:t>
                  </w:r>
                </w:p>
              </w:tc>
              <w:tc>
                <w:tcPr>
                  <w:tcW w:w="1264" w:type="dxa"/>
                  <w:tcBorders>
                    <w:tl2br w:val="nil"/>
                    <w:tr2bl w:val="nil"/>
                  </w:tcBorders>
                  <w:noWrap w:val="0"/>
                  <w:vAlign w:val="center"/>
                </w:tcPr>
                <w:p w14:paraId="4F4B4B40">
                  <w:pPr>
                    <w:pStyle w:val="107"/>
                    <w:bidi w:val="0"/>
                    <w:rPr>
                      <w:b/>
                      <w:bCs/>
                      <w:u w:val="none"/>
                    </w:rPr>
                  </w:pPr>
                  <w:r>
                    <w:rPr>
                      <w:b/>
                      <w:bCs/>
                      <w:u w:val="none"/>
                    </w:rPr>
                    <w:t>类别</w:t>
                  </w:r>
                </w:p>
              </w:tc>
              <w:tc>
                <w:tcPr>
                  <w:tcW w:w="1151" w:type="dxa"/>
                  <w:tcBorders>
                    <w:tl2br w:val="nil"/>
                    <w:tr2bl w:val="nil"/>
                  </w:tcBorders>
                  <w:noWrap w:val="0"/>
                  <w:vAlign w:val="center"/>
                </w:tcPr>
                <w:p w14:paraId="2255D7B6">
                  <w:pPr>
                    <w:pStyle w:val="107"/>
                    <w:bidi w:val="0"/>
                    <w:rPr>
                      <w:rFonts w:hint="eastAsia"/>
                      <w:b/>
                      <w:bCs/>
                      <w:u w:val="none"/>
                      <w:lang w:eastAsia="zh-CN"/>
                    </w:rPr>
                  </w:pPr>
                  <w:r>
                    <w:rPr>
                      <w:rFonts w:hint="eastAsia"/>
                      <w:b/>
                      <w:bCs/>
                      <w:u w:val="none"/>
                      <w:lang w:eastAsia="zh-CN"/>
                    </w:rPr>
                    <w:t>年产生量</w:t>
                  </w:r>
                </w:p>
                <w:p w14:paraId="7B124A9E">
                  <w:pPr>
                    <w:pStyle w:val="107"/>
                    <w:bidi w:val="0"/>
                    <w:rPr>
                      <w:rFonts w:hint="default"/>
                      <w:b/>
                      <w:bCs/>
                      <w:u w:val="none"/>
                      <w:lang w:val="en-US" w:eastAsia="zh-CN"/>
                    </w:rPr>
                  </w:pPr>
                  <w:r>
                    <w:rPr>
                      <w:rFonts w:hint="eastAsia"/>
                      <w:b/>
                      <w:bCs/>
                      <w:u w:val="none"/>
                      <w:lang w:val="en-US" w:eastAsia="zh-CN"/>
                    </w:rPr>
                    <w:t>m</w:t>
                  </w:r>
                  <w:r>
                    <w:rPr>
                      <w:rFonts w:hint="eastAsia"/>
                      <w:b/>
                      <w:bCs/>
                      <w:u w:val="none"/>
                      <w:vertAlign w:val="superscript"/>
                      <w:lang w:val="en-US" w:eastAsia="zh-CN"/>
                    </w:rPr>
                    <w:t>3</w:t>
                  </w:r>
                  <w:r>
                    <w:rPr>
                      <w:rFonts w:hint="eastAsia"/>
                      <w:b/>
                      <w:bCs/>
                      <w:u w:val="none"/>
                      <w:lang w:val="en-US" w:eastAsia="zh-CN"/>
                    </w:rPr>
                    <w:t>/a</w:t>
                  </w:r>
                </w:p>
              </w:tc>
              <w:tc>
                <w:tcPr>
                  <w:tcW w:w="900" w:type="dxa"/>
                  <w:tcBorders>
                    <w:tl2br w:val="nil"/>
                    <w:tr2bl w:val="nil"/>
                  </w:tcBorders>
                  <w:noWrap w:val="0"/>
                  <w:vAlign w:val="center"/>
                </w:tcPr>
                <w:p w14:paraId="69ED4AFE">
                  <w:pPr>
                    <w:pStyle w:val="107"/>
                    <w:bidi w:val="0"/>
                    <w:rPr>
                      <w:rFonts w:hint="eastAsia"/>
                      <w:b/>
                      <w:bCs/>
                      <w:u w:val="none"/>
                      <w:lang w:eastAsia="zh-CN"/>
                    </w:rPr>
                  </w:pPr>
                  <w:r>
                    <w:rPr>
                      <w:rFonts w:hint="eastAsia"/>
                      <w:b/>
                      <w:bCs/>
                      <w:u w:val="none"/>
                      <w:lang w:eastAsia="zh-CN"/>
                    </w:rPr>
                    <w:t>排水量</w:t>
                  </w:r>
                </w:p>
                <w:p w14:paraId="2D18FC8A">
                  <w:pPr>
                    <w:pStyle w:val="107"/>
                    <w:bidi w:val="0"/>
                    <w:rPr>
                      <w:rFonts w:hint="eastAsia"/>
                      <w:b/>
                      <w:bCs/>
                      <w:u w:val="none"/>
                      <w:lang w:eastAsia="zh-CN"/>
                    </w:rPr>
                  </w:pPr>
                  <w:r>
                    <w:rPr>
                      <w:rFonts w:hint="eastAsia"/>
                      <w:b/>
                      <w:bCs/>
                      <w:u w:val="none"/>
                      <w:lang w:val="en-US" w:eastAsia="zh-CN"/>
                    </w:rPr>
                    <w:t>m</w:t>
                  </w:r>
                  <w:r>
                    <w:rPr>
                      <w:rFonts w:hint="eastAsia"/>
                      <w:b/>
                      <w:bCs/>
                      <w:u w:val="none"/>
                      <w:vertAlign w:val="superscript"/>
                      <w:lang w:val="en-US" w:eastAsia="zh-CN"/>
                    </w:rPr>
                    <w:t>3</w:t>
                  </w:r>
                  <w:r>
                    <w:rPr>
                      <w:rFonts w:hint="eastAsia"/>
                      <w:b/>
                      <w:bCs/>
                      <w:u w:val="none"/>
                      <w:lang w:val="en-US" w:eastAsia="zh-CN"/>
                    </w:rPr>
                    <w:t>/a</w:t>
                  </w:r>
                </w:p>
              </w:tc>
              <w:tc>
                <w:tcPr>
                  <w:tcW w:w="1923" w:type="dxa"/>
                  <w:tcBorders>
                    <w:tl2br w:val="nil"/>
                    <w:tr2bl w:val="nil"/>
                  </w:tcBorders>
                  <w:noWrap w:val="0"/>
                  <w:vAlign w:val="center"/>
                </w:tcPr>
                <w:p w14:paraId="4E5E7E0F">
                  <w:pPr>
                    <w:pStyle w:val="107"/>
                    <w:bidi w:val="0"/>
                    <w:rPr>
                      <w:rFonts w:hint="eastAsia"/>
                      <w:b/>
                      <w:bCs/>
                      <w:u w:val="none"/>
                      <w:lang w:eastAsia="zh-CN"/>
                    </w:rPr>
                  </w:pPr>
                  <w:r>
                    <w:rPr>
                      <w:rFonts w:hint="eastAsia"/>
                      <w:b/>
                      <w:bCs/>
                      <w:u w:val="none"/>
                      <w:lang w:eastAsia="zh-CN"/>
                    </w:rPr>
                    <w:t>主要污染物</w:t>
                  </w:r>
                </w:p>
              </w:tc>
              <w:tc>
                <w:tcPr>
                  <w:tcW w:w="2152" w:type="dxa"/>
                  <w:tcBorders>
                    <w:tl2br w:val="nil"/>
                    <w:tr2bl w:val="nil"/>
                  </w:tcBorders>
                  <w:noWrap w:val="0"/>
                  <w:vAlign w:val="center"/>
                </w:tcPr>
                <w:p w14:paraId="01AE641B">
                  <w:pPr>
                    <w:pStyle w:val="107"/>
                    <w:bidi w:val="0"/>
                    <w:rPr>
                      <w:rFonts w:hint="default"/>
                      <w:b/>
                      <w:bCs/>
                      <w:u w:val="none"/>
                      <w:lang w:val="en-US" w:eastAsia="zh-CN"/>
                    </w:rPr>
                  </w:pPr>
                  <w:r>
                    <w:rPr>
                      <w:rFonts w:hint="eastAsia"/>
                      <w:b/>
                      <w:bCs/>
                      <w:u w:val="none"/>
                      <w:lang w:val="en-US" w:eastAsia="zh-CN"/>
                    </w:rPr>
                    <w:t>处理措施及去向</w:t>
                  </w:r>
                </w:p>
              </w:tc>
            </w:tr>
            <w:tr w14:paraId="2A1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8" w:type="dxa"/>
                  <w:vMerge w:val="restart"/>
                  <w:tcBorders>
                    <w:tl2br w:val="nil"/>
                    <w:tr2bl w:val="nil"/>
                  </w:tcBorders>
                  <w:noWrap w:val="0"/>
                  <w:vAlign w:val="center"/>
                </w:tcPr>
                <w:p w14:paraId="3C20737E">
                  <w:pPr>
                    <w:pStyle w:val="107"/>
                    <w:bidi w:val="0"/>
                    <w:rPr>
                      <w:rFonts w:hint="default"/>
                      <w:u w:val="none"/>
                      <w:lang w:val="en-US" w:eastAsia="zh-CN"/>
                    </w:rPr>
                  </w:pPr>
                  <w:r>
                    <w:rPr>
                      <w:rFonts w:hint="eastAsia"/>
                      <w:u w:val="none"/>
                      <w:lang w:val="en-US" w:eastAsia="zh-CN"/>
                    </w:rPr>
                    <w:t>建筑垃圾填埋场</w:t>
                  </w:r>
                </w:p>
              </w:tc>
              <w:tc>
                <w:tcPr>
                  <w:tcW w:w="1264" w:type="dxa"/>
                  <w:tcBorders>
                    <w:tl2br w:val="nil"/>
                    <w:tr2bl w:val="nil"/>
                  </w:tcBorders>
                  <w:noWrap w:val="0"/>
                  <w:vAlign w:val="center"/>
                </w:tcPr>
                <w:p w14:paraId="18C9F228">
                  <w:pPr>
                    <w:pStyle w:val="107"/>
                    <w:bidi w:val="0"/>
                    <w:rPr>
                      <w:rFonts w:hint="eastAsia"/>
                      <w:u w:val="none"/>
                      <w:lang w:eastAsia="zh-CN"/>
                    </w:rPr>
                  </w:pPr>
                  <w:r>
                    <w:rPr>
                      <w:rFonts w:hint="eastAsia"/>
                      <w:u w:val="none"/>
                      <w:lang w:eastAsia="zh-CN"/>
                    </w:rPr>
                    <w:t>生活污水</w:t>
                  </w:r>
                </w:p>
              </w:tc>
              <w:tc>
                <w:tcPr>
                  <w:tcW w:w="1151" w:type="dxa"/>
                  <w:tcBorders>
                    <w:tl2br w:val="nil"/>
                    <w:tr2bl w:val="nil"/>
                  </w:tcBorders>
                  <w:noWrap w:val="0"/>
                  <w:vAlign w:val="center"/>
                </w:tcPr>
                <w:p w14:paraId="626E918A">
                  <w:pPr>
                    <w:pStyle w:val="107"/>
                    <w:bidi w:val="0"/>
                    <w:rPr>
                      <w:rFonts w:hint="default"/>
                      <w:u w:val="none"/>
                      <w:lang w:val="en-US" w:eastAsia="zh-CN"/>
                    </w:rPr>
                  </w:pPr>
                  <w:r>
                    <w:rPr>
                      <w:rFonts w:hint="eastAsia"/>
                      <w:u w:val="none"/>
                      <w:lang w:val="en-US" w:eastAsia="zh-CN"/>
                    </w:rPr>
                    <w:t>323</w:t>
                  </w:r>
                </w:p>
              </w:tc>
              <w:tc>
                <w:tcPr>
                  <w:tcW w:w="900" w:type="dxa"/>
                  <w:tcBorders>
                    <w:tl2br w:val="nil"/>
                    <w:tr2bl w:val="nil"/>
                  </w:tcBorders>
                  <w:noWrap w:val="0"/>
                  <w:vAlign w:val="center"/>
                </w:tcPr>
                <w:p w14:paraId="5CAEE081">
                  <w:pPr>
                    <w:pStyle w:val="107"/>
                    <w:bidi w:val="0"/>
                    <w:rPr>
                      <w:rFonts w:hint="default"/>
                      <w:u w:val="none"/>
                      <w:lang w:val="en-US" w:eastAsia="zh-CN"/>
                    </w:rPr>
                  </w:pPr>
                  <w:r>
                    <w:rPr>
                      <w:rFonts w:hint="eastAsia"/>
                      <w:u w:val="none"/>
                      <w:lang w:val="en-US" w:eastAsia="zh-CN"/>
                    </w:rPr>
                    <w:t>0</w:t>
                  </w:r>
                </w:p>
              </w:tc>
              <w:tc>
                <w:tcPr>
                  <w:tcW w:w="1923" w:type="dxa"/>
                  <w:tcBorders>
                    <w:tl2br w:val="nil"/>
                    <w:tr2bl w:val="nil"/>
                  </w:tcBorders>
                  <w:noWrap w:val="0"/>
                  <w:vAlign w:val="center"/>
                </w:tcPr>
                <w:p w14:paraId="022083AA">
                  <w:pPr>
                    <w:pStyle w:val="107"/>
                    <w:bidi w:val="0"/>
                    <w:rPr>
                      <w:rFonts w:hint="default"/>
                      <w:u w:val="none"/>
                      <w:lang w:val="en-US" w:eastAsia="zh-CN"/>
                    </w:rPr>
                  </w:pPr>
                  <w:r>
                    <w:rPr>
                      <w:rFonts w:hint="eastAsia"/>
                      <w:u w:val="none"/>
                    </w:rPr>
                    <w:t>COD、BOD</w:t>
                  </w:r>
                  <w:r>
                    <w:rPr>
                      <w:rFonts w:hint="eastAsia"/>
                      <w:u w:val="none"/>
                      <w:vertAlign w:val="subscript"/>
                    </w:rPr>
                    <w:t>5</w:t>
                  </w:r>
                  <w:r>
                    <w:rPr>
                      <w:rFonts w:hint="eastAsia"/>
                      <w:u w:val="none"/>
                    </w:rPr>
                    <w:t>、NH</w:t>
                  </w:r>
                  <w:r>
                    <w:rPr>
                      <w:rFonts w:hint="eastAsia"/>
                      <w:u w:val="none"/>
                      <w:vertAlign w:val="subscript"/>
                    </w:rPr>
                    <w:t>3</w:t>
                  </w:r>
                  <w:r>
                    <w:rPr>
                      <w:rFonts w:hint="eastAsia"/>
                      <w:u w:val="none"/>
                    </w:rPr>
                    <w:t>-N</w:t>
                  </w:r>
                  <w:r>
                    <w:rPr>
                      <w:rFonts w:hint="eastAsia"/>
                      <w:u w:val="none"/>
                      <w:lang w:eastAsia="zh-CN"/>
                    </w:rPr>
                    <w:t>、</w:t>
                  </w:r>
                  <w:r>
                    <w:rPr>
                      <w:rFonts w:hint="eastAsia"/>
                      <w:u w:val="none"/>
                    </w:rPr>
                    <w:t>SS</w:t>
                  </w:r>
                </w:p>
              </w:tc>
              <w:tc>
                <w:tcPr>
                  <w:tcW w:w="2152" w:type="dxa"/>
                  <w:tcBorders>
                    <w:tl2br w:val="nil"/>
                    <w:tr2bl w:val="nil"/>
                  </w:tcBorders>
                  <w:noWrap w:val="0"/>
                  <w:vAlign w:val="center"/>
                </w:tcPr>
                <w:p w14:paraId="1098E4D1">
                  <w:pPr>
                    <w:pStyle w:val="107"/>
                    <w:bidi w:val="0"/>
                    <w:rPr>
                      <w:rFonts w:hint="eastAsia"/>
                      <w:u w:val="none"/>
                    </w:rPr>
                  </w:pPr>
                  <w:r>
                    <w:rPr>
                      <w:rFonts w:hint="eastAsia"/>
                      <w:u w:val="none"/>
                      <w:lang w:val="en-US" w:eastAsia="zh-CN"/>
                    </w:rPr>
                    <w:t>化粪池收集后外运作为农肥</w:t>
                  </w:r>
                </w:p>
              </w:tc>
            </w:tr>
            <w:tr w14:paraId="3B11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8" w:type="dxa"/>
                  <w:vMerge w:val="continue"/>
                  <w:tcBorders>
                    <w:tl2br w:val="nil"/>
                    <w:tr2bl w:val="nil"/>
                  </w:tcBorders>
                  <w:noWrap w:val="0"/>
                  <w:vAlign w:val="center"/>
                </w:tcPr>
                <w:p w14:paraId="41717EBF">
                  <w:pPr>
                    <w:pStyle w:val="107"/>
                    <w:bidi w:val="0"/>
                    <w:rPr>
                      <w:rFonts w:hint="default"/>
                      <w:u w:val="none"/>
                      <w:lang w:val="en-US" w:eastAsia="zh-CN"/>
                    </w:rPr>
                  </w:pPr>
                </w:p>
              </w:tc>
              <w:tc>
                <w:tcPr>
                  <w:tcW w:w="1264" w:type="dxa"/>
                  <w:tcBorders>
                    <w:tl2br w:val="nil"/>
                    <w:tr2bl w:val="nil"/>
                  </w:tcBorders>
                  <w:noWrap w:val="0"/>
                  <w:vAlign w:val="center"/>
                </w:tcPr>
                <w:p w14:paraId="44AEC470">
                  <w:pPr>
                    <w:pStyle w:val="107"/>
                    <w:bidi w:val="0"/>
                    <w:rPr>
                      <w:rFonts w:hint="eastAsia"/>
                      <w:u w:val="none"/>
                      <w:lang w:eastAsia="zh-CN"/>
                    </w:rPr>
                  </w:pPr>
                  <w:r>
                    <w:rPr>
                      <w:rFonts w:hint="eastAsia"/>
                      <w:u w:val="none"/>
                    </w:rPr>
                    <w:t>车辆冲洗</w:t>
                  </w:r>
                  <w:r>
                    <w:rPr>
                      <w:rFonts w:hint="eastAsia"/>
                      <w:u w:val="none"/>
                      <w:lang w:eastAsia="zh-CN"/>
                    </w:rPr>
                    <w:t>废水</w:t>
                  </w:r>
                </w:p>
              </w:tc>
              <w:tc>
                <w:tcPr>
                  <w:tcW w:w="1151" w:type="dxa"/>
                  <w:tcBorders>
                    <w:tl2br w:val="nil"/>
                    <w:tr2bl w:val="nil"/>
                  </w:tcBorders>
                  <w:noWrap w:val="0"/>
                  <w:vAlign w:val="center"/>
                </w:tcPr>
                <w:p w14:paraId="18920119">
                  <w:pPr>
                    <w:pStyle w:val="107"/>
                    <w:bidi w:val="0"/>
                    <w:rPr>
                      <w:rFonts w:hint="default"/>
                      <w:u w:val="none"/>
                      <w:lang w:val="en-US" w:eastAsia="zh-CN"/>
                    </w:rPr>
                  </w:pPr>
                  <w:r>
                    <w:rPr>
                      <w:rFonts w:hint="eastAsia"/>
                      <w:u w:val="none"/>
                      <w:lang w:val="en-US" w:eastAsia="zh-CN"/>
                    </w:rPr>
                    <w:t>186.15</w:t>
                  </w:r>
                </w:p>
              </w:tc>
              <w:tc>
                <w:tcPr>
                  <w:tcW w:w="900" w:type="dxa"/>
                  <w:tcBorders>
                    <w:tl2br w:val="nil"/>
                    <w:tr2bl w:val="nil"/>
                  </w:tcBorders>
                  <w:noWrap w:val="0"/>
                  <w:vAlign w:val="center"/>
                </w:tcPr>
                <w:p w14:paraId="6CC2B9A4">
                  <w:pPr>
                    <w:pStyle w:val="107"/>
                    <w:bidi w:val="0"/>
                    <w:rPr>
                      <w:rFonts w:hint="default"/>
                      <w:u w:val="none"/>
                      <w:lang w:val="en-US" w:eastAsia="zh-CN"/>
                    </w:rPr>
                  </w:pPr>
                  <w:r>
                    <w:rPr>
                      <w:rFonts w:hint="eastAsia"/>
                      <w:u w:val="none"/>
                      <w:lang w:val="en-US" w:eastAsia="zh-CN"/>
                    </w:rPr>
                    <w:t>0</w:t>
                  </w:r>
                </w:p>
              </w:tc>
              <w:tc>
                <w:tcPr>
                  <w:tcW w:w="1923" w:type="dxa"/>
                  <w:tcBorders>
                    <w:tl2br w:val="nil"/>
                    <w:tr2bl w:val="nil"/>
                  </w:tcBorders>
                  <w:noWrap w:val="0"/>
                  <w:vAlign w:val="center"/>
                </w:tcPr>
                <w:p w14:paraId="60AC99B7">
                  <w:pPr>
                    <w:pStyle w:val="107"/>
                    <w:bidi w:val="0"/>
                    <w:rPr>
                      <w:rFonts w:hint="default"/>
                      <w:u w:val="none"/>
                      <w:lang w:val="en-US" w:eastAsia="zh-CN"/>
                    </w:rPr>
                  </w:pPr>
                  <w:r>
                    <w:rPr>
                      <w:rFonts w:hint="eastAsia"/>
                      <w:u w:val="none"/>
                      <w:lang w:val="en-US" w:eastAsia="zh-CN"/>
                    </w:rPr>
                    <w:t>SS、石油类</w:t>
                  </w:r>
                </w:p>
              </w:tc>
              <w:tc>
                <w:tcPr>
                  <w:tcW w:w="2152" w:type="dxa"/>
                  <w:tcBorders>
                    <w:tl2br w:val="nil"/>
                    <w:tr2bl w:val="nil"/>
                  </w:tcBorders>
                  <w:noWrap w:val="0"/>
                  <w:vAlign w:val="center"/>
                </w:tcPr>
                <w:p w14:paraId="2122CC8A">
                  <w:pPr>
                    <w:pStyle w:val="107"/>
                    <w:bidi w:val="0"/>
                    <w:rPr>
                      <w:rFonts w:hint="eastAsia"/>
                      <w:u w:val="none"/>
                      <w:lang w:val="en-US" w:eastAsia="zh-CN"/>
                    </w:rPr>
                  </w:pPr>
                  <w:r>
                    <w:rPr>
                      <w:rFonts w:hint="eastAsia"/>
                      <w:u w:val="none"/>
                      <w:lang w:val="en-US" w:eastAsia="zh-CN"/>
                    </w:rPr>
                    <w:t>洗车废水沉淀池沉淀后回用</w:t>
                  </w:r>
                </w:p>
              </w:tc>
            </w:tr>
            <w:tr w14:paraId="02A9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8" w:type="dxa"/>
                  <w:vMerge w:val="continue"/>
                  <w:tcBorders>
                    <w:tl2br w:val="nil"/>
                    <w:tr2bl w:val="nil"/>
                  </w:tcBorders>
                  <w:noWrap w:val="0"/>
                  <w:vAlign w:val="center"/>
                </w:tcPr>
                <w:p w14:paraId="500A902B">
                  <w:pPr>
                    <w:pStyle w:val="107"/>
                    <w:bidi w:val="0"/>
                    <w:rPr>
                      <w:rFonts w:hint="default"/>
                      <w:u w:val="none"/>
                      <w:lang w:val="en-US" w:eastAsia="zh-CN"/>
                    </w:rPr>
                  </w:pPr>
                </w:p>
              </w:tc>
              <w:tc>
                <w:tcPr>
                  <w:tcW w:w="1264" w:type="dxa"/>
                  <w:tcBorders>
                    <w:tl2br w:val="nil"/>
                    <w:tr2bl w:val="nil"/>
                  </w:tcBorders>
                  <w:noWrap w:val="0"/>
                  <w:vAlign w:val="center"/>
                </w:tcPr>
                <w:p w14:paraId="501941FD">
                  <w:pPr>
                    <w:pStyle w:val="107"/>
                    <w:bidi w:val="0"/>
                    <w:rPr>
                      <w:rFonts w:hint="default"/>
                      <w:u w:val="none"/>
                      <w:lang w:val="en-US" w:eastAsia="zh-CN"/>
                    </w:rPr>
                  </w:pPr>
                  <w:r>
                    <w:rPr>
                      <w:rFonts w:hint="default"/>
                      <w:u w:val="none"/>
                      <w:lang w:val="en-US" w:eastAsia="zh-CN"/>
                    </w:rPr>
                    <w:t>矿坑积水</w:t>
                  </w:r>
                </w:p>
                <w:p w14:paraId="0499591E">
                  <w:pPr>
                    <w:pStyle w:val="107"/>
                    <w:bidi w:val="0"/>
                    <w:rPr>
                      <w:rFonts w:hint="default"/>
                      <w:u w:val="none"/>
                      <w:lang w:val="en-US" w:eastAsia="zh-CN"/>
                    </w:rPr>
                  </w:pPr>
                  <w:r>
                    <w:rPr>
                      <w:rFonts w:hint="default"/>
                      <w:u w:val="none"/>
                      <w:lang w:val="en-US" w:eastAsia="zh-CN"/>
                    </w:rPr>
                    <w:t>（淋滤水）</w:t>
                  </w:r>
                </w:p>
              </w:tc>
              <w:tc>
                <w:tcPr>
                  <w:tcW w:w="1151" w:type="dxa"/>
                  <w:tcBorders>
                    <w:tl2br w:val="nil"/>
                    <w:tr2bl w:val="nil"/>
                  </w:tcBorders>
                  <w:noWrap w:val="0"/>
                  <w:vAlign w:val="center"/>
                </w:tcPr>
                <w:p w14:paraId="4C69996B">
                  <w:pPr>
                    <w:pStyle w:val="107"/>
                    <w:bidi w:val="0"/>
                    <w:jc w:val="center"/>
                    <w:rPr>
                      <w:rFonts w:hint="default"/>
                      <w:u w:val="none"/>
                      <w:lang w:val="en-US" w:eastAsia="zh-CN"/>
                    </w:rPr>
                  </w:pPr>
                  <w:r>
                    <w:rPr>
                      <w:rFonts w:hint="eastAsia"/>
                      <w:u w:val="none"/>
                      <w:lang w:val="en-US" w:eastAsia="zh-CN"/>
                    </w:rPr>
                    <w:t>30238.4</w:t>
                  </w:r>
                </w:p>
              </w:tc>
              <w:tc>
                <w:tcPr>
                  <w:tcW w:w="900" w:type="dxa"/>
                  <w:tcBorders>
                    <w:tl2br w:val="nil"/>
                    <w:tr2bl w:val="nil"/>
                  </w:tcBorders>
                  <w:noWrap w:val="0"/>
                  <w:vAlign w:val="center"/>
                </w:tcPr>
                <w:p w14:paraId="538C55C3">
                  <w:pPr>
                    <w:pStyle w:val="107"/>
                    <w:bidi w:val="0"/>
                    <w:rPr>
                      <w:rFonts w:hint="default"/>
                      <w:u w:val="none"/>
                      <w:lang w:val="en-US" w:eastAsia="zh-CN"/>
                    </w:rPr>
                  </w:pPr>
                  <w:r>
                    <w:rPr>
                      <w:rFonts w:hint="eastAsia"/>
                      <w:u w:val="none"/>
                      <w:lang w:val="en-US" w:eastAsia="zh-CN"/>
                    </w:rPr>
                    <w:t>30238.4</w:t>
                  </w:r>
                </w:p>
              </w:tc>
              <w:tc>
                <w:tcPr>
                  <w:tcW w:w="1923" w:type="dxa"/>
                  <w:tcBorders>
                    <w:tl2br w:val="nil"/>
                    <w:tr2bl w:val="nil"/>
                  </w:tcBorders>
                  <w:noWrap w:val="0"/>
                  <w:vAlign w:val="center"/>
                </w:tcPr>
                <w:p w14:paraId="5705ED42">
                  <w:pPr>
                    <w:pStyle w:val="107"/>
                    <w:bidi w:val="0"/>
                    <w:rPr>
                      <w:rFonts w:hint="eastAsia"/>
                      <w:u w:val="none"/>
                      <w:lang w:val="en-US" w:eastAsia="zh-CN"/>
                    </w:rPr>
                  </w:pPr>
                  <w:r>
                    <w:rPr>
                      <w:rFonts w:hint="eastAsia"/>
                      <w:u w:val="none"/>
                    </w:rPr>
                    <w:t>COD</w:t>
                  </w:r>
                  <w:r>
                    <w:rPr>
                      <w:rFonts w:hint="eastAsia"/>
                      <w:u w:val="none"/>
                      <w:lang w:eastAsia="zh-CN"/>
                    </w:rPr>
                    <w:t>、</w:t>
                  </w:r>
                  <w:r>
                    <w:rPr>
                      <w:rFonts w:hint="eastAsia"/>
                      <w:u w:val="none"/>
                    </w:rPr>
                    <w:t>SS</w:t>
                  </w:r>
                </w:p>
              </w:tc>
              <w:tc>
                <w:tcPr>
                  <w:tcW w:w="2152" w:type="dxa"/>
                  <w:tcBorders>
                    <w:tl2br w:val="nil"/>
                    <w:tr2bl w:val="nil"/>
                  </w:tcBorders>
                  <w:noWrap w:val="0"/>
                  <w:vAlign w:val="center"/>
                </w:tcPr>
                <w:p w14:paraId="41868665">
                  <w:pPr>
                    <w:pStyle w:val="107"/>
                    <w:bidi w:val="0"/>
                    <w:rPr>
                      <w:rFonts w:hint="default"/>
                      <w:u w:val="none"/>
                      <w:lang w:val="en-US" w:eastAsia="zh-CN"/>
                    </w:rPr>
                  </w:pPr>
                  <w:r>
                    <w:rPr>
                      <w:rFonts w:hint="eastAsia"/>
                      <w:u w:val="none"/>
                      <w:lang w:val="en-US" w:eastAsia="zh-CN"/>
                    </w:rPr>
                    <w:t>沉淀处理达标后排放</w:t>
                  </w:r>
                </w:p>
              </w:tc>
            </w:tr>
            <w:tr w14:paraId="6A71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32" w:type="dxa"/>
                  <w:gridSpan w:val="2"/>
                  <w:tcBorders>
                    <w:tl2br w:val="nil"/>
                    <w:tr2bl w:val="nil"/>
                  </w:tcBorders>
                  <w:noWrap w:val="0"/>
                  <w:vAlign w:val="center"/>
                </w:tcPr>
                <w:p w14:paraId="126055A3">
                  <w:pPr>
                    <w:pStyle w:val="107"/>
                    <w:bidi w:val="0"/>
                    <w:rPr>
                      <w:u w:val="none"/>
                    </w:rPr>
                  </w:pPr>
                  <w:r>
                    <w:rPr>
                      <w:u w:val="none"/>
                    </w:rPr>
                    <w:t>合计</w:t>
                  </w:r>
                </w:p>
              </w:tc>
              <w:tc>
                <w:tcPr>
                  <w:tcW w:w="1151" w:type="dxa"/>
                  <w:tcBorders>
                    <w:tl2br w:val="nil"/>
                    <w:tr2bl w:val="nil"/>
                  </w:tcBorders>
                  <w:noWrap w:val="0"/>
                  <w:vAlign w:val="center"/>
                </w:tcPr>
                <w:p w14:paraId="5725345E">
                  <w:pPr>
                    <w:pStyle w:val="107"/>
                    <w:bidi w:val="0"/>
                    <w:rPr>
                      <w:rFonts w:hint="default"/>
                      <w:u w:val="none"/>
                      <w:lang w:val="en-US" w:eastAsia="zh-CN"/>
                    </w:rPr>
                  </w:pPr>
                  <w:r>
                    <w:rPr>
                      <w:rFonts w:hint="eastAsia"/>
                      <w:u w:val="none"/>
                      <w:lang w:val="en-US" w:eastAsia="zh-CN"/>
                    </w:rPr>
                    <w:t>/</w:t>
                  </w:r>
                </w:p>
              </w:tc>
              <w:tc>
                <w:tcPr>
                  <w:tcW w:w="900" w:type="dxa"/>
                  <w:tcBorders>
                    <w:tl2br w:val="nil"/>
                    <w:tr2bl w:val="nil"/>
                  </w:tcBorders>
                  <w:noWrap w:val="0"/>
                  <w:vAlign w:val="center"/>
                </w:tcPr>
                <w:p w14:paraId="22A9340B">
                  <w:pPr>
                    <w:pStyle w:val="107"/>
                    <w:bidi w:val="0"/>
                    <w:rPr>
                      <w:rFonts w:hint="default"/>
                      <w:u w:val="none"/>
                      <w:lang w:val="en-US" w:eastAsia="zh-CN"/>
                    </w:rPr>
                  </w:pPr>
                  <w:r>
                    <w:rPr>
                      <w:rFonts w:hint="default"/>
                      <w:u w:val="none"/>
                      <w:lang w:val="en-US" w:eastAsia="zh-CN"/>
                    </w:rPr>
                    <w:t>30238.4</w:t>
                  </w:r>
                </w:p>
              </w:tc>
              <w:tc>
                <w:tcPr>
                  <w:tcW w:w="1923" w:type="dxa"/>
                  <w:tcBorders>
                    <w:tl2br w:val="nil"/>
                    <w:tr2bl w:val="nil"/>
                  </w:tcBorders>
                  <w:noWrap w:val="0"/>
                  <w:vAlign w:val="center"/>
                </w:tcPr>
                <w:p w14:paraId="08328B8C">
                  <w:pPr>
                    <w:pStyle w:val="107"/>
                    <w:bidi w:val="0"/>
                    <w:rPr>
                      <w:rFonts w:hint="default"/>
                      <w:u w:val="none"/>
                      <w:lang w:val="en-US" w:eastAsia="zh-CN"/>
                    </w:rPr>
                  </w:pPr>
                  <w:r>
                    <w:rPr>
                      <w:rFonts w:hint="eastAsia"/>
                      <w:u w:val="none"/>
                      <w:lang w:val="en-US" w:eastAsia="zh-CN"/>
                    </w:rPr>
                    <w:t>/</w:t>
                  </w:r>
                </w:p>
              </w:tc>
              <w:tc>
                <w:tcPr>
                  <w:tcW w:w="2152" w:type="dxa"/>
                  <w:tcBorders>
                    <w:tl2br w:val="nil"/>
                    <w:tr2bl w:val="nil"/>
                  </w:tcBorders>
                  <w:noWrap w:val="0"/>
                  <w:vAlign w:val="center"/>
                </w:tcPr>
                <w:p w14:paraId="0F7FB2B7">
                  <w:pPr>
                    <w:pStyle w:val="107"/>
                    <w:bidi w:val="0"/>
                    <w:rPr>
                      <w:rFonts w:hint="eastAsia"/>
                      <w:u w:val="none"/>
                      <w:lang w:val="en-US" w:eastAsia="zh-CN"/>
                    </w:rPr>
                  </w:pPr>
                  <w:r>
                    <w:rPr>
                      <w:rFonts w:hint="eastAsia"/>
                      <w:u w:val="none"/>
                      <w:lang w:val="en-US" w:eastAsia="zh-CN"/>
                    </w:rPr>
                    <w:t>/</w:t>
                  </w:r>
                </w:p>
              </w:tc>
            </w:tr>
          </w:tbl>
          <w:p w14:paraId="16E5060C">
            <w:pPr>
              <w:pStyle w:val="5"/>
              <w:bidi w:val="0"/>
              <w:rPr>
                <w:rFonts w:hint="default"/>
              </w:rPr>
            </w:pPr>
            <w:r>
              <w:rPr>
                <w:rFonts w:hint="eastAsia"/>
                <w:lang w:val="en-US" w:eastAsia="zh-CN"/>
              </w:rPr>
              <w:t>4.3.2</w:t>
            </w:r>
            <w:r>
              <w:rPr>
                <w:rFonts w:hint="eastAsia"/>
              </w:rPr>
              <w:t>污水治理设施及排放分析</w:t>
            </w:r>
          </w:p>
          <w:p w14:paraId="41B33090">
            <w:pPr>
              <w:bidi w:val="0"/>
              <w:rPr>
                <w:rFonts w:hint="eastAsia"/>
                <w:lang w:eastAsia="zh-CN"/>
              </w:rPr>
            </w:pPr>
            <w:r>
              <w:rPr>
                <w:rFonts w:hint="eastAsia"/>
                <w:lang w:eastAsia="zh-CN"/>
              </w:rPr>
              <w:t>（</w:t>
            </w:r>
            <w:r>
              <w:rPr>
                <w:rFonts w:hint="eastAsia"/>
                <w:lang w:val="en-US" w:eastAsia="zh-CN"/>
              </w:rPr>
              <w:t>1</w:t>
            </w:r>
            <w:r>
              <w:rPr>
                <w:rFonts w:hint="eastAsia"/>
                <w:lang w:eastAsia="zh-CN"/>
              </w:rPr>
              <w:t>）生活污水处理措施可行性分析</w:t>
            </w:r>
          </w:p>
          <w:p w14:paraId="6FB003AE">
            <w:pPr>
              <w:bidi w:val="0"/>
              <w:rPr>
                <w:rFonts w:hint="default"/>
              </w:rPr>
            </w:pPr>
            <w:r>
              <w:rPr>
                <w:rFonts w:hint="default"/>
              </w:rPr>
              <w:t>项目化粪池容积约为</w:t>
            </w:r>
            <w:r>
              <w:rPr>
                <w:rFonts w:hint="eastAsia"/>
                <w:lang w:val="en-US" w:eastAsia="zh-CN"/>
              </w:rPr>
              <w:t>10</w:t>
            </w:r>
            <w:r>
              <w:rPr>
                <w:rFonts w:hint="default"/>
              </w:rPr>
              <w:t>m</w:t>
            </w:r>
            <w:r>
              <w:rPr>
                <w:rFonts w:hint="default"/>
                <w:vertAlign w:val="superscript"/>
              </w:rPr>
              <w:t>3</w:t>
            </w:r>
            <w:r>
              <w:rPr>
                <w:rFonts w:hint="default"/>
              </w:rPr>
              <w:t>，本项目废水产生量约为</w:t>
            </w:r>
            <w:r>
              <w:rPr>
                <w:rFonts w:hint="eastAsia"/>
                <w:lang w:val="en-US" w:eastAsia="zh-CN"/>
              </w:rPr>
              <w:t>0.885</w:t>
            </w:r>
            <w:r>
              <w:rPr>
                <w:rFonts w:hint="default"/>
              </w:rPr>
              <w:t>m</w:t>
            </w:r>
            <w:r>
              <w:rPr>
                <w:rFonts w:hint="default"/>
                <w:vertAlign w:val="superscript"/>
              </w:rPr>
              <w:t>3</w:t>
            </w:r>
            <w:r>
              <w:rPr>
                <w:rFonts w:hint="default"/>
              </w:rPr>
              <w:t>/d，化粪池容积满足废水处理要求。项目废水采用化粪池处理</w:t>
            </w:r>
            <w:r>
              <w:rPr>
                <w:rFonts w:hint="eastAsia"/>
                <w:lang w:val="en-US" w:eastAsia="zh-CN"/>
              </w:rPr>
              <w:t>后用作周边林地做农肥，不外排</w:t>
            </w:r>
            <w:r>
              <w:rPr>
                <w:rFonts w:hint="default"/>
              </w:rPr>
              <w:t>。</w:t>
            </w:r>
          </w:p>
          <w:p w14:paraId="1660A79A">
            <w:pPr>
              <w:bidi w:val="0"/>
              <w:rPr>
                <w:rFonts w:hint="default"/>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洗车废水</w:t>
            </w:r>
            <w:r>
              <w:rPr>
                <w:rFonts w:hint="eastAsia"/>
                <w:lang w:eastAsia="zh-CN"/>
              </w:rPr>
              <w:t>处理措施可行性分析</w:t>
            </w:r>
          </w:p>
          <w:p w14:paraId="1CF86B1D">
            <w:pPr>
              <w:bidi w:val="0"/>
              <w:rPr>
                <w:rFonts w:hint="default"/>
              </w:rPr>
            </w:pPr>
            <w:r>
              <w:rPr>
                <w:rFonts w:hint="default"/>
              </w:rPr>
              <w:t>建筑垃圾消纳场对进出车辆轮胎进行清洗，对水质要求不高，经沉淀后可做到循环使用不外排，设</w:t>
            </w:r>
            <w:r>
              <w:rPr>
                <w:rFonts w:hint="eastAsia"/>
                <w:lang w:val="en-US" w:eastAsia="zh-CN"/>
              </w:rPr>
              <w:t>洗车废水沉淀池</w:t>
            </w:r>
            <w:r>
              <w:rPr>
                <w:rFonts w:hint="default"/>
              </w:rPr>
              <w:t>一个，容积约为</w:t>
            </w:r>
            <w:r>
              <w:rPr>
                <w:rFonts w:hint="eastAsia"/>
                <w:lang w:val="en-US" w:eastAsia="zh-CN"/>
              </w:rPr>
              <w:t>10m</w:t>
            </w:r>
            <w:r>
              <w:rPr>
                <w:rFonts w:hint="eastAsia"/>
                <w:vertAlign w:val="superscript"/>
                <w:lang w:val="en-US" w:eastAsia="zh-CN"/>
              </w:rPr>
              <w:t>3</w:t>
            </w:r>
            <w:r>
              <w:rPr>
                <w:rFonts w:hint="default"/>
              </w:rPr>
              <w:t>，其洗车池可以满足日常需求，同时通过定期对洗车池内沉渣进行清掏，保证使用容积，因此洗车废水处理措施可行。</w:t>
            </w:r>
          </w:p>
          <w:p w14:paraId="7B1D1E62">
            <w:pPr>
              <w:bidi w:val="0"/>
              <w:rPr>
                <w:rFonts w:hint="default"/>
                <w:u w:val="single"/>
                <w:lang w:val="en-US" w:eastAsia="zh-CN"/>
              </w:rPr>
            </w:pPr>
            <w:r>
              <w:rPr>
                <w:rFonts w:hint="eastAsia"/>
                <w:lang w:eastAsia="zh-CN"/>
              </w:rPr>
              <w:t>（</w:t>
            </w:r>
            <w:r>
              <w:rPr>
                <w:rFonts w:hint="eastAsia"/>
                <w:u w:val="single"/>
                <w:lang w:val="en-US" w:eastAsia="zh-CN"/>
              </w:rPr>
              <w:t>3</w:t>
            </w:r>
            <w:r>
              <w:rPr>
                <w:rFonts w:hint="eastAsia"/>
                <w:u w:val="single"/>
                <w:lang w:eastAsia="zh-CN"/>
              </w:rPr>
              <w:t>）</w:t>
            </w:r>
            <w:r>
              <w:rPr>
                <w:rFonts w:hint="eastAsia"/>
                <w:u w:val="single"/>
                <w:lang w:val="en-US" w:eastAsia="zh-CN"/>
              </w:rPr>
              <w:t>淋溶水处理措施可行性分析</w:t>
            </w:r>
          </w:p>
          <w:p w14:paraId="2F841BE5">
            <w:pPr>
              <w:bidi w:val="0"/>
              <w:rPr>
                <w:rFonts w:hint="eastAsia"/>
                <w:u w:val="single"/>
              </w:rPr>
            </w:pPr>
            <w:r>
              <w:rPr>
                <w:rFonts w:hint="eastAsia"/>
                <w:u w:val="single"/>
              </w:rPr>
              <w:t>本项目一期工程利用历史遗留矿坑堆填，矿坑深约10m，无法修建进坑道路。淋滤水（矿坑积水）主要来源于降入库区的雨水，</w:t>
            </w:r>
            <w:r>
              <w:rPr>
                <w:rFonts w:hint="eastAsia"/>
                <w:u w:val="single"/>
                <w:lang w:val="en-US" w:eastAsia="zh-CN"/>
              </w:rPr>
              <w:t>坑底积水</w:t>
            </w:r>
            <w:r>
              <w:rPr>
                <w:rFonts w:hint="eastAsia"/>
                <w:u w:val="single"/>
              </w:rPr>
              <w:t>由潜污泵（一用一备）抽至地面淋滤水沉淀池（有效容积30m</w:t>
            </w:r>
            <w:r>
              <w:rPr>
                <w:rFonts w:hint="eastAsia"/>
                <w:u w:val="single"/>
                <w:vertAlign w:val="superscript"/>
                <w:lang w:val="en-US" w:eastAsia="zh-CN"/>
              </w:rPr>
              <w:t>3</w:t>
            </w:r>
            <w:r>
              <w:rPr>
                <w:rFonts w:hint="eastAsia"/>
                <w:u w:val="single"/>
              </w:rPr>
              <w:t>），沉淀处理达到</w:t>
            </w:r>
            <w:r>
              <w:rPr>
                <w:rFonts w:hint="eastAsia"/>
                <w:u w:val="single"/>
                <w:lang w:val="en-US" w:eastAsia="zh-CN"/>
              </w:rPr>
              <w:t>《污水综合排放标准》（GB8978-1996）一级标准</w:t>
            </w:r>
            <w:r>
              <w:rPr>
                <w:rFonts w:hint="eastAsia"/>
                <w:u w:val="single"/>
              </w:rPr>
              <w:t>后，优先回用于场区道路洒水、堆填作业抑尘及车辆冲洗补充用水，剩余部分排入东侧</w:t>
            </w:r>
            <w:r>
              <w:rPr>
                <w:rFonts w:hint="eastAsia"/>
                <w:u w:val="single"/>
                <w:lang w:val="en-US" w:eastAsia="zh-CN"/>
              </w:rPr>
              <w:t>沟渠中汇入洪溪</w:t>
            </w:r>
            <w:r>
              <w:rPr>
                <w:rFonts w:hint="eastAsia"/>
                <w:u w:val="single"/>
              </w:rPr>
              <w:t>。</w:t>
            </w:r>
          </w:p>
          <w:p w14:paraId="566F79E6">
            <w:pPr>
              <w:rPr>
                <w:u w:val="single"/>
              </w:rPr>
            </w:pPr>
            <w:r>
              <w:rPr>
                <w:rFonts w:hint="eastAsia"/>
                <w:u w:val="single"/>
                <w:lang w:val="en-US" w:eastAsia="zh-CN"/>
              </w:rPr>
              <w:t>淋滤水沉淀池容积可行性分析：</w:t>
            </w:r>
            <w:r>
              <w:rPr>
                <w:rFonts w:hint="eastAsia"/>
                <w:u w:val="single"/>
              </w:rPr>
              <w:t>参照《建筑垃圾处理技术标准》</w:t>
            </w:r>
            <w:r>
              <w:rPr>
                <w:rFonts w:hint="eastAsia"/>
                <w:u w:val="single"/>
                <w:lang w:eastAsia="zh-CN"/>
              </w:rPr>
              <w:t>（</w:t>
            </w:r>
            <w:r>
              <w:rPr>
                <w:rFonts w:hint="eastAsia"/>
                <w:u w:val="single"/>
              </w:rPr>
              <w:t>JJ/T134-2019）附录D要求，计算沉淀池容量，计算值宜按历史最大日降雨量或20年一遇连续七日最大降雨量进行校核，在当地没有上述历史数据时，也可采用现有全部年数据进行校核。并将校核值与上述计算出来的需要调节的总容量进行比较，取其中较大者，在此基础上乘以安全系数1.1~1.3即为所取絮凝沉淀池容积。本次计算采取</w:t>
            </w:r>
            <w:r>
              <w:rPr>
                <w:rFonts w:hint="eastAsia"/>
                <w:u w:val="single"/>
                <w:lang w:val="en-US" w:eastAsia="zh-CN"/>
              </w:rPr>
              <w:t>洪江市</w:t>
            </w:r>
            <w:r>
              <w:rPr>
                <w:rFonts w:hint="eastAsia"/>
                <w:u w:val="single"/>
              </w:rPr>
              <w:t>最大日降雨量计算出来雨水淋溶液日平最大产生量为</w:t>
            </w:r>
            <w:r>
              <w:rPr>
                <w:rFonts w:hint="eastAsia"/>
                <w:u w:val="single"/>
                <w:lang w:val="en-US" w:eastAsia="zh-CN"/>
              </w:rPr>
              <w:t>188.99</w:t>
            </w:r>
            <w:r>
              <w:rPr>
                <w:rFonts w:hint="eastAsia"/>
                <w:u w:val="single"/>
              </w:rPr>
              <w:t>m</w:t>
            </w:r>
            <w:r>
              <w:rPr>
                <w:rFonts w:hint="eastAsia"/>
                <w:u w:val="single"/>
                <w:vertAlign w:val="superscript"/>
              </w:rPr>
              <w:t>3</w:t>
            </w:r>
            <w:r>
              <w:rPr>
                <w:rFonts w:hint="eastAsia"/>
                <w:u w:val="single"/>
              </w:rPr>
              <w:t>，但本项目雨水淋溶液采取絮凝沉淀进行处理，絮凝沉降时间按照3小时计算，则理论上絮凝沉淀池至少需要</w:t>
            </w:r>
            <w:r>
              <w:rPr>
                <w:rFonts w:hint="eastAsia"/>
                <w:u w:val="single"/>
                <w:lang w:val="en-US" w:eastAsia="zh-CN"/>
              </w:rPr>
              <w:t>23.61</w:t>
            </w:r>
            <w:r>
              <w:rPr>
                <w:rFonts w:hint="eastAsia"/>
                <w:u w:val="single"/>
              </w:rPr>
              <w:t>m</w:t>
            </w:r>
            <w:r>
              <w:rPr>
                <w:rFonts w:hint="eastAsia"/>
                <w:u w:val="single"/>
                <w:vertAlign w:val="superscript"/>
              </w:rPr>
              <w:t>3</w:t>
            </w:r>
            <w:r>
              <w:rPr>
                <w:rFonts w:hint="eastAsia"/>
                <w:u w:val="single"/>
              </w:rPr>
              <w:t>即可满足雨水淋溶液处理需求，按照设计预留20%设计余量考虑，环评要求建设单位絮凝沉淀池容积不得小于</w:t>
            </w:r>
            <w:r>
              <w:rPr>
                <w:rFonts w:hint="eastAsia"/>
                <w:u w:val="single"/>
                <w:lang w:val="en-US" w:eastAsia="zh-CN"/>
              </w:rPr>
              <w:t>28.33</w:t>
            </w:r>
            <w:r>
              <w:rPr>
                <w:rFonts w:hint="eastAsia"/>
                <w:u w:val="single"/>
              </w:rPr>
              <w:t>m</w:t>
            </w:r>
            <w:r>
              <w:rPr>
                <w:rFonts w:hint="eastAsia"/>
                <w:u w:val="single"/>
                <w:vertAlign w:val="superscript"/>
              </w:rPr>
              <w:t>3</w:t>
            </w:r>
            <w:r>
              <w:rPr>
                <w:rFonts w:hint="eastAsia"/>
                <w:u w:val="single"/>
              </w:rPr>
              <w:t>，可以满足雨水淋溶液的处理需求。</w:t>
            </w:r>
          </w:p>
          <w:p w14:paraId="2D172996">
            <w:pPr>
              <w:bidi w:val="0"/>
              <w:rPr>
                <w:rFonts w:hint="default" w:eastAsia="宋体"/>
                <w:strike w:val="0"/>
                <w:dstrike w:val="0"/>
                <w:u w:val="single"/>
                <w:lang w:val="en-US" w:eastAsia="zh-CN"/>
              </w:rPr>
            </w:pPr>
            <w:r>
              <w:rPr>
                <w:rFonts w:hint="eastAsia"/>
                <w:strike w:val="0"/>
                <w:dstrike w:val="0"/>
                <w:u w:val="single"/>
              </w:rPr>
              <w:t>水质类比及达标分析：本项目建筑垃圾以工程渣土为主（约占80%），辅以少量工程垃圾、拆除垃圾，不含危险废物、生活垃圾、工业污泥。本项目淋滤水水质参考《保靖县建筑垃圾资源化处置利用项目环境影响报告表》项目淋滤水排放口中淋滤水水质、《呼和浩特市玉泉区小黑河镇茂林太村建筑垃圾消纳场项目竣工环境保护验收监测报告表》项目填埋区调节池水质</w:t>
            </w:r>
            <w:r>
              <w:rPr>
                <w:rFonts w:hint="eastAsia"/>
                <w:strike w:val="0"/>
                <w:dstrike w:val="0"/>
                <w:u w:val="single"/>
                <w:lang w:eastAsia="zh-CN"/>
              </w:rPr>
              <w:t>，</w:t>
            </w:r>
            <w:r>
              <w:rPr>
                <w:rFonts w:hint="eastAsia"/>
                <w:strike w:val="0"/>
                <w:dstrike w:val="0"/>
                <w:u w:val="single"/>
                <w:lang w:val="en-US" w:eastAsia="zh-CN"/>
              </w:rPr>
              <w:t>其中</w:t>
            </w:r>
            <w:r>
              <w:rPr>
                <w:rFonts w:hint="eastAsia"/>
                <w:strike w:val="0"/>
                <w:dstrike w:val="0"/>
                <w:u w:val="single"/>
              </w:rPr>
              <w:t>《保靖县建筑垃圾资源化处置利用项目》淋滤水监测数据（COD16mg/L、SS28mg/L），</w:t>
            </w:r>
            <w:r>
              <w:rPr>
                <w:rFonts w:hint="eastAsia"/>
                <w:strike w:val="0"/>
                <w:dstrike w:val="0"/>
                <w:u w:val="single"/>
                <w:lang w:val="en-US" w:eastAsia="zh-CN"/>
              </w:rPr>
              <w:t>《呼和浩特市玉泉区小黑河镇茂林太村建筑垃圾消纳场项目竣工环境保护验收监测报告表》，调节池污水监测数据（pH值7.4-7.7，悬浮物16~20mg/L，氨氮1.57~1.66mg/L，化学需氧量39~43mg/L，五日生化需氧量12.6~14.6mg/L，动植物油0.52~0.61mg/L，色度6~9倍）。</w:t>
            </w:r>
          </w:p>
          <w:p w14:paraId="2F326A73">
            <w:pPr>
              <w:bidi w:val="0"/>
              <w:rPr>
                <w:rFonts w:hint="eastAsia"/>
                <w:strike w:val="0"/>
                <w:dstrike w:val="0"/>
                <w:u w:val="single"/>
              </w:rPr>
            </w:pPr>
            <w:r>
              <w:rPr>
                <w:rFonts w:hint="eastAsia"/>
                <w:strike w:val="0"/>
                <w:dstrike w:val="0"/>
                <w:u w:val="single"/>
              </w:rPr>
              <w:t>本项目建设垃圾成分与</w:t>
            </w:r>
            <w:r>
              <w:rPr>
                <w:rFonts w:hint="eastAsia"/>
                <w:strike w:val="0"/>
                <w:dstrike w:val="0"/>
                <w:u w:val="single"/>
                <w:lang w:val="en-US" w:eastAsia="zh-CN"/>
              </w:rPr>
              <w:t>大部分建筑垃圾堆填场</w:t>
            </w:r>
            <w:r>
              <w:rPr>
                <w:rFonts w:hint="eastAsia"/>
                <w:strike w:val="0"/>
                <w:dstrike w:val="0"/>
                <w:u w:val="single"/>
              </w:rPr>
              <w:t>类似，淋滤水水质预计为COD 20~50mg/L、SS</w:t>
            </w:r>
            <w:r>
              <w:rPr>
                <w:rFonts w:hint="eastAsia"/>
                <w:strike w:val="0"/>
                <w:dstrike w:val="0"/>
                <w:u w:val="single"/>
                <w:lang w:val="en-US" w:eastAsia="zh-CN"/>
              </w:rPr>
              <w:t>50~70</w:t>
            </w:r>
            <w:r>
              <w:rPr>
                <w:rFonts w:hint="eastAsia"/>
                <w:strike w:val="0"/>
                <w:dstrike w:val="0"/>
                <w:u w:val="single"/>
              </w:rPr>
              <w:t>mg/L</w:t>
            </w:r>
            <w:r>
              <w:rPr>
                <w:rFonts w:hint="eastAsia"/>
                <w:strike w:val="0"/>
                <w:dstrike w:val="0"/>
                <w:u w:val="single"/>
                <w:lang w:eastAsia="zh-CN"/>
              </w:rPr>
              <w:t>，</w:t>
            </w:r>
            <w:r>
              <w:rPr>
                <w:rFonts w:hint="eastAsia"/>
                <w:strike w:val="0"/>
                <w:dstrike w:val="0"/>
                <w:u w:val="single"/>
                <w:lang w:val="en-US" w:eastAsia="zh-CN"/>
              </w:rPr>
              <w:t>废水经</w:t>
            </w:r>
            <w:r>
              <w:rPr>
                <w:rFonts w:hint="eastAsia"/>
                <w:strike w:val="0"/>
                <w:dstrike w:val="0"/>
                <w:u w:val="single"/>
              </w:rPr>
              <w:t>30m</w:t>
            </w:r>
            <w:r>
              <w:rPr>
                <w:rFonts w:hint="eastAsia"/>
                <w:strike w:val="0"/>
                <w:dstrike w:val="0"/>
                <w:u w:val="single"/>
                <w:vertAlign w:val="superscript"/>
                <w:lang w:val="en-US" w:eastAsia="zh-CN"/>
              </w:rPr>
              <w:t>3</w:t>
            </w:r>
            <w:r>
              <w:rPr>
                <w:rFonts w:hint="eastAsia"/>
                <w:strike w:val="0"/>
                <w:dstrike w:val="0"/>
                <w:u w:val="single"/>
                <w:vertAlign w:val="baseline"/>
                <w:lang w:val="en-US" w:eastAsia="zh-CN"/>
              </w:rPr>
              <w:t>淋滤水</w:t>
            </w:r>
            <w:r>
              <w:rPr>
                <w:rFonts w:hint="eastAsia"/>
                <w:strike w:val="0"/>
                <w:dstrike w:val="0"/>
                <w:u w:val="single"/>
              </w:rPr>
              <w:t>沉淀池沉淀（停留时间≥24h），SS可降至≤</w:t>
            </w:r>
            <w:r>
              <w:rPr>
                <w:rFonts w:hint="eastAsia"/>
                <w:strike w:val="0"/>
                <w:dstrike w:val="0"/>
                <w:u w:val="single"/>
                <w:lang w:val="en-US" w:eastAsia="zh-CN"/>
              </w:rPr>
              <w:t>30</w:t>
            </w:r>
            <w:r>
              <w:rPr>
                <w:rFonts w:hint="eastAsia"/>
                <w:strike w:val="0"/>
                <w:dstrike w:val="0"/>
                <w:u w:val="single"/>
              </w:rPr>
              <w:t>mg/L，COD可降至≤</w:t>
            </w:r>
            <w:r>
              <w:rPr>
                <w:rFonts w:hint="eastAsia"/>
                <w:strike w:val="0"/>
                <w:dstrike w:val="0"/>
                <w:u w:val="single"/>
                <w:lang w:val="en-US" w:eastAsia="zh-CN"/>
              </w:rPr>
              <w:t>20</w:t>
            </w:r>
            <w:r>
              <w:rPr>
                <w:rFonts w:hint="eastAsia"/>
                <w:strike w:val="0"/>
                <w:dstrike w:val="0"/>
                <w:u w:val="single"/>
              </w:rPr>
              <w:t>mg/L，</w:t>
            </w:r>
            <w:r>
              <w:rPr>
                <w:rFonts w:hint="eastAsia"/>
                <w:strike w:val="0"/>
                <w:dstrike w:val="0"/>
                <w:u w:val="single"/>
                <w:lang w:val="en-US" w:eastAsia="zh-CN"/>
              </w:rPr>
              <w:t>满足《污水综合排放标准》（GB8978-1996）一级标准</w:t>
            </w:r>
            <w:r>
              <w:rPr>
                <w:rFonts w:hint="eastAsia"/>
                <w:strike w:val="0"/>
                <w:dstrike w:val="0"/>
                <w:u w:val="single"/>
              </w:rPr>
              <w:t>。因此，淋滤水沉淀后排放可行。</w:t>
            </w:r>
          </w:p>
          <w:p w14:paraId="7BA0DD1F">
            <w:pPr>
              <w:rPr>
                <w:rFonts w:hint="eastAsia"/>
              </w:rPr>
            </w:pPr>
            <w:r>
              <w:rPr>
                <w:rFonts w:hint="eastAsia"/>
              </w:rPr>
              <w:t>本项目应严格做到雨污分流，确保生活污水和洗车废水不外排，不向雨洪排口倾倒任何其他废水或废弃物。</w:t>
            </w:r>
          </w:p>
          <w:p w14:paraId="2641FD4F">
            <w:pPr>
              <w:pStyle w:val="5"/>
              <w:bidi w:val="0"/>
            </w:pPr>
            <w:r>
              <w:rPr>
                <w:rFonts w:hint="eastAsia"/>
                <w:lang w:val="en-US" w:eastAsia="zh-CN"/>
              </w:rPr>
              <w:t>4.3.3</w:t>
            </w:r>
            <w:r>
              <w:rPr>
                <w:rFonts w:hint="eastAsia"/>
              </w:rPr>
              <w:t>污染源排放量核算</w:t>
            </w:r>
          </w:p>
          <w:p w14:paraId="79D636F5">
            <w:pPr>
              <w:adjustRightInd w:val="0"/>
              <w:snapToGrid w:val="0"/>
              <w:spacing w:line="360" w:lineRule="auto"/>
              <w:ind w:firstLine="480" w:firstLineChars="200"/>
              <w:rPr>
                <w:rFonts w:hint="eastAsia" w:ascii="Times New Roman" w:hAnsi="Times New Roman" w:eastAsia="宋体" w:cs="Times New Roman"/>
                <w:color w:val="000000"/>
                <w:u w:val="none" w:color="auto"/>
                <w:lang w:val="en-US" w:eastAsia="zh-CN"/>
              </w:rPr>
            </w:pPr>
            <w:r>
              <w:rPr>
                <w:rFonts w:hint="eastAsia" w:ascii="Times New Roman" w:hAnsi="Times New Roman" w:eastAsia="宋体" w:cs="Times New Roman"/>
                <w:color w:val="000000"/>
                <w:u w:val="none" w:color="auto"/>
                <w:lang w:val="en-US" w:eastAsia="zh-CN"/>
              </w:rPr>
              <w:t>项目废水污染物排放信息如下。</w:t>
            </w:r>
          </w:p>
          <w:p w14:paraId="105C0DC1">
            <w:pPr>
              <w:pStyle w:val="44"/>
              <w:bidi w:val="0"/>
            </w:pPr>
            <w:r>
              <w:rPr>
                <w:rFonts w:hint="eastAsia"/>
              </w:rPr>
              <w:t>表</w:t>
            </w:r>
            <w:r>
              <w:rPr>
                <w:rFonts w:hint="eastAsia"/>
                <w:lang w:val="en-US" w:eastAsia="zh-CN"/>
              </w:rPr>
              <w:t>4.3-4</w:t>
            </w:r>
            <w:r>
              <w:rPr>
                <w:rFonts w:hint="eastAsia"/>
              </w:rPr>
              <w:t>：</w:t>
            </w:r>
            <w:r>
              <w:t>废水类别、污染物及污染治理设施信息表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704"/>
              <w:gridCol w:w="846"/>
              <w:gridCol w:w="706"/>
              <w:gridCol w:w="1076"/>
              <w:gridCol w:w="759"/>
              <w:gridCol w:w="905"/>
              <w:gridCol w:w="900"/>
              <w:gridCol w:w="821"/>
              <w:gridCol w:w="763"/>
              <w:gridCol w:w="792"/>
            </w:tblGrid>
            <w:tr w14:paraId="6520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dxa"/>
                  <w:vMerge w:val="restart"/>
                  <w:noWrap w:val="0"/>
                  <w:vAlign w:val="center"/>
                </w:tcPr>
                <w:p w14:paraId="6AF55326">
                  <w:pPr>
                    <w:pStyle w:val="107"/>
                    <w:bidi w:val="0"/>
                    <w:rPr>
                      <w:b/>
                      <w:bCs/>
                    </w:rPr>
                  </w:pPr>
                  <w:r>
                    <w:rPr>
                      <w:b/>
                      <w:bCs/>
                    </w:rPr>
                    <w:t>序号</w:t>
                  </w:r>
                </w:p>
              </w:tc>
              <w:tc>
                <w:tcPr>
                  <w:tcW w:w="685" w:type="dxa"/>
                  <w:vMerge w:val="restart"/>
                  <w:noWrap w:val="0"/>
                  <w:vAlign w:val="center"/>
                </w:tcPr>
                <w:p w14:paraId="1025F64A">
                  <w:pPr>
                    <w:pStyle w:val="107"/>
                    <w:bidi w:val="0"/>
                    <w:rPr>
                      <w:b/>
                      <w:bCs/>
                    </w:rPr>
                  </w:pPr>
                  <w:r>
                    <w:rPr>
                      <w:b/>
                      <w:bCs/>
                    </w:rPr>
                    <w:t>废水类别</w:t>
                  </w:r>
                </w:p>
              </w:tc>
              <w:tc>
                <w:tcPr>
                  <w:tcW w:w="823" w:type="dxa"/>
                  <w:vMerge w:val="restart"/>
                  <w:noWrap w:val="0"/>
                  <w:vAlign w:val="center"/>
                </w:tcPr>
                <w:p w14:paraId="62E99564">
                  <w:pPr>
                    <w:pStyle w:val="107"/>
                    <w:bidi w:val="0"/>
                    <w:rPr>
                      <w:b/>
                      <w:bCs/>
                    </w:rPr>
                  </w:pPr>
                  <w:r>
                    <w:rPr>
                      <w:b/>
                      <w:bCs/>
                    </w:rPr>
                    <w:t>污染物种类</w:t>
                  </w:r>
                </w:p>
              </w:tc>
              <w:tc>
                <w:tcPr>
                  <w:tcW w:w="687" w:type="dxa"/>
                  <w:vMerge w:val="restart"/>
                  <w:noWrap w:val="0"/>
                  <w:vAlign w:val="center"/>
                </w:tcPr>
                <w:p w14:paraId="43EAD606">
                  <w:pPr>
                    <w:pStyle w:val="107"/>
                    <w:bidi w:val="0"/>
                    <w:rPr>
                      <w:b/>
                      <w:bCs/>
                    </w:rPr>
                  </w:pPr>
                  <w:r>
                    <w:rPr>
                      <w:b/>
                      <w:bCs/>
                    </w:rPr>
                    <w:t>排放去向</w:t>
                  </w:r>
                </w:p>
              </w:tc>
              <w:tc>
                <w:tcPr>
                  <w:tcW w:w="1047" w:type="dxa"/>
                  <w:vMerge w:val="restart"/>
                  <w:noWrap w:val="0"/>
                  <w:vAlign w:val="center"/>
                </w:tcPr>
                <w:p w14:paraId="00DE031F">
                  <w:pPr>
                    <w:pStyle w:val="107"/>
                    <w:bidi w:val="0"/>
                    <w:rPr>
                      <w:b/>
                      <w:bCs/>
                    </w:rPr>
                  </w:pPr>
                  <w:r>
                    <w:rPr>
                      <w:b/>
                      <w:bCs/>
                    </w:rPr>
                    <w:t>排放规律</w:t>
                  </w:r>
                </w:p>
              </w:tc>
              <w:tc>
                <w:tcPr>
                  <w:tcW w:w="2496" w:type="dxa"/>
                  <w:gridSpan w:val="3"/>
                  <w:noWrap w:val="0"/>
                  <w:vAlign w:val="center"/>
                </w:tcPr>
                <w:p w14:paraId="6AA8A1B3">
                  <w:pPr>
                    <w:pStyle w:val="107"/>
                    <w:bidi w:val="0"/>
                    <w:rPr>
                      <w:b/>
                      <w:bCs/>
                    </w:rPr>
                  </w:pPr>
                  <w:r>
                    <w:rPr>
                      <w:b/>
                      <w:bCs/>
                    </w:rPr>
                    <w:t>污染治理设施</w:t>
                  </w:r>
                </w:p>
              </w:tc>
              <w:tc>
                <w:tcPr>
                  <w:tcW w:w="799" w:type="dxa"/>
                  <w:vMerge w:val="restart"/>
                  <w:noWrap w:val="0"/>
                  <w:vAlign w:val="center"/>
                </w:tcPr>
                <w:p w14:paraId="198259CF">
                  <w:pPr>
                    <w:pStyle w:val="107"/>
                    <w:bidi w:val="0"/>
                    <w:rPr>
                      <w:b/>
                      <w:bCs/>
                    </w:rPr>
                  </w:pPr>
                  <w:r>
                    <w:rPr>
                      <w:b/>
                      <w:bCs/>
                    </w:rPr>
                    <w:t>排放口编号</w:t>
                  </w:r>
                </w:p>
              </w:tc>
              <w:tc>
                <w:tcPr>
                  <w:tcW w:w="743" w:type="dxa"/>
                  <w:vMerge w:val="restart"/>
                  <w:noWrap w:val="0"/>
                  <w:vAlign w:val="center"/>
                </w:tcPr>
                <w:p w14:paraId="38ED0F37">
                  <w:pPr>
                    <w:pStyle w:val="107"/>
                    <w:bidi w:val="0"/>
                    <w:rPr>
                      <w:b/>
                      <w:bCs/>
                    </w:rPr>
                  </w:pPr>
                  <w:r>
                    <w:rPr>
                      <w:b/>
                      <w:bCs/>
                    </w:rPr>
                    <w:t>排放口设置是否符合要求</w:t>
                  </w:r>
                </w:p>
              </w:tc>
              <w:tc>
                <w:tcPr>
                  <w:tcW w:w="770" w:type="dxa"/>
                  <w:vMerge w:val="restart"/>
                  <w:noWrap w:val="0"/>
                  <w:vAlign w:val="center"/>
                </w:tcPr>
                <w:p w14:paraId="684C2814">
                  <w:pPr>
                    <w:pStyle w:val="107"/>
                    <w:bidi w:val="0"/>
                    <w:rPr>
                      <w:b/>
                      <w:bCs/>
                    </w:rPr>
                  </w:pPr>
                  <w:r>
                    <w:rPr>
                      <w:b/>
                      <w:bCs/>
                    </w:rPr>
                    <w:t>排放口类型</w:t>
                  </w:r>
                </w:p>
              </w:tc>
            </w:tr>
            <w:tr w14:paraId="6EBB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472" w:type="dxa"/>
                  <w:vMerge w:val="continue"/>
                  <w:noWrap w:val="0"/>
                  <w:vAlign w:val="center"/>
                </w:tcPr>
                <w:p w14:paraId="75FF0894">
                  <w:pPr>
                    <w:pStyle w:val="107"/>
                    <w:bidi w:val="0"/>
                    <w:rPr>
                      <w:b/>
                      <w:bCs/>
                    </w:rPr>
                  </w:pPr>
                </w:p>
              </w:tc>
              <w:tc>
                <w:tcPr>
                  <w:tcW w:w="685" w:type="dxa"/>
                  <w:vMerge w:val="continue"/>
                  <w:noWrap w:val="0"/>
                  <w:vAlign w:val="center"/>
                </w:tcPr>
                <w:p w14:paraId="74919EAF">
                  <w:pPr>
                    <w:pStyle w:val="107"/>
                    <w:bidi w:val="0"/>
                    <w:rPr>
                      <w:b/>
                      <w:bCs/>
                    </w:rPr>
                  </w:pPr>
                </w:p>
              </w:tc>
              <w:tc>
                <w:tcPr>
                  <w:tcW w:w="823" w:type="dxa"/>
                  <w:vMerge w:val="continue"/>
                  <w:noWrap w:val="0"/>
                  <w:vAlign w:val="center"/>
                </w:tcPr>
                <w:p w14:paraId="5F6D1740">
                  <w:pPr>
                    <w:pStyle w:val="107"/>
                    <w:bidi w:val="0"/>
                    <w:rPr>
                      <w:b/>
                      <w:bCs/>
                    </w:rPr>
                  </w:pPr>
                </w:p>
              </w:tc>
              <w:tc>
                <w:tcPr>
                  <w:tcW w:w="687" w:type="dxa"/>
                  <w:vMerge w:val="continue"/>
                  <w:noWrap w:val="0"/>
                  <w:vAlign w:val="center"/>
                </w:tcPr>
                <w:p w14:paraId="4746E79B">
                  <w:pPr>
                    <w:pStyle w:val="107"/>
                    <w:bidi w:val="0"/>
                    <w:rPr>
                      <w:b/>
                      <w:bCs/>
                    </w:rPr>
                  </w:pPr>
                </w:p>
              </w:tc>
              <w:tc>
                <w:tcPr>
                  <w:tcW w:w="1047" w:type="dxa"/>
                  <w:vMerge w:val="continue"/>
                  <w:noWrap w:val="0"/>
                  <w:vAlign w:val="center"/>
                </w:tcPr>
                <w:p w14:paraId="38ABE4EE">
                  <w:pPr>
                    <w:pStyle w:val="107"/>
                    <w:bidi w:val="0"/>
                    <w:rPr>
                      <w:b/>
                      <w:bCs/>
                    </w:rPr>
                  </w:pPr>
                </w:p>
              </w:tc>
              <w:tc>
                <w:tcPr>
                  <w:tcW w:w="739" w:type="dxa"/>
                  <w:noWrap w:val="0"/>
                  <w:vAlign w:val="center"/>
                </w:tcPr>
                <w:p w14:paraId="6CACBBB2">
                  <w:pPr>
                    <w:pStyle w:val="107"/>
                    <w:bidi w:val="0"/>
                    <w:rPr>
                      <w:b/>
                      <w:bCs/>
                    </w:rPr>
                  </w:pPr>
                  <w:r>
                    <w:rPr>
                      <w:b/>
                      <w:bCs/>
                    </w:rPr>
                    <w:t>污染治理设施编号</w:t>
                  </w:r>
                </w:p>
              </w:tc>
              <w:tc>
                <w:tcPr>
                  <w:tcW w:w="881" w:type="dxa"/>
                  <w:noWrap w:val="0"/>
                  <w:vAlign w:val="center"/>
                </w:tcPr>
                <w:p w14:paraId="23302978">
                  <w:pPr>
                    <w:pStyle w:val="107"/>
                    <w:bidi w:val="0"/>
                    <w:rPr>
                      <w:b/>
                      <w:bCs/>
                    </w:rPr>
                  </w:pPr>
                  <w:r>
                    <w:rPr>
                      <w:b/>
                      <w:bCs/>
                    </w:rPr>
                    <w:t>污染治理设施名称</w:t>
                  </w:r>
                </w:p>
              </w:tc>
              <w:tc>
                <w:tcPr>
                  <w:tcW w:w="876" w:type="dxa"/>
                  <w:noWrap w:val="0"/>
                  <w:vAlign w:val="center"/>
                </w:tcPr>
                <w:p w14:paraId="77E2AD7A">
                  <w:pPr>
                    <w:pStyle w:val="107"/>
                    <w:bidi w:val="0"/>
                    <w:rPr>
                      <w:b/>
                      <w:bCs/>
                    </w:rPr>
                  </w:pPr>
                  <w:r>
                    <w:rPr>
                      <w:b/>
                      <w:bCs/>
                    </w:rPr>
                    <w:t>污染治理设施工艺</w:t>
                  </w:r>
                </w:p>
              </w:tc>
              <w:tc>
                <w:tcPr>
                  <w:tcW w:w="799" w:type="dxa"/>
                  <w:vMerge w:val="continue"/>
                  <w:noWrap w:val="0"/>
                  <w:vAlign w:val="center"/>
                </w:tcPr>
                <w:p w14:paraId="60368645">
                  <w:pPr>
                    <w:pStyle w:val="107"/>
                    <w:bidi w:val="0"/>
                  </w:pPr>
                </w:p>
              </w:tc>
              <w:tc>
                <w:tcPr>
                  <w:tcW w:w="743" w:type="dxa"/>
                  <w:vMerge w:val="continue"/>
                  <w:noWrap w:val="0"/>
                  <w:vAlign w:val="center"/>
                </w:tcPr>
                <w:p w14:paraId="4B688B3D">
                  <w:pPr>
                    <w:pStyle w:val="107"/>
                    <w:bidi w:val="0"/>
                  </w:pPr>
                </w:p>
              </w:tc>
              <w:tc>
                <w:tcPr>
                  <w:tcW w:w="770" w:type="dxa"/>
                  <w:vMerge w:val="continue"/>
                  <w:noWrap w:val="0"/>
                  <w:vAlign w:val="center"/>
                </w:tcPr>
                <w:p w14:paraId="17F5A86B">
                  <w:pPr>
                    <w:pStyle w:val="107"/>
                    <w:bidi w:val="0"/>
                  </w:pPr>
                </w:p>
              </w:tc>
            </w:tr>
            <w:tr w14:paraId="3F78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dxa"/>
                  <w:noWrap w:val="0"/>
                  <w:vAlign w:val="center"/>
                </w:tcPr>
                <w:p w14:paraId="338F0F7B">
                  <w:pPr>
                    <w:pStyle w:val="107"/>
                    <w:bidi w:val="0"/>
                    <w:rPr>
                      <w:rFonts w:hint="eastAsia"/>
                      <w:lang w:val="en-US" w:eastAsia="zh-CN"/>
                    </w:rPr>
                  </w:pPr>
                  <w:r>
                    <w:rPr>
                      <w:rFonts w:hint="eastAsia"/>
                      <w:lang w:val="en-US" w:eastAsia="zh-CN"/>
                    </w:rPr>
                    <w:t>1</w:t>
                  </w:r>
                </w:p>
              </w:tc>
              <w:tc>
                <w:tcPr>
                  <w:tcW w:w="685" w:type="dxa"/>
                  <w:noWrap w:val="0"/>
                  <w:vAlign w:val="center"/>
                </w:tcPr>
                <w:p w14:paraId="789007FB">
                  <w:pPr>
                    <w:pStyle w:val="107"/>
                    <w:bidi w:val="0"/>
                    <w:rPr>
                      <w:rFonts w:hint="eastAsia"/>
                    </w:rPr>
                  </w:pPr>
                  <w:r>
                    <w:rPr>
                      <w:rFonts w:hint="eastAsia"/>
                    </w:rPr>
                    <w:t>生活污水</w:t>
                  </w:r>
                </w:p>
              </w:tc>
              <w:tc>
                <w:tcPr>
                  <w:tcW w:w="823" w:type="dxa"/>
                  <w:noWrap w:val="0"/>
                  <w:vAlign w:val="center"/>
                </w:tcPr>
                <w:p w14:paraId="3EB3B9B4">
                  <w:pPr>
                    <w:pStyle w:val="107"/>
                    <w:bidi w:val="0"/>
                  </w:pPr>
                  <w:r>
                    <w:t>COD、BOD</w:t>
                  </w:r>
                  <w:r>
                    <w:rPr>
                      <w:vertAlign w:val="subscript"/>
                    </w:rPr>
                    <w:t>5</w:t>
                  </w:r>
                  <w:r>
                    <w:t>、SS、氨氮</w:t>
                  </w:r>
                </w:p>
              </w:tc>
              <w:tc>
                <w:tcPr>
                  <w:tcW w:w="687" w:type="dxa"/>
                  <w:noWrap w:val="0"/>
                  <w:vAlign w:val="center"/>
                </w:tcPr>
                <w:p w14:paraId="71E850AB">
                  <w:pPr>
                    <w:pStyle w:val="107"/>
                    <w:bidi w:val="0"/>
                    <w:rPr>
                      <w:rFonts w:hint="default"/>
                      <w:lang w:val="en-US" w:eastAsia="zh-CN"/>
                    </w:rPr>
                  </w:pPr>
                  <w:r>
                    <w:t>化粪池</w:t>
                  </w:r>
                </w:p>
              </w:tc>
              <w:tc>
                <w:tcPr>
                  <w:tcW w:w="1047" w:type="dxa"/>
                  <w:noWrap w:val="0"/>
                  <w:vAlign w:val="center"/>
                </w:tcPr>
                <w:p w14:paraId="5A7B2C46">
                  <w:pPr>
                    <w:pStyle w:val="107"/>
                    <w:bidi w:val="0"/>
                    <w:rPr>
                      <w:rFonts w:hint="eastAsia"/>
                      <w:lang w:eastAsia="zh-CN"/>
                    </w:rPr>
                  </w:pPr>
                  <w:r>
                    <w:rPr>
                      <w:rFonts w:hint="eastAsia"/>
                      <w:lang w:val="en-US" w:eastAsia="zh-CN"/>
                    </w:rPr>
                    <w:t>不排放</w:t>
                  </w:r>
                </w:p>
              </w:tc>
              <w:tc>
                <w:tcPr>
                  <w:tcW w:w="739" w:type="dxa"/>
                  <w:noWrap w:val="0"/>
                  <w:vAlign w:val="center"/>
                </w:tcPr>
                <w:p w14:paraId="3F600303">
                  <w:pPr>
                    <w:pStyle w:val="107"/>
                    <w:bidi w:val="0"/>
                    <w:rPr>
                      <w:rFonts w:hint="eastAsia"/>
                    </w:rPr>
                  </w:pPr>
                  <w:r>
                    <w:rPr>
                      <w:rFonts w:hint="eastAsia"/>
                    </w:rPr>
                    <w:t>TW001</w:t>
                  </w:r>
                </w:p>
              </w:tc>
              <w:tc>
                <w:tcPr>
                  <w:tcW w:w="881" w:type="dxa"/>
                  <w:noWrap w:val="0"/>
                  <w:vAlign w:val="center"/>
                </w:tcPr>
                <w:p w14:paraId="707867D2">
                  <w:pPr>
                    <w:pStyle w:val="107"/>
                    <w:bidi w:val="0"/>
                  </w:pPr>
                  <w:r>
                    <w:t>化粪池</w:t>
                  </w:r>
                </w:p>
              </w:tc>
              <w:tc>
                <w:tcPr>
                  <w:tcW w:w="876" w:type="dxa"/>
                  <w:noWrap w:val="0"/>
                  <w:vAlign w:val="center"/>
                </w:tcPr>
                <w:p w14:paraId="4F2D9E47">
                  <w:pPr>
                    <w:pStyle w:val="107"/>
                    <w:bidi w:val="0"/>
                    <w:rPr>
                      <w:rFonts w:hint="eastAsia"/>
                    </w:rPr>
                  </w:pPr>
                  <w:r>
                    <w:rPr>
                      <w:rFonts w:hint="eastAsia"/>
                    </w:rPr>
                    <w:t>厌氧分解</w:t>
                  </w:r>
                </w:p>
              </w:tc>
              <w:tc>
                <w:tcPr>
                  <w:tcW w:w="799" w:type="dxa"/>
                  <w:noWrap w:val="0"/>
                  <w:vAlign w:val="center"/>
                </w:tcPr>
                <w:p w14:paraId="2E25AA55">
                  <w:pPr>
                    <w:pStyle w:val="107"/>
                    <w:bidi w:val="0"/>
                    <w:rPr>
                      <w:rFonts w:hint="eastAsia"/>
                      <w:lang w:eastAsia="zh-CN"/>
                    </w:rPr>
                  </w:pPr>
                  <w:r>
                    <w:rPr>
                      <w:rFonts w:hint="eastAsia"/>
                      <w:lang w:val="en-US" w:eastAsia="zh-CN"/>
                    </w:rPr>
                    <w:t>外运作为农肥，不外排</w:t>
                  </w:r>
                </w:p>
              </w:tc>
              <w:tc>
                <w:tcPr>
                  <w:tcW w:w="743" w:type="dxa"/>
                  <w:noWrap w:val="0"/>
                  <w:vAlign w:val="center"/>
                </w:tcPr>
                <w:p w14:paraId="5BA6C0A9">
                  <w:pPr>
                    <w:pStyle w:val="107"/>
                    <w:bidi w:val="0"/>
                    <w:rPr>
                      <w:rFonts w:hint="eastAsia"/>
                      <w:lang w:val="en-US" w:eastAsia="zh-CN"/>
                    </w:rPr>
                  </w:pPr>
                  <w:r>
                    <w:rPr>
                      <w:rFonts w:hint="eastAsia"/>
                      <w:lang w:val="en-US" w:eastAsia="zh-CN"/>
                    </w:rPr>
                    <w:t>/</w:t>
                  </w:r>
                </w:p>
              </w:tc>
              <w:tc>
                <w:tcPr>
                  <w:tcW w:w="770" w:type="dxa"/>
                  <w:noWrap w:val="0"/>
                  <w:vAlign w:val="center"/>
                </w:tcPr>
                <w:p w14:paraId="0D66F8DC">
                  <w:pPr>
                    <w:pStyle w:val="107"/>
                    <w:bidi w:val="0"/>
                    <w:rPr>
                      <w:rFonts w:hint="eastAsia"/>
                      <w:lang w:val="en-US" w:eastAsia="zh-CN"/>
                    </w:rPr>
                  </w:pPr>
                  <w:r>
                    <w:rPr>
                      <w:rFonts w:hint="eastAsia"/>
                      <w:lang w:val="en-US" w:eastAsia="zh-CN"/>
                    </w:rPr>
                    <w:t>/</w:t>
                  </w:r>
                </w:p>
              </w:tc>
            </w:tr>
            <w:tr w14:paraId="7147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dxa"/>
                  <w:noWrap w:val="0"/>
                  <w:vAlign w:val="center"/>
                </w:tcPr>
                <w:p w14:paraId="0F676C96">
                  <w:pPr>
                    <w:pStyle w:val="107"/>
                    <w:bidi w:val="0"/>
                    <w:rPr>
                      <w:rFonts w:hint="eastAsia"/>
                      <w:lang w:val="en-US" w:eastAsia="zh-CN"/>
                    </w:rPr>
                  </w:pPr>
                  <w:r>
                    <w:rPr>
                      <w:rFonts w:hint="eastAsia"/>
                      <w:lang w:val="en-US" w:eastAsia="zh-CN"/>
                    </w:rPr>
                    <w:t>2</w:t>
                  </w:r>
                </w:p>
              </w:tc>
              <w:tc>
                <w:tcPr>
                  <w:tcW w:w="685" w:type="dxa"/>
                  <w:noWrap w:val="0"/>
                  <w:vAlign w:val="center"/>
                </w:tcPr>
                <w:p w14:paraId="77521678">
                  <w:pPr>
                    <w:pStyle w:val="107"/>
                    <w:bidi w:val="0"/>
                    <w:rPr>
                      <w:rFonts w:hint="default"/>
                      <w:lang w:val="en-US" w:eastAsia="zh-CN"/>
                    </w:rPr>
                  </w:pPr>
                  <w:r>
                    <w:rPr>
                      <w:rFonts w:hint="eastAsia"/>
                      <w:lang w:val="en-US" w:eastAsia="zh-CN"/>
                    </w:rPr>
                    <w:t>洗车废水</w:t>
                  </w:r>
                </w:p>
              </w:tc>
              <w:tc>
                <w:tcPr>
                  <w:tcW w:w="823" w:type="dxa"/>
                  <w:noWrap w:val="0"/>
                  <w:vAlign w:val="center"/>
                </w:tcPr>
                <w:p w14:paraId="018EB3A7">
                  <w:pPr>
                    <w:pStyle w:val="107"/>
                    <w:bidi w:val="0"/>
                    <w:rPr>
                      <w:rFonts w:hint="default"/>
                      <w:lang w:val="en-US" w:eastAsia="zh-CN"/>
                    </w:rPr>
                  </w:pPr>
                  <w:r>
                    <w:t>COD、BOD</w:t>
                  </w:r>
                  <w:r>
                    <w:rPr>
                      <w:vertAlign w:val="subscript"/>
                    </w:rPr>
                    <w:t>5</w:t>
                  </w:r>
                  <w:r>
                    <w:t>、SS、氨氮</w:t>
                  </w:r>
                  <w:r>
                    <w:rPr>
                      <w:rFonts w:hint="eastAsia"/>
                      <w:lang w:eastAsia="zh-CN"/>
                    </w:rPr>
                    <w:t>、</w:t>
                  </w:r>
                  <w:r>
                    <w:rPr>
                      <w:rFonts w:hint="eastAsia"/>
                      <w:lang w:val="en-US" w:eastAsia="zh-CN"/>
                    </w:rPr>
                    <w:t>石油类</w:t>
                  </w:r>
                </w:p>
              </w:tc>
              <w:tc>
                <w:tcPr>
                  <w:tcW w:w="687" w:type="dxa"/>
                  <w:noWrap w:val="0"/>
                  <w:vAlign w:val="center"/>
                </w:tcPr>
                <w:p w14:paraId="6845D52E">
                  <w:pPr>
                    <w:pStyle w:val="107"/>
                    <w:bidi w:val="0"/>
                    <w:rPr>
                      <w:rFonts w:hint="default"/>
                      <w:lang w:val="en-US" w:eastAsia="zh-CN"/>
                    </w:rPr>
                  </w:pPr>
                  <w:r>
                    <w:rPr>
                      <w:rFonts w:hint="eastAsia"/>
                      <w:lang w:val="en-US" w:eastAsia="zh-CN"/>
                    </w:rPr>
                    <w:t>洗车废水沉淀池</w:t>
                  </w:r>
                </w:p>
              </w:tc>
              <w:tc>
                <w:tcPr>
                  <w:tcW w:w="1047" w:type="dxa"/>
                  <w:noWrap w:val="0"/>
                  <w:vAlign w:val="center"/>
                </w:tcPr>
                <w:p w14:paraId="1EA97EC4">
                  <w:pPr>
                    <w:pStyle w:val="107"/>
                    <w:bidi w:val="0"/>
                    <w:rPr>
                      <w:rFonts w:hint="eastAsia"/>
                    </w:rPr>
                  </w:pPr>
                  <w:r>
                    <w:rPr>
                      <w:rFonts w:hint="eastAsia"/>
                      <w:lang w:val="en-US" w:eastAsia="zh-CN"/>
                    </w:rPr>
                    <w:t>不排放</w:t>
                  </w:r>
                </w:p>
              </w:tc>
              <w:tc>
                <w:tcPr>
                  <w:tcW w:w="739" w:type="dxa"/>
                  <w:noWrap w:val="0"/>
                  <w:vAlign w:val="center"/>
                </w:tcPr>
                <w:p w14:paraId="478B0C04">
                  <w:pPr>
                    <w:pStyle w:val="107"/>
                    <w:bidi w:val="0"/>
                    <w:rPr>
                      <w:rFonts w:hint="eastAsia"/>
                      <w:lang w:eastAsia="zh-CN"/>
                    </w:rPr>
                  </w:pPr>
                  <w:r>
                    <w:rPr>
                      <w:rFonts w:hint="eastAsia"/>
                    </w:rPr>
                    <w:t>TW00</w:t>
                  </w:r>
                  <w:r>
                    <w:rPr>
                      <w:rFonts w:hint="eastAsia"/>
                      <w:lang w:val="en-US" w:eastAsia="zh-CN"/>
                    </w:rPr>
                    <w:t>2</w:t>
                  </w:r>
                </w:p>
              </w:tc>
              <w:tc>
                <w:tcPr>
                  <w:tcW w:w="881" w:type="dxa"/>
                  <w:noWrap w:val="0"/>
                  <w:vAlign w:val="center"/>
                </w:tcPr>
                <w:p w14:paraId="2B596C39">
                  <w:pPr>
                    <w:pStyle w:val="107"/>
                    <w:bidi w:val="0"/>
                    <w:rPr>
                      <w:rFonts w:hint="eastAsia"/>
                      <w:lang w:eastAsia="zh-CN"/>
                    </w:rPr>
                  </w:pPr>
                  <w:r>
                    <w:rPr>
                      <w:rFonts w:hint="eastAsia"/>
                      <w:lang w:val="en-US" w:eastAsia="zh-CN"/>
                    </w:rPr>
                    <w:t>洗车废水沉淀池</w:t>
                  </w:r>
                </w:p>
              </w:tc>
              <w:tc>
                <w:tcPr>
                  <w:tcW w:w="876" w:type="dxa"/>
                  <w:noWrap w:val="0"/>
                  <w:vAlign w:val="center"/>
                </w:tcPr>
                <w:p w14:paraId="208CAC1E">
                  <w:pPr>
                    <w:pStyle w:val="107"/>
                    <w:bidi w:val="0"/>
                    <w:rPr>
                      <w:rFonts w:hint="eastAsia"/>
                      <w:lang w:eastAsia="zh-CN"/>
                    </w:rPr>
                  </w:pPr>
                  <w:r>
                    <w:rPr>
                      <w:rFonts w:hint="eastAsia"/>
                      <w:lang w:val="en-US" w:eastAsia="zh-CN"/>
                    </w:rPr>
                    <w:t>沉淀</w:t>
                  </w:r>
                </w:p>
              </w:tc>
              <w:tc>
                <w:tcPr>
                  <w:tcW w:w="799" w:type="dxa"/>
                  <w:noWrap w:val="0"/>
                  <w:vAlign w:val="center"/>
                </w:tcPr>
                <w:p w14:paraId="23766FA4">
                  <w:pPr>
                    <w:pStyle w:val="107"/>
                    <w:bidi w:val="0"/>
                  </w:pPr>
                  <w:r>
                    <w:rPr>
                      <w:rFonts w:hint="eastAsia"/>
                      <w:lang w:val="en-US" w:eastAsia="zh-CN"/>
                    </w:rPr>
                    <w:t>沉淀后回用，不外排</w:t>
                  </w:r>
                </w:p>
              </w:tc>
              <w:tc>
                <w:tcPr>
                  <w:tcW w:w="743" w:type="dxa"/>
                  <w:noWrap w:val="0"/>
                  <w:vAlign w:val="center"/>
                </w:tcPr>
                <w:p w14:paraId="4C57DB36">
                  <w:pPr>
                    <w:pStyle w:val="107"/>
                    <w:bidi w:val="0"/>
                    <w:rPr>
                      <w:rFonts w:hint="eastAsia"/>
                    </w:rPr>
                  </w:pPr>
                  <w:r>
                    <w:rPr>
                      <w:rFonts w:hint="eastAsia"/>
                      <w:lang w:val="en-US" w:eastAsia="zh-CN"/>
                    </w:rPr>
                    <w:t>/</w:t>
                  </w:r>
                </w:p>
              </w:tc>
              <w:tc>
                <w:tcPr>
                  <w:tcW w:w="770" w:type="dxa"/>
                  <w:noWrap w:val="0"/>
                  <w:vAlign w:val="center"/>
                </w:tcPr>
                <w:p w14:paraId="066E15C5">
                  <w:pPr>
                    <w:pStyle w:val="107"/>
                    <w:bidi w:val="0"/>
                    <w:rPr>
                      <w:rFonts w:hint="eastAsia"/>
                    </w:rPr>
                  </w:pPr>
                  <w:r>
                    <w:rPr>
                      <w:rFonts w:hint="eastAsia"/>
                      <w:lang w:val="en-US" w:eastAsia="zh-CN"/>
                    </w:rPr>
                    <w:t>/</w:t>
                  </w:r>
                </w:p>
              </w:tc>
            </w:tr>
            <w:tr w14:paraId="705F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2" w:type="dxa"/>
                  <w:noWrap w:val="0"/>
                  <w:vAlign w:val="center"/>
                </w:tcPr>
                <w:p w14:paraId="6993912B">
                  <w:pPr>
                    <w:pStyle w:val="107"/>
                    <w:bidi w:val="0"/>
                    <w:rPr>
                      <w:rFonts w:hint="eastAsia"/>
                      <w:lang w:val="en-US" w:eastAsia="zh-CN"/>
                    </w:rPr>
                  </w:pPr>
                  <w:r>
                    <w:rPr>
                      <w:rFonts w:hint="eastAsia"/>
                      <w:lang w:val="en-US" w:eastAsia="zh-CN"/>
                    </w:rPr>
                    <w:t>3</w:t>
                  </w:r>
                </w:p>
              </w:tc>
              <w:tc>
                <w:tcPr>
                  <w:tcW w:w="685" w:type="dxa"/>
                  <w:noWrap w:val="0"/>
                  <w:vAlign w:val="center"/>
                </w:tcPr>
                <w:p w14:paraId="797B1238">
                  <w:pPr>
                    <w:pStyle w:val="107"/>
                    <w:bidi w:val="0"/>
                    <w:rPr>
                      <w:rFonts w:hint="eastAsia"/>
                      <w:lang w:val="en-US" w:eastAsia="zh-CN"/>
                    </w:rPr>
                  </w:pPr>
                  <w:r>
                    <w:rPr>
                      <w:rFonts w:hint="eastAsia"/>
                      <w:lang w:val="en-US" w:eastAsia="zh-CN"/>
                    </w:rPr>
                    <w:t>矿坑积水（淋滤水）</w:t>
                  </w:r>
                </w:p>
              </w:tc>
              <w:tc>
                <w:tcPr>
                  <w:tcW w:w="823" w:type="dxa"/>
                  <w:noWrap w:val="0"/>
                  <w:vAlign w:val="center"/>
                </w:tcPr>
                <w:p w14:paraId="2D3CB8D5">
                  <w:pPr>
                    <w:pStyle w:val="107"/>
                    <w:bidi w:val="0"/>
                    <w:rPr>
                      <w:rFonts w:hint="default"/>
                      <w:lang w:val="en-US" w:eastAsia="zh-CN"/>
                    </w:rPr>
                  </w:pPr>
                  <w:r>
                    <w:rPr>
                      <w:rFonts w:hint="eastAsia"/>
                      <w:lang w:val="en-US" w:eastAsia="zh-CN"/>
                    </w:rPr>
                    <w:t>SS、COD</w:t>
                  </w:r>
                </w:p>
              </w:tc>
              <w:tc>
                <w:tcPr>
                  <w:tcW w:w="687" w:type="dxa"/>
                  <w:noWrap w:val="0"/>
                  <w:vAlign w:val="center"/>
                </w:tcPr>
                <w:p w14:paraId="468E13AC">
                  <w:pPr>
                    <w:pStyle w:val="107"/>
                    <w:bidi w:val="0"/>
                    <w:rPr>
                      <w:rFonts w:hint="default"/>
                      <w:lang w:val="en-US" w:eastAsia="zh-CN"/>
                    </w:rPr>
                  </w:pPr>
                  <w:r>
                    <w:rPr>
                      <w:rFonts w:hint="eastAsia"/>
                      <w:lang w:val="en-US" w:eastAsia="zh-CN"/>
                    </w:rPr>
                    <w:t>沉淀池</w:t>
                  </w:r>
                </w:p>
              </w:tc>
              <w:tc>
                <w:tcPr>
                  <w:tcW w:w="1047" w:type="dxa"/>
                  <w:noWrap w:val="0"/>
                  <w:vAlign w:val="center"/>
                </w:tcPr>
                <w:p w14:paraId="4DA72080">
                  <w:pPr>
                    <w:pStyle w:val="107"/>
                    <w:bidi w:val="0"/>
                    <w:rPr>
                      <w:rFonts w:hint="eastAsia"/>
                    </w:rPr>
                  </w:pPr>
                  <w:r>
                    <w:rPr>
                      <w:rFonts w:hint="eastAsia"/>
                    </w:rPr>
                    <w:t>间断排放，排放期间流量不稳定</w:t>
                  </w:r>
                </w:p>
              </w:tc>
              <w:tc>
                <w:tcPr>
                  <w:tcW w:w="739" w:type="dxa"/>
                  <w:noWrap w:val="0"/>
                  <w:vAlign w:val="center"/>
                </w:tcPr>
                <w:p w14:paraId="0B816381">
                  <w:pPr>
                    <w:pStyle w:val="107"/>
                    <w:bidi w:val="0"/>
                    <w:rPr>
                      <w:rFonts w:hint="eastAsia"/>
                      <w:lang w:eastAsia="zh-CN"/>
                    </w:rPr>
                  </w:pPr>
                  <w:r>
                    <w:rPr>
                      <w:rFonts w:hint="eastAsia"/>
                    </w:rPr>
                    <w:t>TW00</w:t>
                  </w:r>
                  <w:r>
                    <w:rPr>
                      <w:rFonts w:hint="eastAsia"/>
                      <w:lang w:val="en-US" w:eastAsia="zh-CN"/>
                    </w:rPr>
                    <w:t>3</w:t>
                  </w:r>
                </w:p>
              </w:tc>
              <w:tc>
                <w:tcPr>
                  <w:tcW w:w="881" w:type="dxa"/>
                  <w:noWrap w:val="0"/>
                  <w:vAlign w:val="center"/>
                </w:tcPr>
                <w:p w14:paraId="3962D049">
                  <w:pPr>
                    <w:pStyle w:val="107"/>
                    <w:bidi w:val="0"/>
                    <w:rPr>
                      <w:rFonts w:hint="default"/>
                      <w:lang w:val="en-US" w:eastAsia="zh-CN"/>
                    </w:rPr>
                  </w:pPr>
                  <w:r>
                    <w:rPr>
                      <w:rFonts w:hint="eastAsia"/>
                      <w:lang w:val="en-US" w:eastAsia="zh-CN"/>
                    </w:rPr>
                    <w:t>沉淀池</w:t>
                  </w:r>
                </w:p>
              </w:tc>
              <w:tc>
                <w:tcPr>
                  <w:tcW w:w="876" w:type="dxa"/>
                  <w:noWrap w:val="0"/>
                  <w:vAlign w:val="center"/>
                </w:tcPr>
                <w:p w14:paraId="042EEA8C">
                  <w:pPr>
                    <w:pStyle w:val="107"/>
                    <w:bidi w:val="0"/>
                    <w:rPr>
                      <w:rFonts w:hint="eastAsia"/>
                      <w:lang w:eastAsia="zh-CN"/>
                    </w:rPr>
                  </w:pPr>
                  <w:r>
                    <w:rPr>
                      <w:rFonts w:hint="eastAsia"/>
                      <w:lang w:val="en-US" w:eastAsia="zh-CN"/>
                    </w:rPr>
                    <w:t>沉淀</w:t>
                  </w:r>
                </w:p>
              </w:tc>
              <w:tc>
                <w:tcPr>
                  <w:tcW w:w="799" w:type="dxa"/>
                  <w:noWrap w:val="0"/>
                  <w:vAlign w:val="center"/>
                </w:tcPr>
                <w:p w14:paraId="06950052">
                  <w:pPr>
                    <w:pStyle w:val="107"/>
                    <w:bidi w:val="0"/>
                  </w:pPr>
                  <w:r>
                    <w:t>D</w:t>
                  </w:r>
                  <w:r>
                    <w:rPr>
                      <w:rFonts w:hint="eastAsia"/>
                    </w:rPr>
                    <w:t>W</w:t>
                  </w:r>
                  <w:r>
                    <w:t>001</w:t>
                  </w:r>
                </w:p>
              </w:tc>
              <w:tc>
                <w:tcPr>
                  <w:tcW w:w="743" w:type="dxa"/>
                  <w:noWrap w:val="0"/>
                  <w:vAlign w:val="center"/>
                </w:tcPr>
                <w:p w14:paraId="1AF8B130">
                  <w:pPr>
                    <w:pStyle w:val="107"/>
                    <w:bidi w:val="0"/>
                    <w:rPr>
                      <w:rFonts w:hint="eastAsia"/>
                    </w:rPr>
                  </w:pPr>
                  <w:r>
                    <w:rPr>
                      <w:rFonts w:hint="eastAsia"/>
                    </w:rPr>
                    <w:t>是</w:t>
                  </w:r>
                </w:p>
              </w:tc>
              <w:tc>
                <w:tcPr>
                  <w:tcW w:w="770" w:type="dxa"/>
                  <w:noWrap w:val="0"/>
                  <w:vAlign w:val="center"/>
                </w:tcPr>
                <w:p w14:paraId="3EBB684A">
                  <w:pPr>
                    <w:pStyle w:val="107"/>
                    <w:bidi w:val="0"/>
                    <w:rPr>
                      <w:rFonts w:hint="eastAsia"/>
                    </w:rPr>
                  </w:pPr>
                  <w:r>
                    <w:rPr>
                      <w:rFonts w:hint="eastAsia"/>
                      <w:lang w:val="en-US" w:eastAsia="zh-CN"/>
                    </w:rPr>
                    <w:t>雨洪</w:t>
                  </w:r>
                  <w:r>
                    <w:rPr>
                      <w:rFonts w:hint="eastAsia"/>
                    </w:rPr>
                    <w:t>排口</w:t>
                  </w:r>
                </w:p>
              </w:tc>
            </w:tr>
          </w:tbl>
          <w:p w14:paraId="49D4BDA2">
            <w:pPr>
              <w:pStyle w:val="5"/>
              <w:bidi w:val="0"/>
            </w:pPr>
            <w:r>
              <w:rPr>
                <w:rFonts w:hint="eastAsia"/>
                <w:lang w:val="en-US" w:eastAsia="zh-CN"/>
              </w:rPr>
              <w:t>4.3.4</w:t>
            </w:r>
            <w:r>
              <w:rPr>
                <w:rFonts w:hint="eastAsia"/>
              </w:rPr>
              <w:t>自行监测计划</w:t>
            </w:r>
          </w:p>
          <w:p w14:paraId="471A2F52">
            <w:pPr>
              <w:ind w:firstLine="480"/>
              <w:rPr>
                <w:rFonts w:hint="default" w:eastAsia="宋体"/>
                <w:u w:val="none" w:color="auto"/>
                <w:lang w:val="en-US" w:eastAsia="zh-CN"/>
              </w:rPr>
            </w:pPr>
            <w:r>
              <w:rPr>
                <w:rFonts w:hint="eastAsia"/>
                <w:u w:val="none" w:color="auto"/>
                <w:lang w:val="en-US" w:eastAsia="zh-CN"/>
              </w:rPr>
              <w:t>本项目洗车废水经洗车废水沉淀后循环使用不外排，生活污水经化粪池收集后，定期清理后用作农肥，无生活污水外排，根据《建筑垃圾污染控制技术规范》（HJ1462-2026）第8.2条及《排污单位自行监测技术指南 环境卫生管理业》（HJ1106-2020），本项目淋滤水排放口（雨洪排口）应定期监测。</w:t>
            </w:r>
          </w:p>
          <w:p w14:paraId="0BC47CF2">
            <w:pPr>
              <w:ind w:firstLine="480"/>
              <w:rPr>
                <w:color w:val="000000"/>
                <w:highlight w:val="none"/>
                <w:u w:val="single" w:color="auto"/>
              </w:rPr>
            </w:pPr>
            <w:r>
              <w:rPr>
                <w:rFonts w:hint="eastAsia"/>
                <w:color w:val="000000"/>
                <w:u w:val="single" w:color="auto"/>
                <w:lang w:val="en-US" w:eastAsia="zh-CN"/>
              </w:rPr>
              <w:t>考虑到建筑垃圾堆填场</w:t>
            </w:r>
            <w:r>
              <w:rPr>
                <w:rFonts w:hint="eastAsia"/>
                <w:color w:val="000000"/>
                <w:u w:val="single" w:color="auto"/>
              </w:rPr>
              <w:t>产生的淋滤水可能会对周围地表水造成一定的影响</w:t>
            </w:r>
            <w:r>
              <w:rPr>
                <w:rFonts w:hint="eastAsia"/>
                <w:color w:val="000000"/>
                <w:highlight w:val="none"/>
                <w:u w:val="single" w:color="auto"/>
              </w:rPr>
              <w:t>，故本项目</w:t>
            </w:r>
            <w:r>
              <w:rPr>
                <w:rFonts w:hint="eastAsia"/>
                <w:color w:val="000000"/>
                <w:highlight w:val="none"/>
                <w:u w:val="single" w:color="auto"/>
                <w:lang w:val="en-US" w:eastAsia="zh-CN"/>
              </w:rPr>
              <w:t>沉淀池设置1个自行监测点位，</w:t>
            </w:r>
            <w:r>
              <w:rPr>
                <w:rFonts w:hint="eastAsia"/>
                <w:color w:val="000000"/>
                <w:highlight w:val="none"/>
                <w:u w:val="single" w:color="auto"/>
              </w:rPr>
              <w:t>具体监测要求见下表：</w:t>
            </w:r>
          </w:p>
          <w:p w14:paraId="74F34EFC">
            <w:pPr>
              <w:pStyle w:val="44"/>
              <w:bidi w:val="0"/>
              <w:rPr>
                <w:rFonts w:hint="eastAsia"/>
                <w:highlight w:val="none"/>
                <w:u w:val="single" w:color="auto"/>
              </w:rPr>
            </w:pPr>
            <w:r>
              <w:rPr>
                <w:rFonts w:hint="eastAsia"/>
                <w:highlight w:val="none"/>
                <w:u w:val="single" w:color="auto"/>
              </w:rPr>
              <w:t>表</w:t>
            </w:r>
            <w:r>
              <w:rPr>
                <w:rFonts w:hint="eastAsia"/>
                <w:highlight w:val="none"/>
                <w:u w:val="single" w:color="auto"/>
                <w:lang w:val="en-US" w:eastAsia="zh-CN"/>
              </w:rPr>
              <w:t>4.3-5</w:t>
            </w:r>
            <w:r>
              <w:rPr>
                <w:rFonts w:hint="eastAsia"/>
                <w:highlight w:val="none"/>
                <w:u w:val="single" w:color="auto"/>
              </w:rPr>
              <w:t>：</w:t>
            </w:r>
            <w:r>
              <w:rPr>
                <w:rFonts w:hint="eastAsia"/>
                <w:highlight w:val="none"/>
                <w:u w:val="single" w:color="auto"/>
                <w:lang w:val="en-US" w:eastAsia="zh-CN"/>
              </w:rPr>
              <w:t>自行</w:t>
            </w:r>
            <w:r>
              <w:rPr>
                <w:rFonts w:hint="eastAsia"/>
                <w:highlight w:val="none"/>
                <w:u w:val="single" w:color="auto"/>
              </w:rPr>
              <w:t>监测计划</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2283"/>
              <w:gridCol w:w="1746"/>
              <w:gridCol w:w="1099"/>
              <w:gridCol w:w="2275"/>
            </w:tblGrid>
            <w:tr w14:paraId="6B99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4" w:type="dxa"/>
                  <w:noWrap w:val="0"/>
                  <w:vAlign w:val="center"/>
                </w:tcPr>
                <w:p w14:paraId="7DBF161E">
                  <w:pPr>
                    <w:pStyle w:val="107"/>
                    <w:bidi w:val="0"/>
                    <w:rPr>
                      <w:b/>
                      <w:bCs/>
                      <w:highlight w:val="none"/>
                      <w:u w:val="single" w:color="auto"/>
                    </w:rPr>
                  </w:pPr>
                  <w:r>
                    <w:rPr>
                      <w:rFonts w:hint="eastAsia"/>
                      <w:b/>
                      <w:bCs/>
                      <w:highlight w:val="none"/>
                      <w:u w:val="single" w:color="auto"/>
                    </w:rPr>
                    <w:t>监测内容</w:t>
                  </w:r>
                </w:p>
              </w:tc>
              <w:tc>
                <w:tcPr>
                  <w:tcW w:w="2283" w:type="dxa"/>
                  <w:noWrap w:val="0"/>
                  <w:vAlign w:val="center"/>
                </w:tcPr>
                <w:p w14:paraId="2D5A20F1">
                  <w:pPr>
                    <w:pStyle w:val="107"/>
                    <w:bidi w:val="0"/>
                    <w:rPr>
                      <w:b/>
                      <w:bCs/>
                      <w:highlight w:val="none"/>
                      <w:u w:val="single" w:color="auto"/>
                    </w:rPr>
                  </w:pPr>
                  <w:r>
                    <w:rPr>
                      <w:rFonts w:hint="eastAsia"/>
                      <w:b/>
                      <w:bCs/>
                      <w:highlight w:val="none"/>
                      <w:u w:val="single" w:color="auto"/>
                    </w:rPr>
                    <w:t>监测指标</w:t>
                  </w:r>
                </w:p>
              </w:tc>
              <w:tc>
                <w:tcPr>
                  <w:tcW w:w="1746" w:type="dxa"/>
                  <w:noWrap w:val="0"/>
                  <w:vAlign w:val="center"/>
                </w:tcPr>
                <w:p w14:paraId="37336129">
                  <w:pPr>
                    <w:pStyle w:val="107"/>
                    <w:bidi w:val="0"/>
                    <w:rPr>
                      <w:b/>
                      <w:bCs/>
                      <w:highlight w:val="none"/>
                      <w:u w:val="single" w:color="auto"/>
                    </w:rPr>
                  </w:pPr>
                  <w:r>
                    <w:rPr>
                      <w:rFonts w:hint="eastAsia"/>
                      <w:b/>
                      <w:bCs/>
                      <w:highlight w:val="none"/>
                      <w:u w:val="single" w:color="auto"/>
                    </w:rPr>
                    <w:t>监测点设置</w:t>
                  </w:r>
                </w:p>
              </w:tc>
              <w:tc>
                <w:tcPr>
                  <w:tcW w:w="1099" w:type="dxa"/>
                  <w:noWrap w:val="0"/>
                  <w:vAlign w:val="center"/>
                </w:tcPr>
                <w:p w14:paraId="44D6047B">
                  <w:pPr>
                    <w:pStyle w:val="107"/>
                    <w:bidi w:val="0"/>
                    <w:rPr>
                      <w:b/>
                      <w:bCs/>
                      <w:highlight w:val="none"/>
                      <w:u w:val="single" w:color="auto"/>
                    </w:rPr>
                  </w:pPr>
                  <w:r>
                    <w:rPr>
                      <w:rFonts w:hint="eastAsia"/>
                      <w:b/>
                      <w:bCs/>
                      <w:highlight w:val="none"/>
                      <w:u w:val="single" w:color="auto"/>
                    </w:rPr>
                    <w:t>监测频率</w:t>
                  </w:r>
                </w:p>
              </w:tc>
              <w:tc>
                <w:tcPr>
                  <w:tcW w:w="2275" w:type="dxa"/>
                  <w:noWrap w:val="0"/>
                  <w:vAlign w:val="center"/>
                </w:tcPr>
                <w:p w14:paraId="1AF99B2B">
                  <w:pPr>
                    <w:pStyle w:val="107"/>
                    <w:bidi w:val="0"/>
                    <w:rPr>
                      <w:b/>
                      <w:bCs/>
                      <w:highlight w:val="none"/>
                      <w:u w:val="single" w:color="auto"/>
                    </w:rPr>
                  </w:pPr>
                  <w:r>
                    <w:rPr>
                      <w:rFonts w:hint="eastAsia"/>
                      <w:b/>
                      <w:bCs/>
                      <w:highlight w:val="none"/>
                      <w:u w:val="single" w:color="auto"/>
                    </w:rPr>
                    <w:t>执行标准</w:t>
                  </w:r>
                </w:p>
              </w:tc>
            </w:tr>
            <w:tr w14:paraId="05B6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4" w:type="dxa"/>
                  <w:noWrap w:val="0"/>
                  <w:vAlign w:val="center"/>
                </w:tcPr>
                <w:p w14:paraId="6F909156">
                  <w:pPr>
                    <w:pStyle w:val="107"/>
                    <w:bidi w:val="0"/>
                    <w:rPr>
                      <w:highlight w:val="none"/>
                      <w:u w:val="single" w:color="auto"/>
                    </w:rPr>
                  </w:pPr>
                  <w:r>
                    <w:rPr>
                      <w:rFonts w:hint="eastAsia"/>
                      <w:highlight w:val="none"/>
                      <w:u w:val="single" w:color="auto"/>
                    </w:rPr>
                    <w:t>场区淋滤水</w:t>
                  </w:r>
                </w:p>
              </w:tc>
              <w:tc>
                <w:tcPr>
                  <w:tcW w:w="2283" w:type="dxa"/>
                  <w:noWrap w:val="0"/>
                  <w:vAlign w:val="center"/>
                </w:tcPr>
                <w:p w14:paraId="1B866138">
                  <w:pPr>
                    <w:pStyle w:val="107"/>
                    <w:bidi w:val="0"/>
                    <w:rPr>
                      <w:rFonts w:hint="eastAsia" w:eastAsia="宋体"/>
                      <w:highlight w:val="none"/>
                      <w:u w:val="single" w:color="auto"/>
                      <w:lang w:eastAsia="zh-CN"/>
                    </w:rPr>
                  </w:pPr>
                  <w:r>
                    <w:rPr>
                      <w:rFonts w:hint="eastAsia"/>
                      <w:highlight w:val="none"/>
                      <w:u w:val="single" w:color="auto"/>
                      <w:lang w:eastAsia="zh-CN"/>
                    </w:rPr>
                    <w:t>pH</w:t>
                  </w:r>
                  <w:r>
                    <w:rPr>
                      <w:rFonts w:hint="eastAsia"/>
                      <w:highlight w:val="none"/>
                      <w:u w:val="single" w:color="auto"/>
                    </w:rPr>
                    <w:t>、化学需氧量、悬浮物、总铜、总镉、总铬、总镍、总砷、总铅</w:t>
                  </w:r>
                  <w:r>
                    <w:rPr>
                      <w:rFonts w:hint="eastAsia"/>
                      <w:u w:val="single" w:color="auto"/>
                      <w:lang w:eastAsia="zh-CN"/>
                    </w:rPr>
                    <w:t>、</w:t>
                  </w:r>
                  <w:r>
                    <w:rPr>
                      <w:rFonts w:hint="eastAsia"/>
                      <w:u w:val="single" w:color="auto"/>
                      <w:lang w:val="en-US" w:eastAsia="zh-CN"/>
                    </w:rPr>
                    <w:t>氨氮、总磷、石油类</w:t>
                  </w:r>
                </w:p>
              </w:tc>
              <w:tc>
                <w:tcPr>
                  <w:tcW w:w="1746" w:type="dxa"/>
                  <w:noWrap w:val="0"/>
                  <w:vAlign w:val="center"/>
                </w:tcPr>
                <w:p w14:paraId="516C5B17">
                  <w:pPr>
                    <w:pStyle w:val="107"/>
                    <w:bidi w:val="0"/>
                    <w:rPr>
                      <w:rFonts w:hint="eastAsia" w:eastAsia="宋体"/>
                      <w:highlight w:val="none"/>
                      <w:u w:val="single" w:color="auto"/>
                      <w:lang w:val="en-US" w:eastAsia="zh-CN"/>
                    </w:rPr>
                  </w:pPr>
                  <w:r>
                    <w:rPr>
                      <w:rFonts w:hint="eastAsia"/>
                      <w:highlight w:val="none"/>
                      <w:u w:val="single" w:color="auto"/>
                      <w:lang w:val="en-US" w:eastAsia="zh-CN"/>
                    </w:rPr>
                    <w:t>矿坑废水沉淀池出口（排放前）</w:t>
                  </w:r>
                </w:p>
              </w:tc>
              <w:tc>
                <w:tcPr>
                  <w:tcW w:w="1099" w:type="dxa"/>
                  <w:noWrap w:val="0"/>
                  <w:vAlign w:val="center"/>
                </w:tcPr>
                <w:p w14:paraId="76B58CF5">
                  <w:pPr>
                    <w:pStyle w:val="107"/>
                    <w:bidi w:val="0"/>
                    <w:rPr>
                      <w:highlight w:val="none"/>
                      <w:u w:val="single" w:color="auto"/>
                    </w:rPr>
                  </w:pPr>
                  <w:r>
                    <w:rPr>
                      <w:rFonts w:hint="eastAsia"/>
                      <w:highlight w:val="none"/>
                      <w:u w:val="single" w:color="auto"/>
                    </w:rPr>
                    <w:t>1次/</w:t>
                  </w:r>
                  <w:r>
                    <w:rPr>
                      <w:rFonts w:hint="eastAsia"/>
                      <w:highlight w:val="none"/>
                      <w:u w:val="single" w:color="auto"/>
                      <w:lang w:val="en-US" w:eastAsia="zh-CN"/>
                    </w:rPr>
                    <w:t>季度</w:t>
                  </w:r>
                </w:p>
              </w:tc>
              <w:tc>
                <w:tcPr>
                  <w:tcW w:w="2275" w:type="dxa"/>
                  <w:noWrap w:val="0"/>
                  <w:vAlign w:val="center"/>
                </w:tcPr>
                <w:p w14:paraId="1142ACAB">
                  <w:pPr>
                    <w:pStyle w:val="107"/>
                    <w:bidi w:val="0"/>
                    <w:rPr>
                      <w:rFonts w:hint="default"/>
                      <w:highlight w:val="none"/>
                      <w:u w:val="single" w:color="auto"/>
                      <w:lang w:val="en-US" w:eastAsia="zh-CN"/>
                    </w:rPr>
                  </w:pPr>
                  <w:r>
                    <w:rPr>
                      <w:rFonts w:hint="default"/>
                      <w:highlight w:val="none"/>
                      <w:u w:val="single" w:color="auto"/>
                      <w:lang w:val="en-US" w:eastAsia="zh-CN"/>
                    </w:rPr>
                    <w:t>《污水综合排放标准》（GB8978-1996）一级标准</w:t>
                  </w:r>
                </w:p>
              </w:tc>
            </w:tr>
          </w:tbl>
          <w:p w14:paraId="172A8D32">
            <w:pPr>
              <w:pStyle w:val="5"/>
              <w:rPr>
                <w:rFonts w:hint="eastAsia" w:ascii="Times New Roman" w:hAnsi="Times New Roman" w:eastAsia="宋体" w:cs="Times New Roman"/>
              </w:rPr>
            </w:pPr>
            <w:bookmarkStart w:id="97" w:name="_Toc27465"/>
            <w:bookmarkStart w:id="98" w:name="_Toc32493"/>
            <w:r>
              <w:rPr>
                <w:rFonts w:hint="eastAsia" w:ascii="Times New Roman" w:hAnsi="Times New Roman" w:eastAsia="宋体" w:cs="Times New Roman"/>
                <w:lang w:eastAsia="zh-CN"/>
              </w:rPr>
              <w:t>4</w:t>
            </w:r>
            <w:r>
              <w:rPr>
                <w:rFonts w:hint="eastAsia" w:ascii="Times New Roman" w:hAnsi="Times New Roman" w:eastAsia="宋体" w:cs="Times New Roman"/>
                <w:lang w:val="en-US" w:eastAsia="zh-CN"/>
              </w:rPr>
              <w:t>.3.5</w:t>
            </w:r>
            <w:r>
              <w:rPr>
                <w:rFonts w:hint="eastAsia" w:ascii="Times New Roman" w:hAnsi="Times New Roman" w:eastAsia="宋体" w:cs="Times New Roman"/>
              </w:rPr>
              <w:t>废水治理总结</w:t>
            </w:r>
          </w:p>
          <w:p w14:paraId="35BD8EB4">
            <w:pPr>
              <w:pStyle w:val="173"/>
              <w:ind w:firstLine="480"/>
              <w:rPr>
                <w:rFonts w:hint="eastAsia" w:ascii="Times New Roman" w:hAnsi="Times New Roman" w:eastAsia="宋体" w:cs="宋体"/>
              </w:rPr>
            </w:pPr>
            <w:r>
              <w:rPr>
                <w:rFonts w:hint="eastAsia" w:ascii="Times New Roman" w:hAnsi="Times New Roman" w:eastAsia="宋体" w:cs="宋体"/>
              </w:rPr>
              <w:t>综上所述，本项目废水产生量小，水质简单</w:t>
            </w:r>
            <w:r>
              <w:rPr>
                <w:rFonts w:hint="eastAsia" w:cs="宋体"/>
                <w:lang w:eastAsia="zh-CN"/>
              </w:rPr>
              <w:t>，</w:t>
            </w:r>
            <w:r>
              <w:rPr>
                <w:rFonts w:hint="eastAsia" w:ascii="Times New Roman" w:hAnsi="Times New Roman" w:eastAsia="宋体" w:cs="宋体"/>
              </w:rPr>
              <w:t>所采取的废水污染防治措施技术可行，环境风险可控。</w:t>
            </w:r>
          </w:p>
          <w:p w14:paraId="3C25DDA2">
            <w:pPr>
              <w:pStyle w:val="4"/>
              <w:bidi w:val="0"/>
            </w:pPr>
            <w:bookmarkStart w:id="99" w:name="_Toc20982"/>
            <w:r>
              <w:rPr>
                <w:rFonts w:hint="eastAsia"/>
              </w:rPr>
              <w:t>4.4声环境</w:t>
            </w:r>
            <w:r>
              <w:t>影响分析</w:t>
            </w:r>
            <w:bookmarkEnd w:id="97"/>
            <w:bookmarkEnd w:id="98"/>
            <w:bookmarkEnd w:id="99"/>
          </w:p>
          <w:p w14:paraId="1FFC9CCE">
            <w:pPr>
              <w:pStyle w:val="5"/>
              <w:bidi w:val="0"/>
              <w:rPr>
                <w:rFonts w:hint="eastAsia"/>
              </w:rPr>
            </w:pPr>
            <w:r>
              <w:rPr>
                <w:rFonts w:hint="eastAsia"/>
                <w:lang w:val="en-US" w:eastAsia="zh-CN"/>
              </w:rPr>
              <w:t>4.4.1</w:t>
            </w:r>
            <w:r>
              <w:rPr>
                <w:rFonts w:hint="eastAsia"/>
              </w:rPr>
              <w:t>噪声源强</w:t>
            </w:r>
          </w:p>
          <w:p w14:paraId="4FBB2407">
            <w:pPr>
              <w:bidi w:val="0"/>
            </w:pPr>
            <w:r>
              <w:rPr>
                <w:rFonts w:hint="eastAsia"/>
              </w:rPr>
              <w:t>项目建筑垃圾消纳场噪声主要来源于</w:t>
            </w:r>
            <w:r>
              <w:rPr>
                <w:rFonts w:hint="eastAsia"/>
                <w:lang w:val="en-US" w:eastAsia="zh-CN"/>
              </w:rPr>
              <w:t>压实机、运输车、洒水车、挖掘机、推土机</w:t>
            </w:r>
            <w:r>
              <w:rPr>
                <w:rFonts w:hint="eastAsia"/>
              </w:rPr>
              <w:t>、雾炮机</w:t>
            </w:r>
            <w:r>
              <w:rPr>
                <w:rFonts w:hint="eastAsia"/>
                <w:lang w:eastAsia="zh-CN"/>
              </w:rPr>
              <w:t>、</w:t>
            </w:r>
            <w:r>
              <w:rPr>
                <w:rFonts w:hint="eastAsia"/>
                <w:lang w:val="en-US" w:eastAsia="zh-CN"/>
              </w:rPr>
              <w:t>水泵</w:t>
            </w:r>
            <w:r>
              <w:rPr>
                <w:rFonts w:hint="eastAsia"/>
              </w:rPr>
              <w:t>运行等产生的噪声</w:t>
            </w:r>
            <w:r>
              <w:rPr>
                <w:rFonts w:hint="eastAsia"/>
                <w:lang w:eastAsia="zh-CN"/>
              </w:rPr>
              <w:t>，</w:t>
            </w:r>
            <w:r>
              <w:rPr>
                <w:rFonts w:hint="eastAsia"/>
              </w:rPr>
              <w:t>主要噪声源及源强情况见表4.4-1。</w:t>
            </w:r>
          </w:p>
          <w:p w14:paraId="1603ED59">
            <w:pPr>
              <w:bidi w:val="0"/>
              <w:rPr>
                <w:rFonts w:hint="default"/>
                <w:b/>
                <w:bCs/>
                <w:lang w:val="en-US"/>
              </w:rPr>
            </w:pPr>
            <w:r>
              <w:rPr>
                <w:rFonts w:hint="eastAsia"/>
                <w:b/>
                <w:bCs/>
                <w:lang w:val="zh-CN"/>
              </w:rPr>
              <w:t>（</w:t>
            </w:r>
            <w:r>
              <w:rPr>
                <w:rFonts w:hint="eastAsia"/>
                <w:b/>
                <w:bCs/>
                <w:lang w:val="en-US"/>
              </w:rPr>
              <w:t>1</w:t>
            </w:r>
            <w:r>
              <w:rPr>
                <w:rFonts w:hint="eastAsia"/>
                <w:b/>
                <w:bCs/>
                <w:lang w:val="zh-CN"/>
              </w:rPr>
              <w:t>）</w:t>
            </w:r>
            <w:r>
              <w:rPr>
                <w:rFonts w:hint="eastAsia"/>
                <w:b/>
                <w:bCs/>
                <w:lang w:val="en-US"/>
              </w:rPr>
              <w:t>设备噪声</w:t>
            </w:r>
          </w:p>
          <w:p w14:paraId="010D1E22">
            <w:pPr>
              <w:pStyle w:val="44"/>
              <w:bidi w:val="0"/>
              <w:rPr>
                <w:rFonts w:hAnsi="宋体" w:cs="宋体"/>
                <w:b/>
                <w:bCs/>
                <w:kern w:val="0"/>
                <w:sz w:val="21"/>
                <w:szCs w:val="21"/>
                <w:u w:val="none"/>
                <w:lang w:val="zh-CN" w:bidi="zh-CN"/>
              </w:rPr>
            </w:pPr>
            <w:r>
              <w:rPr>
                <w:rFonts w:hAnsi="宋体" w:cs="宋体"/>
                <w:b/>
                <w:bCs/>
                <w:kern w:val="0"/>
                <w:sz w:val="21"/>
                <w:szCs w:val="21"/>
                <w:u w:val="none"/>
                <w:lang w:val="zh-CN" w:bidi="zh-CN"/>
              </w:rPr>
              <w:t>表</w:t>
            </w:r>
            <w:r>
              <w:rPr>
                <w:rFonts w:hint="eastAsia" w:cs="宋体"/>
                <w:b/>
                <w:bCs/>
                <w:kern w:val="0"/>
                <w:sz w:val="21"/>
                <w:szCs w:val="21"/>
                <w:u w:val="none"/>
                <w:lang w:bidi="zh-CN"/>
              </w:rPr>
              <w:t>4.4-1</w:t>
            </w:r>
            <w:r>
              <w:rPr>
                <w:rFonts w:hint="eastAsia" w:cs="宋体"/>
                <w:b/>
                <w:bCs/>
                <w:kern w:val="0"/>
                <w:sz w:val="21"/>
                <w:szCs w:val="21"/>
                <w:u w:val="none"/>
                <w:lang w:val="zh-CN" w:bidi="zh-CN"/>
              </w:rPr>
              <w:t>：</w:t>
            </w:r>
            <w:r>
              <w:rPr>
                <w:rFonts w:hAnsi="宋体" w:cs="宋体"/>
                <w:b/>
                <w:bCs/>
                <w:kern w:val="0"/>
                <w:sz w:val="21"/>
                <w:szCs w:val="21"/>
                <w:u w:val="none"/>
                <w:lang w:val="zh-CN" w:bidi="zh-CN"/>
              </w:rPr>
              <w:t>主要噪声源及源强情况</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211"/>
              <w:gridCol w:w="1067"/>
              <w:gridCol w:w="741"/>
              <w:gridCol w:w="867"/>
              <w:gridCol w:w="1248"/>
              <w:gridCol w:w="1228"/>
              <w:gridCol w:w="1722"/>
            </w:tblGrid>
            <w:tr w14:paraId="0D94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15E4A000">
                  <w:pPr>
                    <w:pStyle w:val="115"/>
                    <w:bidi w:val="0"/>
                    <w:jc w:val="center"/>
                    <w:rPr>
                      <w:b/>
                      <w:bCs/>
                      <w:u w:val="none"/>
                    </w:rPr>
                  </w:pPr>
                  <w:r>
                    <w:rPr>
                      <w:b/>
                      <w:bCs/>
                      <w:u w:val="none"/>
                    </w:rPr>
                    <w:t>编号</w:t>
                  </w:r>
                </w:p>
              </w:tc>
              <w:tc>
                <w:tcPr>
                  <w:tcW w:w="691" w:type="pct"/>
                  <w:shd w:val="clear" w:color="auto" w:fill="auto"/>
                  <w:vAlign w:val="center"/>
                </w:tcPr>
                <w:p w14:paraId="7EDAE202">
                  <w:pPr>
                    <w:pStyle w:val="115"/>
                    <w:bidi w:val="0"/>
                    <w:jc w:val="center"/>
                    <w:rPr>
                      <w:b/>
                      <w:bCs/>
                      <w:u w:val="none"/>
                    </w:rPr>
                  </w:pPr>
                  <w:r>
                    <w:rPr>
                      <w:b/>
                      <w:bCs/>
                      <w:u w:val="none"/>
                    </w:rPr>
                    <w:t>声源名称</w:t>
                  </w:r>
                </w:p>
              </w:tc>
              <w:tc>
                <w:tcPr>
                  <w:tcW w:w="609" w:type="pct"/>
                  <w:shd w:val="clear" w:color="auto" w:fill="auto"/>
                  <w:vAlign w:val="center"/>
                </w:tcPr>
                <w:p w14:paraId="2E1D67E8">
                  <w:pPr>
                    <w:pStyle w:val="115"/>
                    <w:bidi w:val="0"/>
                    <w:jc w:val="center"/>
                    <w:rPr>
                      <w:b/>
                      <w:bCs/>
                      <w:u w:val="none"/>
                    </w:rPr>
                  </w:pPr>
                  <w:r>
                    <w:rPr>
                      <w:b/>
                      <w:bCs/>
                      <w:u w:val="none"/>
                    </w:rPr>
                    <w:t>运行状况</w:t>
                  </w:r>
                </w:p>
              </w:tc>
              <w:tc>
                <w:tcPr>
                  <w:tcW w:w="423" w:type="pct"/>
                  <w:shd w:val="clear" w:color="auto" w:fill="auto"/>
                  <w:vAlign w:val="center"/>
                </w:tcPr>
                <w:p w14:paraId="3927E874">
                  <w:pPr>
                    <w:pStyle w:val="115"/>
                    <w:bidi w:val="0"/>
                    <w:jc w:val="center"/>
                    <w:rPr>
                      <w:b/>
                      <w:bCs/>
                      <w:u w:val="none"/>
                    </w:rPr>
                  </w:pPr>
                  <w:r>
                    <w:rPr>
                      <w:b/>
                      <w:bCs/>
                      <w:u w:val="none"/>
                    </w:rPr>
                    <w:t>数量</w:t>
                  </w:r>
                </w:p>
              </w:tc>
              <w:tc>
                <w:tcPr>
                  <w:tcW w:w="495" w:type="pct"/>
                  <w:shd w:val="clear" w:color="auto" w:fill="auto"/>
                  <w:vAlign w:val="center"/>
                </w:tcPr>
                <w:p w14:paraId="4B0D7452">
                  <w:pPr>
                    <w:pStyle w:val="115"/>
                    <w:bidi w:val="0"/>
                    <w:jc w:val="center"/>
                    <w:rPr>
                      <w:b/>
                      <w:bCs/>
                      <w:u w:val="none"/>
                    </w:rPr>
                  </w:pPr>
                  <w:r>
                    <w:rPr>
                      <w:b/>
                      <w:bCs/>
                      <w:u w:val="none"/>
                    </w:rPr>
                    <w:t>位置</w:t>
                  </w:r>
                </w:p>
              </w:tc>
              <w:tc>
                <w:tcPr>
                  <w:tcW w:w="712" w:type="pct"/>
                  <w:shd w:val="clear" w:color="auto" w:fill="auto"/>
                  <w:vAlign w:val="center"/>
                </w:tcPr>
                <w:p w14:paraId="12D2A23D">
                  <w:pPr>
                    <w:pStyle w:val="115"/>
                    <w:bidi w:val="0"/>
                    <w:jc w:val="center"/>
                    <w:rPr>
                      <w:b/>
                      <w:bCs/>
                      <w:u w:val="none"/>
                    </w:rPr>
                  </w:pPr>
                  <w:r>
                    <w:rPr>
                      <w:b/>
                      <w:bCs/>
                      <w:u w:val="none"/>
                    </w:rPr>
                    <w:t>噪声源强</w:t>
                  </w:r>
                </w:p>
                <w:p w14:paraId="5E3440E2">
                  <w:pPr>
                    <w:pStyle w:val="115"/>
                    <w:bidi w:val="0"/>
                    <w:jc w:val="center"/>
                    <w:rPr>
                      <w:b/>
                      <w:bCs/>
                      <w:u w:val="none"/>
                    </w:rPr>
                  </w:pPr>
                  <w:r>
                    <w:rPr>
                      <w:b/>
                      <w:bCs/>
                      <w:u w:val="none"/>
                    </w:rPr>
                    <w:t>dB（A）</w:t>
                  </w:r>
                </w:p>
              </w:tc>
              <w:tc>
                <w:tcPr>
                  <w:tcW w:w="701" w:type="pct"/>
                  <w:shd w:val="clear" w:color="auto" w:fill="auto"/>
                  <w:vAlign w:val="center"/>
                </w:tcPr>
                <w:p w14:paraId="15AA08CD">
                  <w:pPr>
                    <w:pStyle w:val="115"/>
                    <w:bidi w:val="0"/>
                    <w:jc w:val="center"/>
                    <w:rPr>
                      <w:b/>
                      <w:bCs/>
                      <w:u w:val="none"/>
                    </w:rPr>
                  </w:pPr>
                  <w:r>
                    <w:rPr>
                      <w:b/>
                      <w:bCs/>
                      <w:u w:val="none"/>
                    </w:rPr>
                    <w:t>治理措施</w:t>
                  </w:r>
                </w:p>
              </w:tc>
              <w:tc>
                <w:tcPr>
                  <w:tcW w:w="982" w:type="pct"/>
                  <w:shd w:val="clear" w:color="auto" w:fill="auto"/>
                  <w:vAlign w:val="center"/>
                </w:tcPr>
                <w:p w14:paraId="1BE4725B">
                  <w:pPr>
                    <w:pStyle w:val="115"/>
                    <w:bidi w:val="0"/>
                    <w:jc w:val="center"/>
                    <w:rPr>
                      <w:b/>
                      <w:bCs/>
                      <w:u w:val="none"/>
                    </w:rPr>
                  </w:pPr>
                  <w:r>
                    <w:rPr>
                      <w:b/>
                      <w:bCs/>
                      <w:u w:val="none"/>
                    </w:rPr>
                    <w:t>治理效果</w:t>
                  </w:r>
                </w:p>
                <w:p w14:paraId="37206D20">
                  <w:pPr>
                    <w:pStyle w:val="115"/>
                    <w:bidi w:val="0"/>
                    <w:jc w:val="center"/>
                    <w:rPr>
                      <w:b/>
                      <w:bCs/>
                      <w:u w:val="none"/>
                    </w:rPr>
                  </w:pPr>
                  <w:r>
                    <w:rPr>
                      <w:b/>
                      <w:bCs/>
                      <w:u w:val="none"/>
                    </w:rPr>
                    <w:t>dB（A）</w:t>
                  </w:r>
                </w:p>
              </w:tc>
            </w:tr>
            <w:tr w14:paraId="3430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19E8D8EF">
                  <w:pPr>
                    <w:pStyle w:val="115"/>
                    <w:bidi w:val="0"/>
                    <w:jc w:val="center"/>
                    <w:rPr>
                      <w:u w:val="none"/>
                    </w:rPr>
                  </w:pPr>
                  <w:r>
                    <w:rPr>
                      <w:rFonts w:hint="eastAsia"/>
                      <w:u w:val="none"/>
                      <w:lang w:val="en-US"/>
                    </w:rPr>
                    <w:t>1</w:t>
                  </w:r>
                </w:p>
              </w:tc>
              <w:tc>
                <w:tcPr>
                  <w:tcW w:w="691" w:type="pct"/>
                  <w:shd w:val="clear" w:color="auto" w:fill="auto"/>
                  <w:vAlign w:val="center"/>
                </w:tcPr>
                <w:p w14:paraId="14D6FB8E">
                  <w:pPr>
                    <w:pStyle w:val="115"/>
                    <w:bidi w:val="0"/>
                    <w:ind w:firstLine="0" w:firstLineChars="0"/>
                    <w:rPr>
                      <w:rFonts w:hint="default" w:eastAsia="宋体"/>
                      <w:u w:val="none"/>
                      <w:lang w:val="en-US" w:eastAsia="zh-CN"/>
                    </w:rPr>
                  </w:pPr>
                  <w:r>
                    <w:rPr>
                      <w:rFonts w:hint="eastAsia"/>
                    </w:rPr>
                    <w:t>压实机</w:t>
                  </w:r>
                </w:p>
              </w:tc>
              <w:tc>
                <w:tcPr>
                  <w:tcW w:w="609" w:type="pct"/>
                  <w:shd w:val="clear" w:color="auto" w:fill="auto"/>
                  <w:vAlign w:val="center"/>
                </w:tcPr>
                <w:p w14:paraId="167D28F1">
                  <w:pPr>
                    <w:pStyle w:val="115"/>
                    <w:bidi w:val="0"/>
                    <w:jc w:val="center"/>
                    <w:rPr>
                      <w:u w:val="none"/>
                    </w:rPr>
                  </w:pPr>
                  <w:r>
                    <w:rPr>
                      <w:rFonts w:hint="eastAsia"/>
                      <w:u w:val="none"/>
                    </w:rPr>
                    <w:t>持续</w:t>
                  </w:r>
                </w:p>
              </w:tc>
              <w:tc>
                <w:tcPr>
                  <w:tcW w:w="423" w:type="pct"/>
                  <w:shd w:val="clear" w:color="auto" w:fill="auto"/>
                  <w:vAlign w:val="center"/>
                </w:tcPr>
                <w:p w14:paraId="5A985B6C">
                  <w:pPr>
                    <w:pStyle w:val="115"/>
                    <w:bidi w:val="0"/>
                    <w:jc w:val="center"/>
                    <w:rPr>
                      <w:rFonts w:hint="eastAsia" w:eastAsia="宋体"/>
                      <w:u w:val="none"/>
                      <w:lang w:eastAsia="zh-CN"/>
                    </w:rPr>
                  </w:pPr>
                  <w:r>
                    <w:rPr>
                      <w:rFonts w:hint="eastAsia"/>
                      <w:u w:val="none"/>
                      <w:lang w:val="en-US" w:eastAsia="zh-CN"/>
                    </w:rPr>
                    <w:t>1</w:t>
                  </w:r>
                </w:p>
              </w:tc>
              <w:tc>
                <w:tcPr>
                  <w:tcW w:w="495" w:type="pct"/>
                  <w:vMerge w:val="restart"/>
                  <w:shd w:val="clear" w:color="auto" w:fill="auto"/>
                  <w:vAlign w:val="center"/>
                </w:tcPr>
                <w:p w14:paraId="21F82F14">
                  <w:pPr>
                    <w:pStyle w:val="115"/>
                    <w:bidi w:val="0"/>
                    <w:jc w:val="center"/>
                    <w:rPr>
                      <w:rFonts w:hint="default" w:eastAsia="宋体"/>
                      <w:u w:val="none"/>
                      <w:lang w:val="en-US" w:eastAsia="zh-CN"/>
                    </w:rPr>
                  </w:pPr>
                  <w:r>
                    <w:rPr>
                      <w:rFonts w:hint="eastAsia"/>
                      <w:u w:val="none"/>
                      <w:lang w:val="en-US" w:eastAsia="zh-CN"/>
                    </w:rPr>
                    <w:t>厂内</w:t>
                  </w:r>
                </w:p>
              </w:tc>
              <w:tc>
                <w:tcPr>
                  <w:tcW w:w="712" w:type="pct"/>
                  <w:shd w:val="clear" w:color="auto" w:fill="auto"/>
                  <w:vAlign w:val="center"/>
                </w:tcPr>
                <w:p w14:paraId="4932DADF">
                  <w:pPr>
                    <w:pStyle w:val="115"/>
                    <w:bidi w:val="0"/>
                    <w:jc w:val="center"/>
                    <w:rPr>
                      <w:u w:val="none"/>
                    </w:rPr>
                  </w:pPr>
                  <w:r>
                    <w:rPr>
                      <w:rFonts w:hint="eastAsia"/>
                      <w:u w:val="none"/>
                      <w:lang w:val="en-US"/>
                    </w:rPr>
                    <w:t>85</w:t>
                  </w:r>
                </w:p>
              </w:tc>
              <w:tc>
                <w:tcPr>
                  <w:tcW w:w="701" w:type="pct"/>
                  <w:vMerge w:val="restart"/>
                  <w:shd w:val="clear" w:color="auto" w:fill="auto"/>
                  <w:vAlign w:val="center"/>
                </w:tcPr>
                <w:p w14:paraId="3F03773A">
                  <w:pPr>
                    <w:pStyle w:val="115"/>
                    <w:bidi w:val="0"/>
                    <w:jc w:val="center"/>
                    <w:rPr>
                      <w:u w:val="none"/>
                    </w:rPr>
                  </w:pPr>
                  <w:r>
                    <w:rPr>
                      <w:rFonts w:hint="eastAsia"/>
                      <w:u w:val="none"/>
                    </w:rPr>
                    <w:t>选用低噪声设备，定期保养、限速禁鸣等</w:t>
                  </w:r>
                </w:p>
              </w:tc>
              <w:tc>
                <w:tcPr>
                  <w:tcW w:w="982" w:type="pct"/>
                  <w:shd w:val="clear" w:color="auto" w:fill="auto"/>
                  <w:vAlign w:val="center"/>
                </w:tcPr>
                <w:p w14:paraId="0301BA39">
                  <w:pPr>
                    <w:pStyle w:val="115"/>
                    <w:bidi w:val="0"/>
                    <w:jc w:val="center"/>
                    <w:rPr>
                      <w:rFonts w:hint="default" w:eastAsia="宋体"/>
                      <w:u w:val="none"/>
                      <w:lang w:val="en-US" w:eastAsia="zh-CN"/>
                    </w:rPr>
                  </w:pPr>
                  <w:r>
                    <w:rPr>
                      <w:rFonts w:hint="eastAsia"/>
                      <w:u w:val="none"/>
                      <w:lang w:val="en-US" w:eastAsia="zh-CN"/>
                    </w:rPr>
                    <w:t>70</w:t>
                  </w:r>
                </w:p>
              </w:tc>
            </w:tr>
            <w:tr w14:paraId="5B2C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04446EE1">
                  <w:pPr>
                    <w:pStyle w:val="115"/>
                    <w:bidi w:val="0"/>
                    <w:jc w:val="center"/>
                    <w:rPr>
                      <w:u w:val="none"/>
                    </w:rPr>
                  </w:pPr>
                  <w:r>
                    <w:rPr>
                      <w:rFonts w:hint="eastAsia"/>
                      <w:u w:val="none"/>
                      <w:lang w:val="en-US"/>
                    </w:rPr>
                    <w:t>2</w:t>
                  </w:r>
                </w:p>
              </w:tc>
              <w:tc>
                <w:tcPr>
                  <w:tcW w:w="691" w:type="pct"/>
                  <w:shd w:val="clear" w:color="auto" w:fill="auto"/>
                  <w:vAlign w:val="center"/>
                </w:tcPr>
                <w:p w14:paraId="505E5886">
                  <w:pPr>
                    <w:pStyle w:val="115"/>
                    <w:bidi w:val="0"/>
                    <w:ind w:firstLine="0" w:firstLineChars="0"/>
                    <w:rPr>
                      <w:rFonts w:hint="eastAsia" w:eastAsia="宋体"/>
                      <w:u w:val="none"/>
                      <w:lang w:eastAsia="zh-CN"/>
                    </w:rPr>
                  </w:pPr>
                  <w:r>
                    <w:rPr>
                      <w:rFonts w:hint="eastAsia"/>
                    </w:rPr>
                    <w:t>运输车</w:t>
                  </w:r>
                </w:p>
              </w:tc>
              <w:tc>
                <w:tcPr>
                  <w:tcW w:w="609" w:type="pct"/>
                  <w:shd w:val="clear" w:color="auto" w:fill="auto"/>
                  <w:vAlign w:val="center"/>
                </w:tcPr>
                <w:p w14:paraId="4E76DBA7">
                  <w:pPr>
                    <w:pStyle w:val="115"/>
                    <w:bidi w:val="0"/>
                    <w:jc w:val="center"/>
                    <w:rPr>
                      <w:u w:val="none"/>
                    </w:rPr>
                  </w:pPr>
                  <w:r>
                    <w:rPr>
                      <w:rFonts w:hint="eastAsia"/>
                      <w:u w:val="none"/>
                      <w:lang w:val="en-US" w:eastAsia="zh-CN"/>
                    </w:rPr>
                    <w:t>持续</w:t>
                  </w:r>
                </w:p>
              </w:tc>
              <w:tc>
                <w:tcPr>
                  <w:tcW w:w="423" w:type="pct"/>
                  <w:shd w:val="clear" w:color="auto" w:fill="auto"/>
                  <w:vAlign w:val="center"/>
                </w:tcPr>
                <w:p w14:paraId="40D580BE">
                  <w:pPr>
                    <w:pStyle w:val="115"/>
                    <w:bidi w:val="0"/>
                    <w:jc w:val="center"/>
                    <w:rPr>
                      <w:rFonts w:hint="eastAsia" w:eastAsia="宋体"/>
                      <w:u w:val="none"/>
                      <w:lang w:eastAsia="zh-CN"/>
                    </w:rPr>
                  </w:pPr>
                  <w:r>
                    <w:rPr>
                      <w:rFonts w:hint="eastAsia"/>
                      <w:u w:val="none"/>
                      <w:lang w:val="en-US" w:eastAsia="zh-CN"/>
                    </w:rPr>
                    <w:t>1</w:t>
                  </w:r>
                </w:p>
              </w:tc>
              <w:tc>
                <w:tcPr>
                  <w:tcW w:w="495" w:type="pct"/>
                  <w:vMerge w:val="continue"/>
                  <w:shd w:val="clear" w:color="auto" w:fill="auto"/>
                  <w:vAlign w:val="center"/>
                </w:tcPr>
                <w:p w14:paraId="59B8C227">
                  <w:pPr>
                    <w:pStyle w:val="115"/>
                    <w:bidi w:val="0"/>
                    <w:jc w:val="center"/>
                    <w:rPr>
                      <w:u w:val="none"/>
                    </w:rPr>
                  </w:pPr>
                </w:p>
              </w:tc>
              <w:tc>
                <w:tcPr>
                  <w:tcW w:w="712" w:type="pct"/>
                  <w:shd w:val="clear" w:color="auto" w:fill="auto"/>
                  <w:vAlign w:val="center"/>
                </w:tcPr>
                <w:p w14:paraId="1FFD36CD">
                  <w:pPr>
                    <w:pStyle w:val="115"/>
                    <w:bidi w:val="0"/>
                    <w:jc w:val="center"/>
                    <w:rPr>
                      <w:rFonts w:hint="default" w:eastAsia="宋体"/>
                      <w:u w:val="none"/>
                      <w:lang w:val="en-US" w:eastAsia="zh-CN"/>
                    </w:rPr>
                  </w:pPr>
                  <w:r>
                    <w:rPr>
                      <w:rFonts w:hint="eastAsia"/>
                      <w:u w:val="none"/>
                      <w:lang w:val="en-US" w:eastAsia="zh-CN"/>
                    </w:rPr>
                    <w:t>85</w:t>
                  </w:r>
                </w:p>
              </w:tc>
              <w:tc>
                <w:tcPr>
                  <w:tcW w:w="701" w:type="pct"/>
                  <w:vMerge w:val="continue"/>
                  <w:shd w:val="clear" w:color="auto" w:fill="auto"/>
                  <w:vAlign w:val="center"/>
                </w:tcPr>
                <w:p w14:paraId="502C07C6">
                  <w:pPr>
                    <w:pStyle w:val="115"/>
                    <w:bidi w:val="0"/>
                    <w:jc w:val="center"/>
                    <w:rPr>
                      <w:u w:val="none"/>
                    </w:rPr>
                  </w:pPr>
                </w:p>
              </w:tc>
              <w:tc>
                <w:tcPr>
                  <w:tcW w:w="982" w:type="pct"/>
                  <w:shd w:val="clear" w:color="auto" w:fill="auto"/>
                  <w:vAlign w:val="center"/>
                </w:tcPr>
                <w:p w14:paraId="443324B3">
                  <w:pPr>
                    <w:pStyle w:val="115"/>
                    <w:bidi w:val="0"/>
                    <w:jc w:val="center"/>
                    <w:rPr>
                      <w:rFonts w:hint="default" w:eastAsia="宋体"/>
                      <w:u w:val="none"/>
                      <w:lang w:val="en-US" w:eastAsia="zh-CN"/>
                    </w:rPr>
                  </w:pPr>
                  <w:r>
                    <w:rPr>
                      <w:rFonts w:hint="eastAsia"/>
                      <w:u w:val="none"/>
                      <w:lang w:val="en-US" w:eastAsia="zh-CN"/>
                    </w:rPr>
                    <w:t>70</w:t>
                  </w:r>
                </w:p>
              </w:tc>
            </w:tr>
            <w:tr w14:paraId="1273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43F6F5CD">
                  <w:pPr>
                    <w:pStyle w:val="115"/>
                    <w:bidi w:val="0"/>
                    <w:jc w:val="center"/>
                    <w:rPr>
                      <w:rFonts w:hint="eastAsia" w:eastAsia="宋体"/>
                      <w:u w:val="none"/>
                      <w:lang w:val="en-US" w:eastAsia="zh-CN"/>
                    </w:rPr>
                  </w:pPr>
                  <w:r>
                    <w:rPr>
                      <w:rFonts w:hint="eastAsia"/>
                      <w:u w:val="none"/>
                      <w:lang w:val="en-US" w:eastAsia="zh-CN"/>
                    </w:rPr>
                    <w:t>3</w:t>
                  </w:r>
                </w:p>
              </w:tc>
              <w:tc>
                <w:tcPr>
                  <w:tcW w:w="691" w:type="pct"/>
                  <w:shd w:val="clear" w:color="auto" w:fill="auto"/>
                  <w:vAlign w:val="center"/>
                </w:tcPr>
                <w:p w14:paraId="24D7DA02">
                  <w:pPr>
                    <w:pStyle w:val="115"/>
                    <w:bidi w:val="0"/>
                    <w:ind w:firstLine="0" w:firstLineChars="0"/>
                    <w:rPr>
                      <w:rFonts w:hint="eastAsia"/>
                      <w:u w:val="none"/>
                      <w:lang w:val="en-US" w:eastAsia="zh-CN"/>
                    </w:rPr>
                  </w:pPr>
                  <w:r>
                    <w:t>洒水车</w:t>
                  </w:r>
                </w:p>
              </w:tc>
              <w:tc>
                <w:tcPr>
                  <w:tcW w:w="609" w:type="pct"/>
                  <w:shd w:val="clear" w:color="auto" w:fill="auto"/>
                  <w:vAlign w:val="center"/>
                </w:tcPr>
                <w:p w14:paraId="4C4E0233">
                  <w:pPr>
                    <w:pStyle w:val="115"/>
                    <w:bidi w:val="0"/>
                    <w:ind w:firstLine="0" w:firstLineChars="0"/>
                    <w:jc w:val="center"/>
                    <w:rPr>
                      <w:rFonts w:hint="eastAsia"/>
                      <w:u w:val="none"/>
                      <w:lang w:val="en-US" w:eastAsia="zh-CN"/>
                    </w:rPr>
                  </w:pPr>
                  <w:r>
                    <w:rPr>
                      <w:rFonts w:hint="eastAsia"/>
                      <w:u w:val="none"/>
                      <w:lang w:val="en-US" w:eastAsia="zh-CN"/>
                    </w:rPr>
                    <w:t>持续</w:t>
                  </w:r>
                </w:p>
              </w:tc>
              <w:tc>
                <w:tcPr>
                  <w:tcW w:w="423" w:type="pct"/>
                  <w:shd w:val="clear" w:color="auto" w:fill="auto"/>
                  <w:vAlign w:val="center"/>
                </w:tcPr>
                <w:p w14:paraId="6C198B9E">
                  <w:pPr>
                    <w:pStyle w:val="115"/>
                    <w:bidi w:val="0"/>
                    <w:ind w:firstLine="0" w:firstLineChars="0"/>
                    <w:jc w:val="center"/>
                    <w:rPr>
                      <w:rFonts w:hint="eastAsia"/>
                      <w:u w:val="none"/>
                      <w:lang w:val="en-US" w:eastAsia="zh-CN"/>
                    </w:rPr>
                  </w:pPr>
                  <w:r>
                    <w:rPr>
                      <w:rFonts w:hint="eastAsia"/>
                      <w:u w:val="none"/>
                      <w:lang w:val="en-US" w:eastAsia="zh-CN"/>
                    </w:rPr>
                    <w:t>1</w:t>
                  </w:r>
                </w:p>
              </w:tc>
              <w:tc>
                <w:tcPr>
                  <w:tcW w:w="495" w:type="pct"/>
                  <w:vMerge w:val="continue"/>
                  <w:shd w:val="clear" w:color="auto" w:fill="auto"/>
                  <w:vAlign w:val="center"/>
                </w:tcPr>
                <w:p w14:paraId="6510FF60">
                  <w:pPr>
                    <w:pStyle w:val="115"/>
                    <w:bidi w:val="0"/>
                    <w:jc w:val="center"/>
                    <w:rPr>
                      <w:u w:val="none"/>
                    </w:rPr>
                  </w:pPr>
                </w:p>
              </w:tc>
              <w:tc>
                <w:tcPr>
                  <w:tcW w:w="712" w:type="pct"/>
                  <w:shd w:val="clear" w:color="auto" w:fill="auto"/>
                  <w:vAlign w:val="center"/>
                </w:tcPr>
                <w:p w14:paraId="643A803B">
                  <w:pPr>
                    <w:pStyle w:val="115"/>
                    <w:bidi w:val="0"/>
                    <w:jc w:val="center"/>
                    <w:rPr>
                      <w:rFonts w:hint="default" w:eastAsia="宋体"/>
                      <w:u w:val="none"/>
                      <w:lang w:val="en-US" w:eastAsia="zh-CN"/>
                    </w:rPr>
                  </w:pPr>
                  <w:r>
                    <w:rPr>
                      <w:rFonts w:hint="eastAsia"/>
                      <w:u w:val="none"/>
                      <w:lang w:val="en-US" w:eastAsia="zh-CN"/>
                    </w:rPr>
                    <w:t>85</w:t>
                  </w:r>
                </w:p>
              </w:tc>
              <w:tc>
                <w:tcPr>
                  <w:tcW w:w="701" w:type="pct"/>
                  <w:vMerge w:val="continue"/>
                  <w:shd w:val="clear" w:color="auto" w:fill="auto"/>
                  <w:vAlign w:val="center"/>
                </w:tcPr>
                <w:p w14:paraId="55A08916">
                  <w:pPr>
                    <w:pStyle w:val="115"/>
                    <w:bidi w:val="0"/>
                    <w:jc w:val="center"/>
                    <w:rPr>
                      <w:u w:val="none"/>
                    </w:rPr>
                  </w:pPr>
                </w:p>
              </w:tc>
              <w:tc>
                <w:tcPr>
                  <w:tcW w:w="982" w:type="pct"/>
                  <w:shd w:val="clear" w:color="auto" w:fill="auto"/>
                  <w:vAlign w:val="center"/>
                </w:tcPr>
                <w:p w14:paraId="7577F2A0">
                  <w:pPr>
                    <w:pStyle w:val="115"/>
                    <w:bidi w:val="0"/>
                    <w:jc w:val="center"/>
                    <w:rPr>
                      <w:rFonts w:hint="default" w:eastAsia="宋体"/>
                      <w:u w:val="none"/>
                      <w:lang w:val="en-US" w:eastAsia="zh-CN"/>
                    </w:rPr>
                  </w:pPr>
                  <w:r>
                    <w:rPr>
                      <w:rFonts w:hint="eastAsia"/>
                      <w:u w:val="none"/>
                      <w:lang w:val="en-US" w:eastAsia="zh-CN"/>
                    </w:rPr>
                    <w:t>70</w:t>
                  </w:r>
                </w:p>
              </w:tc>
            </w:tr>
            <w:tr w14:paraId="1638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151F544A">
                  <w:pPr>
                    <w:pStyle w:val="115"/>
                    <w:bidi w:val="0"/>
                    <w:jc w:val="center"/>
                    <w:rPr>
                      <w:rFonts w:hint="eastAsia" w:eastAsia="宋体"/>
                      <w:u w:val="none"/>
                      <w:lang w:val="en-US" w:eastAsia="zh-CN"/>
                    </w:rPr>
                  </w:pPr>
                  <w:r>
                    <w:rPr>
                      <w:rFonts w:hint="eastAsia"/>
                      <w:u w:val="none"/>
                      <w:lang w:val="en-US" w:eastAsia="zh-CN"/>
                    </w:rPr>
                    <w:t>4</w:t>
                  </w:r>
                </w:p>
              </w:tc>
              <w:tc>
                <w:tcPr>
                  <w:tcW w:w="691" w:type="pct"/>
                  <w:shd w:val="clear" w:color="auto" w:fill="auto"/>
                  <w:vAlign w:val="center"/>
                </w:tcPr>
                <w:p w14:paraId="3BC354C7">
                  <w:pPr>
                    <w:pStyle w:val="115"/>
                    <w:bidi w:val="0"/>
                    <w:ind w:firstLine="0" w:firstLineChars="0"/>
                    <w:rPr>
                      <w:rFonts w:hint="eastAsia"/>
                      <w:u w:val="none"/>
                      <w:lang w:val="en-US" w:eastAsia="zh-CN"/>
                    </w:rPr>
                  </w:pPr>
                  <w:r>
                    <w:rPr>
                      <w:rFonts w:hint="eastAsia"/>
                    </w:rPr>
                    <w:t>雾炮机</w:t>
                  </w:r>
                </w:p>
              </w:tc>
              <w:tc>
                <w:tcPr>
                  <w:tcW w:w="609" w:type="pct"/>
                  <w:shd w:val="clear" w:color="auto" w:fill="auto"/>
                  <w:vAlign w:val="center"/>
                </w:tcPr>
                <w:p w14:paraId="6B834C4B">
                  <w:pPr>
                    <w:pStyle w:val="115"/>
                    <w:bidi w:val="0"/>
                    <w:ind w:firstLine="0" w:firstLineChars="0"/>
                    <w:jc w:val="center"/>
                    <w:rPr>
                      <w:rFonts w:hint="eastAsia"/>
                      <w:u w:val="none"/>
                      <w:lang w:val="en-US" w:eastAsia="zh-CN"/>
                    </w:rPr>
                  </w:pPr>
                  <w:r>
                    <w:rPr>
                      <w:rFonts w:hint="eastAsia"/>
                      <w:u w:val="none"/>
                      <w:lang w:val="en-US" w:eastAsia="zh-CN"/>
                    </w:rPr>
                    <w:t>持续</w:t>
                  </w:r>
                </w:p>
              </w:tc>
              <w:tc>
                <w:tcPr>
                  <w:tcW w:w="423" w:type="pct"/>
                  <w:shd w:val="clear" w:color="auto" w:fill="auto"/>
                  <w:vAlign w:val="center"/>
                </w:tcPr>
                <w:p w14:paraId="503E3AE9">
                  <w:pPr>
                    <w:pStyle w:val="115"/>
                    <w:bidi w:val="0"/>
                    <w:ind w:firstLine="0" w:firstLineChars="0"/>
                    <w:jc w:val="center"/>
                    <w:rPr>
                      <w:rFonts w:hint="eastAsia"/>
                      <w:u w:val="none"/>
                      <w:lang w:val="en-US" w:eastAsia="zh-CN"/>
                    </w:rPr>
                  </w:pPr>
                  <w:r>
                    <w:rPr>
                      <w:rFonts w:hint="eastAsia"/>
                      <w:u w:val="none"/>
                      <w:lang w:val="en-US" w:eastAsia="zh-CN"/>
                    </w:rPr>
                    <w:t>2</w:t>
                  </w:r>
                </w:p>
              </w:tc>
              <w:tc>
                <w:tcPr>
                  <w:tcW w:w="495" w:type="pct"/>
                  <w:vMerge w:val="continue"/>
                  <w:shd w:val="clear" w:color="auto" w:fill="auto"/>
                  <w:vAlign w:val="center"/>
                </w:tcPr>
                <w:p w14:paraId="62EA96BA">
                  <w:pPr>
                    <w:pStyle w:val="115"/>
                    <w:bidi w:val="0"/>
                    <w:jc w:val="center"/>
                    <w:rPr>
                      <w:u w:val="none"/>
                    </w:rPr>
                  </w:pPr>
                </w:p>
              </w:tc>
              <w:tc>
                <w:tcPr>
                  <w:tcW w:w="712" w:type="pct"/>
                  <w:shd w:val="clear" w:color="auto" w:fill="auto"/>
                  <w:vAlign w:val="center"/>
                </w:tcPr>
                <w:p w14:paraId="70C2F7F5">
                  <w:pPr>
                    <w:pStyle w:val="115"/>
                    <w:bidi w:val="0"/>
                    <w:jc w:val="center"/>
                    <w:rPr>
                      <w:rFonts w:hint="default" w:eastAsia="宋体"/>
                      <w:u w:val="none"/>
                      <w:lang w:val="en-US" w:eastAsia="zh-CN"/>
                    </w:rPr>
                  </w:pPr>
                  <w:r>
                    <w:rPr>
                      <w:rFonts w:hint="eastAsia"/>
                      <w:u w:val="none"/>
                      <w:lang w:val="en-US" w:eastAsia="zh-CN"/>
                    </w:rPr>
                    <w:t>80</w:t>
                  </w:r>
                </w:p>
              </w:tc>
              <w:tc>
                <w:tcPr>
                  <w:tcW w:w="701" w:type="pct"/>
                  <w:vMerge w:val="continue"/>
                  <w:shd w:val="clear" w:color="auto" w:fill="auto"/>
                  <w:vAlign w:val="center"/>
                </w:tcPr>
                <w:p w14:paraId="5E41D84E">
                  <w:pPr>
                    <w:pStyle w:val="115"/>
                    <w:bidi w:val="0"/>
                    <w:jc w:val="center"/>
                    <w:rPr>
                      <w:u w:val="none"/>
                    </w:rPr>
                  </w:pPr>
                </w:p>
              </w:tc>
              <w:tc>
                <w:tcPr>
                  <w:tcW w:w="982" w:type="pct"/>
                  <w:shd w:val="clear" w:color="auto" w:fill="auto"/>
                  <w:vAlign w:val="center"/>
                </w:tcPr>
                <w:p w14:paraId="50B6E198">
                  <w:pPr>
                    <w:pStyle w:val="115"/>
                    <w:bidi w:val="0"/>
                    <w:jc w:val="center"/>
                    <w:rPr>
                      <w:rFonts w:hint="default" w:eastAsia="宋体"/>
                      <w:u w:val="none"/>
                      <w:lang w:val="en-US" w:eastAsia="zh-CN"/>
                    </w:rPr>
                  </w:pPr>
                  <w:r>
                    <w:rPr>
                      <w:rFonts w:hint="eastAsia"/>
                      <w:u w:val="none"/>
                      <w:lang w:val="en-US" w:eastAsia="zh-CN"/>
                    </w:rPr>
                    <w:t>65</w:t>
                  </w:r>
                </w:p>
              </w:tc>
            </w:tr>
            <w:tr w14:paraId="727C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01B9A831">
                  <w:pPr>
                    <w:pStyle w:val="115"/>
                    <w:bidi w:val="0"/>
                    <w:jc w:val="center"/>
                    <w:rPr>
                      <w:rFonts w:hint="eastAsia" w:eastAsia="宋体"/>
                      <w:u w:val="none"/>
                      <w:lang w:val="en-US" w:eastAsia="zh-CN"/>
                    </w:rPr>
                  </w:pPr>
                  <w:r>
                    <w:rPr>
                      <w:rFonts w:hint="eastAsia"/>
                      <w:u w:val="none"/>
                      <w:lang w:val="en-US" w:eastAsia="zh-CN"/>
                    </w:rPr>
                    <w:t>5</w:t>
                  </w:r>
                </w:p>
              </w:tc>
              <w:tc>
                <w:tcPr>
                  <w:tcW w:w="691" w:type="pct"/>
                  <w:shd w:val="clear" w:color="auto" w:fill="auto"/>
                  <w:vAlign w:val="center"/>
                </w:tcPr>
                <w:p w14:paraId="4C81F8BE">
                  <w:pPr>
                    <w:pStyle w:val="115"/>
                    <w:bidi w:val="0"/>
                    <w:ind w:firstLine="0" w:firstLineChars="0"/>
                    <w:rPr>
                      <w:rFonts w:hint="eastAsia"/>
                      <w:u w:val="none"/>
                      <w:lang w:val="en-US" w:eastAsia="zh-CN"/>
                    </w:rPr>
                  </w:pPr>
                  <w:r>
                    <w:t>挖掘机</w:t>
                  </w:r>
                </w:p>
              </w:tc>
              <w:tc>
                <w:tcPr>
                  <w:tcW w:w="609" w:type="pct"/>
                  <w:shd w:val="clear" w:color="auto" w:fill="auto"/>
                  <w:vAlign w:val="center"/>
                </w:tcPr>
                <w:p w14:paraId="015DA196">
                  <w:pPr>
                    <w:pStyle w:val="115"/>
                    <w:bidi w:val="0"/>
                    <w:ind w:firstLine="0" w:firstLineChars="0"/>
                    <w:jc w:val="center"/>
                    <w:rPr>
                      <w:rFonts w:hint="eastAsia"/>
                      <w:u w:val="none"/>
                      <w:lang w:val="en-US" w:eastAsia="zh-CN"/>
                    </w:rPr>
                  </w:pPr>
                  <w:r>
                    <w:rPr>
                      <w:rFonts w:hint="eastAsia"/>
                      <w:u w:val="none"/>
                      <w:lang w:val="en-US" w:eastAsia="zh-CN"/>
                    </w:rPr>
                    <w:t>持续</w:t>
                  </w:r>
                </w:p>
              </w:tc>
              <w:tc>
                <w:tcPr>
                  <w:tcW w:w="423" w:type="pct"/>
                  <w:shd w:val="clear" w:color="auto" w:fill="auto"/>
                  <w:vAlign w:val="center"/>
                </w:tcPr>
                <w:p w14:paraId="0F33BEAA">
                  <w:pPr>
                    <w:pStyle w:val="115"/>
                    <w:bidi w:val="0"/>
                    <w:ind w:firstLine="0" w:firstLineChars="0"/>
                    <w:jc w:val="center"/>
                    <w:rPr>
                      <w:rFonts w:hint="eastAsia"/>
                      <w:u w:val="none"/>
                      <w:lang w:val="en-US" w:eastAsia="zh-CN"/>
                    </w:rPr>
                  </w:pPr>
                  <w:r>
                    <w:rPr>
                      <w:rFonts w:hint="eastAsia"/>
                      <w:u w:val="none"/>
                      <w:lang w:val="en-US" w:eastAsia="zh-CN"/>
                    </w:rPr>
                    <w:t>1</w:t>
                  </w:r>
                </w:p>
              </w:tc>
              <w:tc>
                <w:tcPr>
                  <w:tcW w:w="495" w:type="pct"/>
                  <w:vMerge w:val="continue"/>
                  <w:shd w:val="clear" w:color="auto" w:fill="auto"/>
                  <w:vAlign w:val="center"/>
                </w:tcPr>
                <w:p w14:paraId="5F7989E0">
                  <w:pPr>
                    <w:pStyle w:val="115"/>
                    <w:bidi w:val="0"/>
                    <w:jc w:val="center"/>
                    <w:rPr>
                      <w:u w:val="none"/>
                    </w:rPr>
                  </w:pPr>
                </w:p>
              </w:tc>
              <w:tc>
                <w:tcPr>
                  <w:tcW w:w="712" w:type="pct"/>
                  <w:shd w:val="clear" w:color="auto" w:fill="auto"/>
                  <w:vAlign w:val="center"/>
                </w:tcPr>
                <w:p w14:paraId="7A96CFE4">
                  <w:pPr>
                    <w:pStyle w:val="115"/>
                    <w:bidi w:val="0"/>
                    <w:jc w:val="center"/>
                    <w:rPr>
                      <w:rFonts w:hint="default" w:eastAsia="宋体"/>
                      <w:u w:val="none"/>
                      <w:lang w:val="en-US" w:eastAsia="zh-CN"/>
                    </w:rPr>
                  </w:pPr>
                  <w:r>
                    <w:rPr>
                      <w:rFonts w:hint="eastAsia"/>
                      <w:u w:val="none"/>
                      <w:lang w:val="en-US" w:eastAsia="zh-CN"/>
                    </w:rPr>
                    <w:t>85</w:t>
                  </w:r>
                </w:p>
              </w:tc>
              <w:tc>
                <w:tcPr>
                  <w:tcW w:w="701" w:type="pct"/>
                  <w:vMerge w:val="continue"/>
                  <w:shd w:val="clear" w:color="auto" w:fill="auto"/>
                  <w:vAlign w:val="center"/>
                </w:tcPr>
                <w:p w14:paraId="4E864266">
                  <w:pPr>
                    <w:pStyle w:val="115"/>
                    <w:bidi w:val="0"/>
                    <w:jc w:val="center"/>
                    <w:rPr>
                      <w:u w:val="none"/>
                    </w:rPr>
                  </w:pPr>
                </w:p>
              </w:tc>
              <w:tc>
                <w:tcPr>
                  <w:tcW w:w="982" w:type="pct"/>
                  <w:shd w:val="clear" w:color="auto" w:fill="auto"/>
                  <w:vAlign w:val="center"/>
                </w:tcPr>
                <w:p w14:paraId="592D89A6">
                  <w:pPr>
                    <w:pStyle w:val="115"/>
                    <w:bidi w:val="0"/>
                    <w:jc w:val="center"/>
                    <w:rPr>
                      <w:rFonts w:hint="default" w:eastAsia="宋体"/>
                      <w:u w:val="none"/>
                      <w:lang w:val="en-US" w:eastAsia="zh-CN"/>
                    </w:rPr>
                  </w:pPr>
                  <w:r>
                    <w:rPr>
                      <w:rFonts w:hint="eastAsia"/>
                      <w:u w:val="none"/>
                      <w:lang w:val="en-US" w:eastAsia="zh-CN"/>
                    </w:rPr>
                    <w:t>70</w:t>
                  </w:r>
                </w:p>
              </w:tc>
            </w:tr>
            <w:tr w14:paraId="5F40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6BC8AB1B">
                  <w:pPr>
                    <w:pStyle w:val="115"/>
                    <w:bidi w:val="0"/>
                    <w:jc w:val="center"/>
                    <w:rPr>
                      <w:rFonts w:hint="eastAsia" w:eastAsia="宋体"/>
                      <w:u w:val="none"/>
                      <w:lang w:val="en-US" w:eastAsia="zh-CN"/>
                    </w:rPr>
                  </w:pPr>
                  <w:r>
                    <w:rPr>
                      <w:rFonts w:hint="eastAsia"/>
                      <w:u w:val="none"/>
                      <w:lang w:val="en-US" w:eastAsia="zh-CN"/>
                    </w:rPr>
                    <w:t>6</w:t>
                  </w:r>
                </w:p>
              </w:tc>
              <w:tc>
                <w:tcPr>
                  <w:tcW w:w="691" w:type="pct"/>
                  <w:shd w:val="clear" w:color="auto" w:fill="auto"/>
                  <w:vAlign w:val="center"/>
                </w:tcPr>
                <w:p w14:paraId="16F57F31">
                  <w:pPr>
                    <w:pStyle w:val="115"/>
                    <w:bidi w:val="0"/>
                    <w:ind w:firstLine="0" w:firstLineChars="0"/>
                    <w:rPr>
                      <w:rFonts w:hint="eastAsia"/>
                      <w:u w:val="none"/>
                      <w:lang w:val="en-US" w:eastAsia="zh-CN"/>
                    </w:rPr>
                  </w:pPr>
                  <w:r>
                    <w:rPr>
                      <w:rFonts w:hint="eastAsia"/>
                      <w:lang w:val="en-US" w:eastAsia="zh-CN"/>
                    </w:rPr>
                    <w:t>推土机</w:t>
                  </w:r>
                </w:p>
              </w:tc>
              <w:tc>
                <w:tcPr>
                  <w:tcW w:w="609" w:type="pct"/>
                  <w:shd w:val="clear" w:color="auto" w:fill="auto"/>
                  <w:vAlign w:val="center"/>
                </w:tcPr>
                <w:p w14:paraId="27C16148">
                  <w:pPr>
                    <w:pStyle w:val="115"/>
                    <w:bidi w:val="0"/>
                    <w:ind w:firstLine="0" w:firstLineChars="0"/>
                    <w:jc w:val="center"/>
                    <w:rPr>
                      <w:rFonts w:hint="eastAsia"/>
                      <w:u w:val="none"/>
                      <w:lang w:val="en-US" w:eastAsia="zh-CN"/>
                    </w:rPr>
                  </w:pPr>
                  <w:r>
                    <w:rPr>
                      <w:rFonts w:hint="eastAsia"/>
                      <w:u w:val="none"/>
                      <w:lang w:val="en-US" w:eastAsia="zh-CN"/>
                    </w:rPr>
                    <w:t>持续</w:t>
                  </w:r>
                </w:p>
              </w:tc>
              <w:tc>
                <w:tcPr>
                  <w:tcW w:w="423" w:type="pct"/>
                  <w:shd w:val="clear" w:color="auto" w:fill="auto"/>
                  <w:vAlign w:val="center"/>
                </w:tcPr>
                <w:p w14:paraId="0C72516F">
                  <w:pPr>
                    <w:pStyle w:val="115"/>
                    <w:bidi w:val="0"/>
                    <w:ind w:firstLine="0" w:firstLineChars="0"/>
                    <w:jc w:val="center"/>
                    <w:rPr>
                      <w:rFonts w:hint="eastAsia"/>
                      <w:u w:val="none"/>
                      <w:lang w:val="en-US" w:eastAsia="zh-CN"/>
                    </w:rPr>
                  </w:pPr>
                  <w:r>
                    <w:rPr>
                      <w:rFonts w:hint="eastAsia"/>
                      <w:u w:val="none"/>
                      <w:lang w:val="en-US" w:eastAsia="zh-CN"/>
                    </w:rPr>
                    <w:t>1</w:t>
                  </w:r>
                </w:p>
              </w:tc>
              <w:tc>
                <w:tcPr>
                  <w:tcW w:w="495" w:type="pct"/>
                  <w:vMerge w:val="continue"/>
                  <w:shd w:val="clear" w:color="auto" w:fill="auto"/>
                  <w:vAlign w:val="center"/>
                </w:tcPr>
                <w:p w14:paraId="75205370">
                  <w:pPr>
                    <w:pStyle w:val="115"/>
                    <w:bidi w:val="0"/>
                    <w:jc w:val="center"/>
                    <w:rPr>
                      <w:u w:val="none"/>
                    </w:rPr>
                  </w:pPr>
                </w:p>
              </w:tc>
              <w:tc>
                <w:tcPr>
                  <w:tcW w:w="712" w:type="pct"/>
                  <w:shd w:val="clear" w:color="auto" w:fill="auto"/>
                  <w:vAlign w:val="center"/>
                </w:tcPr>
                <w:p w14:paraId="15191CCD">
                  <w:pPr>
                    <w:pStyle w:val="115"/>
                    <w:bidi w:val="0"/>
                    <w:jc w:val="center"/>
                    <w:rPr>
                      <w:rFonts w:hint="default" w:eastAsia="宋体"/>
                      <w:u w:val="none"/>
                      <w:lang w:val="en-US" w:eastAsia="zh-CN"/>
                    </w:rPr>
                  </w:pPr>
                  <w:r>
                    <w:rPr>
                      <w:rFonts w:hint="eastAsia"/>
                      <w:u w:val="none"/>
                      <w:lang w:val="en-US" w:eastAsia="zh-CN"/>
                    </w:rPr>
                    <w:t>85</w:t>
                  </w:r>
                </w:p>
              </w:tc>
              <w:tc>
                <w:tcPr>
                  <w:tcW w:w="701" w:type="pct"/>
                  <w:vMerge w:val="continue"/>
                  <w:shd w:val="clear" w:color="auto" w:fill="auto"/>
                  <w:vAlign w:val="center"/>
                </w:tcPr>
                <w:p w14:paraId="35CF9E75">
                  <w:pPr>
                    <w:pStyle w:val="115"/>
                    <w:bidi w:val="0"/>
                    <w:jc w:val="center"/>
                    <w:rPr>
                      <w:u w:val="none"/>
                    </w:rPr>
                  </w:pPr>
                </w:p>
              </w:tc>
              <w:tc>
                <w:tcPr>
                  <w:tcW w:w="982" w:type="pct"/>
                  <w:shd w:val="clear" w:color="auto" w:fill="auto"/>
                  <w:vAlign w:val="center"/>
                </w:tcPr>
                <w:p w14:paraId="077A415F">
                  <w:pPr>
                    <w:pStyle w:val="115"/>
                    <w:bidi w:val="0"/>
                    <w:jc w:val="center"/>
                    <w:rPr>
                      <w:rFonts w:hint="default" w:eastAsia="宋体"/>
                      <w:u w:val="none"/>
                      <w:lang w:val="en-US" w:eastAsia="zh-CN"/>
                    </w:rPr>
                  </w:pPr>
                  <w:r>
                    <w:rPr>
                      <w:rFonts w:hint="eastAsia"/>
                      <w:u w:val="none"/>
                      <w:lang w:val="en-US" w:eastAsia="zh-CN"/>
                    </w:rPr>
                    <w:t>70</w:t>
                  </w:r>
                </w:p>
              </w:tc>
            </w:tr>
            <w:tr w14:paraId="79B3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4" w:type="pct"/>
                  <w:shd w:val="clear" w:color="auto" w:fill="auto"/>
                  <w:vAlign w:val="center"/>
                </w:tcPr>
                <w:p w14:paraId="14E3D1A9">
                  <w:pPr>
                    <w:pStyle w:val="115"/>
                    <w:bidi w:val="0"/>
                    <w:jc w:val="center"/>
                    <w:rPr>
                      <w:rFonts w:hint="default"/>
                      <w:u w:val="none"/>
                      <w:lang w:val="en-US" w:eastAsia="zh-CN"/>
                    </w:rPr>
                  </w:pPr>
                  <w:r>
                    <w:rPr>
                      <w:rFonts w:hint="eastAsia"/>
                      <w:u w:val="none"/>
                      <w:lang w:val="en-US" w:eastAsia="zh-CN"/>
                    </w:rPr>
                    <w:t>7</w:t>
                  </w:r>
                </w:p>
              </w:tc>
              <w:tc>
                <w:tcPr>
                  <w:tcW w:w="691" w:type="pct"/>
                  <w:shd w:val="clear" w:color="auto" w:fill="auto"/>
                  <w:vAlign w:val="center"/>
                </w:tcPr>
                <w:p w14:paraId="05C3BF2B">
                  <w:pPr>
                    <w:pStyle w:val="115"/>
                    <w:bidi w:val="0"/>
                    <w:ind w:firstLine="0" w:firstLineChars="0"/>
                    <w:rPr>
                      <w:rFonts w:hint="default"/>
                      <w:lang w:val="en-US" w:eastAsia="zh-CN"/>
                    </w:rPr>
                  </w:pPr>
                  <w:r>
                    <w:rPr>
                      <w:rFonts w:hint="eastAsia"/>
                      <w:lang w:val="en-US" w:eastAsia="zh-CN"/>
                    </w:rPr>
                    <w:t>水泵</w:t>
                  </w:r>
                </w:p>
              </w:tc>
              <w:tc>
                <w:tcPr>
                  <w:tcW w:w="609" w:type="pct"/>
                  <w:shd w:val="clear" w:color="auto" w:fill="auto"/>
                  <w:vAlign w:val="center"/>
                </w:tcPr>
                <w:p w14:paraId="6199383D">
                  <w:pPr>
                    <w:pStyle w:val="115"/>
                    <w:bidi w:val="0"/>
                    <w:ind w:firstLine="0" w:firstLineChars="0"/>
                    <w:jc w:val="center"/>
                    <w:rPr>
                      <w:rFonts w:hint="eastAsia" w:ascii="Times New Roman" w:hAnsi="Times New Roman" w:eastAsia="宋体" w:cs="Times New Roman"/>
                      <w:kern w:val="0"/>
                      <w:sz w:val="21"/>
                      <w:szCs w:val="24"/>
                      <w:u w:val="none"/>
                      <w:lang w:val="en-US" w:eastAsia="zh-CN" w:bidi="ar-SA"/>
                    </w:rPr>
                  </w:pPr>
                  <w:r>
                    <w:rPr>
                      <w:rFonts w:hint="eastAsia"/>
                      <w:u w:val="none"/>
                      <w:lang w:val="en-US" w:eastAsia="zh-CN"/>
                    </w:rPr>
                    <w:t>持续</w:t>
                  </w:r>
                </w:p>
              </w:tc>
              <w:tc>
                <w:tcPr>
                  <w:tcW w:w="423" w:type="pct"/>
                  <w:shd w:val="clear" w:color="auto" w:fill="auto"/>
                  <w:vAlign w:val="center"/>
                </w:tcPr>
                <w:p w14:paraId="6E698601">
                  <w:pPr>
                    <w:pStyle w:val="115"/>
                    <w:bidi w:val="0"/>
                    <w:ind w:firstLine="0" w:firstLineChars="0"/>
                    <w:jc w:val="center"/>
                    <w:rPr>
                      <w:rFonts w:hint="eastAsia" w:ascii="Times New Roman" w:hAnsi="Times New Roman" w:eastAsia="宋体" w:cs="Times New Roman"/>
                      <w:kern w:val="0"/>
                      <w:sz w:val="21"/>
                      <w:szCs w:val="24"/>
                      <w:u w:val="none"/>
                      <w:lang w:val="en-US" w:eastAsia="zh-CN" w:bidi="ar-SA"/>
                    </w:rPr>
                  </w:pPr>
                  <w:r>
                    <w:rPr>
                      <w:rFonts w:hint="eastAsia"/>
                      <w:u w:val="none"/>
                      <w:lang w:val="en-US" w:eastAsia="zh-CN"/>
                    </w:rPr>
                    <w:t>1</w:t>
                  </w:r>
                </w:p>
              </w:tc>
              <w:tc>
                <w:tcPr>
                  <w:tcW w:w="495" w:type="pct"/>
                  <w:vMerge w:val="continue"/>
                  <w:shd w:val="clear" w:color="auto" w:fill="auto"/>
                  <w:vAlign w:val="center"/>
                </w:tcPr>
                <w:p w14:paraId="3090D2D6">
                  <w:pPr>
                    <w:pStyle w:val="115"/>
                    <w:bidi w:val="0"/>
                    <w:jc w:val="center"/>
                    <w:rPr>
                      <w:u w:val="none"/>
                    </w:rPr>
                  </w:pPr>
                </w:p>
              </w:tc>
              <w:tc>
                <w:tcPr>
                  <w:tcW w:w="712" w:type="pct"/>
                  <w:shd w:val="clear" w:color="auto" w:fill="auto"/>
                  <w:vAlign w:val="center"/>
                </w:tcPr>
                <w:p w14:paraId="2807BF35">
                  <w:pPr>
                    <w:pStyle w:val="115"/>
                    <w:bidi w:val="0"/>
                    <w:jc w:val="center"/>
                    <w:rPr>
                      <w:rFonts w:hint="default"/>
                      <w:u w:val="none"/>
                      <w:lang w:val="en-US" w:eastAsia="zh-CN"/>
                    </w:rPr>
                  </w:pPr>
                  <w:r>
                    <w:rPr>
                      <w:rFonts w:hint="eastAsia"/>
                      <w:u w:val="none"/>
                      <w:lang w:val="en-US" w:eastAsia="zh-CN"/>
                    </w:rPr>
                    <w:t>85</w:t>
                  </w:r>
                </w:p>
              </w:tc>
              <w:tc>
                <w:tcPr>
                  <w:tcW w:w="701" w:type="pct"/>
                  <w:vMerge w:val="continue"/>
                  <w:shd w:val="clear" w:color="auto" w:fill="auto"/>
                  <w:vAlign w:val="center"/>
                </w:tcPr>
                <w:p w14:paraId="7D6BF6BF">
                  <w:pPr>
                    <w:pStyle w:val="115"/>
                    <w:bidi w:val="0"/>
                    <w:jc w:val="center"/>
                    <w:rPr>
                      <w:u w:val="none"/>
                    </w:rPr>
                  </w:pPr>
                </w:p>
              </w:tc>
              <w:tc>
                <w:tcPr>
                  <w:tcW w:w="982" w:type="pct"/>
                  <w:shd w:val="clear" w:color="auto" w:fill="auto"/>
                  <w:vAlign w:val="center"/>
                </w:tcPr>
                <w:p w14:paraId="1520A6CE">
                  <w:pPr>
                    <w:pStyle w:val="115"/>
                    <w:bidi w:val="0"/>
                    <w:jc w:val="center"/>
                    <w:rPr>
                      <w:rFonts w:hint="default"/>
                      <w:u w:val="none"/>
                      <w:lang w:val="en-US" w:eastAsia="zh-CN"/>
                    </w:rPr>
                  </w:pPr>
                  <w:r>
                    <w:rPr>
                      <w:rFonts w:hint="eastAsia"/>
                      <w:u w:val="none"/>
                      <w:lang w:val="en-US" w:eastAsia="zh-CN"/>
                    </w:rPr>
                    <w:t>70</w:t>
                  </w:r>
                </w:p>
              </w:tc>
            </w:tr>
          </w:tbl>
          <w:p w14:paraId="55E70AA3">
            <w:pPr>
              <w:pStyle w:val="173"/>
              <w:ind w:firstLine="480"/>
            </w:pPr>
          </w:p>
        </w:tc>
      </w:tr>
    </w:tbl>
    <w:p w14:paraId="427314D4">
      <w:pPr>
        <w:pStyle w:val="3"/>
        <w:sectPr>
          <w:pgSz w:w="11906" w:h="16838"/>
          <w:pgMar w:top="1440" w:right="1080" w:bottom="1440" w:left="1080" w:header="851" w:footer="680" w:gutter="0"/>
          <w:cols w:space="720" w:num="1"/>
          <w:docGrid w:type="lines" w:linePitch="312" w:charSpace="0"/>
        </w:sectPr>
      </w:pPr>
    </w:p>
    <w:tbl>
      <w:tblPr>
        <w:tblStyle w:val="39"/>
        <w:tblW w:w="143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2"/>
      </w:tblGrid>
      <w:tr w14:paraId="476B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02" w:type="dxa"/>
          </w:tcPr>
          <w:p w14:paraId="4ACC2223">
            <w:pPr>
              <w:pStyle w:val="44"/>
              <w:bidi w:val="0"/>
              <w:rPr>
                <w:rFonts w:hint="eastAsia"/>
              </w:rPr>
            </w:pPr>
            <w:r>
              <w:rPr>
                <w:rFonts w:hint="eastAsia"/>
                <w:lang w:val="en-US" w:eastAsia="zh-CN"/>
              </w:rPr>
              <w:t>表4.4-2：</w:t>
            </w:r>
            <w:r>
              <w:rPr>
                <w:rFonts w:hint="eastAsia"/>
              </w:rPr>
              <w:t>工业企业噪声源强调查清单（室外声源）</w:t>
            </w:r>
          </w:p>
          <w:tbl>
            <w:tblPr>
              <w:tblStyle w:val="38"/>
              <w:tblW w:w="4998" w:type="pct"/>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44"/>
              <w:gridCol w:w="1566"/>
              <w:gridCol w:w="944"/>
              <w:gridCol w:w="1127"/>
              <w:gridCol w:w="1178"/>
              <w:gridCol w:w="838"/>
              <w:gridCol w:w="2789"/>
              <w:gridCol w:w="3127"/>
              <w:gridCol w:w="1568"/>
            </w:tblGrid>
            <w:tr w14:paraId="4768F0B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335" w:type="pct"/>
                  <w:vMerge w:val="restart"/>
                  <w:shd w:val="clear" w:color="auto" w:fill="auto"/>
                  <w:noWrap/>
                  <w:vAlign w:val="center"/>
                </w:tcPr>
                <w:p w14:paraId="29D25255">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序号</w:t>
                  </w:r>
                </w:p>
              </w:tc>
              <w:tc>
                <w:tcPr>
                  <w:tcW w:w="555" w:type="pct"/>
                  <w:vMerge w:val="restart"/>
                  <w:shd w:val="clear" w:color="auto" w:fill="auto"/>
                  <w:noWrap/>
                  <w:vAlign w:val="center"/>
                </w:tcPr>
                <w:p w14:paraId="450D76B0">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声源名称</w:t>
                  </w:r>
                </w:p>
              </w:tc>
              <w:tc>
                <w:tcPr>
                  <w:tcW w:w="335" w:type="pct"/>
                  <w:vMerge w:val="restart"/>
                  <w:shd w:val="clear" w:color="auto" w:fill="auto"/>
                  <w:noWrap/>
                  <w:vAlign w:val="center"/>
                </w:tcPr>
                <w:p w14:paraId="310693E3">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型号</w:t>
                  </w:r>
                </w:p>
              </w:tc>
              <w:tc>
                <w:tcPr>
                  <w:tcW w:w="1115" w:type="pct"/>
                  <w:gridSpan w:val="3"/>
                  <w:shd w:val="clear" w:color="auto" w:fill="auto"/>
                  <w:noWrap/>
                  <w:vAlign w:val="center"/>
                </w:tcPr>
                <w:p w14:paraId="0CFB3FA7">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空间相对位置/m</w:t>
                  </w:r>
                </w:p>
              </w:tc>
              <w:tc>
                <w:tcPr>
                  <w:tcW w:w="990" w:type="pct"/>
                  <w:vMerge w:val="restart"/>
                  <w:shd w:val="clear" w:color="auto" w:fill="auto"/>
                  <w:noWrap/>
                  <w:vAlign w:val="center"/>
                </w:tcPr>
                <w:p w14:paraId="5C0C7238">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声压级/距声源距离dB（A）/m</w:t>
                  </w:r>
                </w:p>
              </w:tc>
              <w:tc>
                <w:tcPr>
                  <w:tcW w:w="1110" w:type="pct"/>
                  <w:vMerge w:val="restart"/>
                  <w:shd w:val="clear" w:color="auto" w:fill="auto"/>
                  <w:noWrap/>
                  <w:vAlign w:val="center"/>
                </w:tcPr>
                <w:p w14:paraId="5E675F5B">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声源控制措施</w:t>
                  </w:r>
                </w:p>
              </w:tc>
              <w:tc>
                <w:tcPr>
                  <w:tcW w:w="556" w:type="pct"/>
                  <w:vMerge w:val="restart"/>
                  <w:shd w:val="clear" w:color="auto" w:fill="auto"/>
                  <w:noWrap/>
                  <w:vAlign w:val="center"/>
                </w:tcPr>
                <w:p w14:paraId="2800C712">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运行时段</w:t>
                  </w:r>
                </w:p>
              </w:tc>
            </w:tr>
            <w:tr w14:paraId="21D890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vMerge w:val="continue"/>
                  <w:shd w:val="clear" w:color="auto" w:fill="auto"/>
                  <w:noWrap/>
                  <w:vAlign w:val="center"/>
                </w:tcPr>
                <w:p w14:paraId="3D8B36D1">
                  <w:pPr>
                    <w:pStyle w:val="115"/>
                    <w:bidi w:val="0"/>
                    <w:rPr>
                      <w:rFonts w:hint="eastAsia" w:ascii="Times New Roman" w:hAnsi="Times New Roman" w:eastAsia="宋体" w:cs="Times New Roman"/>
                      <w:u w:val="none"/>
                      <w:lang w:val="en-US" w:eastAsia="zh-CN"/>
                    </w:rPr>
                  </w:pPr>
                </w:p>
              </w:tc>
              <w:tc>
                <w:tcPr>
                  <w:tcW w:w="555" w:type="pct"/>
                  <w:vMerge w:val="continue"/>
                  <w:shd w:val="clear" w:color="auto" w:fill="auto"/>
                  <w:noWrap/>
                  <w:vAlign w:val="center"/>
                </w:tcPr>
                <w:p w14:paraId="78451FD9">
                  <w:pPr>
                    <w:pStyle w:val="115"/>
                    <w:bidi w:val="0"/>
                    <w:rPr>
                      <w:rFonts w:hint="eastAsia" w:ascii="Times New Roman" w:hAnsi="Times New Roman" w:eastAsia="宋体" w:cs="Times New Roman"/>
                      <w:u w:val="none"/>
                      <w:lang w:val="en-US" w:eastAsia="zh-CN"/>
                    </w:rPr>
                  </w:pPr>
                </w:p>
              </w:tc>
              <w:tc>
                <w:tcPr>
                  <w:tcW w:w="335" w:type="pct"/>
                  <w:vMerge w:val="continue"/>
                  <w:shd w:val="clear" w:color="auto" w:fill="auto"/>
                  <w:noWrap/>
                  <w:vAlign w:val="center"/>
                </w:tcPr>
                <w:p w14:paraId="7C516BDC">
                  <w:pPr>
                    <w:pStyle w:val="115"/>
                    <w:bidi w:val="0"/>
                    <w:rPr>
                      <w:rFonts w:hint="eastAsia" w:ascii="Times New Roman" w:hAnsi="Times New Roman" w:eastAsia="宋体" w:cs="Times New Roman"/>
                      <w:u w:val="none"/>
                      <w:lang w:val="en-US" w:eastAsia="zh-CN"/>
                    </w:rPr>
                  </w:pPr>
                </w:p>
              </w:tc>
              <w:tc>
                <w:tcPr>
                  <w:tcW w:w="400" w:type="pct"/>
                  <w:shd w:val="clear" w:color="auto" w:fill="auto"/>
                  <w:noWrap/>
                  <w:vAlign w:val="center"/>
                </w:tcPr>
                <w:p w14:paraId="176C4DCB">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X</w:t>
                  </w:r>
                </w:p>
              </w:tc>
              <w:tc>
                <w:tcPr>
                  <w:tcW w:w="418" w:type="pct"/>
                  <w:shd w:val="clear" w:color="auto" w:fill="auto"/>
                  <w:noWrap/>
                  <w:vAlign w:val="center"/>
                </w:tcPr>
                <w:p w14:paraId="0E5E33B7">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Y</w:t>
                  </w:r>
                </w:p>
              </w:tc>
              <w:tc>
                <w:tcPr>
                  <w:tcW w:w="297" w:type="pct"/>
                  <w:shd w:val="clear" w:color="auto" w:fill="auto"/>
                  <w:noWrap/>
                  <w:vAlign w:val="center"/>
                </w:tcPr>
                <w:p w14:paraId="72AF133C">
                  <w:pPr>
                    <w:pStyle w:val="115"/>
                    <w:bidi w:val="0"/>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Z</w:t>
                  </w:r>
                </w:p>
              </w:tc>
              <w:tc>
                <w:tcPr>
                  <w:tcW w:w="990" w:type="pct"/>
                  <w:vMerge w:val="continue"/>
                  <w:shd w:val="clear" w:color="auto" w:fill="auto"/>
                  <w:vAlign w:val="center"/>
                </w:tcPr>
                <w:p w14:paraId="0F488ED1">
                  <w:pPr>
                    <w:pStyle w:val="115"/>
                    <w:bidi w:val="0"/>
                    <w:rPr>
                      <w:rFonts w:hint="eastAsia" w:ascii="Times New Roman" w:hAnsi="Times New Roman" w:eastAsia="宋体" w:cs="Times New Roman"/>
                      <w:u w:val="none"/>
                      <w:lang w:val="en-US" w:eastAsia="zh-CN"/>
                    </w:rPr>
                  </w:pPr>
                </w:p>
              </w:tc>
              <w:tc>
                <w:tcPr>
                  <w:tcW w:w="1110" w:type="pct"/>
                  <w:vMerge w:val="continue"/>
                  <w:shd w:val="clear" w:color="auto" w:fill="auto"/>
                  <w:noWrap/>
                  <w:vAlign w:val="center"/>
                </w:tcPr>
                <w:p w14:paraId="77996CC5">
                  <w:pPr>
                    <w:pStyle w:val="115"/>
                    <w:bidi w:val="0"/>
                    <w:rPr>
                      <w:rFonts w:hint="eastAsia" w:ascii="Times New Roman" w:hAnsi="Times New Roman" w:eastAsia="宋体" w:cs="Times New Roman"/>
                      <w:u w:val="none"/>
                      <w:lang w:val="en-US" w:eastAsia="zh-CN"/>
                    </w:rPr>
                  </w:pPr>
                </w:p>
              </w:tc>
              <w:tc>
                <w:tcPr>
                  <w:tcW w:w="556" w:type="pct"/>
                  <w:vMerge w:val="continue"/>
                  <w:shd w:val="clear" w:color="auto" w:fill="auto"/>
                  <w:noWrap/>
                  <w:vAlign w:val="center"/>
                </w:tcPr>
                <w:p w14:paraId="712BE77E">
                  <w:pPr>
                    <w:pStyle w:val="115"/>
                    <w:bidi w:val="0"/>
                    <w:rPr>
                      <w:rFonts w:hint="eastAsia" w:ascii="Times New Roman" w:hAnsi="Times New Roman" w:eastAsia="宋体" w:cs="Times New Roman"/>
                      <w:u w:val="none"/>
                      <w:lang w:val="en-US" w:eastAsia="zh-CN"/>
                    </w:rPr>
                  </w:pPr>
                </w:p>
              </w:tc>
            </w:tr>
            <w:tr w14:paraId="2FEA7F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5FE5863F">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1</w:t>
                  </w:r>
                </w:p>
              </w:tc>
              <w:tc>
                <w:tcPr>
                  <w:tcW w:w="1566" w:type="dxa"/>
                  <w:shd w:val="clear" w:color="auto" w:fill="auto"/>
                  <w:noWrap/>
                  <w:vAlign w:val="center"/>
                </w:tcPr>
                <w:p w14:paraId="64DCF503">
                  <w:pPr>
                    <w:pStyle w:val="115"/>
                    <w:bidi w:val="0"/>
                    <w:ind w:firstLine="0" w:firstLineChars="0"/>
                    <w:rPr>
                      <w:rFonts w:hint="eastAsia" w:ascii="Times New Roman" w:hAnsi="Times New Roman" w:eastAsia="宋体" w:cs="Times New Roman"/>
                      <w:u w:val="none"/>
                      <w:lang w:val="en-US" w:eastAsia="zh-CN"/>
                    </w:rPr>
                  </w:pPr>
                  <w:r>
                    <w:rPr>
                      <w:rFonts w:hint="eastAsia"/>
                    </w:rPr>
                    <w:t>压实机</w:t>
                  </w:r>
                </w:p>
              </w:tc>
              <w:tc>
                <w:tcPr>
                  <w:tcW w:w="335" w:type="pct"/>
                  <w:shd w:val="clear" w:color="auto" w:fill="auto"/>
                  <w:noWrap/>
                  <w:vAlign w:val="center"/>
                </w:tcPr>
                <w:p w14:paraId="602C4C22">
                  <w:pPr>
                    <w:pStyle w:val="115"/>
                    <w:bidi w:val="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01BB1E45">
                  <w:pPr>
                    <w:pStyle w:val="115"/>
                    <w:bidi w:val="0"/>
                    <w:rPr>
                      <w:rFonts w:hint="default"/>
                      <w:lang w:val="en-US" w:eastAsia="zh-CN"/>
                    </w:rPr>
                  </w:pPr>
                  <w:r>
                    <w:rPr>
                      <w:rFonts w:hint="eastAsia"/>
                      <w:lang w:val="en-US" w:eastAsia="zh-CN"/>
                    </w:rPr>
                    <w:t>-17.27</w:t>
                  </w:r>
                </w:p>
              </w:tc>
              <w:tc>
                <w:tcPr>
                  <w:tcW w:w="1178" w:type="dxa"/>
                  <w:shd w:val="clear" w:color="auto" w:fill="auto"/>
                  <w:noWrap/>
                  <w:vAlign w:val="center"/>
                </w:tcPr>
                <w:p w14:paraId="66FA493B">
                  <w:pPr>
                    <w:pStyle w:val="115"/>
                    <w:bidi w:val="0"/>
                    <w:rPr>
                      <w:rFonts w:hint="default"/>
                      <w:lang w:val="en-US" w:eastAsia="zh-CN"/>
                    </w:rPr>
                  </w:pPr>
                  <w:r>
                    <w:rPr>
                      <w:rFonts w:hint="eastAsia"/>
                      <w:lang w:val="en-US" w:eastAsia="zh-CN"/>
                    </w:rPr>
                    <w:t>5.59</w:t>
                  </w:r>
                </w:p>
              </w:tc>
              <w:tc>
                <w:tcPr>
                  <w:tcW w:w="838" w:type="dxa"/>
                  <w:shd w:val="clear" w:color="auto" w:fill="auto"/>
                  <w:noWrap/>
                  <w:vAlign w:val="center"/>
                </w:tcPr>
                <w:p w14:paraId="6911A280">
                  <w:pPr>
                    <w:pStyle w:val="115"/>
                    <w:bidi w:val="0"/>
                    <w:rPr>
                      <w:rFonts w:hint="eastAsia"/>
                      <w:lang w:val="en-US" w:eastAsia="zh-CN"/>
                    </w:rPr>
                  </w:pPr>
                  <w:r>
                    <w:rPr>
                      <w:rFonts w:hint="eastAsia"/>
                      <w:lang w:val="en-US" w:eastAsia="zh-CN"/>
                    </w:rPr>
                    <w:t>1</w:t>
                  </w:r>
                </w:p>
              </w:tc>
              <w:tc>
                <w:tcPr>
                  <w:tcW w:w="990" w:type="pct"/>
                  <w:shd w:val="clear" w:color="auto" w:fill="auto"/>
                  <w:noWrap/>
                  <w:vAlign w:val="center"/>
                </w:tcPr>
                <w:p w14:paraId="37B9368C">
                  <w:pPr>
                    <w:pStyle w:val="115"/>
                    <w:bidi w:val="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4BD7F82F">
                  <w:pPr>
                    <w:pStyle w:val="115"/>
                    <w:bidi w:val="0"/>
                    <w:rPr>
                      <w:rFonts w:hint="eastAsia" w:ascii="Times New Roman" w:hAnsi="Times New Roman" w:eastAsia="宋体" w:cs="Times New Roman"/>
                      <w:u w:val="none"/>
                      <w:lang w:val="en-US" w:eastAsia="zh-CN"/>
                    </w:rPr>
                  </w:pPr>
                  <w:r>
                    <w:rPr>
                      <w:rFonts w:hint="eastAsia"/>
                      <w:u w:val="none"/>
                    </w:rPr>
                    <w:t>低噪声设备，定期保养</w:t>
                  </w:r>
                </w:p>
              </w:tc>
              <w:tc>
                <w:tcPr>
                  <w:tcW w:w="556" w:type="pct"/>
                  <w:shd w:val="clear" w:color="auto" w:fill="auto"/>
                  <w:noWrap/>
                  <w:vAlign w:val="center"/>
                </w:tcPr>
                <w:p w14:paraId="1C6A6486">
                  <w:pPr>
                    <w:pStyle w:val="115"/>
                    <w:bidi w:val="0"/>
                    <w:rPr>
                      <w:rFonts w:hint="eastAsia" w:ascii="Times New Roman" w:hAnsi="Times New Roman" w:eastAsia="宋体" w:cs="Times New Roman"/>
                      <w:u w:val="none"/>
                      <w:lang w:val="en-US" w:eastAsia="zh-CN"/>
                    </w:rPr>
                  </w:pPr>
                  <w:r>
                    <w:rPr>
                      <w:rFonts w:hint="eastAsia" w:ascii="Times New Roman" w:hAnsi="Times New Roman" w:cs="Times New Roman"/>
                      <w:u w:val="none"/>
                      <w:lang w:val="en-US" w:eastAsia="zh-CN"/>
                    </w:rPr>
                    <w:t>昼</w:t>
                  </w:r>
                </w:p>
              </w:tc>
            </w:tr>
            <w:tr w14:paraId="27E5B3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56F53C12">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2</w:t>
                  </w:r>
                </w:p>
              </w:tc>
              <w:tc>
                <w:tcPr>
                  <w:tcW w:w="1566" w:type="dxa"/>
                  <w:shd w:val="clear" w:color="auto" w:fill="auto"/>
                  <w:noWrap/>
                  <w:vAlign w:val="center"/>
                </w:tcPr>
                <w:p w14:paraId="3598FD9E">
                  <w:pPr>
                    <w:pStyle w:val="115"/>
                    <w:bidi w:val="0"/>
                    <w:ind w:firstLine="0" w:firstLineChars="0"/>
                    <w:rPr>
                      <w:rFonts w:hint="eastAsia" w:ascii="Times New Roman" w:hAnsi="Times New Roman" w:eastAsia="宋体" w:cs="Times New Roman"/>
                      <w:u w:val="none"/>
                      <w:lang w:val="en-US" w:eastAsia="zh-CN"/>
                    </w:rPr>
                  </w:pPr>
                  <w:r>
                    <w:rPr>
                      <w:rFonts w:hint="eastAsia"/>
                    </w:rPr>
                    <w:t>运输车</w:t>
                  </w:r>
                </w:p>
              </w:tc>
              <w:tc>
                <w:tcPr>
                  <w:tcW w:w="335" w:type="pct"/>
                  <w:shd w:val="clear" w:color="auto" w:fill="auto"/>
                  <w:noWrap/>
                  <w:vAlign w:val="center"/>
                </w:tcPr>
                <w:p w14:paraId="29B3057D">
                  <w:pPr>
                    <w:pStyle w:val="115"/>
                    <w:bidi w:val="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55B414DE">
                  <w:pPr>
                    <w:pStyle w:val="115"/>
                    <w:bidi w:val="0"/>
                    <w:rPr>
                      <w:rFonts w:hint="default"/>
                      <w:lang w:val="en-US" w:eastAsia="zh-CN"/>
                    </w:rPr>
                  </w:pPr>
                  <w:r>
                    <w:rPr>
                      <w:rFonts w:hint="eastAsia"/>
                      <w:lang w:val="en-US" w:eastAsia="zh-CN"/>
                    </w:rPr>
                    <w:t>-32.45</w:t>
                  </w:r>
                </w:p>
              </w:tc>
              <w:tc>
                <w:tcPr>
                  <w:tcW w:w="1178" w:type="dxa"/>
                  <w:shd w:val="clear" w:color="auto" w:fill="auto"/>
                  <w:noWrap/>
                  <w:vAlign w:val="center"/>
                </w:tcPr>
                <w:p w14:paraId="2C81FA55">
                  <w:pPr>
                    <w:pStyle w:val="115"/>
                    <w:bidi w:val="0"/>
                    <w:rPr>
                      <w:rFonts w:hint="default"/>
                      <w:lang w:val="en-US" w:eastAsia="zh-CN"/>
                    </w:rPr>
                  </w:pPr>
                  <w:r>
                    <w:rPr>
                      <w:rFonts w:hint="eastAsia"/>
                      <w:lang w:val="en-US" w:eastAsia="zh-CN"/>
                    </w:rPr>
                    <w:t>10.2</w:t>
                  </w:r>
                </w:p>
              </w:tc>
              <w:tc>
                <w:tcPr>
                  <w:tcW w:w="838" w:type="dxa"/>
                  <w:shd w:val="clear" w:color="auto" w:fill="auto"/>
                  <w:noWrap/>
                  <w:vAlign w:val="center"/>
                </w:tcPr>
                <w:p w14:paraId="3F558829">
                  <w:pPr>
                    <w:pStyle w:val="115"/>
                    <w:bidi w:val="0"/>
                    <w:rPr>
                      <w:rFonts w:hint="eastAsia"/>
                      <w:lang w:val="en-US" w:eastAsia="zh-CN"/>
                    </w:rPr>
                  </w:pPr>
                  <w:r>
                    <w:rPr>
                      <w:rFonts w:hint="eastAsia"/>
                      <w:lang w:val="en-US" w:eastAsia="zh-CN"/>
                    </w:rPr>
                    <w:t>1</w:t>
                  </w:r>
                </w:p>
              </w:tc>
              <w:tc>
                <w:tcPr>
                  <w:tcW w:w="990" w:type="pct"/>
                  <w:shd w:val="clear" w:color="auto" w:fill="auto"/>
                  <w:noWrap/>
                  <w:vAlign w:val="center"/>
                </w:tcPr>
                <w:p w14:paraId="61DE1FA5">
                  <w:pPr>
                    <w:pStyle w:val="115"/>
                    <w:bidi w:val="0"/>
                    <w:rPr>
                      <w:rFonts w:hint="default"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3B9E1253">
                  <w:pPr>
                    <w:pStyle w:val="115"/>
                    <w:bidi w:val="0"/>
                    <w:rPr>
                      <w:rFonts w:hint="eastAsia" w:ascii="Times New Roman" w:hAnsi="Times New Roman" w:eastAsia="宋体" w:cs="Times New Roman"/>
                      <w:u w:val="none"/>
                      <w:lang w:val="en-US" w:eastAsia="zh-CN"/>
                    </w:rPr>
                  </w:pPr>
                  <w:r>
                    <w:rPr>
                      <w:rFonts w:hint="eastAsia"/>
                      <w:u w:val="none"/>
                    </w:rPr>
                    <w:t>低噪声设备，定期保养</w:t>
                  </w:r>
                </w:p>
              </w:tc>
              <w:tc>
                <w:tcPr>
                  <w:tcW w:w="556" w:type="pct"/>
                  <w:shd w:val="clear" w:color="auto" w:fill="auto"/>
                  <w:noWrap/>
                  <w:vAlign w:val="center"/>
                </w:tcPr>
                <w:p w14:paraId="55830B53">
                  <w:pPr>
                    <w:pStyle w:val="115"/>
                    <w:bidi w:val="0"/>
                    <w:rPr>
                      <w:rFonts w:hint="eastAsia" w:ascii="Times New Roman" w:hAnsi="Times New Roman" w:eastAsia="宋体" w:cs="Times New Roman"/>
                      <w:u w:val="none"/>
                      <w:lang w:val="en-US" w:eastAsia="zh-CN"/>
                    </w:rPr>
                  </w:pPr>
                  <w:r>
                    <w:rPr>
                      <w:rFonts w:hint="eastAsia" w:ascii="Times New Roman" w:hAnsi="Times New Roman" w:cs="Times New Roman"/>
                      <w:u w:val="none"/>
                      <w:lang w:val="en-US" w:eastAsia="zh-CN"/>
                    </w:rPr>
                    <w:t>昼</w:t>
                  </w:r>
                </w:p>
              </w:tc>
            </w:tr>
            <w:tr w14:paraId="59303E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4FCAAD32">
                  <w:pPr>
                    <w:pStyle w:val="115"/>
                    <w:bidi w:val="0"/>
                    <w:rPr>
                      <w:rFonts w:hint="default" w:ascii="Times New Roman" w:hAnsi="Times New Roman" w:eastAsia="宋体" w:cs="Times New Roman"/>
                      <w:u w:val="none"/>
                      <w:lang w:val="en-US" w:eastAsia="zh-CN"/>
                    </w:rPr>
                  </w:pPr>
                  <w:r>
                    <w:rPr>
                      <w:rFonts w:hint="eastAsia" w:cs="Times New Roman"/>
                      <w:u w:val="none"/>
                      <w:lang w:val="en-US" w:eastAsia="zh-CN"/>
                    </w:rPr>
                    <w:t>3</w:t>
                  </w:r>
                </w:p>
              </w:tc>
              <w:tc>
                <w:tcPr>
                  <w:tcW w:w="1566" w:type="dxa"/>
                  <w:shd w:val="clear" w:color="auto" w:fill="auto"/>
                  <w:noWrap/>
                  <w:vAlign w:val="center"/>
                </w:tcPr>
                <w:p w14:paraId="78989DD0">
                  <w:pPr>
                    <w:pStyle w:val="115"/>
                    <w:bidi w:val="0"/>
                    <w:ind w:firstLine="0" w:firstLineChars="0"/>
                    <w:rPr>
                      <w:rFonts w:hint="eastAsia" w:ascii="Times New Roman" w:hAnsi="Times New Roman" w:eastAsia="宋体" w:cs="Times New Roman"/>
                      <w:u w:val="none"/>
                      <w:lang w:val="en-US" w:eastAsia="zh-CN"/>
                    </w:rPr>
                  </w:pPr>
                  <w:r>
                    <w:t>洒水车</w:t>
                  </w:r>
                </w:p>
              </w:tc>
              <w:tc>
                <w:tcPr>
                  <w:tcW w:w="944" w:type="dxa"/>
                  <w:shd w:val="clear" w:color="auto" w:fill="auto"/>
                  <w:noWrap/>
                  <w:vAlign w:val="center"/>
                </w:tcPr>
                <w:p w14:paraId="5F05DAF8">
                  <w:pPr>
                    <w:pStyle w:val="115"/>
                    <w:bidi w:val="0"/>
                    <w:ind w:firstLine="0" w:firstLineChars="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5044A3E3">
                  <w:pPr>
                    <w:pStyle w:val="115"/>
                    <w:bidi w:val="0"/>
                    <w:rPr>
                      <w:rFonts w:hint="default"/>
                      <w:lang w:val="en-US" w:eastAsia="zh-CN"/>
                    </w:rPr>
                  </w:pPr>
                  <w:r>
                    <w:rPr>
                      <w:rFonts w:hint="eastAsia"/>
                      <w:lang w:val="en-US" w:eastAsia="zh-CN"/>
                    </w:rPr>
                    <w:t>40.68</w:t>
                  </w:r>
                </w:p>
              </w:tc>
              <w:tc>
                <w:tcPr>
                  <w:tcW w:w="1178" w:type="dxa"/>
                  <w:shd w:val="clear" w:color="auto" w:fill="auto"/>
                  <w:noWrap/>
                  <w:vAlign w:val="center"/>
                </w:tcPr>
                <w:p w14:paraId="3BBEBEE5">
                  <w:pPr>
                    <w:pStyle w:val="115"/>
                    <w:bidi w:val="0"/>
                    <w:rPr>
                      <w:rFonts w:hint="default"/>
                      <w:lang w:val="en-US" w:eastAsia="zh-CN"/>
                    </w:rPr>
                  </w:pPr>
                  <w:r>
                    <w:rPr>
                      <w:rFonts w:hint="eastAsia"/>
                      <w:lang w:val="en-US" w:eastAsia="zh-CN"/>
                    </w:rPr>
                    <w:t>-9.78</w:t>
                  </w:r>
                </w:p>
              </w:tc>
              <w:tc>
                <w:tcPr>
                  <w:tcW w:w="838" w:type="dxa"/>
                  <w:shd w:val="clear" w:color="auto" w:fill="auto"/>
                  <w:noWrap/>
                  <w:vAlign w:val="center"/>
                </w:tcPr>
                <w:p w14:paraId="1AD71CE8">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495B7BD2">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0B69BDB7">
                  <w:pPr>
                    <w:pStyle w:val="115"/>
                    <w:bidi w:val="0"/>
                    <w:rPr>
                      <w:rFonts w:hint="eastAsia" w:ascii="Times New Roman" w:hAnsi="Times New Roman" w:eastAsia="宋体" w:cs="Times New Roman"/>
                      <w:u w:val="none"/>
                      <w:lang w:val="en-US" w:eastAsia="zh-CN"/>
                    </w:rPr>
                  </w:pPr>
                  <w:r>
                    <w:rPr>
                      <w:rFonts w:hint="eastAsia"/>
                      <w:u w:val="none"/>
                    </w:rPr>
                    <w:t>低噪声设备，定期保养</w:t>
                  </w:r>
                </w:p>
              </w:tc>
              <w:tc>
                <w:tcPr>
                  <w:tcW w:w="556" w:type="pct"/>
                  <w:shd w:val="clear" w:color="auto" w:fill="auto"/>
                  <w:noWrap/>
                  <w:vAlign w:val="center"/>
                </w:tcPr>
                <w:p w14:paraId="24237F32">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r w14:paraId="3A9DDA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46801FCD">
                  <w:pPr>
                    <w:pStyle w:val="115"/>
                    <w:bidi w:val="0"/>
                    <w:rPr>
                      <w:rFonts w:hint="default" w:ascii="Times New Roman" w:hAnsi="Times New Roman" w:eastAsia="宋体" w:cs="Times New Roman"/>
                      <w:u w:val="none"/>
                      <w:lang w:val="en-US" w:eastAsia="zh-CN"/>
                    </w:rPr>
                  </w:pPr>
                  <w:r>
                    <w:rPr>
                      <w:rFonts w:hint="eastAsia" w:cs="Times New Roman"/>
                      <w:u w:val="none"/>
                      <w:lang w:val="en-US" w:eastAsia="zh-CN"/>
                    </w:rPr>
                    <w:t>4</w:t>
                  </w:r>
                </w:p>
              </w:tc>
              <w:tc>
                <w:tcPr>
                  <w:tcW w:w="1566" w:type="dxa"/>
                  <w:shd w:val="clear" w:color="auto" w:fill="auto"/>
                  <w:noWrap/>
                  <w:vAlign w:val="center"/>
                </w:tcPr>
                <w:p w14:paraId="1BFAB16C">
                  <w:pPr>
                    <w:pStyle w:val="115"/>
                    <w:bidi w:val="0"/>
                    <w:ind w:firstLine="0" w:firstLineChars="0"/>
                    <w:rPr>
                      <w:rFonts w:hint="eastAsia" w:ascii="Times New Roman" w:hAnsi="Times New Roman" w:eastAsia="宋体" w:cs="Times New Roman"/>
                      <w:u w:val="none"/>
                      <w:lang w:val="en-US" w:eastAsia="zh-CN"/>
                    </w:rPr>
                  </w:pPr>
                  <w:r>
                    <w:rPr>
                      <w:rFonts w:hint="eastAsia"/>
                    </w:rPr>
                    <w:t>雾炮机</w:t>
                  </w:r>
                  <w:r>
                    <w:rPr>
                      <w:rFonts w:hint="eastAsia"/>
                      <w:lang w:val="en-US" w:eastAsia="zh-CN"/>
                    </w:rPr>
                    <w:t>1</w:t>
                  </w:r>
                </w:p>
              </w:tc>
              <w:tc>
                <w:tcPr>
                  <w:tcW w:w="944" w:type="dxa"/>
                  <w:shd w:val="clear" w:color="auto" w:fill="auto"/>
                  <w:noWrap/>
                  <w:vAlign w:val="center"/>
                </w:tcPr>
                <w:p w14:paraId="3759CE0D">
                  <w:pPr>
                    <w:pStyle w:val="115"/>
                    <w:bidi w:val="0"/>
                    <w:ind w:firstLine="0" w:firstLineChars="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16BDA77F">
                  <w:pPr>
                    <w:pStyle w:val="115"/>
                    <w:bidi w:val="0"/>
                    <w:rPr>
                      <w:rFonts w:hint="default"/>
                      <w:lang w:val="en-US" w:eastAsia="zh-CN"/>
                    </w:rPr>
                  </w:pPr>
                  <w:r>
                    <w:rPr>
                      <w:rFonts w:hint="eastAsia"/>
                      <w:lang w:val="en-US" w:eastAsia="zh-CN"/>
                    </w:rPr>
                    <w:t>12.76</w:t>
                  </w:r>
                </w:p>
              </w:tc>
              <w:tc>
                <w:tcPr>
                  <w:tcW w:w="1178" w:type="dxa"/>
                  <w:shd w:val="clear" w:color="auto" w:fill="auto"/>
                  <w:noWrap/>
                  <w:vAlign w:val="center"/>
                </w:tcPr>
                <w:p w14:paraId="20958DBC">
                  <w:pPr>
                    <w:pStyle w:val="115"/>
                    <w:bidi w:val="0"/>
                    <w:rPr>
                      <w:rFonts w:hint="default"/>
                      <w:lang w:val="en-US" w:eastAsia="zh-CN"/>
                    </w:rPr>
                  </w:pPr>
                  <w:r>
                    <w:rPr>
                      <w:rFonts w:hint="eastAsia"/>
                      <w:lang w:val="en-US" w:eastAsia="zh-CN"/>
                    </w:rPr>
                    <w:t>-6.98</w:t>
                  </w:r>
                </w:p>
              </w:tc>
              <w:tc>
                <w:tcPr>
                  <w:tcW w:w="838" w:type="dxa"/>
                  <w:shd w:val="clear" w:color="auto" w:fill="auto"/>
                  <w:noWrap/>
                  <w:vAlign w:val="center"/>
                </w:tcPr>
                <w:p w14:paraId="7BD2887D">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42D89ED2">
                  <w:pPr>
                    <w:pStyle w:val="115"/>
                    <w:bidi w:val="0"/>
                    <w:rPr>
                      <w:rFonts w:hint="eastAsia" w:ascii="Times New Roman" w:hAnsi="Times New Roman" w:eastAsia="宋体" w:cs="Times New Roman"/>
                      <w:u w:val="none"/>
                      <w:lang w:val="en-US" w:eastAsia="zh-CN"/>
                    </w:rPr>
                  </w:pPr>
                  <w:r>
                    <w:rPr>
                      <w:rFonts w:hint="eastAsia" w:cs="Times New Roman"/>
                      <w:u w:val="none"/>
                      <w:lang w:val="en-US" w:eastAsia="zh-CN"/>
                    </w:rPr>
                    <w:t>65</w:t>
                  </w:r>
                  <w:r>
                    <w:rPr>
                      <w:rFonts w:hint="eastAsia" w:ascii="Times New Roman" w:hAnsi="Times New Roman" w:eastAsia="宋体" w:cs="Times New Roman"/>
                      <w:u w:val="none"/>
                      <w:lang w:val="en-US" w:eastAsia="zh-CN"/>
                    </w:rPr>
                    <w:t>/1</w:t>
                  </w:r>
                </w:p>
              </w:tc>
              <w:tc>
                <w:tcPr>
                  <w:tcW w:w="1110" w:type="pct"/>
                  <w:shd w:val="clear" w:color="auto" w:fill="auto"/>
                  <w:noWrap/>
                  <w:vAlign w:val="center"/>
                </w:tcPr>
                <w:p w14:paraId="1B08163F">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消音装置，减振基座</w:t>
                  </w:r>
                </w:p>
              </w:tc>
              <w:tc>
                <w:tcPr>
                  <w:tcW w:w="556" w:type="pct"/>
                  <w:shd w:val="clear" w:color="auto" w:fill="auto"/>
                  <w:noWrap/>
                  <w:vAlign w:val="center"/>
                </w:tcPr>
                <w:p w14:paraId="4DAF4FBA">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r w14:paraId="75D273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5A554289">
                  <w:pPr>
                    <w:pStyle w:val="115"/>
                    <w:bidi w:val="0"/>
                    <w:rPr>
                      <w:rFonts w:hint="default" w:cs="Times New Roman"/>
                      <w:u w:val="none"/>
                      <w:lang w:val="en-US" w:eastAsia="zh-CN"/>
                    </w:rPr>
                  </w:pPr>
                  <w:r>
                    <w:rPr>
                      <w:rFonts w:hint="eastAsia" w:cs="Times New Roman"/>
                      <w:u w:val="none"/>
                      <w:lang w:val="en-US" w:eastAsia="zh-CN"/>
                    </w:rPr>
                    <w:t>5</w:t>
                  </w:r>
                </w:p>
              </w:tc>
              <w:tc>
                <w:tcPr>
                  <w:tcW w:w="1566" w:type="dxa"/>
                  <w:shd w:val="clear" w:color="auto" w:fill="auto"/>
                  <w:noWrap/>
                  <w:vAlign w:val="center"/>
                </w:tcPr>
                <w:p w14:paraId="19876019">
                  <w:pPr>
                    <w:pStyle w:val="115"/>
                    <w:bidi w:val="0"/>
                    <w:ind w:firstLine="0" w:firstLineChars="0"/>
                    <w:rPr>
                      <w:rFonts w:hint="default" w:eastAsia="宋体"/>
                      <w:lang w:val="en-US" w:eastAsia="zh-CN"/>
                    </w:rPr>
                  </w:pPr>
                  <w:r>
                    <w:rPr>
                      <w:rFonts w:hint="eastAsia"/>
                      <w:lang w:val="en-US" w:eastAsia="zh-CN"/>
                    </w:rPr>
                    <w:t>雾炮机2</w:t>
                  </w:r>
                </w:p>
              </w:tc>
              <w:tc>
                <w:tcPr>
                  <w:tcW w:w="944" w:type="dxa"/>
                  <w:shd w:val="clear" w:color="auto" w:fill="auto"/>
                  <w:noWrap/>
                  <w:vAlign w:val="center"/>
                </w:tcPr>
                <w:p w14:paraId="06593F35">
                  <w:pPr>
                    <w:pStyle w:val="115"/>
                    <w:bidi w:val="0"/>
                    <w:ind w:firstLine="0" w:firstLineChars="0"/>
                    <w:rPr>
                      <w:rFonts w:hint="default" w:ascii="Times New Roman" w:hAnsi="Times New Roman" w:eastAsia="宋体" w:cs="Times New Roman"/>
                      <w:u w:val="none"/>
                      <w:lang w:val="en-US" w:eastAsia="zh-CN"/>
                    </w:rPr>
                  </w:pPr>
                  <w:r>
                    <w:rPr>
                      <w:rFonts w:hint="eastAsia" w:cs="Times New Roman"/>
                      <w:u w:val="none"/>
                      <w:lang w:val="en-US" w:eastAsia="zh-CN"/>
                    </w:rPr>
                    <w:t>/</w:t>
                  </w:r>
                </w:p>
              </w:tc>
              <w:tc>
                <w:tcPr>
                  <w:tcW w:w="1127" w:type="dxa"/>
                  <w:shd w:val="clear" w:color="auto" w:fill="auto"/>
                  <w:noWrap/>
                  <w:vAlign w:val="center"/>
                </w:tcPr>
                <w:p w14:paraId="4F7A230B">
                  <w:pPr>
                    <w:pStyle w:val="115"/>
                    <w:bidi w:val="0"/>
                    <w:rPr>
                      <w:rFonts w:hint="default"/>
                      <w:lang w:val="en-US" w:eastAsia="zh-CN"/>
                    </w:rPr>
                  </w:pPr>
                  <w:r>
                    <w:rPr>
                      <w:rFonts w:hint="eastAsia"/>
                      <w:lang w:val="en-US" w:eastAsia="zh-CN"/>
                    </w:rPr>
                    <w:t>-9.58</w:t>
                  </w:r>
                </w:p>
              </w:tc>
              <w:tc>
                <w:tcPr>
                  <w:tcW w:w="1178" w:type="dxa"/>
                  <w:shd w:val="clear" w:color="auto" w:fill="auto"/>
                  <w:noWrap/>
                  <w:vAlign w:val="center"/>
                </w:tcPr>
                <w:p w14:paraId="08E646F8">
                  <w:pPr>
                    <w:pStyle w:val="115"/>
                    <w:bidi w:val="0"/>
                    <w:rPr>
                      <w:rFonts w:hint="default"/>
                      <w:lang w:val="en-US" w:eastAsia="zh-CN"/>
                    </w:rPr>
                  </w:pPr>
                  <w:r>
                    <w:rPr>
                      <w:rFonts w:hint="eastAsia"/>
                      <w:lang w:val="en-US" w:eastAsia="zh-CN"/>
                    </w:rPr>
                    <w:t>-7.68</w:t>
                  </w:r>
                </w:p>
              </w:tc>
              <w:tc>
                <w:tcPr>
                  <w:tcW w:w="838" w:type="dxa"/>
                  <w:shd w:val="clear" w:color="auto" w:fill="auto"/>
                  <w:noWrap/>
                  <w:vAlign w:val="center"/>
                </w:tcPr>
                <w:p w14:paraId="4BD4758A">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7D99F239">
                  <w:pPr>
                    <w:pStyle w:val="115"/>
                    <w:bidi w:val="0"/>
                    <w:rPr>
                      <w:rFonts w:hint="eastAsia" w:ascii="Times New Roman" w:hAnsi="Times New Roman" w:eastAsia="宋体" w:cs="Times New Roman"/>
                      <w:u w:val="none"/>
                      <w:lang w:val="en-US" w:eastAsia="zh-CN"/>
                    </w:rPr>
                  </w:pPr>
                  <w:r>
                    <w:rPr>
                      <w:rFonts w:hint="eastAsia" w:cs="Times New Roman"/>
                      <w:u w:val="none"/>
                      <w:lang w:val="en-US" w:eastAsia="zh-CN"/>
                    </w:rPr>
                    <w:t>65</w:t>
                  </w:r>
                  <w:r>
                    <w:rPr>
                      <w:rFonts w:hint="eastAsia" w:ascii="Times New Roman" w:hAnsi="Times New Roman" w:eastAsia="宋体" w:cs="Times New Roman"/>
                      <w:u w:val="none"/>
                      <w:lang w:val="en-US" w:eastAsia="zh-CN"/>
                    </w:rPr>
                    <w:t>/1</w:t>
                  </w:r>
                </w:p>
              </w:tc>
              <w:tc>
                <w:tcPr>
                  <w:tcW w:w="1110" w:type="pct"/>
                  <w:shd w:val="clear" w:color="auto" w:fill="auto"/>
                  <w:noWrap/>
                  <w:vAlign w:val="center"/>
                </w:tcPr>
                <w:p w14:paraId="37BBA6C7">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消音装置，减振基座</w:t>
                  </w:r>
                </w:p>
              </w:tc>
              <w:tc>
                <w:tcPr>
                  <w:tcW w:w="556" w:type="pct"/>
                  <w:shd w:val="clear" w:color="auto" w:fill="auto"/>
                  <w:noWrap/>
                  <w:vAlign w:val="center"/>
                </w:tcPr>
                <w:p w14:paraId="4F2B3FF2">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r w14:paraId="3E710C0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043D7095">
                  <w:pPr>
                    <w:pStyle w:val="115"/>
                    <w:bidi w:val="0"/>
                    <w:rPr>
                      <w:rFonts w:hint="default" w:ascii="Times New Roman" w:hAnsi="Times New Roman" w:eastAsia="宋体" w:cs="Times New Roman"/>
                      <w:u w:val="none"/>
                      <w:lang w:val="en-US" w:eastAsia="zh-CN"/>
                    </w:rPr>
                  </w:pPr>
                  <w:r>
                    <w:rPr>
                      <w:rFonts w:hint="eastAsia" w:cs="Times New Roman"/>
                      <w:u w:val="none"/>
                      <w:lang w:val="en-US" w:eastAsia="zh-CN"/>
                    </w:rPr>
                    <w:t>6</w:t>
                  </w:r>
                </w:p>
              </w:tc>
              <w:tc>
                <w:tcPr>
                  <w:tcW w:w="1566" w:type="dxa"/>
                  <w:shd w:val="clear" w:color="auto" w:fill="auto"/>
                  <w:noWrap/>
                  <w:vAlign w:val="center"/>
                </w:tcPr>
                <w:p w14:paraId="541B7C3F">
                  <w:pPr>
                    <w:pStyle w:val="115"/>
                    <w:bidi w:val="0"/>
                    <w:ind w:firstLine="0" w:firstLineChars="0"/>
                    <w:rPr>
                      <w:rFonts w:hint="eastAsia" w:ascii="Times New Roman" w:hAnsi="Times New Roman" w:eastAsia="宋体" w:cs="Times New Roman"/>
                      <w:u w:val="none"/>
                      <w:lang w:val="en-US" w:eastAsia="zh-CN"/>
                    </w:rPr>
                  </w:pPr>
                  <w:r>
                    <w:t>挖掘机</w:t>
                  </w:r>
                </w:p>
              </w:tc>
              <w:tc>
                <w:tcPr>
                  <w:tcW w:w="944" w:type="dxa"/>
                  <w:shd w:val="clear" w:color="auto" w:fill="auto"/>
                  <w:noWrap/>
                  <w:vAlign w:val="center"/>
                </w:tcPr>
                <w:p w14:paraId="0F289009">
                  <w:pPr>
                    <w:pStyle w:val="115"/>
                    <w:bidi w:val="0"/>
                    <w:ind w:firstLine="0" w:firstLineChars="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4E5FE523">
                  <w:pPr>
                    <w:pStyle w:val="115"/>
                    <w:bidi w:val="0"/>
                    <w:rPr>
                      <w:rFonts w:hint="default"/>
                      <w:lang w:val="en-US" w:eastAsia="zh-CN"/>
                    </w:rPr>
                  </w:pPr>
                  <w:r>
                    <w:rPr>
                      <w:rFonts w:hint="eastAsia"/>
                      <w:lang w:val="en-US" w:eastAsia="zh-CN"/>
                    </w:rPr>
                    <w:t>-32.45</w:t>
                  </w:r>
                </w:p>
              </w:tc>
              <w:tc>
                <w:tcPr>
                  <w:tcW w:w="1178" w:type="dxa"/>
                  <w:shd w:val="clear" w:color="auto" w:fill="auto"/>
                  <w:noWrap/>
                  <w:vAlign w:val="center"/>
                </w:tcPr>
                <w:p w14:paraId="635019B0">
                  <w:pPr>
                    <w:pStyle w:val="115"/>
                    <w:bidi w:val="0"/>
                    <w:rPr>
                      <w:rFonts w:hint="default"/>
                      <w:lang w:val="en-US" w:eastAsia="zh-CN"/>
                    </w:rPr>
                  </w:pPr>
                  <w:r>
                    <w:rPr>
                      <w:rFonts w:hint="eastAsia"/>
                      <w:lang w:val="en-US" w:eastAsia="zh-CN"/>
                    </w:rPr>
                    <w:t>10.2</w:t>
                  </w:r>
                </w:p>
              </w:tc>
              <w:tc>
                <w:tcPr>
                  <w:tcW w:w="838" w:type="dxa"/>
                  <w:shd w:val="clear" w:color="auto" w:fill="auto"/>
                  <w:noWrap/>
                  <w:vAlign w:val="center"/>
                </w:tcPr>
                <w:p w14:paraId="1C116F92">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468F075C">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1812D4DF">
                  <w:pPr>
                    <w:pStyle w:val="115"/>
                    <w:bidi w:val="0"/>
                    <w:rPr>
                      <w:rFonts w:hint="eastAsia" w:ascii="Times New Roman" w:hAnsi="Times New Roman" w:eastAsia="宋体" w:cs="Times New Roman"/>
                      <w:u w:val="none"/>
                      <w:lang w:val="en-US" w:eastAsia="zh-CN"/>
                    </w:rPr>
                  </w:pPr>
                  <w:r>
                    <w:rPr>
                      <w:rFonts w:hint="eastAsia"/>
                      <w:u w:val="none"/>
                    </w:rPr>
                    <w:t>低噪声设备，定期保养</w:t>
                  </w:r>
                </w:p>
              </w:tc>
              <w:tc>
                <w:tcPr>
                  <w:tcW w:w="556" w:type="pct"/>
                  <w:shd w:val="clear" w:color="auto" w:fill="auto"/>
                  <w:noWrap/>
                  <w:vAlign w:val="center"/>
                </w:tcPr>
                <w:p w14:paraId="253B5F45">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r w14:paraId="24A9B2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2CDC4B45">
                  <w:pPr>
                    <w:pStyle w:val="115"/>
                    <w:bidi w:val="0"/>
                    <w:rPr>
                      <w:rFonts w:hint="default" w:ascii="Times New Roman" w:hAnsi="Times New Roman" w:eastAsia="宋体" w:cs="Times New Roman"/>
                      <w:u w:val="none"/>
                      <w:lang w:val="en-US" w:eastAsia="zh-CN"/>
                    </w:rPr>
                  </w:pPr>
                  <w:r>
                    <w:rPr>
                      <w:rFonts w:hint="eastAsia" w:cs="Times New Roman"/>
                      <w:u w:val="none"/>
                      <w:lang w:val="en-US" w:eastAsia="zh-CN"/>
                    </w:rPr>
                    <w:t>7</w:t>
                  </w:r>
                </w:p>
              </w:tc>
              <w:tc>
                <w:tcPr>
                  <w:tcW w:w="1566" w:type="dxa"/>
                  <w:shd w:val="clear" w:color="auto" w:fill="auto"/>
                  <w:noWrap/>
                  <w:vAlign w:val="center"/>
                </w:tcPr>
                <w:p w14:paraId="6B89D577">
                  <w:pPr>
                    <w:pStyle w:val="115"/>
                    <w:bidi w:val="0"/>
                    <w:ind w:firstLine="0" w:firstLineChars="0"/>
                    <w:rPr>
                      <w:rFonts w:hint="eastAsia" w:ascii="Times New Roman" w:hAnsi="Times New Roman" w:eastAsia="宋体" w:cs="Times New Roman"/>
                      <w:u w:val="none"/>
                      <w:lang w:val="en-US" w:eastAsia="zh-CN"/>
                    </w:rPr>
                  </w:pPr>
                  <w:r>
                    <w:rPr>
                      <w:rFonts w:hint="eastAsia"/>
                      <w:lang w:val="en-US" w:eastAsia="zh-CN"/>
                    </w:rPr>
                    <w:t>推土机</w:t>
                  </w:r>
                </w:p>
              </w:tc>
              <w:tc>
                <w:tcPr>
                  <w:tcW w:w="944" w:type="dxa"/>
                  <w:shd w:val="clear" w:color="auto" w:fill="auto"/>
                  <w:noWrap/>
                  <w:vAlign w:val="center"/>
                </w:tcPr>
                <w:p w14:paraId="5F65E906">
                  <w:pPr>
                    <w:pStyle w:val="115"/>
                    <w:bidi w:val="0"/>
                    <w:ind w:firstLine="0" w:firstLineChars="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6DF326E8">
                  <w:pPr>
                    <w:pStyle w:val="115"/>
                    <w:bidi w:val="0"/>
                    <w:rPr>
                      <w:rFonts w:hint="eastAsia"/>
                      <w:lang w:val="en-US" w:eastAsia="zh-CN"/>
                    </w:rPr>
                  </w:pPr>
                  <w:r>
                    <w:rPr>
                      <w:rFonts w:hint="eastAsia"/>
                      <w:lang w:val="en-US" w:eastAsia="zh-CN"/>
                    </w:rPr>
                    <w:t>-29.45</w:t>
                  </w:r>
                </w:p>
              </w:tc>
              <w:tc>
                <w:tcPr>
                  <w:tcW w:w="1178" w:type="dxa"/>
                  <w:shd w:val="clear" w:color="auto" w:fill="auto"/>
                  <w:noWrap/>
                  <w:vAlign w:val="center"/>
                </w:tcPr>
                <w:p w14:paraId="2BA29338">
                  <w:pPr>
                    <w:pStyle w:val="115"/>
                    <w:bidi w:val="0"/>
                    <w:rPr>
                      <w:rFonts w:hint="eastAsia"/>
                      <w:lang w:val="en-US" w:eastAsia="zh-CN"/>
                    </w:rPr>
                  </w:pPr>
                  <w:r>
                    <w:rPr>
                      <w:rFonts w:hint="eastAsia"/>
                      <w:lang w:val="en-US" w:eastAsia="zh-CN"/>
                    </w:rPr>
                    <w:t>-2.8</w:t>
                  </w:r>
                </w:p>
              </w:tc>
              <w:tc>
                <w:tcPr>
                  <w:tcW w:w="838" w:type="dxa"/>
                  <w:shd w:val="clear" w:color="auto" w:fill="auto"/>
                  <w:noWrap/>
                  <w:vAlign w:val="center"/>
                </w:tcPr>
                <w:p w14:paraId="2E9FAA03">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1E65D310">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245E0F16">
                  <w:pPr>
                    <w:pStyle w:val="115"/>
                    <w:bidi w:val="0"/>
                    <w:rPr>
                      <w:rFonts w:hint="eastAsia" w:ascii="Times New Roman" w:hAnsi="Times New Roman" w:eastAsia="宋体" w:cs="Times New Roman"/>
                      <w:u w:val="none"/>
                      <w:lang w:val="en-US" w:eastAsia="zh-CN"/>
                    </w:rPr>
                  </w:pPr>
                  <w:r>
                    <w:rPr>
                      <w:rFonts w:hint="eastAsia"/>
                      <w:u w:val="none"/>
                    </w:rPr>
                    <w:t>低噪声设备，定期保养</w:t>
                  </w:r>
                </w:p>
              </w:tc>
              <w:tc>
                <w:tcPr>
                  <w:tcW w:w="556" w:type="pct"/>
                  <w:shd w:val="clear" w:color="auto" w:fill="auto"/>
                  <w:noWrap/>
                  <w:vAlign w:val="center"/>
                </w:tcPr>
                <w:p w14:paraId="592519C3">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r w14:paraId="79BD90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5" w:type="pct"/>
                  <w:shd w:val="clear" w:color="auto" w:fill="auto"/>
                  <w:noWrap/>
                  <w:vAlign w:val="center"/>
                </w:tcPr>
                <w:p w14:paraId="24AEE4B8">
                  <w:pPr>
                    <w:pStyle w:val="115"/>
                    <w:bidi w:val="0"/>
                    <w:rPr>
                      <w:rFonts w:hint="default" w:cs="Times New Roman"/>
                      <w:u w:val="none"/>
                      <w:lang w:val="en-US" w:eastAsia="zh-CN"/>
                    </w:rPr>
                  </w:pPr>
                  <w:r>
                    <w:rPr>
                      <w:rFonts w:hint="eastAsia" w:cs="Times New Roman"/>
                      <w:u w:val="none"/>
                      <w:lang w:val="en-US" w:eastAsia="zh-CN"/>
                    </w:rPr>
                    <w:t>8</w:t>
                  </w:r>
                </w:p>
              </w:tc>
              <w:tc>
                <w:tcPr>
                  <w:tcW w:w="1566" w:type="dxa"/>
                  <w:shd w:val="clear" w:color="auto" w:fill="auto"/>
                  <w:noWrap/>
                  <w:vAlign w:val="center"/>
                </w:tcPr>
                <w:p w14:paraId="070BAB7C">
                  <w:pPr>
                    <w:pStyle w:val="115"/>
                    <w:bidi w:val="0"/>
                    <w:ind w:firstLine="0" w:firstLineChars="0"/>
                    <w:rPr>
                      <w:rFonts w:hint="default"/>
                      <w:lang w:val="en-US" w:eastAsia="zh-CN"/>
                    </w:rPr>
                  </w:pPr>
                  <w:r>
                    <w:rPr>
                      <w:rFonts w:hint="eastAsia"/>
                      <w:lang w:val="en-US" w:eastAsia="zh-CN"/>
                    </w:rPr>
                    <w:t>水泵</w:t>
                  </w:r>
                </w:p>
              </w:tc>
              <w:tc>
                <w:tcPr>
                  <w:tcW w:w="944" w:type="dxa"/>
                  <w:shd w:val="clear" w:color="auto" w:fill="auto"/>
                  <w:noWrap/>
                  <w:vAlign w:val="center"/>
                </w:tcPr>
                <w:p w14:paraId="6ADC7793">
                  <w:pPr>
                    <w:pStyle w:val="115"/>
                    <w:bidi w:val="0"/>
                    <w:ind w:firstLine="0" w:firstLineChars="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w:t>
                  </w:r>
                </w:p>
              </w:tc>
              <w:tc>
                <w:tcPr>
                  <w:tcW w:w="1127" w:type="dxa"/>
                  <w:shd w:val="clear" w:color="auto" w:fill="auto"/>
                  <w:noWrap/>
                  <w:vAlign w:val="center"/>
                </w:tcPr>
                <w:p w14:paraId="72287758">
                  <w:pPr>
                    <w:pStyle w:val="115"/>
                    <w:bidi w:val="0"/>
                    <w:rPr>
                      <w:rFonts w:hint="default"/>
                      <w:lang w:val="en-US" w:eastAsia="zh-CN"/>
                    </w:rPr>
                  </w:pPr>
                  <w:r>
                    <w:rPr>
                      <w:rFonts w:hint="eastAsia"/>
                      <w:lang w:val="en-US" w:eastAsia="zh-CN"/>
                    </w:rPr>
                    <w:t>23.56</w:t>
                  </w:r>
                </w:p>
              </w:tc>
              <w:tc>
                <w:tcPr>
                  <w:tcW w:w="1178" w:type="dxa"/>
                  <w:shd w:val="clear" w:color="auto" w:fill="auto"/>
                  <w:noWrap/>
                  <w:vAlign w:val="center"/>
                </w:tcPr>
                <w:p w14:paraId="293A7E7D">
                  <w:pPr>
                    <w:pStyle w:val="115"/>
                    <w:bidi w:val="0"/>
                    <w:rPr>
                      <w:rFonts w:hint="default"/>
                      <w:lang w:val="en-US" w:eastAsia="zh-CN"/>
                    </w:rPr>
                  </w:pPr>
                  <w:r>
                    <w:rPr>
                      <w:rFonts w:hint="eastAsia"/>
                      <w:lang w:val="en-US" w:eastAsia="zh-CN"/>
                    </w:rPr>
                    <w:t>4.98</w:t>
                  </w:r>
                </w:p>
              </w:tc>
              <w:tc>
                <w:tcPr>
                  <w:tcW w:w="838" w:type="dxa"/>
                  <w:shd w:val="clear" w:color="auto" w:fill="auto"/>
                  <w:noWrap/>
                  <w:vAlign w:val="center"/>
                </w:tcPr>
                <w:p w14:paraId="571478A8">
                  <w:pPr>
                    <w:pStyle w:val="115"/>
                    <w:bidi w:val="0"/>
                    <w:rPr>
                      <w:rFonts w:hint="default"/>
                      <w:lang w:val="en-US" w:eastAsia="zh-CN"/>
                    </w:rPr>
                  </w:pPr>
                  <w:r>
                    <w:rPr>
                      <w:rFonts w:hint="eastAsia"/>
                      <w:lang w:val="en-US" w:eastAsia="zh-CN"/>
                    </w:rPr>
                    <w:t>1</w:t>
                  </w:r>
                </w:p>
              </w:tc>
              <w:tc>
                <w:tcPr>
                  <w:tcW w:w="990" w:type="pct"/>
                  <w:shd w:val="clear" w:color="auto" w:fill="auto"/>
                  <w:noWrap/>
                  <w:vAlign w:val="center"/>
                </w:tcPr>
                <w:p w14:paraId="6693116B">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70/1</w:t>
                  </w:r>
                </w:p>
              </w:tc>
              <w:tc>
                <w:tcPr>
                  <w:tcW w:w="1110" w:type="pct"/>
                  <w:shd w:val="clear" w:color="auto" w:fill="auto"/>
                  <w:noWrap/>
                  <w:vAlign w:val="center"/>
                </w:tcPr>
                <w:p w14:paraId="4A3B3FAD">
                  <w:pPr>
                    <w:pStyle w:val="115"/>
                    <w:bidi w:val="0"/>
                    <w:rPr>
                      <w:rFonts w:hint="eastAsia" w:ascii="Times New Roman" w:hAnsi="Times New Roman" w:eastAsia="宋体" w:cs="Times New Roman"/>
                      <w:u w:val="none"/>
                      <w:lang w:val="en-US" w:eastAsia="zh-CN"/>
                    </w:rPr>
                  </w:pPr>
                  <w:r>
                    <w:rPr>
                      <w:rFonts w:hint="eastAsia" w:ascii="Times New Roman" w:hAnsi="Times New Roman" w:eastAsia="宋体" w:cs="Times New Roman"/>
                      <w:u w:val="none"/>
                      <w:lang w:val="en-US" w:eastAsia="zh-CN"/>
                    </w:rPr>
                    <w:t>消音装置，减振基座</w:t>
                  </w:r>
                </w:p>
              </w:tc>
              <w:tc>
                <w:tcPr>
                  <w:tcW w:w="556" w:type="pct"/>
                  <w:shd w:val="clear" w:color="auto" w:fill="auto"/>
                  <w:noWrap/>
                  <w:vAlign w:val="center"/>
                </w:tcPr>
                <w:p w14:paraId="16B4E6A4">
                  <w:pPr>
                    <w:pStyle w:val="115"/>
                    <w:bidi w:val="0"/>
                    <w:rPr>
                      <w:rFonts w:hint="eastAsia" w:ascii="Times New Roman" w:hAnsi="Times New Roman" w:cs="Times New Roman"/>
                      <w:u w:val="none"/>
                      <w:lang w:val="en-US" w:eastAsia="zh-CN"/>
                    </w:rPr>
                  </w:pPr>
                  <w:r>
                    <w:rPr>
                      <w:rFonts w:hint="eastAsia" w:ascii="Times New Roman" w:hAnsi="Times New Roman" w:cs="Times New Roman"/>
                      <w:u w:val="none"/>
                      <w:lang w:val="en-US" w:eastAsia="zh-CN"/>
                    </w:rPr>
                    <w:t>昼</w:t>
                  </w:r>
                </w:p>
              </w:tc>
            </w:tr>
          </w:tbl>
          <w:p w14:paraId="562EF44C">
            <w:pPr>
              <w:bidi w:val="0"/>
            </w:pPr>
          </w:p>
          <w:p w14:paraId="3C44598B">
            <w:pPr>
              <w:bidi w:val="0"/>
            </w:pPr>
          </w:p>
          <w:p w14:paraId="2DD5A2A4"/>
        </w:tc>
      </w:tr>
    </w:tbl>
    <w:p w14:paraId="7049D4F6">
      <w:pPr>
        <w:sectPr>
          <w:pgSz w:w="16838" w:h="11906" w:orient="landscape"/>
          <w:pgMar w:top="1080" w:right="1440" w:bottom="1080" w:left="1440" w:header="624" w:footer="340" w:gutter="0"/>
          <w:cols w:space="720" w:num="1"/>
          <w:docGrid w:type="lines" w:linePitch="312" w:charSpace="0"/>
        </w:sectPr>
      </w:pP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9131"/>
      </w:tblGrid>
      <w:tr w14:paraId="73FE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6" w:hRule="atLeast"/>
        </w:trPr>
        <w:tc>
          <w:tcPr>
            <w:tcW w:w="434" w:type="pct"/>
          </w:tcPr>
          <w:p w14:paraId="2E126113">
            <w:pPr>
              <w:pStyle w:val="35"/>
              <w:rPr>
                <w:vertAlign w:val="baseline"/>
              </w:rPr>
            </w:pPr>
          </w:p>
        </w:tc>
        <w:tc>
          <w:tcPr>
            <w:tcW w:w="4565" w:type="pct"/>
          </w:tcPr>
          <w:p w14:paraId="4A82F2C4">
            <w:pPr>
              <w:pStyle w:val="5"/>
              <w:ind w:firstLine="482"/>
            </w:pPr>
            <w:r>
              <w:rPr>
                <w:rFonts w:hint="eastAsia"/>
              </w:rPr>
              <w:t>4.4.3声环境影响分析</w:t>
            </w:r>
          </w:p>
          <w:p w14:paraId="5FF52285">
            <w:pPr>
              <w:ind w:firstLine="480"/>
            </w:pPr>
            <w:r>
              <w:rPr>
                <w:rFonts w:hint="eastAsia"/>
              </w:rPr>
              <w:t>1）预测声源</w:t>
            </w:r>
          </w:p>
          <w:p w14:paraId="7AD58E0B">
            <w:pPr>
              <w:ind w:firstLine="480"/>
            </w:pPr>
            <w:r>
              <w:rPr>
                <w:rFonts w:hint="eastAsia"/>
              </w:rPr>
              <w:t>项目运营期设备噪声主要来自</w:t>
            </w:r>
            <w:r>
              <w:rPr>
                <w:rFonts w:hint="eastAsia"/>
                <w:lang w:val="en-US" w:eastAsia="zh-CN"/>
              </w:rPr>
              <w:t>建筑垃圾堆填场</w:t>
            </w:r>
            <w:r>
              <w:rPr>
                <w:rFonts w:hint="eastAsia"/>
              </w:rPr>
              <w:t>设备所产生的噪声，主要来自压实机、运输车、洒水车、挖掘机、推土机、雾炮机</w:t>
            </w:r>
            <w:r>
              <w:rPr>
                <w:rFonts w:hint="eastAsia"/>
                <w:lang w:eastAsia="zh-CN"/>
              </w:rPr>
              <w:t>、</w:t>
            </w:r>
            <w:r>
              <w:rPr>
                <w:rFonts w:hint="eastAsia"/>
                <w:lang w:val="en-US" w:eastAsia="zh-CN"/>
              </w:rPr>
              <w:t>水泵</w:t>
            </w:r>
            <w:r>
              <w:rPr>
                <w:rFonts w:hint="eastAsia"/>
              </w:rPr>
              <w:t>运行等产生的噪声。</w:t>
            </w:r>
          </w:p>
          <w:p w14:paraId="32CC27E7">
            <w:pPr>
              <w:ind w:firstLine="480"/>
            </w:pPr>
            <w:r>
              <w:rPr>
                <w:rFonts w:hint="eastAsia"/>
              </w:rPr>
              <w:t>2）噪声预测模式</w:t>
            </w:r>
          </w:p>
          <w:p w14:paraId="103A749B">
            <w:pPr>
              <w:ind w:firstLine="480"/>
            </w:pPr>
            <w:r>
              <w:rPr>
                <w:rFonts w:hint="eastAsia"/>
              </w:rPr>
              <w:t>根据《环境影响评价技术导则 声环境》（HJ2.4-2021），本次评价采用下述噪声预测模式：</w:t>
            </w:r>
          </w:p>
          <w:p w14:paraId="6BF7DAF8">
            <w:pPr>
              <w:bidi w:val="0"/>
            </w:pPr>
            <w:r>
              <w:rPr>
                <w:rFonts w:hint="eastAsia"/>
              </w:rPr>
              <w:t>（1）建设项目声源在预测点产生的等效声级贡献值（Leqg）计算公式：</w:t>
            </w:r>
          </w:p>
          <w:p w14:paraId="18799CA1">
            <w:pPr>
              <w:ind w:firstLine="0" w:firstLineChars="0"/>
              <w:jc w:val="center"/>
            </w:pPr>
            <w:r>
              <w:drawing>
                <wp:inline distT="0" distB="0" distL="114300" distR="114300">
                  <wp:extent cx="2276475" cy="523875"/>
                  <wp:effectExtent l="0" t="0" r="9525" b="9525"/>
                  <wp:docPr id="10" name="图片 31" descr="1657179677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1" descr="1657179677541"/>
                          <pic:cNvPicPr>
                            <a:picLocks noChangeAspect="1"/>
                          </pic:cNvPicPr>
                        </pic:nvPicPr>
                        <pic:blipFill>
                          <a:blip r:embed="rId31"/>
                          <a:stretch>
                            <a:fillRect/>
                          </a:stretch>
                        </pic:blipFill>
                        <pic:spPr>
                          <a:xfrm>
                            <a:off x="0" y="0"/>
                            <a:ext cx="2276475" cy="523875"/>
                          </a:xfrm>
                          <a:prstGeom prst="rect">
                            <a:avLst/>
                          </a:prstGeom>
                          <a:noFill/>
                          <a:ln>
                            <a:noFill/>
                          </a:ln>
                        </pic:spPr>
                      </pic:pic>
                    </a:graphicData>
                  </a:graphic>
                </wp:inline>
              </w:drawing>
            </w:r>
          </w:p>
          <w:p w14:paraId="730C2C6E">
            <w:pPr>
              <w:ind w:firstLine="480"/>
            </w:pPr>
            <w:r>
              <w:rPr>
                <w:rFonts w:hint="eastAsia"/>
              </w:rPr>
              <w:t>式中：LAeq,T—等效连续A声级，dB；</w:t>
            </w:r>
          </w:p>
          <w:p w14:paraId="2769D45D">
            <w:pPr>
              <w:ind w:firstLine="480"/>
            </w:pPr>
            <w:r>
              <w:rPr>
                <w:rFonts w:hint="eastAsia"/>
              </w:rPr>
              <w:t>LA—t时刻的瞬时A声级，dB；</w:t>
            </w:r>
          </w:p>
          <w:p w14:paraId="29BBB882">
            <w:pPr>
              <w:ind w:firstLine="480"/>
            </w:pPr>
            <w:r>
              <w:rPr>
                <w:rFonts w:hint="eastAsia"/>
              </w:rPr>
              <w:t>T—规定的测量时间段，s；</w:t>
            </w:r>
          </w:p>
          <w:p w14:paraId="263B3B14">
            <w:pPr>
              <w:bidi w:val="0"/>
            </w:pPr>
            <w:r>
              <w:rPr>
                <w:rFonts w:hint="eastAsia"/>
              </w:rPr>
              <w:t>（2）预测点的</w:t>
            </w:r>
            <w:r>
              <w:rPr>
                <w:rFonts w:hint="eastAsia" w:ascii="Times New Roman" w:hAnsi="Times New Roman" w:cs="Times New Roman"/>
              </w:rPr>
              <w:t>预测</w:t>
            </w:r>
            <w:r>
              <w:rPr>
                <w:rFonts w:hint="eastAsia"/>
              </w:rPr>
              <w:t>等效声级（Leq）计算公式：</w:t>
            </w:r>
          </w:p>
          <w:p w14:paraId="1806570A">
            <w:pPr>
              <w:ind w:firstLine="0" w:firstLineChars="0"/>
              <w:jc w:val="center"/>
            </w:pPr>
            <w:r>
              <w:drawing>
                <wp:inline distT="0" distB="0" distL="114300" distR="114300">
                  <wp:extent cx="2371725" cy="476250"/>
                  <wp:effectExtent l="0" t="0" r="9525" b="0"/>
                  <wp:docPr id="11" name="图片 32" descr="165717997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2" descr="1657179976451"/>
                          <pic:cNvPicPr>
                            <a:picLocks noChangeAspect="1"/>
                          </pic:cNvPicPr>
                        </pic:nvPicPr>
                        <pic:blipFill>
                          <a:blip r:embed="rId32"/>
                          <a:stretch>
                            <a:fillRect/>
                          </a:stretch>
                        </pic:blipFill>
                        <pic:spPr>
                          <a:xfrm>
                            <a:off x="0" y="0"/>
                            <a:ext cx="2371725" cy="476250"/>
                          </a:xfrm>
                          <a:prstGeom prst="rect">
                            <a:avLst/>
                          </a:prstGeom>
                          <a:noFill/>
                          <a:ln>
                            <a:noFill/>
                          </a:ln>
                        </pic:spPr>
                      </pic:pic>
                    </a:graphicData>
                  </a:graphic>
                </wp:inline>
              </w:drawing>
            </w:r>
          </w:p>
          <w:p w14:paraId="674E6048">
            <w:pPr>
              <w:ind w:firstLine="480"/>
            </w:pPr>
            <w:r>
              <w:rPr>
                <w:rFonts w:hint="eastAsia"/>
              </w:rPr>
              <w:t>式中：Leq—预测点的噪声预测值，dB；</w:t>
            </w:r>
          </w:p>
          <w:p w14:paraId="7FCEA82B">
            <w:pPr>
              <w:ind w:firstLine="480"/>
            </w:pPr>
            <w:r>
              <w:rPr>
                <w:rFonts w:hint="eastAsia"/>
              </w:rPr>
              <w:t>Leqg—建设项目声源在预测点产生的噪声贡献值，dB；</w:t>
            </w:r>
          </w:p>
          <w:p w14:paraId="19BC67AD">
            <w:pPr>
              <w:ind w:firstLine="480"/>
            </w:pPr>
            <w:r>
              <w:rPr>
                <w:rFonts w:hint="eastAsia"/>
              </w:rPr>
              <w:t>Leqb—预测点的背景噪声值，dB；</w:t>
            </w:r>
          </w:p>
          <w:p w14:paraId="74777A9D">
            <w:pPr>
              <w:ind w:firstLine="480"/>
            </w:pPr>
            <w:r>
              <w:rPr>
                <w:rFonts w:hint="eastAsia"/>
              </w:rPr>
              <w:t>（3）点声源在预测点的声压级</w:t>
            </w:r>
          </w:p>
          <w:p w14:paraId="7A39B79A">
            <w:pPr>
              <w:ind w:firstLine="0" w:firstLineChars="0"/>
              <w:jc w:val="center"/>
            </w:pPr>
            <w:r>
              <w:rPr>
                <w:rFonts w:hint="eastAsia"/>
              </w:rPr>
              <w:t>Lp（r）=Lp（r0）-（Adiv+Aatm+Agr+Abar+Amisc）</w:t>
            </w:r>
          </w:p>
          <w:p w14:paraId="16503222">
            <w:pPr>
              <w:ind w:firstLine="480"/>
            </w:pPr>
            <w:r>
              <w:rPr>
                <w:rFonts w:hint="eastAsia"/>
              </w:rPr>
              <w:t>在预测中考虑反射引起的修正、屏障引起的衰减、双绕射、室内声源等效室外声源等影响和计算方法。</w:t>
            </w:r>
          </w:p>
          <w:p w14:paraId="5CD2DDF3">
            <w:pPr>
              <w:pStyle w:val="5"/>
              <w:bidi w:val="0"/>
            </w:pPr>
            <w:r>
              <w:rPr>
                <w:rFonts w:hint="eastAsia"/>
                <w:lang w:val="en-US" w:eastAsia="zh-CN"/>
              </w:rPr>
              <w:t>4.4.3</w:t>
            </w:r>
            <w:r>
              <w:rPr>
                <w:rFonts w:hint="eastAsia"/>
              </w:rPr>
              <w:t>预测结果及分析</w:t>
            </w:r>
          </w:p>
          <w:p w14:paraId="76A98282">
            <w:pPr>
              <w:ind w:firstLine="480"/>
              <w:rPr>
                <w:rFonts w:hint="eastAsia"/>
                <w:u w:val="none"/>
                <w:lang w:val="en-US" w:eastAsia="zh-CN"/>
              </w:rPr>
            </w:pPr>
            <w:r>
              <w:rPr>
                <w:rFonts w:hint="eastAsia"/>
                <w:u w:val="none"/>
                <w:lang w:val="en-US" w:eastAsia="zh-CN"/>
              </w:rPr>
              <w:t>（1）本项目噪声预测结果及分析</w:t>
            </w:r>
          </w:p>
          <w:p w14:paraId="7C4A1DF1">
            <w:pPr>
              <w:ind w:firstLine="480"/>
              <w:rPr>
                <w:rFonts w:hint="eastAsia"/>
                <w:u w:val="none"/>
              </w:rPr>
            </w:pPr>
            <w:r>
              <w:rPr>
                <w:rFonts w:hint="eastAsia"/>
                <w:u w:val="none"/>
              </w:rPr>
              <w:t>本环评采取环安科技公司研发的噪声NoiseSystem进行预测，预测软件采用的模型来自于《环境影响评价技术导则 声环境》（HJ2.4-2021）噪声导则，噪声衰减因素中考虑了几何发散、空气吸收、地面吸收和屏障衰减等的影响，经NoiseSystem软件预测厂界噪声预测结果。</w:t>
            </w:r>
          </w:p>
          <w:p w14:paraId="76303F9F">
            <w:pPr>
              <w:pStyle w:val="44"/>
              <w:widowControl w:val="0"/>
              <w:bidi w:val="0"/>
              <w:rPr>
                <w:rFonts w:hint="eastAsia" w:eastAsia="宋体"/>
                <w:lang w:eastAsia="zh-CN"/>
              </w:rPr>
            </w:pPr>
          </w:p>
          <w:p w14:paraId="74CBADAC">
            <w:pPr>
              <w:pStyle w:val="44"/>
              <w:widowControl w:val="0"/>
              <w:bidi w:val="0"/>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656580" cy="4001770"/>
                  <wp:effectExtent l="0" t="0" r="1270" b="17780"/>
                  <wp:docPr id="16" name="图片 16" descr="a9d98b4ac3ddbc7f2a61b5714498ea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a9d98b4ac3ddbc7f2a61b5714498ea48"/>
                          <pic:cNvPicPr>
                            <a:picLocks noChangeAspect="1"/>
                          </pic:cNvPicPr>
                        </pic:nvPicPr>
                        <pic:blipFill>
                          <a:blip r:embed="rId33"/>
                          <a:stretch>
                            <a:fillRect/>
                          </a:stretch>
                        </pic:blipFill>
                        <pic:spPr>
                          <a:xfrm>
                            <a:off x="0" y="0"/>
                            <a:ext cx="5656580" cy="4001770"/>
                          </a:xfrm>
                          <a:prstGeom prst="rect">
                            <a:avLst/>
                          </a:prstGeom>
                        </pic:spPr>
                      </pic:pic>
                    </a:graphicData>
                  </a:graphic>
                </wp:inline>
              </w:drawing>
            </w:r>
          </w:p>
          <w:p w14:paraId="6130CABC">
            <w:pPr>
              <w:pStyle w:val="44"/>
              <w:widowControl w:val="0"/>
              <w:bidi w:val="0"/>
              <w:rPr>
                <w:rFonts w:hint="eastAsia" w:ascii="Times New Roman" w:hAnsi="Times New Roman" w:eastAsia="宋体" w:cs="Times New Roman"/>
                <w:lang w:eastAsia="zh-CN"/>
              </w:rPr>
            </w:pPr>
            <w:r>
              <w:rPr>
                <w:rFonts w:hint="eastAsia" w:ascii="Times New Roman" w:hAnsi="Times New Roman" w:eastAsia="宋体" w:cs="Times New Roman"/>
                <w:lang w:eastAsia="zh-CN"/>
              </w:rPr>
              <w:t>图</w:t>
            </w:r>
            <w:r>
              <w:rPr>
                <w:rFonts w:hint="eastAsia" w:ascii="Times New Roman" w:hAnsi="Times New Roman" w:eastAsia="宋体" w:cs="Times New Roman"/>
                <w:lang w:val="en-US" w:eastAsia="zh-CN"/>
              </w:rPr>
              <w:t>4.4-1</w:t>
            </w:r>
            <w:r>
              <w:rPr>
                <w:rFonts w:hint="eastAsia" w:ascii="Times New Roman" w:hAnsi="Times New Roman" w:eastAsia="宋体" w:cs="Times New Roman"/>
                <w:lang w:eastAsia="zh-CN"/>
              </w:rPr>
              <w:t>：项目运营期噪声贡献值等声级线图</w:t>
            </w:r>
          </w:p>
          <w:p w14:paraId="65FD1BD3">
            <w:pPr>
              <w:pStyle w:val="44"/>
              <w:widowControl w:val="0"/>
              <w:bidi w:val="0"/>
              <w:rPr>
                <w:rFonts w:hint="eastAsia"/>
              </w:rPr>
            </w:pPr>
            <w:r>
              <w:rPr>
                <w:rFonts w:hint="eastAsia"/>
              </w:rPr>
              <w:t>表</w:t>
            </w:r>
            <w:r>
              <w:rPr>
                <w:rFonts w:hint="eastAsia"/>
                <w:lang w:val="en-US" w:eastAsia="zh-CN"/>
              </w:rPr>
              <w:t>4.4-3</w:t>
            </w:r>
            <w:r>
              <w:rPr>
                <w:rFonts w:hint="eastAsia"/>
              </w:rPr>
              <w:t>：项目噪声预测结果一览表  单位：dB（A）</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2077"/>
              <w:gridCol w:w="2089"/>
              <w:gridCol w:w="1546"/>
              <w:gridCol w:w="1881"/>
            </w:tblGrid>
            <w:tr w14:paraId="7176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vMerge w:val="restart"/>
                  <w:tcBorders>
                    <w:top w:val="single" w:color="auto" w:sz="4" w:space="0"/>
                    <w:left w:val="single" w:color="auto" w:sz="4" w:space="0"/>
                    <w:bottom w:val="single" w:color="auto" w:sz="4" w:space="0"/>
                    <w:right w:val="single" w:color="auto" w:sz="4" w:space="0"/>
                  </w:tcBorders>
                  <w:vAlign w:val="center"/>
                </w:tcPr>
                <w:p w14:paraId="7EA53A22">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序号</w:t>
                  </w:r>
                </w:p>
              </w:tc>
              <w:tc>
                <w:tcPr>
                  <w:tcW w:w="1166" w:type="pct"/>
                  <w:vMerge w:val="restart"/>
                  <w:tcBorders>
                    <w:top w:val="single" w:color="auto" w:sz="4" w:space="0"/>
                    <w:left w:val="single" w:color="auto" w:sz="4" w:space="0"/>
                    <w:bottom w:val="single" w:color="auto" w:sz="4" w:space="0"/>
                    <w:right w:val="single" w:color="auto" w:sz="4" w:space="0"/>
                  </w:tcBorders>
                  <w:vAlign w:val="center"/>
                </w:tcPr>
                <w:p w14:paraId="23B41BF2">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名称</w:t>
                  </w:r>
                </w:p>
              </w:tc>
              <w:tc>
                <w:tcPr>
                  <w:tcW w:w="1173" w:type="pct"/>
                  <w:tcBorders>
                    <w:top w:val="single" w:color="auto" w:sz="4" w:space="0"/>
                    <w:left w:val="single" w:color="auto" w:sz="4" w:space="0"/>
                    <w:bottom w:val="single" w:color="auto" w:sz="4" w:space="0"/>
                    <w:right w:val="single" w:color="auto" w:sz="4" w:space="0"/>
                  </w:tcBorders>
                  <w:vAlign w:val="center"/>
                </w:tcPr>
                <w:p w14:paraId="01D9E8D7">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噪声贡献值</w:t>
                  </w:r>
                </w:p>
              </w:tc>
              <w:tc>
                <w:tcPr>
                  <w:tcW w:w="868" w:type="pct"/>
                  <w:tcBorders>
                    <w:top w:val="single" w:color="auto" w:sz="4" w:space="0"/>
                    <w:left w:val="single" w:color="auto" w:sz="4" w:space="0"/>
                    <w:bottom w:val="single" w:color="auto" w:sz="4" w:space="0"/>
                    <w:right w:val="single" w:color="auto" w:sz="4" w:space="0"/>
                  </w:tcBorders>
                  <w:vAlign w:val="center"/>
                </w:tcPr>
                <w:p w14:paraId="403EFA42">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噪声标准</w:t>
                  </w:r>
                </w:p>
              </w:tc>
              <w:tc>
                <w:tcPr>
                  <w:tcW w:w="1056" w:type="pct"/>
                  <w:tcBorders>
                    <w:top w:val="single" w:color="auto" w:sz="4" w:space="0"/>
                    <w:left w:val="single" w:color="auto" w:sz="4" w:space="0"/>
                    <w:bottom w:val="single" w:color="auto" w:sz="4" w:space="0"/>
                    <w:right w:val="single" w:color="auto" w:sz="4" w:space="0"/>
                  </w:tcBorders>
                  <w:vAlign w:val="center"/>
                </w:tcPr>
                <w:p w14:paraId="0F06ABB7">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达标情况</w:t>
                  </w:r>
                </w:p>
              </w:tc>
            </w:tr>
            <w:tr w14:paraId="3A40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vMerge w:val="continue"/>
                  <w:tcBorders>
                    <w:top w:val="single" w:color="auto" w:sz="4" w:space="0"/>
                    <w:left w:val="single" w:color="auto" w:sz="4" w:space="0"/>
                    <w:bottom w:val="single" w:color="auto" w:sz="4" w:space="0"/>
                    <w:right w:val="single" w:color="auto" w:sz="4" w:space="0"/>
                  </w:tcBorders>
                  <w:vAlign w:val="center"/>
                </w:tcPr>
                <w:p w14:paraId="3C5B3D59">
                  <w:pPr>
                    <w:pStyle w:val="115"/>
                    <w:bidi w:val="0"/>
                    <w:rPr>
                      <w:rFonts w:hint="default" w:ascii="Times New Roman" w:hAnsi="Times New Roman" w:eastAsia="宋体" w:cs="Times New Roman"/>
                      <w:b/>
                      <w:bCs/>
                      <w:lang w:val="en-US" w:eastAsia="zh-CN"/>
                    </w:rPr>
                  </w:pPr>
                </w:p>
              </w:tc>
              <w:tc>
                <w:tcPr>
                  <w:tcW w:w="1166" w:type="pct"/>
                  <w:vMerge w:val="continue"/>
                  <w:tcBorders>
                    <w:top w:val="single" w:color="auto" w:sz="4" w:space="0"/>
                    <w:left w:val="single" w:color="auto" w:sz="4" w:space="0"/>
                    <w:bottom w:val="single" w:color="auto" w:sz="4" w:space="0"/>
                    <w:right w:val="single" w:color="auto" w:sz="4" w:space="0"/>
                  </w:tcBorders>
                  <w:vAlign w:val="center"/>
                </w:tcPr>
                <w:p w14:paraId="134D4997">
                  <w:pPr>
                    <w:pStyle w:val="115"/>
                    <w:bidi w:val="0"/>
                    <w:rPr>
                      <w:rFonts w:hint="default" w:ascii="Times New Roman" w:hAnsi="Times New Roman" w:eastAsia="宋体" w:cs="Times New Roman"/>
                      <w:b/>
                      <w:bCs/>
                      <w:lang w:val="en-US" w:eastAsia="zh-CN"/>
                    </w:rPr>
                  </w:pPr>
                </w:p>
              </w:tc>
              <w:tc>
                <w:tcPr>
                  <w:tcW w:w="1173" w:type="pct"/>
                  <w:tcBorders>
                    <w:top w:val="single" w:color="auto" w:sz="4" w:space="0"/>
                    <w:left w:val="single" w:color="auto" w:sz="4" w:space="0"/>
                    <w:bottom w:val="single" w:color="auto" w:sz="4" w:space="0"/>
                    <w:right w:val="single" w:color="auto" w:sz="4" w:space="0"/>
                  </w:tcBorders>
                  <w:vAlign w:val="center"/>
                </w:tcPr>
                <w:p w14:paraId="7E457632">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昼间</w:t>
                  </w:r>
                </w:p>
              </w:tc>
              <w:tc>
                <w:tcPr>
                  <w:tcW w:w="868" w:type="pct"/>
                  <w:tcBorders>
                    <w:top w:val="single" w:color="auto" w:sz="4" w:space="0"/>
                    <w:left w:val="single" w:color="auto" w:sz="4" w:space="0"/>
                    <w:bottom w:val="single" w:color="auto" w:sz="4" w:space="0"/>
                    <w:right w:val="single" w:color="auto" w:sz="4" w:space="0"/>
                  </w:tcBorders>
                  <w:vAlign w:val="center"/>
                </w:tcPr>
                <w:p w14:paraId="0B1FF108">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昼间</w:t>
                  </w:r>
                </w:p>
              </w:tc>
              <w:tc>
                <w:tcPr>
                  <w:tcW w:w="1056" w:type="pct"/>
                  <w:tcBorders>
                    <w:top w:val="single" w:color="auto" w:sz="4" w:space="0"/>
                    <w:left w:val="single" w:color="auto" w:sz="4" w:space="0"/>
                    <w:bottom w:val="single" w:color="auto" w:sz="4" w:space="0"/>
                    <w:right w:val="single" w:color="auto" w:sz="4" w:space="0"/>
                  </w:tcBorders>
                  <w:vAlign w:val="center"/>
                </w:tcPr>
                <w:p w14:paraId="5C01E6B8">
                  <w:pPr>
                    <w:pStyle w:val="115"/>
                    <w:bidi w:val="0"/>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昼间</w:t>
                  </w:r>
                </w:p>
              </w:tc>
            </w:tr>
            <w:tr w14:paraId="520B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tcBorders>
                    <w:top w:val="single" w:color="auto" w:sz="4" w:space="0"/>
                    <w:left w:val="single" w:color="auto" w:sz="4" w:space="0"/>
                    <w:bottom w:val="single" w:color="auto" w:sz="4" w:space="0"/>
                    <w:right w:val="single" w:color="auto" w:sz="4" w:space="0"/>
                  </w:tcBorders>
                  <w:vAlign w:val="center"/>
                </w:tcPr>
                <w:p w14:paraId="51BD5335">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w:t>
                  </w:r>
                </w:p>
              </w:tc>
              <w:tc>
                <w:tcPr>
                  <w:tcW w:w="1166" w:type="pct"/>
                  <w:tcBorders>
                    <w:top w:val="single" w:color="auto" w:sz="4" w:space="0"/>
                    <w:left w:val="single" w:color="auto" w:sz="4" w:space="0"/>
                    <w:bottom w:val="single" w:color="auto" w:sz="4" w:space="0"/>
                    <w:right w:val="single" w:color="auto" w:sz="4" w:space="0"/>
                  </w:tcBorders>
                  <w:vAlign w:val="center"/>
                </w:tcPr>
                <w:p w14:paraId="672E00C7">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项目东厂界</w:t>
                  </w:r>
                </w:p>
              </w:tc>
              <w:tc>
                <w:tcPr>
                  <w:tcW w:w="1173" w:type="pct"/>
                  <w:tcBorders>
                    <w:top w:val="single" w:color="auto" w:sz="4" w:space="0"/>
                    <w:left w:val="single" w:color="auto" w:sz="4" w:space="0"/>
                    <w:bottom w:val="single" w:color="auto" w:sz="4" w:space="0"/>
                    <w:right w:val="single" w:color="auto" w:sz="4" w:space="0"/>
                  </w:tcBorders>
                  <w:vAlign w:val="center"/>
                </w:tcPr>
                <w:p w14:paraId="219058C7">
                  <w:pPr>
                    <w:pStyle w:val="115"/>
                    <w:bidi w:val="0"/>
                    <w:rPr>
                      <w:rFonts w:hint="default"/>
                      <w:lang w:val="en-US" w:eastAsia="zh-CN"/>
                    </w:rPr>
                  </w:pPr>
                  <w:r>
                    <w:rPr>
                      <w:rFonts w:hint="eastAsia"/>
                      <w:lang w:val="en-US" w:eastAsia="zh-CN"/>
                    </w:rPr>
                    <w:t>18.29</w:t>
                  </w:r>
                </w:p>
              </w:tc>
              <w:tc>
                <w:tcPr>
                  <w:tcW w:w="868" w:type="pct"/>
                  <w:tcBorders>
                    <w:top w:val="single" w:color="auto" w:sz="4" w:space="0"/>
                    <w:left w:val="single" w:color="auto" w:sz="4" w:space="0"/>
                    <w:bottom w:val="single" w:color="auto" w:sz="4" w:space="0"/>
                    <w:right w:val="single" w:color="auto" w:sz="4" w:space="0"/>
                  </w:tcBorders>
                  <w:vAlign w:val="center"/>
                </w:tcPr>
                <w:p w14:paraId="7C3C540C">
                  <w:pPr>
                    <w:pStyle w:val="115"/>
                    <w:bidi w:val="0"/>
                    <w:rPr>
                      <w:rFonts w:hint="default" w:ascii="Times New Roman" w:hAnsi="Times New Roman" w:eastAsia="宋体" w:cs="Times New Roman"/>
                      <w:lang w:val="en-US" w:eastAsia="zh-CN"/>
                    </w:rPr>
                  </w:pPr>
                  <w:r>
                    <w:rPr>
                      <w:rFonts w:hint="eastAsia" w:cs="Times New Roman"/>
                      <w:lang w:val="en-US" w:eastAsia="zh-CN"/>
                    </w:rPr>
                    <w:t>70</w:t>
                  </w:r>
                </w:p>
              </w:tc>
              <w:tc>
                <w:tcPr>
                  <w:tcW w:w="1056" w:type="pct"/>
                  <w:tcBorders>
                    <w:top w:val="single" w:color="auto" w:sz="4" w:space="0"/>
                    <w:left w:val="single" w:color="auto" w:sz="4" w:space="0"/>
                    <w:bottom w:val="single" w:color="auto" w:sz="4" w:space="0"/>
                    <w:right w:val="single" w:color="auto" w:sz="4" w:space="0"/>
                  </w:tcBorders>
                  <w:vAlign w:val="center"/>
                </w:tcPr>
                <w:p w14:paraId="1AFD67EF">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14:paraId="27A9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tcBorders>
                    <w:top w:val="single" w:color="auto" w:sz="4" w:space="0"/>
                    <w:left w:val="single" w:color="auto" w:sz="4" w:space="0"/>
                    <w:bottom w:val="single" w:color="auto" w:sz="4" w:space="0"/>
                    <w:right w:val="single" w:color="auto" w:sz="4" w:space="0"/>
                  </w:tcBorders>
                  <w:vAlign w:val="center"/>
                </w:tcPr>
                <w:p w14:paraId="1EC89D09">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w:t>
                  </w:r>
                </w:p>
              </w:tc>
              <w:tc>
                <w:tcPr>
                  <w:tcW w:w="1166" w:type="pct"/>
                  <w:tcBorders>
                    <w:top w:val="single" w:color="auto" w:sz="4" w:space="0"/>
                    <w:left w:val="single" w:color="auto" w:sz="4" w:space="0"/>
                    <w:bottom w:val="single" w:color="auto" w:sz="4" w:space="0"/>
                    <w:right w:val="single" w:color="auto" w:sz="4" w:space="0"/>
                  </w:tcBorders>
                  <w:vAlign w:val="center"/>
                </w:tcPr>
                <w:p w14:paraId="113D136D">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项目南厂界</w:t>
                  </w:r>
                </w:p>
              </w:tc>
              <w:tc>
                <w:tcPr>
                  <w:tcW w:w="1173" w:type="pct"/>
                  <w:tcBorders>
                    <w:top w:val="single" w:color="auto" w:sz="4" w:space="0"/>
                    <w:left w:val="single" w:color="auto" w:sz="4" w:space="0"/>
                    <w:bottom w:val="single" w:color="auto" w:sz="4" w:space="0"/>
                    <w:right w:val="single" w:color="auto" w:sz="4" w:space="0"/>
                  </w:tcBorders>
                  <w:vAlign w:val="center"/>
                </w:tcPr>
                <w:p w14:paraId="0DDE1484">
                  <w:pPr>
                    <w:pStyle w:val="115"/>
                    <w:bidi w:val="0"/>
                    <w:rPr>
                      <w:rFonts w:hint="default"/>
                      <w:lang w:val="en-US" w:eastAsia="zh-CN"/>
                    </w:rPr>
                  </w:pPr>
                  <w:r>
                    <w:rPr>
                      <w:rFonts w:hint="eastAsia"/>
                      <w:lang w:val="en-US" w:eastAsia="zh-CN"/>
                    </w:rPr>
                    <w:t>34.52</w:t>
                  </w:r>
                </w:p>
              </w:tc>
              <w:tc>
                <w:tcPr>
                  <w:tcW w:w="868" w:type="pct"/>
                  <w:tcBorders>
                    <w:top w:val="single" w:color="auto" w:sz="4" w:space="0"/>
                    <w:left w:val="single" w:color="auto" w:sz="4" w:space="0"/>
                    <w:bottom w:val="single" w:color="auto" w:sz="4" w:space="0"/>
                    <w:right w:val="single" w:color="auto" w:sz="4" w:space="0"/>
                  </w:tcBorders>
                  <w:vAlign w:val="center"/>
                </w:tcPr>
                <w:p w14:paraId="1A15DC9E">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1056" w:type="pct"/>
                  <w:tcBorders>
                    <w:top w:val="single" w:color="auto" w:sz="4" w:space="0"/>
                    <w:left w:val="single" w:color="auto" w:sz="4" w:space="0"/>
                    <w:bottom w:val="single" w:color="auto" w:sz="4" w:space="0"/>
                    <w:right w:val="single" w:color="auto" w:sz="4" w:space="0"/>
                  </w:tcBorders>
                  <w:vAlign w:val="center"/>
                </w:tcPr>
                <w:p w14:paraId="452868B6">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14:paraId="7EEA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tcBorders>
                    <w:top w:val="single" w:color="auto" w:sz="4" w:space="0"/>
                    <w:left w:val="single" w:color="auto" w:sz="4" w:space="0"/>
                    <w:bottom w:val="single" w:color="auto" w:sz="4" w:space="0"/>
                    <w:right w:val="single" w:color="auto" w:sz="4" w:space="0"/>
                  </w:tcBorders>
                  <w:vAlign w:val="center"/>
                </w:tcPr>
                <w:p w14:paraId="33038196">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w:t>
                  </w:r>
                </w:p>
              </w:tc>
              <w:tc>
                <w:tcPr>
                  <w:tcW w:w="1166" w:type="pct"/>
                  <w:tcBorders>
                    <w:top w:val="single" w:color="auto" w:sz="4" w:space="0"/>
                    <w:left w:val="single" w:color="auto" w:sz="4" w:space="0"/>
                    <w:bottom w:val="single" w:color="auto" w:sz="4" w:space="0"/>
                    <w:right w:val="single" w:color="auto" w:sz="4" w:space="0"/>
                  </w:tcBorders>
                  <w:vAlign w:val="center"/>
                </w:tcPr>
                <w:p w14:paraId="288F1995">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项目西厂界</w:t>
                  </w:r>
                </w:p>
              </w:tc>
              <w:tc>
                <w:tcPr>
                  <w:tcW w:w="1173" w:type="pct"/>
                  <w:tcBorders>
                    <w:top w:val="single" w:color="auto" w:sz="4" w:space="0"/>
                    <w:left w:val="single" w:color="auto" w:sz="4" w:space="0"/>
                    <w:bottom w:val="single" w:color="auto" w:sz="4" w:space="0"/>
                    <w:right w:val="single" w:color="auto" w:sz="4" w:space="0"/>
                  </w:tcBorders>
                  <w:vAlign w:val="center"/>
                </w:tcPr>
                <w:p w14:paraId="084C335C">
                  <w:pPr>
                    <w:pStyle w:val="115"/>
                    <w:bidi w:val="0"/>
                    <w:rPr>
                      <w:rFonts w:hint="default"/>
                      <w:lang w:val="en-US" w:eastAsia="zh-CN"/>
                    </w:rPr>
                  </w:pPr>
                  <w:r>
                    <w:rPr>
                      <w:rFonts w:hint="eastAsia"/>
                      <w:lang w:val="en-US" w:eastAsia="zh-CN"/>
                    </w:rPr>
                    <w:t>31.09</w:t>
                  </w:r>
                </w:p>
              </w:tc>
              <w:tc>
                <w:tcPr>
                  <w:tcW w:w="868" w:type="pct"/>
                  <w:tcBorders>
                    <w:top w:val="single" w:color="auto" w:sz="4" w:space="0"/>
                    <w:left w:val="single" w:color="auto" w:sz="4" w:space="0"/>
                    <w:bottom w:val="single" w:color="auto" w:sz="4" w:space="0"/>
                    <w:right w:val="single" w:color="auto" w:sz="4" w:space="0"/>
                  </w:tcBorders>
                  <w:vAlign w:val="center"/>
                </w:tcPr>
                <w:p w14:paraId="481615D3">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1056" w:type="pct"/>
                  <w:tcBorders>
                    <w:top w:val="single" w:color="auto" w:sz="4" w:space="0"/>
                    <w:left w:val="single" w:color="auto" w:sz="4" w:space="0"/>
                    <w:bottom w:val="single" w:color="auto" w:sz="4" w:space="0"/>
                    <w:right w:val="single" w:color="auto" w:sz="4" w:space="0"/>
                  </w:tcBorders>
                  <w:vAlign w:val="center"/>
                </w:tcPr>
                <w:p w14:paraId="28DB00AE">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r w14:paraId="1289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5" w:type="pct"/>
                  <w:tcBorders>
                    <w:top w:val="single" w:color="auto" w:sz="4" w:space="0"/>
                    <w:left w:val="single" w:color="auto" w:sz="4" w:space="0"/>
                    <w:bottom w:val="single" w:color="auto" w:sz="4" w:space="0"/>
                    <w:right w:val="single" w:color="auto" w:sz="4" w:space="0"/>
                  </w:tcBorders>
                  <w:vAlign w:val="center"/>
                </w:tcPr>
                <w:p w14:paraId="72C38677">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w:t>
                  </w:r>
                </w:p>
              </w:tc>
              <w:tc>
                <w:tcPr>
                  <w:tcW w:w="1166" w:type="pct"/>
                  <w:tcBorders>
                    <w:top w:val="single" w:color="auto" w:sz="4" w:space="0"/>
                    <w:left w:val="single" w:color="auto" w:sz="4" w:space="0"/>
                    <w:bottom w:val="single" w:color="auto" w:sz="4" w:space="0"/>
                    <w:right w:val="single" w:color="auto" w:sz="4" w:space="0"/>
                  </w:tcBorders>
                  <w:vAlign w:val="center"/>
                </w:tcPr>
                <w:p w14:paraId="520A8707">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项目北厂界</w:t>
                  </w:r>
                </w:p>
              </w:tc>
              <w:tc>
                <w:tcPr>
                  <w:tcW w:w="1173" w:type="pct"/>
                  <w:tcBorders>
                    <w:top w:val="single" w:color="auto" w:sz="4" w:space="0"/>
                    <w:left w:val="single" w:color="auto" w:sz="4" w:space="0"/>
                    <w:bottom w:val="single" w:color="auto" w:sz="4" w:space="0"/>
                    <w:right w:val="single" w:color="auto" w:sz="4" w:space="0"/>
                  </w:tcBorders>
                  <w:vAlign w:val="center"/>
                </w:tcPr>
                <w:p w14:paraId="046C3D4D">
                  <w:pPr>
                    <w:pStyle w:val="115"/>
                    <w:bidi w:val="0"/>
                    <w:rPr>
                      <w:rFonts w:hint="default"/>
                      <w:lang w:val="en-US" w:eastAsia="zh-CN"/>
                    </w:rPr>
                  </w:pPr>
                  <w:r>
                    <w:rPr>
                      <w:rFonts w:hint="eastAsia"/>
                      <w:lang w:val="en-US" w:eastAsia="zh-CN"/>
                    </w:rPr>
                    <w:t>37.25</w:t>
                  </w:r>
                </w:p>
              </w:tc>
              <w:tc>
                <w:tcPr>
                  <w:tcW w:w="868" w:type="pct"/>
                  <w:tcBorders>
                    <w:top w:val="single" w:color="auto" w:sz="4" w:space="0"/>
                    <w:left w:val="single" w:color="auto" w:sz="4" w:space="0"/>
                    <w:bottom w:val="single" w:color="auto" w:sz="4" w:space="0"/>
                    <w:right w:val="single" w:color="auto" w:sz="4" w:space="0"/>
                  </w:tcBorders>
                  <w:vAlign w:val="center"/>
                </w:tcPr>
                <w:p w14:paraId="1CFDA7A5">
                  <w:pPr>
                    <w:pStyle w:val="115"/>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1056" w:type="pct"/>
                  <w:tcBorders>
                    <w:top w:val="single" w:color="auto" w:sz="4" w:space="0"/>
                    <w:left w:val="single" w:color="auto" w:sz="4" w:space="0"/>
                    <w:bottom w:val="single" w:color="auto" w:sz="4" w:space="0"/>
                    <w:right w:val="single" w:color="auto" w:sz="4" w:space="0"/>
                  </w:tcBorders>
                  <w:vAlign w:val="center"/>
                </w:tcPr>
                <w:p w14:paraId="7B7269C8">
                  <w:pPr>
                    <w:pStyle w:val="115"/>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达标</w:t>
                  </w:r>
                </w:p>
              </w:tc>
            </w:tr>
          </w:tbl>
          <w:p w14:paraId="56DDD054">
            <w:pPr>
              <w:ind w:firstLine="480"/>
              <w:rPr>
                <w:rFonts w:hint="eastAsia"/>
                <w:u w:val="none"/>
              </w:rPr>
            </w:pPr>
            <w:r>
              <w:rPr>
                <w:rFonts w:hint="eastAsia"/>
                <w:u w:val="none"/>
              </w:rPr>
              <w:t>经过预测分析，在采取了有效的降噪措施，项目运营期西、南、北厂界昼间噪声可满足《工业企业厂界环境噪声排放标准》（GB12348-2008）</w:t>
            </w:r>
            <w:r>
              <w:rPr>
                <w:rFonts w:hint="eastAsia"/>
                <w:u w:val="none"/>
                <w:lang w:val="en-US" w:eastAsia="zh-CN"/>
              </w:rPr>
              <w:t>2</w:t>
            </w:r>
            <w:r>
              <w:rPr>
                <w:rFonts w:hint="eastAsia"/>
                <w:u w:val="none"/>
              </w:rPr>
              <w:t>类</w:t>
            </w:r>
            <w:r>
              <w:rPr>
                <w:rFonts w:hint="eastAsia"/>
                <w:u w:val="none"/>
                <w:lang w:eastAsia="zh-CN"/>
              </w:rPr>
              <w:t>、</w:t>
            </w:r>
            <w:r>
              <w:rPr>
                <w:rFonts w:hint="eastAsia"/>
                <w:u w:val="none"/>
                <w:lang w:val="en-US" w:eastAsia="zh-CN"/>
              </w:rPr>
              <w:t>东厂界昼间噪声可满足《工业企业厂界环境噪声排放标准》（GB12348-2008）4类</w:t>
            </w:r>
            <w:r>
              <w:rPr>
                <w:rFonts w:hint="eastAsia"/>
                <w:u w:val="none"/>
              </w:rPr>
              <w:t>标准。</w:t>
            </w:r>
          </w:p>
          <w:p w14:paraId="4E3AC283">
            <w:pPr>
              <w:ind w:firstLine="480"/>
              <w:rPr>
                <w:rFonts w:hint="eastAsia"/>
                <w:u w:val="none"/>
              </w:rPr>
            </w:pPr>
            <w:r>
              <w:rPr>
                <w:rFonts w:hint="eastAsia"/>
                <w:u w:val="none"/>
              </w:rPr>
              <w:t>（</w:t>
            </w:r>
            <w:r>
              <w:rPr>
                <w:rFonts w:hint="eastAsia"/>
                <w:u w:val="none"/>
                <w:lang w:val="en-US" w:eastAsia="zh-CN"/>
              </w:rPr>
              <w:t>2</w:t>
            </w:r>
            <w:r>
              <w:rPr>
                <w:rFonts w:hint="eastAsia"/>
                <w:u w:val="none"/>
              </w:rPr>
              <w:t>）交通运输噪声影响分析</w:t>
            </w:r>
          </w:p>
          <w:p w14:paraId="0ACE3E37">
            <w:pPr>
              <w:ind w:firstLine="480"/>
              <w:rPr>
                <w:rFonts w:hint="eastAsia"/>
                <w:u w:val="none"/>
              </w:rPr>
            </w:pPr>
            <w:r>
              <w:rPr>
                <w:rFonts w:hint="eastAsia"/>
                <w:u w:val="none"/>
              </w:rPr>
              <w:t>运营期间，运输建筑垃圾车辆增多，将加重沿线交通噪声污染。根据项目实际情况，</w:t>
            </w:r>
            <w:r>
              <w:rPr>
                <w:rFonts w:hint="eastAsia"/>
                <w:u w:val="none"/>
                <w:lang w:val="en-US" w:eastAsia="zh-CN"/>
              </w:rPr>
              <w:t>建筑垃圾</w:t>
            </w:r>
            <w:r>
              <w:rPr>
                <w:rFonts w:hint="eastAsia"/>
                <w:u w:val="none"/>
              </w:rPr>
              <w:t>途经G</w:t>
            </w:r>
            <w:r>
              <w:rPr>
                <w:rFonts w:hint="eastAsia"/>
                <w:u w:val="none"/>
                <w:lang w:val="en-US" w:eastAsia="zh-CN"/>
              </w:rPr>
              <w:t>320</w:t>
            </w:r>
            <w:r>
              <w:rPr>
                <w:rFonts w:hint="eastAsia"/>
                <w:u w:val="none"/>
              </w:rPr>
              <w:t>国道，沿线分布较多城镇居民点，运输车辆噪声级一般在75～85dB（A），本项目属间歇运行，且运输量有限，加上采取限速并禁止沿途鸣笛等措施，因此项目营运期间运输车辆产生噪声污染是短暂的，不会对沿线声环境造成大的影响。</w:t>
            </w:r>
          </w:p>
          <w:p w14:paraId="7E95E82D">
            <w:pPr>
              <w:pStyle w:val="5"/>
              <w:ind w:firstLine="482"/>
            </w:pPr>
            <w:r>
              <w:rPr>
                <w:rFonts w:hint="eastAsia"/>
              </w:rPr>
              <w:t>4.4.4噪声</w:t>
            </w:r>
            <w:r>
              <w:t>治理措施分析</w:t>
            </w:r>
          </w:p>
          <w:p w14:paraId="242D3B00">
            <w:pPr>
              <w:ind w:firstLine="480"/>
              <w:rPr>
                <w:rFonts w:hint="eastAsia"/>
              </w:rPr>
            </w:pPr>
            <w:r>
              <w:rPr>
                <w:rFonts w:hint="eastAsia"/>
              </w:rPr>
              <w:t>为有效控制项目运营期噪声对周边环境的影响，本评价要求建设单位在设备选型、布局及运营管理等全过程落实以下综合防治措施：</w:t>
            </w:r>
          </w:p>
          <w:p w14:paraId="3D598F2A">
            <w:pPr>
              <w:widowControl/>
              <w:spacing w:line="360" w:lineRule="auto"/>
              <w:ind w:firstLine="480" w:firstLineChars="200"/>
              <w:rPr>
                <w:rFonts w:hint="eastAsia"/>
                <w:sz w:val="24"/>
              </w:rPr>
            </w:pPr>
            <w:r>
              <w:rPr>
                <w:rFonts w:hint="eastAsia"/>
                <w:sz w:val="24"/>
              </w:rPr>
              <w:t>①</w:t>
            </w:r>
            <w:r>
              <w:rPr>
                <w:rFonts w:hint="eastAsia" w:ascii="宋体" w:hAnsi="宋体" w:cs="宋体"/>
                <w:kern w:val="0"/>
                <w:sz w:val="24"/>
              </w:rPr>
              <w:t>项目选用低噪声生产设备，从源头上降低噪声源强。</w:t>
            </w:r>
          </w:p>
          <w:p w14:paraId="58766BD5">
            <w:pPr>
              <w:spacing w:line="360" w:lineRule="auto"/>
              <w:ind w:firstLine="480" w:firstLineChars="200"/>
              <w:rPr>
                <w:rFonts w:hint="eastAsia"/>
                <w:sz w:val="24"/>
              </w:rPr>
            </w:pPr>
            <w:r>
              <w:rPr>
                <w:rFonts w:hint="eastAsia"/>
                <w:sz w:val="24"/>
              </w:rPr>
              <w:t>②</w:t>
            </w:r>
            <w:r>
              <w:rPr>
                <w:rFonts w:hint="eastAsia" w:ascii="宋体" w:hAnsi="宋体" w:cs="宋体"/>
                <w:kern w:val="0"/>
                <w:sz w:val="24"/>
              </w:rPr>
              <w:t>加强对设备的管理和维护，在有关环保人员的统一管理下，定期检查、监测，发现噪声超标要及时治理并增加相关操作岗位工人的个体防护</w:t>
            </w:r>
            <w:r>
              <w:rPr>
                <w:rFonts w:hint="eastAsia"/>
                <w:sz w:val="24"/>
              </w:rPr>
              <w:t>。</w:t>
            </w:r>
          </w:p>
          <w:p w14:paraId="44333DF1">
            <w:pPr>
              <w:spacing w:line="360" w:lineRule="auto"/>
              <w:ind w:firstLine="480" w:firstLineChars="200"/>
              <w:rPr>
                <w:rFonts w:hint="eastAsia"/>
                <w:sz w:val="24"/>
              </w:rPr>
            </w:pPr>
            <w:r>
              <w:rPr>
                <w:rFonts w:hint="eastAsia"/>
                <w:sz w:val="24"/>
              </w:rPr>
              <w:t>③</w:t>
            </w:r>
            <w:r>
              <w:rPr>
                <w:rFonts w:hint="eastAsia" w:ascii="宋体" w:hAnsi="宋体" w:cs="宋体"/>
                <w:kern w:val="0"/>
                <w:sz w:val="24"/>
              </w:rPr>
              <w:t>车辆运输物料时，在靠近居民点等声环境质量要求较高的地方，应减小车速，禁止或尽量少鸣喇叭</w:t>
            </w:r>
            <w:r>
              <w:rPr>
                <w:rFonts w:hint="eastAsia"/>
                <w:sz w:val="24"/>
              </w:rPr>
              <w:t>。</w:t>
            </w:r>
          </w:p>
          <w:p w14:paraId="1C881F5C">
            <w:pPr>
              <w:spacing w:line="360" w:lineRule="auto"/>
              <w:ind w:firstLine="480" w:firstLineChars="200"/>
              <w:rPr>
                <w:rFonts w:hint="eastAsia"/>
              </w:rPr>
            </w:pPr>
            <w:r>
              <w:rPr>
                <w:rFonts w:hint="eastAsia"/>
                <w:sz w:val="24"/>
              </w:rPr>
              <w:t>以上噪声治理措施容易实施，技术成熟可靠，投资费用较少，在经济上是可行的。</w:t>
            </w:r>
          </w:p>
          <w:p w14:paraId="2AA9118C">
            <w:pPr>
              <w:ind w:firstLine="480"/>
              <w:rPr>
                <w:rFonts w:hint="eastAsia"/>
              </w:rPr>
            </w:pPr>
            <w:r>
              <w:rPr>
                <w:rFonts w:hint="eastAsia"/>
              </w:rPr>
              <w:t>根据预测分析，在落实上述措施后，项目运营期</w:t>
            </w:r>
            <w:r>
              <w:rPr>
                <w:rFonts w:hint="eastAsia"/>
                <w:lang w:val="en-US" w:eastAsia="zh-CN"/>
              </w:rPr>
              <w:t>东、西、南、北厂界</w:t>
            </w:r>
            <w:r>
              <w:rPr>
                <w:rFonts w:hint="eastAsia"/>
              </w:rPr>
              <w:t>噪声预测值均能满足《工业企业厂界环境噪声排放标准》（GB12348-2008）中相应声环境功能区的限值要求，对周围声环境的影响在可接受范围内。</w:t>
            </w:r>
          </w:p>
          <w:p w14:paraId="413EC657">
            <w:pPr>
              <w:pStyle w:val="5"/>
              <w:bidi w:val="0"/>
              <w:spacing w:before="0" w:beforeLines="-2147483648" w:after="0" w:afterLines="-2147483648"/>
              <w:ind w:firstLine="482" w:firstLineChars="200"/>
              <w:jc w:val="both"/>
              <w:rPr>
                <w:rFonts w:hint="eastAsia" w:ascii="Times New Roman" w:hAnsi="Times New Roman" w:cs="Times New Roman"/>
                <w:bCs w:val="0"/>
                <w:sz w:val="24"/>
                <w:szCs w:val="24"/>
                <w:lang w:val="en-US" w:eastAsia="zh-CN"/>
              </w:rPr>
            </w:pPr>
            <w:r>
              <w:rPr>
                <w:rFonts w:hint="eastAsia" w:ascii="Times New Roman" w:hAnsi="Times New Roman" w:cs="Times New Roman"/>
                <w:bCs w:val="0"/>
                <w:sz w:val="24"/>
                <w:szCs w:val="24"/>
                <w:lang w:val="en-US" w:eastAsia="zh-CN"/>
              </w:rPr>
              <w:t>4.4.5自行监测方案</w:t>
            </w:r>
          </w:p>
          <w:p w14:paraId="44C79083">
            <w:pPr>
              <w:spacing w:line="360" w:lineRule="auto"/>
              <w:ind w:firstLine="480" w:firstLineChars="200"/>
              <w:rPr>
                <w:rFonts w:hint="eastAsia"/>
                <w:sz w:val="24"/>
              </w:rPr>
            </w:pPr>
            <w:r>
              <w:rPr>
                <w:rFonts w:hint="eastAsia"/>
                <w:sz w:val="24"/>
              </w:rPr>
              <w:t>根据《排污单位自行监测技术指南</w:t>
            </w:r>
            <w:r>
              <w:rPr>
                <w:rFonts w:hint="eastAsia"/>
                <w:sz w:val="24"/>
                <w:lang w:val="en-US" w:eastAsia="zh-CN"/>
              </w:rPr>
              <w:t xml:space="preserve"> </w:t>
            </w:r>
            <w:r>
              <w:rPr>
                <w:rFonts w:hint="eastAsia"/>
                <w:sz w:val="24"/>
              </w:rPr>
              <w:t>总则》（</w:t>
            </w:r>
            <w:r>
              <w:rPr>
                <w:sz w:val="24"/>
              </w:rPr>
              <w:t>HJ819</w:t>
            </w:r>
            <w:r>
              <w:rPr>
                <w:rFonts w:hint="eastAsia"/>
                <w:sz w:val="24"/>
                <w:lang w:val="en-US" w:eastAsia="zh-CN"/>
              </w:rPr>
              <w:t>-</w:t>
            </w:r>
            <w:r>
              <w:rPr>
                <w:sz w:val="24"/>
              </w:rPr>
              <w:t>2017</w:t>
            </w:r>
            <w:r>
              <w:rPr>
                <w:rFonts w:hint="eastAsia"/>
                <w:sz w:val="24"/>
              </w:rPr>
              <w:t>）</w:t>
            </w:r>
            <w:r>
              <w:rPr>
                <w:rFonts w:hint="eastAsia"/>
                <w:sz w:val="24"/>
                <w:lang w:eastAsia="zh-CN"/>
              </w:rPr>
              <w:t>、</w:t>
            </w:r>
            <w:r>
              <w:rPr>
                <w:rFonts w:hint="eastAsia"/>
                <w:lang w:val="en-US" w:eastAsia="zh-CN"/>
              </w:rPr>
              <w:t>《排污许可证申请与核发技术规范 工业噪声》（HJ1301-2023）</w:t>
            </w:r>
            <w:r>
              <w:rPr>
                <w:rFonts w:hint="eastAsia"/>
                <w:sz w:val="24"/>
              </w:rPr>
              <w:t>，并结合项目运营期间污染物排放特点，制定本项目的噪声污染源监测计划，建设单位需保证按监测计划实施。监测分析方法按照现行国家、部颁标准和有关规定执行。</w:t>
            </w:r>
          </w:p>
          <w:p w14:paraId="182D7A8B">
            <w:pPr>
              <w:spacing w:line="360" w:lineRule="auto"/>
              <w:ind w:firstLine="480" w:firstLineChars="200"/>
              <w:rPr>
                <w:rFonts w:hint="eastAsia"/>
                <w:sz w:val="24"/>
              </w:rPr>
            </w:pPr>
            <w:r>
              <w:rPr>
                <w:rFonts w:hint="eastAsia"/>
                <w:sz w:val="24"/>
              </w:rPr>
              <w:t>本项目噪声污染物自行监测计划如下。</w:t>
            </w:r>
          </w:p>
          <w:p w14:paraId="172C6139">
            <w:pPr>
              <w:pStyle w:val="44"/>
              <w:bidi w:val="0"/>
              <w:rPr>
                <w:rFonts w:hint="eastAsia" w:ascii="Times New Roman Regular" w:hAnsi="Times New Roman Regular" w:cs="Times New Roman Regular"/>
                <w:b/>
                <w:bCs/>
                <w:spacing w:val="-1"/>
                <w:sz w:val="21"/>
                <w:szCs w:val="21"/>
                <w:lang w:val="zh-CN"/>
              </w:rPr>
            </w:pPr>
            <w:r>
              <w:rPr>
                <w:rFonts w:hint="eastAsia" w:ascii="Times New Roman Regular" w:hAnsi="Times New Roman Regular" w:cs="Times New Roman Regular"/>
                <w:b/>
                <w:bCs/>
                <w:spacing w:val="-1"/>
                <w:sz w:val="21"/>
                <w:szCs w:val="21"/>
                <w:lang w:val="zh-CN"/>
              </w:rPr>
              <w:t>表</w:t>
            </w:r>
            <w:r>
              <w:rPr>
                <w:rFonts w:hint="eastAsia" w:ascii="Times New Roman Regular" w:hAnsi="Times New Roman Regular" w:cs="Times New Roman Regular"/>
                <w:b/>
                <w:bCs/>
                <w:spacing w:val="-1"/>
                <w:sz w:val="21"/>
                <w:szCs w:val="21"/>
                <w:lang w:val="en-US" w:eastAsia="zh-CN"/>
              </w:rPr>
              <w:t>4.4-4</w:t>
            </w:r>
            <w:r>
              <w:rPr>
                <w:rFonts w:hint="eastAsia" w:ascii="Times New Roman Regular" w:hAnsi="Times New Roman Regular" w:cs="Times New Roman Regular"/>
                <w:b/>
                <w:bCs/>
                <w:spacing w:val="-1"/>
                <w:sz w:val="21"/>
                <w:szCs w:val="21"/>
                <w:lang w:val="zh-CN"/>
              </w:rPr>
              <w:t>：项目噪声污染源自行监测计划</w:t>
            </w:r>
          </w:p>
          <w:tbl>
            <w:tblPr>
              <w:tblStyle w:val="3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388"/>
              <w:gridCol w:w="1867"/>
              <w:gridCol w:w="1183"/>
              <w:gridCol w:w="3470"/>
            </w:tblGrid>
            <w:tr w14:paraId="5CF2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58" w:type="pct"/>
                  <w:noWrap w:val="0"/>
                  <w:vAlign w:val="center"/>
                </w:tcPr>
                <w:p w14:paraId="34CC7AF4">
                  <w:pPr>
                    <w:pStyle w:val="115"/>
                    <w:bidi w:val="0"/>
                    <w:rPr>
                      <w:b/>
                      <w:bCs/>
                    </w:rPr>
                  </w:pPr>
                  <w:r>
                    <w:rPr>
                      <w:rFonts w:hint="eastAsia"/>
                      <w:b/>
                      <w:bCs/>
                    </w:rPr>
                    <w:t>项目</w:t>
                  </w:r>
                </w:p>
              </w:tc>
              <w:tc>
                <w:tcPr>
                  <w:tcW w:w="779" w:type="pct"/>
                  <w:noWrap w:val="0"/>
                  <w:vAlign w:val="center"/>
                </w:tcPr>
                <w:p w14:paraId="7E325DE4">
                  <w:pPr>
                    <w:pStyle w:val="115"/>
                    <w:bidi w:val="0"/>
                    <w:rPr>
                      <w:b/>
                      <w:bCs/>
                    </w:rPr>
                  </w:pPr>
                  <w:r>
                    <w:rPr>
                      <w:rFonts w:hint="eastAsia"/>
                      <w:b/>
                      <w:bCs/>
                    </w:rPr>
                    <w:t>监测点位</w:t>
                  </w:r>
                </w:p>
              </w:tc>
              <w:tc>
                <w:tcPr>
                  <w:tcW w:w="1048" w:type="pct"/>
                  <w:noWrap w:val="0"/>
                  <w:vAlign w:val="center"/>
                </w:tcPr>
                <w:p w14:paraId="79FF5289">
                  <w:pPr>
                    <w:pStyle w:val="115"/>
                    <w:bidi w:val="0"/>
                    <w:rPr>
                      <w:b/>
                      <w:bCs/>
                    </w:rPr>
                  </w:pPr>
                  <w:r>
                    <w:rPr>
                      <w:rFonts w:hint="eastAsia"/>
                      <w:b/>
                      <w:bCs/>
                    </w:rPr>
                    <w:t>监测指标</w:t>
                  </w:r>
                </w:p>
              </w:tc>
              <w:tc>
                <w:tcPr>
                  <w:tcW w:w="664" w:type="pct"/>
                  <w:noWrap w:val="0"/>
                  <w:vAlign w:val="center"/>
                </w:tcPr>
                <w:p w14:paraId="33D8AA72">
                  <w:pPr>
                    <w:pStyle w:val="115"/>
                    <w:bidi w:val="0"/>
                    <w:rPr>
                      <w:b/>
                      <w:bCs/>
                    </w:rPr>
                  </w:pPr>
                  <w:r>
                    <w:rPr>
                      <w:rFonts w:hint="eastAsia"/>
                      <w:b/>
                      <w:bCs/>
                    </w:rPr>
                    <w:t>监测频次</w:t>
                  </w:r>
                </w:p>
              </w:tc>
              <w:tc>
                <w:tcPr>
                  <w:tcW w:w="1948" w:type="pct"/>
                  <w:noWrap w:val="0"/>
                  <w:vAlign w:val="center"/>
                </w:tcPr>
                <w:p w14:paraId="6596BC7C">
                  <w:pPr>
                    <w:pStyle w:val="115"/>
                    <w:bidi w:val="0"/>
                    <w:rPr>
                      <w:b/>
                      <w:bCs/>
                    </w:rPr>
                  </w:pPr>
                  <w:r>
                    <w:rPr>
                      <w:rFonts w:hint="eastAsia"/>
                      <w:b/>
                      <w:bCs/>
                    </w:rPr>
                    <w:t>执行排放标准</w:t>
                  </w:r>
                </w:p>
              </w:tc>
            </w:tr>
            <w:tr w14:paraId="67C06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8" w:type="pct"/>
                  <w:noWrap w:val="0"/>
                  <w:vAlign w:val="center"/>
                </w:tcPr>
                <w:p w14:paraId="3D291B9C">
                  <w:pPr>
                    <w:pStyle w:val="115"/>
                    <w:bidi w:val="0"/>
                  </w:pPr>
                  <w:r>
                    <w:rPr>
                      <w:rFonts w:hint="eastAsia"/>
                    </w:rPr>
                    <w:t>噪声</w:t>
                  </w:r>
                </w:p>
              </w:tc>
              <w:tc>
                <w:tcPr>
                  <w:tcW w:w="779" w:type="pct"/>
                  <w:noWrap w:val="0"/>
                  <w:vAlign w:val="center"/>
                </w:tcPr>
                <w:p w14:paraId="686E91EA">
                  <w:pPr>
                    <w:pStyle w:val="115"/>
                    <w:bidi w:val="0"/>
                  </w:pPr>
                  <w:r>
                    <w:rPr>
                      <w:rFonts w:hint="eastAsia"/>
                    </w:rPr>
                    <w:t>厂界</w:t>
                  </w:r>
                </w:p>
              </w:tc>
              <w:tc>
                <w:tcPr>
                  <w:tcW w:w="1048" w:type="pct"/>
                  <w:noWrap w:val="0"/>
                  <w:vAlign w:val="center"/>
                </w:tcPr>
                <w:p w14:paraId="3DCBBFCE">
                  <w:pPr>
                    <w:pStyle w:val="115"/>
                    <w:bidi w:val="0"/>
                    <w:rPr>
                      <w:rFonts w:hint="eastAsia"/>
                    </w:rPr>
                  </w:pPr>
                  <w:r>
                    <w:rPr>
                      <w:rFonts w:hint="eastAsia"/>
                    </w:rPr>
                    <w:t>等效连续</w:t>
                  </w:r>
                  <w:r>
                    <w:t>A</w:t>
                  </w:r>
                  <w:r>
                    <w:rPr>
                      <w:rFonts w:hint="eastAsia"/>
                    </w:rPr>
                    <w:t>声级</w:t>
                  </w:r>
                </w:p>
              </w:tc>
              <w:tc>
                <w:tcPr>
                  <w:tcW w:w="664" w:type="pct"/>
                  <w:noWrap w:val="0"/>
                  <w:vAlign w:val="center"/>
                </w:tcPr>
                <w:p w14:paraId="1C505F63">
                  <w:pPr>
                    <w:pStyle w:val="115"/>
                    <w:bidi w:val="0"/>
                    <w:rPr>
                      <w:rFonts w:hint="eastAsia"/>
                    </w:rPr>
                  </w:pPr>
                  <w:r>
                    <w:t>1</w:t>
                  </w:r>
                  <w:r>
                    <w:rPr>
                      <w:rFonts w:hint="eastAsia"/>
                    </w:rPr>
                    <w:t>次</w:t>
                  </w:r>
                  <w:r>
                    <w:t>/</w:t>
                  </w:r>
                  <w:r>
                    <w:rPr>
                      <w:rFonts w:hint="eastAsia"/>
                    </w:rPr>
                    <w:t>季</w:t>
                  </w:r>
                </w:p>
              </w:tc>
              <w:tc>
                <w:tcPr>
                  <w:tcW w:w="1948" w:type="pct"/>
                  <w:noWrap w:val="0"/>
                  <w:vAlign w:val="center"/>
                </w:tcPr>
                <w:p w14:paraId="3CCED8E8">
                  <w:pPr>
                    <w:pStyle w:val="115"/>
                    <w:bidi w:val="0"/>
                    <w:rPr>
                      <w:rFonts w:hint="eastAsia"/>
                    </w:rPr>
                  </w:pPr>
                  <w:r>
                    <w:rPr>
                      <w:rFonts w:hint="eastAsia"/>
                    </w:rPr>
                    <w:t>《工业企业厂界环境噪声排放标</w:t>
                  </w:r>
                </w:p>
                <w:p w14:paraId="69DEA506">
                  <w:pPr>
                    <w:pStyle w:val="115"/>
                    <w:bidi w:val="0"/>
                    <w:rPr>
                      <w:rFonts w:hint="eastAsia"/>
                    </w:rPr>
                  </w:pPr>
                  <w:r>
                    <w:rPr>
                      <w:rFonts w:hint="eastAsia"/>
                    </w:rPr>
                    <w:t>准》（</w:t>
                  </w:r>
                  <w:r>
                    <w:t>GB12348</w:t>
                  </w:r>
                  <w:r>
                    <w:rPr>
                      <w:rFonts w:hint="eastAsia"/>
                      <w:lang w:val="en-US" w:eastAsia="zh-CN"/>
                    </w:rPr>
                    <w:t>-</w:t>
                  </w:r>
                  <w:r>
                    <w:t>2008</w:t>
                  </w:r>
                  <w:r>
                    <w:rPr>
                      <w:rFonts w:hint="eastAsia"/>
                    </w:rPr>
                    <w:t>）2类标准</w:t>
                  </w:r>
                </w:p>
              </w:tc>
            </w:tr>
          </w:tbl>
          <w:p w14:paraId="57A20D3E">
            <w:pPr>
              <w:pStyle w:val="4"/>
              <w:bidi w:val="0"/>
            </w:pPr>
            <w:bookmarkStart w:id="100" w:name="_Toc1822"/>
            <w:bookmarkStart w:id="101" w:name="_Toc1785"/>
            <w:bookmarkStart w:id="102" w:name="_Toc4804"/>
            <w:r>
              <w:rPr>
                <w:rFonts w:hint="eastAsia"/>
              </w:rPr>
              <w:t>4.5固体</w:t>
            </w:r>
            <w:r>
              <w:t>废物影响分析</w:t>
            </w:r>
            <w:bookmarkEnd w:id="100"/>
            <w:bookmarkEnd w:id="101"/>
            <w:bookmarkEnd w:id="102"/>
          </w:p>
          <w:p w14:paraId="26547533">
            <w:pPr>
              <w:pStyle w:val="5"/>
              <w:bidi w:val="0"/>
              <w:rPr>
                <w:rFonts w:hint="eastAsia"/>
                <w:lang w:val="en-US" w:eastAsia="zh-CN"/>
              </w:rPr>
            </w:pPr>
            <w:r>
              <w:rPr>
                <w:rFonts w:hint="eastAsia"/>
                <w:lang w:val="en-US" w:eastAsia="zh-CN"/>
              </w:rPr>
              <w:t>4.5.1固体废物产排情况</w:t>
            </w:r>
          </w:p>
          <w:p w14:paraId="467E2699">
            <w:pPr>
              <w:ind w:firstLine="480"/>
              <w:rPr>
                <w:rFonts w:hint="eastAsia" w:eastAsia="宋体"/>
                <w:sz w:val="24"/>
              </w:rPr>
            </w:pPr>
            <w:r>
              <w:rPr>
                <w:rFonts w:hint="eastAsia" w:eastAsia="宋体"/>
                <w:sz w:val="24"/>
              </w:rPr>
              <w:t>项目主要固体废物为生活垃圾、一般固体废物及危险废物等。</w:t>
            </w:r>
          </w:p>
          <w:p w14:paraId="040B9465">
            <w:pPr>
              <w:ind w:firstLine="480"/>
              <w:rPr>
                <w:rFonts w:hint="default" w:eastAsia="宋体"/>
                <w:sz w:val="24"/>
                <w:lang w:val="en-US" w:eastAsia="zh-CN"/>
              </w:rPr>
            </w:pPr>
            <w:r>
              <w:rPr>
                <w:rFonts w:hint="eastAsia"/>
                <w:sz w:val="24"/>
                <w:lang w:val="en-US" w:eastAsia="zh-CN"/>
              </w:rPr>
              <w:t>（1）一般固废</w:t>
            </w:r>
          </w:p>
          <w:p w14:paraId="7BA5A03F">
            <w:pPr>
              <w:ind w:firstLine="480"/>
              <w:rPr>
                <w:rFonts w:hint="eastAsia" w:eastAsia="宋体"/>
                <w:sz w:val="24"/>
                <w:lang w:val="en-US" w:eastAsia="zh-CN"/>
              </w:rPr>
            </w:pPr>
            <w:r>
              <w:rPr>
                <w:rFonts w:hint="eastAsia"/>
                <w:sz w:val="24"/>
                <w:u w:val="single"/>
                <w:lang w:val="en-US" w:eastAsia="zh-CN"/>
              </w:rPr>
              <w:t>①废塑料、废木块等一般固废</w:t>
            </w:r>
            <w:r>
              <w:rPr>
                <w:rFonts w:hint="eastAsia" w:eastAsia="宋体"/>
                <w:sz w:val="24"/>
                <w:u w:val="single"/>
                <w:lang w:val="en-US" w:eastAsia="zh-CN"/>
              </w:rPr>
              <w:t>S1</w:t>
            </w:r>
            <w:r>
              <w:rPr>
                <w:rFonts w:hint="eastAsia"/>
                <w:sz w:val="24"/>
                <w:u w:val="single"/>
                <w:lang w:val="en-US" w:eastAsia="zh-CN"/>
              </w:rPr>
              <w:t>：建筑垃圾进行人工</w:t>
            </w:r>
            <w:r>
              <w:rPr>
                <w:rFonts w:hint="eastAsia" w:eastAsia="宋体"/>
                <w:sz w:val="24"/>
                <w:u w:val="single"/>
                <w:lang w:val="en-US" w:eastAsia="zh-CN"/>
              </w:rPr>
              <w:t>分选</w:t>
            </w:r>
            <w:r>
              <w:rPr>
                <w:rFonts w:hint="eastAsia"/>
                <w:sz w:val="24"/>
                <w:u w:val="single"/>
                <w:lang w:val="en-US" w:eastAsia="zh-CN"/>
              </w:rPr>
              <w:t>时，可将废塑料、废木块等一般固废分选出来，主要包括</w:t>
            </w:r>
            <w:r>
              <w:rPr>
                <w:rFonts w:hint="eastAsia" w:eastAsia="宋体"/>
                <w:sz w:val="24"/>
                <w:u w:val="single"/>
                <w:lang w:val="en-US" w:eastAsia="zh-CN"/>
              </w:rPr>
              <w:t>塑料、织物</w:t>
            </w:r>
            <w:r>
              <w:rPr>
                <w:rFonts w:hint="eastAsia"/>
                <w:sz w:val="24"/>
                <w:u w:val="single"/>
                <w:lang w:val="en-US" w:eastAsia="zh-CN"/>
              </w:rPr>
              <w:t>、木材、木屑</w:t>
            </w:r>
            <w:r>
              <w:rPr>
                <w:rFonts w:hint="eastAsia" w:eastAsia="宋体"/>
                <w:sz w:val="24"/>
                <w:u w:val="single"/>
                <w:lang w:val="en-US" w:eastAsia="zh-CN"/>
              </w:rPr>
              <w:t>等</w:t>
            </w:r>
            <w:r>
              <w:rPr>
                <w:rFonts w:hint="eastAsia"/>
                <w:sz w:val="24"/>
                <w:u w:val="single"/>
                <w:lang w:val="en-US" w:eastAsia="zh-CN"/>
              </w:rPr>
              <w:t>，本项目取3%计算，设计建筑垃圾处置能力19710吨/年，废塑料、废木块等一般固废产生量约为591.3t/a</w:t>
            </w:r>
            <w:r>
              <w:rPr>
                <w:rFonts w:hint="eastAsia" w:eastAsia="宋体"/>
                <w:sz w:val="24"/>
                <w:u w:val="single"/>
                <w:lang w:val="en-US" w:eastAsia="zh-CN"/>
              </w:rPr>
              <w:t>，</w:t>
            </w:r>
            <w:r>
              <w:rPr>
                <w:rFonts w:hint="eastAsia"/>
                <w:sz w:val="24"/>
                <w:u w:val="single"/>
                <w:lang w:val="en-US" w:eastAsia="zh-CN"/>
              </w:rPr>
              <w:t>属于</w:t>
            </w:r>
            <w:r>
              <w:rPr>
                <w:rFonts w:hint="eastAsia" w:eastAsia="宋体"/>
                <w:sz w:val="24"/>
                <w:u w:val="single"/>
                <w:lang w:val="en-US" w:eastAsia="zh-CN"/>
              </w:rPr>
              <w:t>一般固废，收集后外售综合利用。</w:t>
            </w:r>
          </w:p>
          <w:p w14:paraId="0DDBB1A9">
            <w:pPr>
              <w:ind w:firstLine="480"/>
              <w:rPr>
                <w:rFonts w:hint="eastAsia" w:eastAsia="宋体"/>
                <w:sz w:val="24"/>
                <w:u w:val="single"/>
                <w:lang w:val="en-US" w:eastAsia="zh-CN"/>
              </w:rPr>
            </w:pPr>
            <w:r>
              <w:rPr>
                <w:rFonts w:hint="eastAsia"/>
                <w:sz w:val="24"/>
                <w:u w:val="single"/>
                <w:lang w:val="en-US" w:eastAsia="zh-CN"/>
              </w:rPr>
              <w:t>②</w:t>
            </w:r>
            <w:r>
              <w:rPr>
                <w:rFonts w:hint="eastAsia" w:eastAsia="宋体"/>
                <w:sz w:val="24"/>
                <w:u w:val="single"/>
                <w:lang w:val="en-US" w:eastAsia="zh-CN"/>
              </w:rPr>
              <w:t>废金属S2</w:t>
            </w:r>
            <w:r>
              <w:rPr>
                <w:rFonts w:hint="eastAsia"/>
                <w:sz w:val="24"/>
                <w:u w:val="single"/>
                <w:lang w:val="en-US" w:eastAsia="zh-CN"/>
              </w:rPr>
              <w:t>：建筑垃圾进行人工</w:t>
            </w:r>
            <w:r>
              <w:rPr>
                <w:rFonts w:hint="eastAsia" w:eastAsia="宋体"/>
                <w:sz w:val="24"/>
                <w:u w:val="single"/>
                <w:lang w:val="en-US" w:eastAsia="zh-CN"/>
              </w:rPr>
              <w:t>分选</w:t>
            </w:r>
            <w:r>
              <w:rPr>
                <w:rFonts w:hint="eastAsia"/>
                <w:sz w:val="24"/>
                <w:u w:val="single"/>
                <w:lang w:val="en-US" w:eastAsia="zh-CN"/>
              </w:rPr>
              <w:t>时，可将废金属分选出来，本项目取2%计算，设计建筑垃圾处置能力19710吨/年，废金属产生量约为394.2t/a</w:t>
            </w:r>
            <w:r>
              <w:rPr>
                <w:rFonts w:hint="eastAsia" w:eastAsia="宋体"/>
                <w:sz w:val="24"/>
                <w:u w:val="single"/>
                <w:lang w:val="en-US" w:eastAsia="zh-CN"/>
              </w:rPr>
              <w:t>，</w:t>
            </w:r>
            <w:r>
              <w:rPr>
                <w:rFonts w:hint="eastAsia"/>
                <w:sz w:val="24"/>
                <w:u w:val="single"/>
                <w:lang w:val="en-US" w:eastAsia="zh-CN"/>
              </w:rPr>
              <w:t>属于</w:t>
            </w:r>
            <w:r>
              <w:rPr>
                <w:rFonts w:hint="eastAsia" w:eastAsia="宋体"/>
                <w:sz w:val="24"/>
                <w:u w:val="single"/>
                <w:lang w:val="en-US" w:eastAsia="zh-CN"/>
              </w:rPr>
              <w:t>一般固废，收集后外售综合利用。</w:t>
            </w:r>
          </w:p>
          <w:p w14:paraId="7BDE722A">
            <w:pPr>
              <w:ind w:firstLine="480"/>
              <w:rPr>
                <w:rFonts w:hint="eastAsia" w:eastAsia="宋体"/>
                <w:sz w:val="24"/>
                <w:lang w:val="en-US" w:eastAsia="zh-CN"/>
              </w:rPr>
            </w:pPr>
            <w:r>
              <w:rPr>
                <w:rFonts w:hint="eastAsia"/>
                <w:sz w:val="24"/>
                <w:lang w:val="en-US" w:eastAsia="zh-CN"/>
              </w:rPr>
              <w:t>③</w:t>
            </w:r>
            <w:r>
              <w:rPr>
                <w:rFonts w:hint="eastAsia" w:eastAsia="宋体"/>
                <w:sz w:val="24"/>
                <w:lang w:val="en-US" w:eastAsia="zh-CN"/>
              </w:rPr>
              <w:t>沉淀池泥渣：运营期间的固体废物主要为洗车废水</w:t>
            </w:r>
            <w:r>
              <w:rPr>
                <w:rFonts w:hint="eastAsia"/>
                <w:sz w:val="24"/>
                <w:lang w:val="en-US" w:eastAsia="zh-CN"/>
              </w:rPr>
              <w:t>沉淀池泥渣、矿坑废水（淋滤水）沉淀池泥渣</w:t>
            </w:r>
            <w:r>
              <w:rPr>
                <w:rFonts w:hint="eastAsia" w:eastAsia="宋体"/>
                <w:sz w:val="24"/>
                <w:lang w:val="en-US" w:eastAsia="zh-CN"/>
              </w:rPr>
              <w:t>，</w:t>
            </w:r>
            <w:r>
              <w:rPr>
                <w:rFonts w:hint="eastAsia"/>
                <w:sz w:val="24"/>
                <w:lang w:val="en-US" w:eastAsia="zh-CN"/>
              </w:rPr>
              <w:t>泥渣按5kg/d计算</w:t>
            </w:r>
            <w:r>
              <w:rPr>
                <w:rFonts w:hint="eastAsia" w:eastAsia="宋体"/>
                <w:sz w:val="24"/>
                <w:lang w:val="en-US" w:eastAsia="zh-CN"/>
              </w:rPr>
              <w:t>，则泥渣产生量约为</w:t>
            </w:r>
            <w:r>
              <w:rPr>
                <w:rFonts w:hint="eastAsia"/>
                <w:sz w:val="24"/>
                <w:lang w:val="en-US" w:eastAsia="zh-CN"/>
              </w:rPr>
              <w:t>5</w:t>
            </w:r>
            <w:r>
              <w:rPr>
                <w:rFonts w:hint="eastAsia" w:eastAsia="宋体"/>
                <w:sz w:val="24"/>
                <w:lang w:val="en-US" w:eastAsia="zh-CN"/>
              </w:rPr>
              <w:t>kg/d</w:t>
            </w:r>
            <w:r>
              <w:rPr>
                <w:rFonts w:hint="eastAsia"/>
                <w:sz w:val="24"/>
                <w:lang w:val="en-US" w:eastAsia="zh-CN"/>
              </w:rPr>
              <w:t>（1.825</w:t>
            </w:r>
            <w:r>
              <w:rPr>
                <w:rFonts w:hint="eastAsia" w:eastAsia="宋体"/>
                <w:sz w:val="24"/>
                <w:lang w:val="en-US" w:eastAsia="zh-CN"/>
              </w:rPr>
              <w:t>t/a</w:t>
            </w:r>
            <w:r>
              <w:rPr>
                <w:rFonts w:hint="eastAsia"/>
                <w:sz w:val="24"/>
                <w:lang w:val="en-US" w:eastAsia="zh-CN"/>
              </w:rPr>
              <w:t>）</w:t>
            </w:r>
            <w:r>
              <w:rPr>
                <w:rFonts w:hint="eastAsia" w:eastAsia="宋体"/>
                <w:sz w:val="24"/>
                <w:lang w:val="en-US" w:eastAsia="zh-CN"/>
              </w:rPr>
              <w:t>，收集的泥沙运往建筑垃圾</w:t>
            </w:r>
            <w:r>
              <w:rPr>
                <w:rFonts w:hint="eastAsia"/>
                <w:sz w:val="24"/>
                <w:lang w:val="en-US" w:eastAsia="zh-CN"/>
              </w:rPr>
              <w:t>堆填场</w:t>
            </w:r>
            <w:r>
              <w:rPr>
                <w:rFonts w:hint="eastAsia" w:eastAsia="宋体"/>
                <w:sz w:val="24"/>
                <w:lang w:val="en-US" w:eastAsia="zh-CN"/>
              </w:rPr>
              <w:t>进行堆填处理。</w:t>
            </w:r>
          </w:p>
          <w:p w14:paraId="4E4FC647">
            <w:pPr>
              <w:ind w:firstLine="480"/>
              <w:rPr>
                <w:rFonts w:hint="eastAsia" w:eastAsia="宋体"/>
                <w:sz w:val="24"/>
                <w:lang w:val="en-US" w:eastAsia="zh-CN"/>
              </w:rPr>
            </w:pPr>
            <w:r>
              <w:rPr>
                <w:rFonts w:hint="eastAsia" w:eastAsia="宋体"/>
                <w:sz w:val="24"/>
                <w:lang w:val="en-US" w:eastAsia="zh-CN"/>
              </w:rPr>
              <w:t>（2）危险废物</w:t>
            </w:r>
          </w:p>
          <w:p w14:paraId="7D00B2B8">
            <w:pPr>
              <w:ind w:firstLine="480"/>
              <w:rPr>
                <w:rFonts w:hint="eastAsia" w:ascii="Times New Roman" w:hAnsi="Times New Roman" w:eastAsia="宋体" w:cs="Times New Roman"/>
                <w:sz w:val="24"/>
                <w:lang w:val="en-US" w:eastAsia="zh-CN"/>
              </w:rPr>
            </w:pPr>
            <w:r>
              <w:rPr>
                <w:rFonts w:hint="eastAsia" w:eastAsia="宋体"/>
                <w:sz w:val="24"/>
                <w:lang w:val="en-US" w:eastAsia="zh-CN"/>
              </w:rPr>
              <w:t>①废润滑油：</w:t>
            </w:r>
            <w:r>
              <w:rPr>
                <w:rFonts w:hint="eastAsia" w:ascii="Times New Roman" w:hAnsi="Times New Roman" w:eastAsia="宋体" w:cs="Times New Roman"/>
                <w:sz w:val="24"/>
                <w:lang w:val="en-US" w:eastAsia="zh-CN"/>
              </w:rPr>
              <w:t>项目设备在维修过程中，会有</w:t>
            </w:r>
            <w:r>
              <w:rPr>
                <w:rFonts w:hint="eastAsia" w:ascii="Times New Roman" w:hAnsi="Times New Roman" w:cs="Times New Roman"/>
                <w:sz w:val="24"/>
                <w:lang w:val="en-US" w:eastAsia="zh-CN"/>
              </w:rPr>
              <w:t>废润滑油</w:t>
            </w:r>
            <w:r>
              <w:rPr>
                <w:rFonts w:hint="eastAsia" w:ascii="Times New Roman" w:hAnsi="Times New Roman" w:eastAsia="宋体" w:cs="Times New Roman"/>
                <w:sz w:val="24"/>
                <w:lang w:val="en-US" w:eastAsia="zh-CN"/>
              </w:rPr>
              <w:t>产生。根据类比调查，废润滑油产生量约0.2t/a，据查《国家危险废物名录（2025年）》，废润滑油为危险废物，编号为 HW08废矿物油与含矿物油废物，危废代码900-214-08。使用密闭胶桶贮存于厂区</w:t>
            </w:r>
            <w:r>
              <w:rPr>
                <w:rFonts w:hint="eastAsia" w:cs="Times New Roman"/>
                <w:sz w:val="24"/>
                <w:lang w:val="en-US" w:eastAsia="zh-CN"/>
              </w:rPr>
              <w:t>危废暂存间</w:t>
            </w:r>
            <w:r>
              <w:rPr>
                <w:rFonts w:hint="eastAsia" w:ascii="Times New Roman" w:hAnsi="Times New Roman" w:eastAsia="宋体" w:cs="Times New Roman"/>
                <w:sz w:val="24"/>
                <w:lang w:val="en-US" w:eastAsia="zh-CN"/>
              </w:rPr>
              <w:t>，交由危废资质单位处置。</w:t>
            </w:r>
          </w:p>
          <w:p w14:paraId="139D2DF3">
            <w:pPr>
              <w:ind w:firstLine="480"/>
              <w:rPr>
                <w:rFonts w:hint="eastAsia" w:eastAsia="宋体"/>
                <w:sz w:val="24"/>
                <w:lang w:val="en-US" w:eastAsia="zh-CN"/>
              </w:rPr>
            </w:pPr>
            <w:r>
              <w:rPr>
                <w:rFonts w:hint="eastAsia" w:eastAsia="宋体"/>
                <w:sz w:val="24"/>
                <w:lang w:val="en-US" w:eastAsia="zh-CN"/>
              </w:rPr>
              <w:t>②含油废抹布、手套：项目设备维护、擦拭过程中会产生含油废抹布、手套，产生量为0.01t/a。根据《国家危险废物名录（</w:t>
            </w:r>
            <w:r>
              <w:rPr>
                <w:rFonts w:hint="eastAsia"/>
                <w:sz w:val="24"/>
                <w:lang w:val="en-US" w:eastAsia="zh-CN"/>
              </w:rPr>
              <w:t>2025</w:t>
            </w:r>
            <w:r>
              <w:rPr>
                <w:rFonts w:hint="eastAsia" w:eastAsia="宋体"/>
                <w:sz w:val="24"/>
                <w:lang w:val="en-US" w:eastAsia="zh-CN"/>
              </w:rPr>
              <w:t>年版）》，属于危险废物“HW49类其他废物，行业来源为非特定行业，危废代码900-041-49：含有或沾染毒性、感染性危险废物的废弃包装物、容器、过滤吸附介质，危险特性为毒性、感染性（T，In）”，收集后暂存于危险废物暂存间，委托有危废处理资质单位处理。</w:t>
            </w:r>
          </w:p>
          <w:p w14:paraId="5953562E">
            <w:pPr>
              <w:ind w:firstLine="480"/>
              <w:rPr>
                <w:rFonts w:hint="default"/>
                <w:sz w:val="24"/>
                <w:u w:val="single"/>
                <w:lang w:val="en-US" w:eastAsia="zh-CN"/>
              </w:rPr>
            </w:pPr>
            <w:r>
              <w:rPr>
                <w:rFonts w:hint="eastAsia"/>
                <w:sz w:val="24"/>
                <w:u w:val="single"/>
                <w:lang w:val="en-US" w:eastAsia="zh-CN"/>
              </w:rPr>
              <w:t>③分选危险废物：本项目在建筑垃圾分选过程中挑选混入的危险废物，包括废油漆桶、废涂料桶、含油漆、溶剂的废弃包装物、废矿物油及油桶、废铅蓄电池，本项目按照0.1%计算，危废产生量为19.17t/a，</w:t>
            </w:r>
            <w:r>
              <w:rPr>
                <w:rFonts w:hint="eastAsia" w:eastAsia="宋体"/>
                <w:sz w:val="24"/>
                <w:u w:val="single"/>
                <w:lang w:val="en-US" w:eastAsia="zh-CN"/>
              </w:rPr>
              <w:t>根据《国家危险废物名录（</w:t>
            </w:r>
            <w:r>
              <w:rPr>
                <w:rFonts w:hint="eastAsia"/>
                <w:sz w:val="24"/>
                <w:u w:val="single"/>
                <w:lang w:val="en-US" w:eastAsia="zh-CN"/>
              </w:rPr>
              <w:t>2025</w:t>
            </w:r>
            <w:r>
              <w:rPr>
                <w:rFonts w:hint="eastAsia" w:eastAsia="宋体"/>
                <w:sz w:val="24"/>
                <w:u w:val="single"/>
                <w:lang w:val="en-US" w:eastAsia="zh-CN"/>
              </w:rPr>
              <w:t>年版）》，</w:t>
            </w:r>
            <w:r>
              <w:rPr>
                <w:rFonts w:hint="eastAsia"/>
                <w:sz w:val="24"/>
                <w:u w:val="single"/>
                <w:lang w:val="en-US" w:eastAsia="zh-CN"/>
              </w:rPr>
              <w:t>危废代码为HW49 900-041-49、HW08 900-249-08、HW31 900-052-31等，人工分选出来后应按照类比、危险特性、相容性严格分类、分容器在危废暂存间暂存</w:t>
            </w:r>
            <w:r>
              <w:rPr>
                <w:rFonts w:hint="eastAsia" w:eastAsia="宋体"/>
                <w:sz w:val="24"/>
                <w:u w:val="single"/>
                <w:lang w:val="en-US" w:eastAsia="zh-CN"/>
              </w:rPr>
              <w:t>，委托有危废处理资质单位处理</w:t>
            </w:r>
            <w:r>
              <w:rPr>
                <w:rFonts w:hint="eastAsia"/>
                <w:sz w:val="24"/>
                <w:u w:val="single"/>
                <w:lang w:val="en-US" w:eastAsia="zh-CN"/>
              </w:rPr>
              <w:t>。</w:t>
            </w:r>
          </w:p>
          <w:p w14:paraId="520C942B">
            <w:pPr>
              <w:ind w:firstLine="480"/>
              <w:rPr>
                <w:rFonts w:hint="eastAsia" w:eastAsia="宋体"/>
                <w:sz w:val="24"/>
              </w:rPr>
            </w:pPr>
            <w:r>
              <w:rPr>
                <w:rFonts w:hint="eastAsia" w:eastAsia="宋体"/>
                <w:sz w:val="24"/>
                <w:lang w:val="en-US" w:eastAsia="zh-CN"/>
              </w:rPr>
              <w:t>（</w:t>
            </w:r>
            <w:r>
              <w:rPr>
                <w:rFonts w:hint="eastAsia"/>
                <w:sz w:val="24"/>
                <w:lang w:val="en-US" w:eastAsia="zh-CN"/>
              </w:rPr>
              <w:t>3</w:t>
            </w:r>
            <w:r>
              <w:rPr>
                <w:rFonts w:hint="eastAsia" w:eastAsia="宋体"/>
                <w:sz w:val="24"/>
                <w:lang w:val="en-US" w:eastAsia="zh-CN"/>
              </w:rPr>
              <w:t>）生活垃圾</w:t>
            </w:r>
          </w:p>
          <w:p w14:paraId="5C791027">
            <w:pPr>
              <w:ind w:firstLine="480"/>
              <w:rPr>
                <w:rFonts w:hint="default" w:eastAsia="宋体"/>
                <w:sz w:val="24"/>
                <w:lang w:val="en-US" w:eastAsia="zh-CN"/>
              </w:rPr>
            </w:pPr>
            <w:r>
              <w:rPr>
                <w:rFonts w:hint="default" w:eastAsia="宋体"/>
                <w:sz w:val="24"/>
                <w:lang w:val="en-US" w:eastAsia="zh-CN"/>
              </w:rPr>
              <w:t>生活垃圾</w:t>
            </w:r>
            <w:r>
              <w:rPr>
                <w:rFonts w:hint="eastAsia"/>
                <w:sz w:val="24"/>
                <w:lang w:val="en-US" w:eastAsia="zh-CN"/>
              </w:rPr>
              <w:t>：</w:t>
            </w:r>
            <w:r>
              <w:rPr>
                <w:rFonts w:hint="default" w:eastAsia="宋体"/>
                <w:sz w:val="24"/>
                <w:lang w:val="en-US" w:eastAsia="zh-CN"/>
              </w:rPr>
              <w:t>主要来自员工的生活垃圾，本项目员工人数为</w:t>
            </w:r>
            <w:r>
              <w:rPr>
                <w:rFonts w:hint="eastAsia"/>
                <w:sz w:val="24"/>
                <w:lang w:val="en-US" w:eastAsia="zh-CN"/>
              </w:rPr>
              <w:t>10</w:t>
            </w:r>
            <w:r>
              <w:rPr>
                <w:rFonts w:hint="default" w:eastAsia="宋体"/>
                <w:sz w:val="24"/>
                <w:lang w:val="en-US" w:eastAsia="zh-CN"/>
              </w:rPr>
              <w:t>人，生活垃圾产生量按1.0kg/日•人计，全年工</w:t>
            </w:r>
            <w:r>
              <w:rPr>
                <w:rFonts w:hint="eastAsia"/>
                <w:sz w:val="24"/>
                <w:lang w:val="en-US" w:eastAsia="zh-CN"/>
              </w:rPr>
              <w:t>365</w:t>
            </w:r>
            <w:r>
              <w:rPr>
                <w:rFonts w:hint="default" w:eastAsia="宋体"/>
                <w:sz w:val="24"/>
                <w:lang w:val="en-US" w:eastAsia="zh-CN"/>
              </w:rPr>
              <w:t>天，则员工生活垃圾产生量为</w:t>
            </w:r>
            <w:r>
              <w:rPr>
                <w:rFonts w:hint="eastAsia"/>
                <w:sz w:val="24"/>
                <w:lang w:val="en-US" w:eastAsia="zh-CN"/>
              </w:rPr>
              <w:t>3.65</w:t>
            </w:r>
            <w:r>
              <w:rPr>
                <w:rFonts w:hint="default" w:eastAsia="宋体"/>
                <w:sz w:val="24"/>
                <w:lang w:val="en-US" w:eastAsia="zh-CN"/>
              </w:rPr>
              <w:t>t/a，收集后交由环卫部门清运处理。</w:t>
            </w:r>
          </w:p>
          <w:p w14:paraId="6FFB94C4">
            <w:pPr>
              <w:ind w:firstLine="480"/>
              <w:rPr>
                <w:rFonts w:hint="eastAsia"/>
                <w:u w:val="none"/>
                <w:lang w:val="en-US" w:eastAsia="zh-CN"/>
              </w:rPr>
            </w:pPr>
            <w:r>
              <w:rPr>
                <w:rFonts w:hint="eastAsia"/>
                <w:u w:val="none"/>
                <w:lang w:val="en-US" w:eastAsia="zh-CN"/>
              </w:rPr>
              <w:t>本项目固体废物产生及去向详见下表4.5-1所示。</w:t>
            </w:r>
          </w:p>
          <w:p w14:paraId="7DC8426D">
            <w:pPr>
              <w:pStyle w:val="44"/>
              <w:bidi w:val="0"/>
              <w:rPr>
                <w:rFonts w:hint="eastAsia"/>
                <w:lang w:val="en-US" w:eastAsia="zh-CN"/>
              </w:rPr>
            </w:pPr>
            <w:r>
              <w:rPr>
                <w:rFonts w:hint="eastAsia"/>
                <w:lang w:val="en-US" w:eastAsia="zh-CN"/>
              </w:rPr>
              <w:t>表4.5-1：项目固体废物产生及去向情况表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817"/>
              <w:gridCol w:w="1229"/>
              <w:gridCol w:w="1421"/>
              <w:gridCol w:w="1530"/>
              <w:gridCol w:w="2148"/>
            </w:tblGrid>
            <w:tr w14:paraId="6343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0420AF87">
                  <w:pPr>
                    <w:pStyle w:val="115"/>
                    <w:bidi w:val="0"/>
                    <w:rPr>
                      <w:rFonts w:hint="eastAsia"/>
                      <w:b/>
                      <w:bCs/>
                      <w:u w:val="none"/>
                      <w:lang w:val="en-US" w:eastAsia="zh-CN"/>
                    </w:rPr>
                  </w:pPr>
                  <w:r>
                    <w:rPr>
                      <w:rFonts w:hint="eastAsia"/>
                      <w:b/>
                      <w:bCs/>
                      <w:u w:val="none"/>
                      <w:lang w:val="en-US" w:eastAsia="zh-CN"/>
                    </w:rPr>
                    <w:t>序号</w:t>
                  </w:r>
                </w:p>
              </w:tc>
              <w:tc>
                <w:tcPr>
                  <w:tcW w:w="1020" w:type="pct"/>
                  <w:noWrap w:val="0"/>
                  <w:vAlign w:val="center"/>
                </w:tcPr>
                <w:p w14:paraId="78237A59">
                  <w:pPr>
                    <w:pStyle w:val="115"/>
                    <w:bidi w:val="0"/>
                    <w:rPr>
                      <w:rFonts w:hint="eastAsia"/>
                      <w:b/>
                      <w:bCs/>
                      <w:u w:val="none"/>
                      <w:lang w:val="en-US" w:eastAsia="zh-CN"/>
                    </w:rPr>
                  </w:pPr>
                  <w:r>
                    <w:rPr>
                      <w:rFonts w:hint="eastAsia"/>
                      <w:b/>
                      <w:bCs/>
                      <w:u w:val="none"/>
                      <w:lang w:val="en-US" w:eastAsia="zh-CN"/>
                    </w:rPr>
                    <w:t>固体废物</w:t>
                  </w:r>
                </w:p>
              </w:tc>
              <w:tc>
                <w:tcPr>
                  <w:tcW w:w="690" w:type="pct"/>
                  <w:noWrap w:val="0"/>
                  <w:vAlign w:val="center"/>
                </w:tcPr>
                <w:p w14:paraId="7D6BF27E">
                  <w:pPr>
                    <w:pStyle w:val="115"/>
                    <w:bidi w:val="0"/>
                    <w:rPr>
                      <w:rFonts w:hint="eastAsia"/>
                      <w:b/>
                      <w:bCs/>
                      <w:u w:val="none"/>
                      <w:lang w:val="en-US" w:eastAsia="zh-CN"/>
                    </w:rPr>
                  </w:pPr>
                  <w:r>
                    <w:rPr>
                      <w:rFonts w:hint="eastAsia"/>
                      <w:b/>
                      <w:bCs/>
                      <w:u w:val="none"/>
                      <w:lang w:val="en-US" w:eastAsia="zh-CN"/>
                    </w:rPr>
                    <w:t>属性</w:t>
                  </w:r>
                </w:p>
              </w:tc>
              <w:tc>
                <w:tcPr>
                  <w:tcW w:w="798" w:type="pct"/>
                  <w:noWrap w:val="0"/>
                  <w:vAlign w:val="center"/>
                </w:tcPr>
                <w:p w14:paraId="0AEDB11B">
                  <w:pPr>
                    <w:pStyle w:val="115"/>
                    <w:bidi w:val="0"/>
                    <w:rPr>
                      <w:rFonts w:hint="eastAsia"/>
                      <w:b/>
                      <w:bCs/>
                      <w:u w:val="none"/>
                      <w:lang w:val="en-US" w:eastAsia="zh-CN"/>
                    </w:rPr>
                  </w:pPr>
                  <w:r>
                    <w:rPr>
                      <w:rFonts w:hint="eastAsia"/>
                      <w:b/>
                      <w:bCs/>
                      <w:u w:val="none"/>
                      <w:lang w:val="en-US" w:eastAsia="zh-CN"/>
                    </w:rPr>
                    <w:t>产生量（t/a）</w:t>
                  </w:r>
                </w:p>
              </w:tc>
              <w:tc>
                <w:tcPr>
                  <w:tcW w:w="859" w:type="pct"/>
                  <w:noWrap w:val="0"/>
                  <w:vAlign w:val="center"/>
                </w:tcPr>
                <w:p w14:paraId="6770639F">
                  <w:pPr>
                    <w:pStyle w:val="115"/>
                    <w:bidi w:val="0"/>
                    <w:rPr>
                      <w:rFonts w:hint="eastAsia"/>
                      <w:b/>
                      <w:bCs/>
                      <w:u w:val="none"/>
                      <w:lang w:val="en-US" w:eastAsia="zh-CN"/>
                    </w:rPr>
                  </w:pPr>
                  <w:r>
                    <w:rPr>
                      <w:rFonts w:hint="eastAsia"/>
                      <w:b/>
                      <w:bCs/>
                      <w:u w:val="none"/>
                      <w:lang w:val="en-US" w:eastAsia="zh-CN"/>
                    </w:rPr>
                    <w:t>废物代码</w:t>
                  </w:r>
                </w:p>
              </w:tc>
              <w:tc>
                <w:tcPr>
                  <w:tcW w:w="1206" w:type="pct"/>
                  <w:noWrap w:val="0"/>
                  <w:vAlign w:val="center"/>
                </w:tcPr>
                <w:p w14:paraId="57C4EB21">
                  <w:pPr>
                    <w:pStyle w:val="115"/>
                    <w:bidi w:val="0"/>
                    <w:rPr>
                      <w:rFonts w:hint="eastAsia"/>
                      <w:b/>
                      <w:bCs/>
                      <w:u w:val="none"/>
                      <w:lang w:val="en-US" w:eastAsia="zh-CN"/>
                    </w:rPr>
                  </w:pPr>
                  <w:r>
                    <w:rPr>
                      <w:rFonts w:hint="eastAsia"/>
                      <w:b/>
                      <w:bCs/>
                      <w:u w:val="none"/>
                      <w:lang w:val="en-US" w:eastAsia="zh-CN"/>
                    </w:rPr>
                    <w:t>利用处置方式</w:t>
                  </w:r>
                </w:p>
              </w:tc>
            </w:tr>
            <w:tr w14:paraId="0BB1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03D39C96">
                  <w:pPr>
                    <w:pStyle w:val="115"/>
                    <w:bidi w:val="0"/>
                    <w:rPr>
                      <w:rFonts w:hint="eastAsia"/>
                      <w:u w:val="none"/>
                      <w:lang w:val="en-US" w:eastAsia="zh-CN"/>
                    </w:rPr>
                  </w:pPr>
                  <w:r>
                    <w:rPr>
                      <w:rFonts w:hint="eastAsia"/>
                      <w:u w:val="none"/>
                      <w:lang w:val="en-US" w:eastAsia="zh-CN"/>
                    </w:rPr>
                    <w:t>1</w:t>
                  </w:r>
                </w:p>
              </w:tc>
              <w:tc>
                <w:tcPr>
                  <w:tcW w:w="1020" w:type="pct"/>
                  <w:noWrap w:val="0"/>
                  <w:vAlign w:val="center"/>
                </w:tcPr>
                <w:p w14:paraId="1FAFBA68">
                  <w:pPr>
                    <w:pStyle w:val="115"/>
                    <w:bidi w:val="0"/>
                    <w:rPr>
                      <w:rFonts w:hint="eastAsia"/>
                      <w:u w:val="none"/>
                      <w:lang w:val="en-US" w:eastAsia="zh-CN"/>
                    </w:rPr>
                  </w:pPr>
                  <w:r>
                    <w:rPr>
                      <w:rFonts w:hint="eastAsia"/>
                      <w:u w:val="none"/>
                      <w:lang w:val="en-US" w:eastAsia="zh-CN"/>
                    </w:rPr>
                    <w:t>生活垃圾</w:t>
                  </w:r>
                </w:p>
              </w:tc>
              <w:tc>
                <w:tcPr>
                  <w:tcW w:w="690" w:type="pct"/>
                  <w:noWrap w:val="0"/>
                  <w:vAlign w:val="center"/>
                </w:tcPr>
                <w:p w14:paraId="0B67DA33">
                  <w:pPr>
                    <w:pStyle w:val="115"/>
                    <w:bidi w:val="0"/>
                    <w:rPr>
                      <w:rFonts w:hint="eastAsia"/>
                      <w:u w:val="none"/>
                      <w:lang w:val="en-US" w:eastAsia="zh-CN"/>
                    </w:rPr>
                  </w:pPr>
                  <w:r>
                    <w:rPr>
                      <w:rFonts w:hint="eastAsia"/>
                      <w:u w:val="none"/>
                      <w:lang w:val="en-US" w:eastAsia="zh-CN"/>
                    </w:rPr>
                    <w:t>一般固废</w:t>
                  </w:r>
                </w:p>
              </w:tc>
              <w:tc>
                <w:tcPr>
                  <w:tcW w:w="798" w:type="pct"/>
                  <w:noWrap w:val="0"/>
                  <w:vAlign w:val="center"/>
                </w:tcPr>
                <w:p w14:paraId="10BA6490">
                  <w:pPr>
                    <w:pStyle w:val="115"/>
                    <w:bidi w:val="0"/>
                    <w:rPr>
                      <w:rFonts w:hint="default"/>
                      <w:u w:val="none"/>
                      <w:lang w:val="en-US" w:eastAsia="zh-CN"/>
                    </w:rPr>
                  </w:pPr>
                  <w:r>
                    <w:rPr>
                      <w:rFonts w:hint="eastAsia"/>
                      <w:u w:val="none"/>
                      <w:lang w:val="en-US" w:eastAsia="zh-CN"/>
                    </w:rPr>
                    <w:t>3.65</w:t>
                  </w:r>
                </w:p>
              </w:tc>
              <w:tc>
                <w:tcPr>
                  <w:tcW w:w="859" w:type="pct"/>
                  <w:noWrap w:val="0"/>
                  <w:vAlign w:val="center"/>
                </w:tcPr>
                <w:p w14:paraId="05E55634">
                  <w:pPr>
                    <w:pStyle w:val="115"/>
                    <w:bidi w:val="0"/>
                    <w:rPr>
                      <w:rFonts w:hint="eastAsia"/>
                      <w:u w:val="none"/>
                      <w:lang w:val="en-US" w:eastAsia="zh-CN"/>
                    </w:rPr>
                  </w:pPr>
                  <w:r>
                    <w:rPr>
                      <w:rFonts w:hint="eastAsia"/>
                      <w:u w:val="none"/>
                      <w:lang w:val="en-US" w:eastAsia="zh-CN"/>
                    </w:rPr>
                    <w:t>/</w:t>
                  </w:r>
                </w:p>
              </w:tc>
              <w:tc>
                <w:tcPr>
                  <w:tcW w:w="1206" w:type="pct"/>
                  <w:noWrap w:val="0"/>
                  <w:vAlign w:val="center"/>
                </w:tcPr>
                <w:p w14:paraId="2BE68246">
                  <w:pPr>
                    <w:pStyle w:val="115"/>
                    <w:bidi w:val="0"/>
                    <w:rPr>
                      <w:rFonts w:hint="eastAsia"/>
                      <w:u w:val="none"/>
                      <w:lang w:val="en-US" w:eastAsia="zh-CN"/>
                    </w:rPr>
                  </w:pPr>
                  <w:r>
                    <w:rPr>
                      <w:rFonts w:hint="eastAsia"/>
                      <w:u w:val="none"/>
                      <w:lang w:val="en-US" w:eastAsia="zh-CN"/>
                    </w:rPr>
                    <w:t>由环卫部门清运处理</w:t>
                  </w:r>
                </w:p>
              </w:tc>
            </w:tr>
            <w:tr w14:paraId="7276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0D3122F7">
                  <w:pPr>
                    <w:pStyle w:val="115"/>
                    <w:bidi w:val="0"/>
                    <w:rPr>
                      <w:rFonts w:hint="eastAsia"/>
                      <w:u w:val="none"/>
                      <w:lang w:val="en-US" w:eastAsia="zh-CN"/>
                    </w:rPr>
                  </w:pPr>
                  <w:r>
                    <w:rPr>
                      <w:rFonts w:hint="eastAsia"/>
                      <w:u w:val="none"/>
                      <w:lang w:val="en-US" w:eastAsia="zh-CN"/>
                    </w:rPr>
                    <w:t>2</w:t>
                  </w:r>
                </w:p>
              </w:tc>
              <w:tc>
                <w:tcPr>
                  <w:tcW w:w="1020" w:type="pct"/>
                  <w:noWrap w:val="0"/>
                  <w:vAlign w:val="center"/>
                </w:tcPr>
                <w:p w14:paraId="5ABF58E0">
                  <w:pPr>
                    <w:pStyle w:val="115"/>
                    <w:bidi w:val="0"/>
                    <w:rPr>
                      <w:rFonts w:hint="default"/>
                      <w:u w:val="none"/>
                      <w:lang w:val="en-US" w:eastAsia="zh-CN"/>
                    </w:rPr>
                  </w:pPr>
                  <w:r>
                    <w:rPr>
                      <w:rFonts w:hint="eastAsia"/>
                      <w:u w:val="none"/>
                      <w:lang w:val="en-US" w:eastAsia="zh-CN"/>
                    </w:rPr>
                    <w:t>废塑料、废木块等一般固废</w:t>
                  </w:r>
                </w:p>
              </w:tc>
              <w:tc>
                <w:tcPr>
                  <w:tcW w:w="690" w:type="pct"/>
                  <w:noWrap w:val="0"/>
                  <w:vAlign w:val="center"/>
                </w:tcPr>
                <w:p w14:paraId="148C978A">
                  <w:pPr>
                    <w:pStyle w:val="115"/>
                    <w:bidi w:val="0"/>
                    <w:rPr>
                      <w:rFonts w:hint="eastAsia"/>
                      <w:u w:val="none"/>
                      <w:lang w:val="en-US" w:eastAsia="zh-CN"/>
                    </w:rPr>
                  </w:pPr>
                  <w:r>
                    <w:rPr>
                      <w:rFonts w:hint="eastAsia"/>
                      <w:u w:val="none"/>
                      <w:lang w:val="en-US" w:eastAsia="zh-CN"/>
                    </w:rPr>
                    <w:t>一般固废</w:t>
                  </w:r>
                </w:p>
              </w:tc>
              <w:tc>
                <w:tcPr>
                  <w:tcW w:w="798" w:type="pct"/>
                  <w:noWrap w:val="0"/>
                  <w:vAlign w:val="center"/>
                </w:tcPr>
                <w:p w14:paraId="7F4F4A8C">
                  <w:pPr>
                    <w:pStyle w:val="115"/>
                    <w:bidi w:val="0"/>
                    <w:rPr>
                      <w:rFonts w:hint="default"/>
                      <w:u w:val="none"/>
                      <w:lang w:val="en-US" w:eastAsia="zh-CN"/>
                    </w:rPr>
                  </w:pPr>
                  <w:r>
                    <w:rPr>
                      <w:rFonts w:hint="default"/>
                      <w:u w:val="none"/>
                      <w:lang w:val="en-US" w:eastAsia="zh-CN"/>
                    </w:rPr>
                    <w:t>591.3</w:t>
                  </w:r>
                </w:p>
              </w:tc>
              <w:tc>
                <w:tcPr>
                  <w:tcW w:w="859" w:type="pct"/>
                  <w:noWrap w:val="0"/>
                  <w:vAlign w:val="center"/>
                </w:tcPr>
                <w:p w14:paraId="5A60BE6B">
                  <w:pPr>
                    <w:pStyle w:val="115"/>
                    <w:bidi w:val="0"/>
                    <w:rPr>
                      <w:rFonts w:hint="eastAsia"/>
                      <w:u w:val="none"/>
                      <w:lang w:val="en-US" w:eastAsia="zh-CN"/>
                    </w:rPr>
                  </w:pPr>
                  <w:r>
                    <w:rPr>
                      <w:rFonts w:hint="eastAsia"/>
                      <w:u w:val="none"/>
                      <w:lang w:val="en-US" w:eastAsia="zh-CN"/>
                    </w:rPr>
                    <w:t>/</w:t>
                  </w:r>
                </w:p>
              </w:tc>
              <w:tc>
                <w:tcPr>
                  <w:tcW w:w="1206" w:type="pct"/>
                  <w:noWrap w:val="0"/>
                  <w:vAlign w:val="center"/>
                </w:tcPr>
                <w:p w14:paraId="152EE914">
                  <w:pPr>
                    <w:pStyle w:val="115"/>
                    <w:bidi w:val="0"/>
                    <w:rPr>
                      <w:rFonts w:hint="eastAsia"/>
                      <w:u w:val="none"/>
                      <w:lang w:val="en-US" w:eastAsia="zh-CN"/>
                    </w:rPr>
                  </w:pPr>
                  <w:r>
                    <w:rPr>
                      <w:rFonts w:hint="eastAsia"/>
                      <w:u w:val="none"/>
                      <w:lang w:val="en-US" w:eastAsia="zh-CN"/>
                    </w:rPr>
                    <w:t>外售综合利用</w:t>
                  </w:r>
                </w:p>
              </w:tc>
            </w:tr>
            <w:tr w14:paraId="7193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7378EA44">
                  <w:pPr>
                    <w:pStyle w:val="115"/>
                    <w:bidi w:val="0"/>
                    <w:rPr>
                      <w:rFonts w:hint="default"/>
                      <w:u w:val="none"/>
                      <w:lang w:val="en-US" w:eastAsia="zh-CN"/>
                    </w:rPr>
                  </w:pPr>
                  <w:r>
                    <w:rPr>
                      <w:rFonts w:hint="eastAsia"/>
                      <w:u w:val="none"/>
                      <w:lang w:val="en-US" w:eastAsia="zh-CN"/>
                    </w:rPr>
                    <w:t>3</w:t>
                  </w:r>
                </w:p>
              </w:tc>
              <w:tc>
                <w:tcPr>
                  <w:tcW w:w="1020" w:type="pct"/>
                  <w:noWrap w:val="0"/>
                  <w:vAlign w:val="center"/>
                </w:tcPr>
                <w:p w14:paraId="558D2436">
                  <w:pPr>
                    <w:pStyle w:val="115"/>
                    <w:bidi w:val="0"/>
                    <w:rPr>
                      <w:rFonts w:hint="default"/>
                      <w:u w:val="none"/>
                      <w:lang w:val="en-US" w:eastAsia="zh-CN"/>
                    </w:rPr>
                  </w:pPr>
                  <w:r>
                    <w:rPr>
                      <w:rFonts w:hint="eastAsia"/>
                      <w:u w:val="none"/>
                      <w:lang w:val="en-US" w:eastAsia="zh-CN"/>
                    </w:rPr>
                    <w:t>废金属</w:t>
                  </w:r>
                </w:p>
              </w:tc>
              <w:tc>
                <w:tcPr>
                  <w:tcW w:w="690" w:type="pct"/>
                  <w:noWrap w:val="0"/>
                  <w:vAlign w:val="center"/>
                </w:tcPr>
                <w:p w14:paraId="48871C9E">
                  <w:pPr>
                    <w:pStyle w:val="115"/>
                    <w:bidi w:val="0"/>
                    <w:rPr>
                      <w:rFonts w:hint="default"/>
                      <w:u w:val="none"/>
                      <w:lang w:val="en-US" w:eastAsia="zh-CN"/>
                    </w:rPr>
                  </w:pPr>
                  <w:r>
                    <w:rPr>
                      <w:rFonts w:hint="eastAsia"/>
                      <w:u w:val="none"/>
                      <w:lang w:val="en-US" w:eastAsia="zh-CN"/>
                    </w:rPr>
                    <w:t>一般固废</w:t>
                  </w:r>
                </w:p>
              </w:tc>
              <w:tc>
                <w:tcPr>
                  <w:tcW w:w="798" w:type="pct"/>
                  <w:noWrap w:val="0"/>
                  <w:vAlign w:val="center"/>
                </w:tcPr>
                <w:p w14:paraId="63C1CA1C">
                  <w:pPr>
                    <w:pStyle w:val="115"/>
                    <w:bidi w:val="0"/>
                    <w:rPr>
                      <w:rFonts w:hint="default"/>
                      <w:u w:val="none"/>
                      <w:lang w:val="en-US" w:eastAsia="zh-CN"/>
                    </w:rPr>
                  </w:pPr>
                  <w:r>
                    <w:rPr>
                      <w:rFonts w:hint="eastAsia"/>
                      <w:u w:val="none"/>
                      <w:lang w:val="en-US" w:eastAsia="zh-CN"/>
                    </w:rPr>
                    <w:t>394.2</w:t>
                  </w:r>
                </w:p>
              </w:tc>
              <w:tc>
                <w:tcPr>
                  <w:tcW w:w="859" w:type="pct"/>
                  <w:noWrap w:val="0"/>
                  <w:vAlign w:val="center"/>
                </w:tcPr>
                <w:p w14:paraId="19225E08">
                  <w:pPr>
                    <w:pStyle w:val="115"/>
                    <w:bidi w:val="0"/>
                    <w:rPr>
                      <w:rFonts w:hint="default"/>
                      <w:u w:val="none"/>
                      <w:lang w:val="en-US" w:eastAsia="zh-CN"/>
                    </w:rPr>
                  </w:pPr>
                  <w:r>
                    <w:rPr>
                      <w:rFonts w:hint="eastAsia"/>
                      <w:u w:val="none"/>
                      <w:lang w:val="en-US" w:eastAsia="zh-CN"/>
                    </w:rPr>
                    <w:t>/</w:t>
                  </w:r>
                </w:p>
              </w:tc>
              <w:tc>
                <w:tcPr>
                  <w:tcW w:w="1206" w:type="pct"/>
                  <w:noWrap w:val="0"/>
                  <w:vAlign w:val="center"/>
                </w:tcPr>
                <w:p w14:paraId="4CF16640">
                  <w:pPr>
                    <w:pStyle w:val="115"/>
                    <w:bidi w:val="0"/>
                    <w:rPr>
                      <w:rFonts w:hint="eastAsia"/>
                      <w:u w:val="none"/>
                      <w:lang w:val="en-US" w:eastAsia="zh-CN"/>
                    </w:rPr>
                  </w:pPr>
                  <w:r>
                    <w:rPr>
                      <w:rFonts w:hint="eastAsia"/>
                      <w:u w:val="none"/>
                      <w:lang w:val="en-US" w:eastAsia="zh-CN"/>
                    </w:rPr>
                    <w:t>外售综合利用</w:t>
                  </w:r>
                </w:p>
              </w:tc>
            </w:tr>
            <w:tr w14:paraId="6023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3F56AC97">
                  <w:pPr>
                    <w:pStyle w:val="115"/>
                    <w:bidi w:val="0"/>
                    <w:rPr>
                      <w:rFonts w:hint="default"/>
                      <w:u w:val="none"/>
                      <w:lang w:val="en-US" w:eastAsia="zh-CN"/>
                    </w:rPr>
                  </w:pPr>
                  <w:r>
                    <w:rPr>
                      <w:rFonts w:hint="eastAsia"/>
                      <w:u w:val="none"/>
                      <w:lang w:val="en-US" w:eastAsia="zh-CN"/>
                    </w:rPr>
                    <w:t>4</w:t>
                  </w:r>
                </w:p>
              </w:tc>
              <w:tc>
                <w:tcPr>
                  <w:tcW w:w="1020" w:type="pct"/>
                  <w:noWrap w:val="0"/>
                  <w:vAlign w:val="center"/>
                </w:tcPr>
                <w:p w14:paraId="27DC7450">
                  <w:pPr>
                    <w:pStyle w:val="115"/>
                    <w:bidi w:val="0"/>
                    <w:rPr>
                      <w:rFonts w:hint="default"/>
                      <w:u w:val="none"/>
                      <w:lang w:val="en-US" w:eastAsia="zh-CN"/>
                    </w:rPr>
                  </w:pPr>
                  <w:r>
                    <w:rPr>
                      <w:rFonts w:hint="eastAsia"/>
                      <w:u w:val="none"/>
                      <w:lang w:val="en-US" w:eastAsia="zh-CN"/>
                    </w:rPr>
                    <w:t>沉淀池泥渣</w:t>
                  </w:r>
                </w:p>
              </w:tc>
              <w:tc>
                <w:tcPr>
                  <w:tcW w:w="690" w:type="pct"/>
                  <w:noWrap w:val="0"/>
                  <w:vAlign w:val="center"/>
                </w:tcPr>
                <w:p w14:paraId="12DC31A7">
                  <w:pPr>
                    <w:pStyle w:val="115"/>
                    <w:bidi w:val="0"/>
                    <w:rPr>
                      <w:rFonts w:hint="default"/>
                      <w:u w:val="none"/>
                      <w:lang w:val="en-US" w:eastAsia="zh-CN"/>
                    </w:rPr>
                  </w:pPr>
                  <w:r>
                    <w:rPr>
                      <w:rFonts w:hint="eastAsia"/>
                      <w:u w:val="none"/>
                      <w:lang w:val="en-US" w:eastAsia="zh-CN"/>
                    </w:rPr>
                    <w:t>一般固废</w:t>
                  </w:r>
                </w:p>
              </w:tc>
              <w:tc>
                <w:tcPr>
                  <w:tcW w:w="798" w:type="pct"/>
                  <w:noWrap w:val="0"/>
                  <w:vAlign w:val="center"/>
                </w:tcPr>
                <w:p w14:paraId="3CFF3F19">
                  <w:pPr>
                    <w:pStyle w:val="115"/>
                    <w:bidi w:val="0"/>
                    <w:rPr>
                      <w:rFonts w:hint="default"/>
                      <w:u w:val="none"/>
                      <w:lang w:val="en-US" w:eastAsia="zh-CN"/>
                    </w:rPr>
                  </w:pPr>
                  <w:r>
                    <w:rPr>
                      <w:rFonts w:hint="eastAsia"/>
                      <w:u w:val="none"/>
                      <w:lang w:val="en-US" w:eastAsia="zh-CN"/>
                    </w:rPr>
                    <w:t>1.825</w:t>
                  </w:r>
                </w:p>
              </w:tc>
              <w:tc>
                <w:tcPr>
                  <w:tcW w:w="859" w:type="pct"/>
                  <w:noWrap w:val="0"/>
                  <w:vAlign w:val="center"/>
                </w:tcPr>
                <w:p w14:paraId="466E8CBD">
                  <w:pPr>
                    <w:pStyle w:val="115"/>
                    <w:bidi w:val="0"/>
                    <w:rPr>
                      <w:rFonts w:hint="default"/>
                      <w:u w:val="none"/>
                      <w:lang w:val="en-US" w:eastAsia="zh-CN"/>
                    </w:rPr>
                  </w:pPr>
                  <w:r>
                    <w:rPr>
                      <w:rFonts w:hint="eastAsia"/>
                      <w:u w:val="none"/>
                      <w:lang w:val="en-US" w:eastAsia="zh-CN"/>
                    </w:rPr>
                    <w:t>/</w:t>
                  </w:r>
                </w:p>
              </w:tc>
              <w:tc>
                <w:tcPr>
                  <w:tcW w:w="1206" w:type="pct"/>
                  <w:noWrap w:val="0"/>
                  <w:vAlign w:val="center"/>
                </w:tcPr>
                <w:p w14:paraId="404DC8BB">
                  <w:pPr>
                    <w:pStyle w:val="115"/>
                    <w:bidi w:val="0"/>
                    <w:rPr>
                      <w:rFonts w:hint="default"/>
                      <w:u w:val="none"/>
                      <w:lang w:val="en-US" w:eastAsia="zh-CN"/>
                    </w:rPr>
                  </w:pPr>
                  <w:r>
                    <w:rPr>
                      <w:rFonts w:hint="eastAsia"/>
                      <w:u w:val="none"/>
                      <w:lang w:val="en-US" w:eastAsia="zh-CN"/>
                    </w:rPr>
                    <w:t>建筑垃圾堆填场直接堆填处理</w:t>
                  </w:r>
                </w:p>
              </w:tc>
            </w:tr>
            <w:tr w14:paraId="7D2A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12E902D4">
                  <w:pPr>
                    <w:pStyle w:val="115"/>
                    <w:bidi w:val="0"/>
                    <w:rPr>
                      <w:rFonts w:hint="default"/>
                      <w:u w:val="none"/>
                      <w:lang w:val="en-US" w:eastAsia="zh-CN"/>
                    </w:rPr>
                  </w:pPr>
                  <w:r>
                    <w:rPr>
                      <w:rFonts w:hint="eastAsia"/>
                      <w:u w:val="none"/>
                      <w:lang w:val="en-US" w:eastAsia="zh-CN"/>
                    </w:rPr>
                    <w:t>5</w:t>
                  </w:r>
                </w:p>
              </w:tc>
              <w:tc>
                <w:tcPr>
                  <w:tcW w:w="1020" w:type="pct"/>
                  <w:noWrap w:val="0"/>
                  <w:vAlign w:val="center"/>
                </w:tcPr>
                <w:p w14:paraId="5ED71A07">
                  <w:pPr>
                    <w:pStyle w:val="115"/>
                    <w:bidi w:val="0"/>
                    <w:rPr>
                      <w:rFonts w:hint="default"/>
                      <w:u w:val="none"/>
                      <w:lang w:val="en-US" w:eastAsia="zh-CN"/>
                    </w:rPr>
                  </w:pPr>
                  <w:r>
                    <w:rPr>
                      <w:rFonts w:hint="default"/>
                      <w:u w:val="none"/>
                      <w:lang w:val="en-US" w:eastAsia="zh-CN"/>
                    </w:rPr>
                    <w:t>废润滑油</w:t>
                  </w:r>
                </w:p>
              </w:tc>
              <w:tc>
                <w:tcPr>
                  <w:tcW w:w="690" w:type="pct"/>
                  <w:noWrap w:val="0"/>
                  <w:vAlign w:val="center"/>
                </w:tcPr>
                <w:p w14:paraId="2682F784">
                  <w:pPr>
                    <w:pStyle w:val="115"/>
                    <w:bidi w:val="0"/>
                    <w:rPr>
                      <w:rFonts w:hint="default"/>
                      <w:u w:val="none"/>
                      <w:lang w:val="en-US" w:eastAsia="zh-CN"/>
                    </w:rPr>
                  </w:pPr>
                  <w:r>
                    <w:rPr>
                      <w:rFonts w:hint="eastAsia"/>
                      <w:u w:val="none"/>
                      <w:lang w:val="en-US" w:eastAsia="zh-CN"/>
                    </w:rPr>
                    <w:t>危险废物</w:t>
                  </w:r>
                </w:p>
              </w:tc>
              <w:tc>
                <w:tcPr>
                  <w:tcW w:w="798" w:type="pct"/>
                  <w:noWrap w:val="0"/>
                  <w:vAlign w:val="center"/>
                </w:tcPr>
                <w:p w14:paraId="5B6DEE53">
                  <w:pPr>
                    <w:pStyle w:val="115"/>
                    <w:bidi w:val="0"/>
                    <w:rPr>
                      <w:rFonts w:hint="default"/>
                      <w:u w:val="none"/>
                      <w:lang w:val="en-US" w:eastAsia="zh-CN"/>
                    </w:rPr>
                  </w:pPr>
                  <w:r>
                    <w:rPr>
                      <w:rFonts w:hint="eastAsia"/>
                      <w:u w:val="none"/>
                      <w:lang w:val="en-US" w:eastAsia="zh-CN"/>
                    </w:rPr>
                    <w:t>0.2</w:t>
                  </w:r>
                </w:p>
              </w:tc>
              <w:tc>
                <w:tcPr>
                  <w:tcW w:w="859" w:type="pct"/>
                  <w:noWrap w:val="0"/>
                  <w:vAlign w:val="center"/>
                </w:tcPr>
                <w:p w14:paraId="53CA253D">
                  <w:pPr>
                    <w:pStyle w:val="115"/>
                    <w:bidi w:val="0"/>
                    <w:rPr>
                      <w:rFonts w:hint="eastAsia"/>
                      <w:u w:val="none"/>
                      <w:lang w:val="en-US" w:eastAsia="zh-CN"/>
                    </w:rPr>
                  </w:pPr>
                  <w:r>
                    <w:rPr>
                      <w:rFonts w:hint="eastAsia"/>
                      <w:u w:val="none"/>
                      <w:lang w:val="en-US" w:eastAsia="zh-CN"/>
                    </w:rPr>
                    <w:t>900-214-08</w:t>
                  </w:r>
                </w:p>
              </w:tc>
              <w:tc>
                <w:tcPr>
                  <w:tcW w:w="1206" w:type="pct"/>
                  <w:vMerge w:val="restart"/>
                  <w:noWrap w:val="0"/>
                  <w:vAlign w:val="center"/>
                </w:tcPr>
                <w:p w14:paraId="2A62134F">
                  <w:pPr>
                    <w:pStyle w:val="115"/>
                    <w:bidi w:val="0"/>
                    <w:rPr>
                      <w:rFonts w:hint="eastAsia"/>
                      <w:u w:val="none"/>
                      <w:lang w:val="en-US" w:eastAsia="zh-CN"/>
                    </w:rPr>
                  </w:pPr>
                  <w:r>
                    <w:rPr>
                      <w:rFonts w:hint="eastAsia"/>
                      <w:u w:val="none"/>
                      <w:lang w:val="en-US" w:eastAsia="zh-CN"/>
                    </w:rPr>
                    <w:t>委托有资质单位处置</w:t>
                  </w:r>
                </w:p>
              </w:tc>
            </w:tr>
            <w:tr w14:paraId="25BE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31C4AEB9">
                  <w:pPr>
                    <w:pStyle w:val="115"/>
                    <w:bidi w:val="0"/>
                    <w:rPr>
                      <w:rFonts w:hint="default"/>
                      <w:u w:val="none"/>
                      <w:lang w:val="en-US" w:eastAsia="zh-CN"/>
                    </w:rPr>
                  </w:pPr>
                  <w:r>
                    <w:rPr>
                      <w:rFonts w:hint="eastAsia"/>
                      <w:u w:val="none"/>
                      <w:lang w:val="en-US" w:eastAsia="zh-CN"/>
                    </w:rPr>
                    <w:t>6</w:t>
                  </w:r>
                </w:p>
              </w:tc>
              <w:tc>
                <w:tcPr>
                  <w:tcW w:w="1020" w:type="pct"/>
                  <w:noWrap w:val="0"/>
                  <w:vAlign w:val="center"/>
                </w:tcPr>
                <w:p w14:paraId="330DC542">
                  <w:pPr>
                    <w:pStyle w:val="115"/>
                    <w:bidi w:val="0"/>
                    <w:rPr>
                      <w:rFonts w:hint="default"/>
                      <w:u w:val="none"/>
                      <w:lang w:val="en-US" w:eastAsia="zh-CN"/>
                    </w:rPr>
                  </w:pPr>
                  <w:r>
                    <w:rPr>
                      <w:rFonts w:hint="default"/>
                      <w:u w:val="none"/>
                      <w:lang w:val="en-US" w:eastAsia="zh-CN"/>
                    </w:rPr>
                    <w:t>含油废抹布、手套</w:t>
                  </w:r>
                </w:p>
              </w:tc>
              <w:tc>
                <w:tcPr>
                  <w:tcW w:w="690" w:type="pct"/>
                  <w:noWrap w:val="0"/>
                  <w:vAlign w:val="center"/>
                </w:tcPr>
                <w:p w14:paraId="50C8095E">
                  <w:pPr>
                    <w:pStyle w:val="115"/>
                    <w:bidi w:val="0"/>
                    <w:rPr>
                      <w:rFonts w:hint="default"/>
                      <w:u w:val="none"/>
                      <w:lang w:val="en-US" w:eastAsia="zh-CN"/>
                    </w:rPr>
                  </w:pPr>
                  <w:r>
                    <w:rPr>
                      <w:rFonts w:hint="eastAsia"/>
                      <w:u w:val="none"/>
                      <w:lang w:val="en-US" w:eastAsia="zh-CN"/>
                    </w:rPr>
                    <w:t>危险废物</w:t>
                  </w:r>
                </w:p>
              </w:tc>
              <w:tc>
                <w:tcPr>
                  <w:tcW w:w="798" w:type="pct"/>
                  <w:noWrap w:val="0"/>
                  <w:vAlign w:val="center"/>
                </w:tcPr>
                <w:p w14:paraId="1161413A">
                  <w:pPr>
                    <w:pStyle w:val="115"/>
                    <w:bidi w:val="0"/>
                    <w:rPr>
                      <w:rFonts w:hint="default"/>
                      <w:u w:val="none"/>
                      <w:lang w:val="en-US" w:eastAsia="zh-CN"/>
                    </w:rPr>
                  </w:pPr>
                  <w:r>
                    <w:rPr>
                      <w:rFonts w:hint="eastAsia"/>
                      <w:u w:val="none"/>
                      <w:lang w:val="en-US" w:eastAsia="zh-CN"/>
                    </w:rPr>
                    <w:t>0.01</w:t>
                  </w:r>
                </w:p>
              </w:tc>
              <w:tc>
                <w:tcPr>
                  <w:tcW w:w="859" w:type="pct"/>
                  <w:noWrap w:val="0"/>
                  <w:vAlign w:val="center"/>
                </w:tcPr>
                <w:p w14:paraId="34D24810">
                  <w:pPr>
                    <w:pStyle w:val="115"/>
                    <w:bidi w:val="0"/>
                    <w:rPr>
                      <w:rFonts w:hint="default"/>
                      <w:u w:val="none"/>
                      <w:lang w:val="en-US" w:eastAsia="zh-CN"/>
                    </w:rPr>
                  </w:pPr>
                  <w:r>
                    <w:rPr>
                      <w:rFonts w:hint="default"/>
                      <w:u w:val="none"/>
                      <w:lang w:val="en-US" w:eastAsia="zh-CN"/>
                    </w:rPr>
                    <w:t>900-041-49</w:t>
                  </w:r>
                </w:p>
              </w:tc>
              <w:tc>
                <w:tcPr>
                  <w:tcW w:w="1206" w:type="pct"/>
                  <w:vMerge w:val="continue"/>
                  <w:noWrap w:val="0"/>
                  <w:vAlign w:val="center"/>
                </w:tcPr>
                <w:p w14:paraId="08B812F7">
                  <w:pPr>
                    <w:pStyle w:val="115"/>
                    <w:bidi w:val="0"/>
                    <w:rPr>
                      <w:rFonts w:hint="eastAsia"/>
                      <w:u w:val="none"/>
                      <w:lang w:val="en-US" w:eastAsia="zh-CN"/>
                    </w:rPr>
                  </w:pPr>
                </w:p>
              </w:tc>
            </w:tr>
            <w:tr w14:paraId="2CB86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noWrap w:val="0"/>
                  <w:vAlign w:val="center"/>
                </w:tcPr>
                <w:p w14:paraId="4903FE37">
                  <w:pPr>
                    <w:pStyle w:val="115"/>
                    <w:bidi w:val="0"/>
                    <w:rPr>
                      <w:rFonts w:hint="default"/>
                      <w:u w:val="none"/>
                      <w:lang w:val="en-US" w:eastAsia="zh-CN"/>
                    </w:rPr>
                  </w:pPr>
                  <w:r>
                    <w:rPr>
                      <w:rFonts w:hint="eastAsia"/>
                      <w:u w:val="none"/>
                      <w:lang w:val="en-US" w:eastAsia="zh-CN"/>
                    </w:rPr>
                    <w:t>7</w:t>
                  </w:r>
                </w:p>
              </w:tc>
              <w:tc>
                <w:tcPr>
                  <w:tcW w:w="1020" w:type="pct"/>
                  <w:noWrap w:val="0"/>
                  <w:vAlign w:val="center"/>
                </w:tcPr>
                <w:p w14:paraId="37F4A2BE">
                  <w:pPr>
                    <w:pStyle w:val="115"/>
                    <w:bidi w:val="0"/>
                    <w:rPr>
                      <w:rFonts w:hint="default"/>
                      <w:u w:val="none"/>
                      <w:lang w:val="en-US" w:eastAsia="zh-CN"/>
                    </w:rPr>
                  </w:pPr>
                  <w:r>
                    <w:rPr>
                      <w:rFonts w:hint="eastAsia"/>
                      <w:u w:val="none"/>
                      <w:lang w:val="en-US" w:eastAsia="zh-CN"/>
                    </w:rPr>
                    <w:t>分选危险废物</w:t>
                  </w:r>
                </w:p>
              </w:tc>
              <w:tc>
                <w:tcPr>
                  <w:tcW w:w="690" w:type="pct"/>
                  <w:noWrap w:val="0"/>
                  <w:vAlign w:val="center"/>
                </w:tcPr>
                <w:p w14:paraId="00D016F4">
                  <w:pPr>
                    <w:pStyle w:val="115"/>
                    <w:bidi w:val="0"/>
                    <w:rPr>
                      <w:rFonts w:hint="default"/>
                      <w:u w:val="none"/>
                      <w:lang w:val="en-US" w:eastAsia="zh-CN"/>
                    </w:rPr>
                  </w:pPr>
                  <w:r>
                    <w:rPr>
                      <w:rFonts w:hint="eastAsia"/>
                      <w:u w:val="none"/>
                      <w:lang w:val="en-US" w:eastAsia="zh-CN"/>
                    </w:rPr>
                    <w:t>危险废物</w:t>
                  </w:r>
                </w:p>
              </w:tc>
              <w:tc>
                <w:tcPr>
                  <w:tcW w:w="798" w:type="pct"/>
                  <w:noWrap w:val="0"/>
                  <w:vAlign w:val="center"/>
                </w:tcPr>
                <w:p w14:paraId="63496EAF">
                  <w:pPr>
                    <w:pStyle w:val="115"/>
                    <w:bidi w:val="0"/>
                    <w:rPr>
                      <w:rFonts w:hint="default"/>
                      <w:u w:val="none"/>
                      <w:lang w:val="en-US" w:eastAsia="zh-CN"/>
                    </w:rPr>
                  </w:pPr>
                  <w:r>
                    <w:rPr>
                      <w:rFonts w:hint="eastAsia"/>
                      <w:u w:val="none"/>
                      <w:lang w:val="en-US" w:eastAsia="zh-CN"/>
                    </w:rPr>
                    <w:t>19.71</w:t>
                  </w:r>
                </w:p>
              </w:tc>
              <w:tc>
                <w:tcPr>
                  <w:tcW w:w="859" w:type="pct"/>
                  <w:noWrap w:val="0"/>
                  <w:vAlign w:val="center"/>
                </w:tcPr>
                <w:p w14:paraId="128A6FBF">
                  <w:pPr>
                    <w:pStyle w:val="115"/>
                    <w:bidi w:val="0"/>
                    <w:rPr>
                      <w:rFonts w:hint="default"/>
                      <w:u w:val="none"/>
                      <w:lang w:val="en-US" w:eastAsia="zh-CN"/>
                    </w:rPr>
                  </w:pPr>
                  <w:r>
                    <w:rPr>
                      <w:rFonts w:hint="default"/>
                      <w:u w:val="none"/>
                      <w:lang w:val="en-US" w:eastAsia="zh-CN"/>
                    </w:rPr>
                    <w:t>900-041-49</w:t>
                  </w:r>
                </w:p>
                <w:p w14:paraId="7861DEB1">
                  <w:pPr>
                    <w:pStyle w:val="115"/>
                    <w:bidi w:val="0"/>
                    <w:rPr>
                      <w:rFonts w:hint="default"/>
                      <w:u w:val="none"/>
                      <w:lang w:val="en-US" w:eastAsia="zh-CN"/>
                    </w:rPr>
                  </w:pPr>
                  <w:r>
                    <w:rPr>
                      <w:rFonts w:hint="default"/>
                      <w:u w:val="none"/>
                      <w:lang w:val="en-US" w:eastAsia="zh-CN"/>
                    </w:rPr>
                    <w:t>900-249-08</w:t>
                  </w:r>
                </w:p>
                <w:p w14:paraId="200CFA23">
                  <w:pPr>
                    <w:pStyle w:val="115"/>
                    <w:bidi w:val="0"/>
                    <w:rPr>
                      <w:rFonts w:hint="default"/>
                      <w:u w:val="none"/>
                      <w:lang w:val="en-US" w:eastAsia="zh-CN"/>
                    </w:rPr>
                  </w:pPr>
                  <w:r>
                    <w:rPr>
                      <w:rFonts w:hint="default"/>
                      <w:u w:val="none"/>
                      <w:lang w:val="en-US" w:eastAsia="zh-CN"/>
                    </w:rPr>
                    <w:t>900-052-31</w:t>
                  </w:r>
                </w:p>
              </w:tc>
              <w:tc>
                <w:tcPr>
                  <w:tcW w:w="1206" w:type="pct"/>
                  <w:vMerge w:val="continue"/>
                  <w:noWrap w:val="0"/>
                  <w:vAlign w:val="center"/>
                </w:tcPr>
                <w:p w14:paraId="786EDC84">
                  <w:pPr>
                    <w:pStyle w:val="115"/>
                    <w:bidi w:val="0"/>
                    <w:rPr>
                      <w:rFonts w:hint="eastAsia"/>
                      <w:u w:val="none"/>
                      <w:lang w:val="en-US" w:eastAsia="zh-CN"/>
                    </w:rPr>
                  </w:pPr>
                </w:p>
              </w:tc>
            </w:tr>
          </w:tbl>
          <w:p w14:paraId="65DC22CF">
            <w:pPr>
              <w:pStyle w:val="44"/>
              <w:bidi w:val="0"/>
              <w:rPr>
                <w:rFonts w:hint="default"/>
                <w:lang w:val="en-US" w:eastAsia="zh-CN"/>
              </w:rPr>
            </w:pPr>
            <w:r>
              <w:rPr>
                <w:rFonts w:hint="default"/>
                <w:lang w:val="en-US" w:eastAsia="zh-CN"/>
              </w:rPr>
              <w:t>表</w:t>
            </w:r>
            <w:r>
              <w:rPr>
                <w:rFonts w:hint="eastAsia"/>
                <w:lang w:val="en-US" w:eastAsia="zh-CN"/>
              </w:rPr>
              <w:t>4.5-2</w:t>
            </w:r>
            <w:r>
              <w:rPr>
                <w:rFonts w:hint="default"/>
                <w:lang w:val="en-US" w:eastAsia="zh-CN"/>
              </w:rPr>
              <w:t>：危险废物汇总表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724"/>
              <w:gridCol w:w="1406"/>
              <w:gridCol w:w="1254"/>
              <w:gridCol w:w="914"/>
              <w:gridCol w:w="963"/>
              <w:gridCol w:w="593"/>
              <w:gridCol w:w="902"/>
              <w:gridCol w:w="632"/>
              <w:gridCol w:w="975"/>
            </w:tblGrid>
            <w:tr w14:paraId="74D6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08" w:type="dxa"/>
                  <w:noWrap w:val="0"/>
                  <w:vAlign w:val="center"/>
                </w:tcPr>
                <w:p w14:paraId="5928C6C7">
                  <w:pPr>
                    <w:pStyle w:val="166"/>
                    <w:rPr>
                      <w:b/>
                      <w:bCs w:val="0"/>
                      <w:color w:val="auto"/>
                      <w:u w:val="none" w:color="auto"/>
                    </w:rPr>
                  </w:pPr>
                  <w:r>
                    <w:rPr>
                      <w:b/>
                      <w:bCs w:val="0"/>
                      <w:color w:val="auto"/>
                      <w:u w:val="none" w:color="auto"/>
                    </w:rPr>
                    <w:t>序号</w:t>
                  </w:r>
                </w:p>
              </w:tc>
              <w:tc>
                <w:tcPr>
                  <w:tcW w:w="724" w:type="dxa"/>
                  <w:noWrap w:val="0"/>
                  <w:vAlign w:val="center"/>
                </w:tcPr>
                <w:p w14:paraId="30DB1376">
                  <w:pPr>
                    <w:pStyle w:val="166"/>
                    <w:rPr>
                      <w:rFonts w:hint="eastAsia"/>
                      <w:b/>
                      <w:bCs w:val="0"/>
                      <w:color w:val="auto"/>
                      <w:u w:val="none" w:color="auto"/>
                    </w:rPr>
                  </w:pPr>
                  <w:r>
                    <w:rPr>
                      <w:rFonts w:hint="eastAsia"/>
                      <w:b/>
                      <w:bCs w:val="0"/>
                      <w:color w:val="auto"/>
                      <w:u w:val="none" w:color="auto"/>
                    </w:rPr>
                    <w:t>危废名称</w:t>
                  </w:r>
                </w:p>
              </w:tc>
              <w:tc>
                <w:tcPr>
                  <w:tcW w:w="1406" w:type="dxa"/>
                  <w:noWrap w:val="0"/>
                  <w:vAlign w:val="center"/>
                </w:tcPr>
                <w:p w14:paraId="25E2AE3B">
                  <w:pPr>
                    <w:pStyle w:val="166"/>
                    <w:rPr>
                      <w:rFonts w:hint="eastAsia"/>
                      <w:b/>
                      <w:bCs w:val="0"/>
                      <w:color w:val="auto"/>
                      <w:u w:val="none" w:color="auto"/>
                    </w:rPr>
                  </w:pPr>
                  <w:r>
                    <w:rPr>
                      <w:rFonts w:hint="eastAsia"/>
                      <w:b/>
                      <w:bCs w:val="0"/>
                      <w:color w:val="auto"/>
                      <w:u w:val="none" w:color="auto"/>
                    </w:rPr>
                    <w:t>危废类别</w:t>
                  </w:r>
                </w:p>
              </w:tc>
              <w:tc>
                <w:tcPr>
                  <w:tcW w:w="1254" w:type="dxa"/>
                  <w:noWrap w:val="0"/>
                  <w:vAlign w:val="center"/>
                </w:tcPr>
                <w:p w14:paraId="1FBC1941">
                  <w:pPr>
                    <w:pStyle w:val="166"/>
                    <w:rPr>
                      <w:rFonts w:hint="eastAsia"/>
                      <w:b/>
                      <w:bCs w:val="0"/>
                      <w:color w:val="auto"/>
                      <w:u w:val="none" w:color="auto"/>
                    </w:rPr>
                  </w:pPr>
                  <w:r>
                    <w:rPr>
                      <w:rFonts w:hint="eastAsia"/>
                      <w:b/>
                      <w:bCs w:val="0"/>
                      <w:color w:val="auto"/>
                      <w:u w:val="none" w:color="auto"/>
                    </w:rPr>
                    <w:t>危废代码</w:t>
                  </w:r>
                </w:p>
              </w:tc>
              <w:tc>
                <w:tcPr>
                  <w:tcW w:w="914" w:type="dxa"/>
                  <w:noWrap w:val="0"/>
                  <w:vAlign w:val="center"/>
                </w:tcPr>
                <w:p w14:paraId="2C85C2B4">
                  <w:pPr>
                    <w:pStyle w:val="166"/>
                    <w:rPr>
                      <w:rFonts w:hint="eastAsia"/>
                      <w:b/>
                      <w:bCs w:val="0"/>
                      <w:color w:val="auto"/>
                      <w:u w:val="none" w:color="auto"/>
                    </w:rPr>
                  </w:pPr>
                  <w:r>
                    <w:rPr>
                      <w:b/>
                      <w:bCs w:val="0"/>
                      <w:color w:val="auto"/>
                      <w:u w:val="none" w:color="auto"/>
                    </w:rPr>
                    <w:t>产生量</w:t>
                  </w:r>
                  <w:r>
                    <w:rPr>
                      <w:rFonts w:hint="eastAsia"/>
                      <w:b/>
                      <w:bCs w:val="0"/>
                      <w:color w:val="auto"/>
                      <w:u w:val="none" w:color="auto"/>
                    </w:rPr>
                    <w:t>（</w:t>
                  </w:r>
                  <w:r>
                    <w:rPr>
                      <w:b/>
                      <w:bCs w:val="0"/>
                      <w:color w:val="auto"/>
                      <w:u w:val="none" w:color="auto"/>
                    </w:rPr>
                    <w:t>t/a</w:t>
                  </w:r>
                  <w:r>
                    <w:rPr>
                      <w:rFonts w:hint="eastAsia"/>
                      <w:b/>
                      <w:bCs w:val="0"/>
                      <w:color w:val="auto"/>
                      <w:u w:val="none" w:color="auto"/>
                    </w:rPr>
                    <w:t>）</w:t>
                  </w:r>
                </w:p>
              </w:tc>
              <w:tc>
                <w:tcPr>
                  <w:tcW w:w="963" w:type="dxa"/>
                  <w:noWrap w:val="0"/>
                  <w:vAlign w:val="center"/>
                </w:tcPr>
                <w:p w14:paraId="093EF52A">
                  <w:pPr>
                    <w:pStyle w:val="166"/>
                    <w:rPr>
                      <w:b/>
                      <w:bCs w:val="0"/>
                      <w:color w:val="auto"/>
                      <w:u w:val="none" w:color="auto"/>
                    </w:rPr>
                  </w:pPr>
                  <w:r>
                    <w:rPr>
                      <w:rFonts w:hint="eastAsia"/>
                      <w:b/>
                      <w:bCs w:val="0"/>
                      <w:color w:val="auto"/>
                      <w:u w:val="none" w:color="auto"/>
                    </w:rPr>
                    <w:t>产生工序及装置</w:t>
                  </w:r>
                </w:p>
              </w:tc>
              <w:tc>
                <w:tcPr>
                  <w:tcW w:w="593" w:type="dxa"/>
                  <w:noWrap w:val="0"/>
                  <w:vAlign w:val="center"/>
                </w:tcPr>
                <w:p w14:paraId="6AD72B95">
                  <w:pPr>
                    <w:pStyle w:val="166"/>
                    <w:rPr>
                      <w:rFonts w:hint="eastAsia"/>
                      <w:b/>
                      <w:bCs w:val="0"/>
                      <w:color w:val="auto"/>
                      <w:u w:val="none" w:color="auto"/>
                    </w:rPr>
                  </w:pPr>
                  <w:r>
                    <w:rPr>
                      <w:rFonts w:hint="eastAsia"/>
                      <w:b/>
                      <w:bCs w:val="0"/>
                      <w:color w:val="auto"/>
                      <w:u w:val="none" w:color="auto"/>
                    </w:rPr>
                    <w:t>形态</w:t>
                  </w:r>
                </w:p>
              </w:tc>
              <w:tc>
                <w:tcPr>
                  <w:tcW w:w="902" w:type="dxa"/>
                  <w:noWrap w:val="0"/>
                  <w:vAlign w:val="center"/>
                </w:tcPr>
                <w:p w14:paraId="644690AF">
                  <w:pPr>
                    <w:pStyle w:val="166"/>
                    <w:rPr>
                      <w:rFonts w:hint="eastAsia"/>
                      <w:b/>
                      <w:bCs w:val="0"/>
                      <w:color w:val="auto"/>
                      <w:u w:val="none" w:color="auto"/>
                    </w:rPr>
                  </w:pPr>
                  <w:r>
                    <w:rPr>
                      <w:rFonts w:hint="eastAsia"/>
                      <w:b/>
                      <w:bCs w:val="0"/>
                      <w:color w:val="auto"/>
                      <w:u w:val="none" w:color="auto"/>
                    </w:rPr>
                    <w:t>主要成分</w:t>
                  </w:r>
                </w:p>
              </w:tc>
              <w:tc>
                <w:tcPr>
                  <w:tcW w:w="632" w:type="dxa"/>
                  <w:noWrap w:val="0"/>
                  <w:vAlign w:val="center"/>
                </w:tcPr>
                <w:p w14:paraId="6E74060C">
                  <w:pPr>
                    <w:pStyle w:val="166"/>
                    <w:rPr>
                      <w:rFonts w:hint="eastAsia"/>
                      <w:b/>
                      <w:bCs w:val="0"/>
                      <w:color w:val="auto"/>
                      <w:u w:val="none" w:color="auto"/>
                    </w:rPr>
                  </w:pPr>
                  <w:r>
                    <w:rPr>
                      <w:rFonts w:hint="eastAsia"/>
                      <w:b/>
                      <w:bCs w:val="0"/>
                      <w:color w:val="auto"/>
                      <w:u w:val="none" w:color="auto"/>
                    </w:rPr>
                    <w:t>危险特性</w:t>
                  </w:r>
                </w:p>
              </w:tc>
              <w:tc>
                <w:tcPr>
                  <w:tcW w:w="975" w:type="dxa"/>
                  <w:noWrap w:val="0"/>
                  <w:vAlign w:val="center"/>
                </w:tcPr>
                <w:p w14:paraId="755B7E55">
                  <w:pPr>
                    <w:pStyle w:val="166"/>
                    <w:rPr>
                      <w:rFonts w:hint="eastAsia"/>
                      <w:b/>
                      <w:bCs w:val="0"/>
                      <w:color w:val="auto"/>
                      <w:u w:val="none" w:color="auto"/>
                    </w:rPr>
                  </w:pPr>
                  <w:r>
                    <w:rPr>
                      <w:rFonts w:hint="eastAsia"/>
                      <w:b/>
                      <w:bCs w:val="0"/>
                      <w:color w:val="auto"/>
                      <w:u w:val="none" w:color="auto"/>
                    </w:rPr>
                    <w:t>污染防治措施</w:t>
                  </w:r>
                </w:p>
              </w:tc>
            </w:tr>
            <w:tr w14:paraId="0351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dxa"/>
                  <w:noWrap w:val="0"/>
                  <w:vAlign w:val="center"/>
                </w:tcPr>
                <w:p w14:paraId="47A3BEA4">
                  <w:pPr>
                    <w:pStyle w:val="166"/>
                    <w:rPr>
                      <w:rFonts w:hint="eastAsia" w:eastAsia="宋体"/>
                      <w:color w:val="auto"/>
                      <w:u w:val="none" w:color="auto"/>
                      <w:lang w:val="en-US" w:eastAsia="zh-CN"/>
                    </w:rPr>
                  </w:pPr>
                  <w:r>
                    <w:rPr>
                      <w:rFonts w:hint="eastAsia"/>
                      <w:color w:val="auto"/>
                      <w:u w:val="none" w:color="auto"/>
                      <w:lang w:val="en-US" w:eastAsia="zh-CN"/>
                    </w:rPr>
                    <w:t>1</w:t>
                  </w:r>
                </w:p>
              </w:tc>
              <w:tc>
                <w:tcPr>
                  <w:tcW w:w="724" w:type="dxa"/>
                  <w:noWrap w:val="0"/>
                  <w:vAlign w:val="center"/>
                </w:tcPr>
                <w:p w14:paraId="6DEE6B65">
                  <w:pPr>
                    <w:pStyle w:val="115"/>
                    <w:bidi w:val="0"/>
                    <w:ind w:firstLine="0" w:firstLineChars="0"/>
                    <w:rPr>
                      <w:rFonts w:hint="default" w:eastAsia="宋体"/>
                      <w:color w:val="auto"/>
                      <w:u w:val="none" w:color="auto"/>
                      <w:lang w:val="en-US" w:eastAsia="zh-CN"/>
                    </w:rPr>
                  </w:pPr>
                  <w:r>
                    <w:rPr>
                      <w:rFonts w:hint="default"/>
                      <w:u w:val="none"/>
                      <w:lang w:val="en-US" w:eastAsia="zh-CN"/>
                    </w:rPr>
                    <w:t>废润滑油</w:t>
                  </w:r>
                </w:p>
              </w:tc>
              <w:tc>
                <w:tcPr>
                  <w:tcW w:w="1406" w:type="dxa"/>
                  <w:noWrap w:val="0"/>
                  <w:vAlign w:val="center"/>
                </w:tcPr>
                <w:p w14:paraId="6FFD08DD">
                  <w:pPr>
                    <w:pStyle w:val="166"/>
                    <w:rPr>
                      <w:rFonts w:hint="default" w:eastAsia="宋体"/>
                      <w:color w:val="auto"/>
                      <w:u w:val="none" w:color="auto"/>
                      <w:lang w:val="en-US" w:eastAsia="zh-CN"/>
                    </w:rPr>
                  </w:pPr>
                  <w:r>
                    <w:rPr>
                      <w:rFonts w:hint="eastAsia"/>
                      <w:color w:val="auto"/>
                      <w:u w:val="none" w:color="auto"/>
                      <w:lang w:val="en-US" w:eastAsia="zh-CN"/>
                    </w:rPr>
                    <w:t>HW08</w:t>
                  </w:r>
                </w:p>
              </w:tc>
              <w:tc>
                <w:tcPr>
                  <w:tcW w:w="1254" w:type="dxa"/>
                  <w:noWrap w:val="0"/>
                  <w:vAlign w:val="center"/>
                </w:tcPr>
                <w:p w14:paraId="554E248A">
                  <w:pPr>
                    <w:pStyle w:val="166"/>
                    <w:rPr>
                      <w:rFonts w:hint="eastAsia"/>
                      <w:color w:val="auto"/>
                      <w:u w:val="none" w:color="auto"/>
                      <w:lang w:eastAsia="zh-CN"/>
                    </w:rPr>
                  </w:pPr>
                  <w:r>
                    <w:rPr>
                      <w:rFonts w:hint="eastAsia"/>
                      <w:color w:val="auto"/>
                      <w:u w:val="none" w:color="auto"/>
                      <w:lang w:val="en-US" w:eastAsia="zh-CN"/>
                    </w:rPr>
                    <w:t>900-214-08</w:t>
                  </w:r>
                </w:p>
              </w:tc>
              <w:tc>
                <w:tcPr>
                  <w:tcW w:w="914" w:type="dxa"/>
                  <w:noWrap w:val="0"/>
                  <w:vAlign w:val="center"/>
                </w:tcPr>
                <w:p w14:paraId="4CB8D29F">
                  <w:pPr>
                    <w:pStyle w:val="166"/>
                    <w:rPr>
                      <w:rFonts w:hint="default"/>
                      <w:color w:val="auto"/>
                      <w:u w:val="none" w:color="auto"/>
                      <w:lang w:val="en-US" w:eastAsia="zh-CN"/>
                    </w:rPr>
                  </w:pPr>
                  <w:r>
                    <w:rPr>
                      <w:rFonts w:hint="eastAsia"/>
                      <w:color w:val="auto"/>
                      <w:u w:val="none" w:color="auto"/>
                      <w:lang w:val="en-US" w:eastAsia="zh-CN"/>
                    </w:rPr>
                    <w:t>0.2</w:t>
                  </w:r>
                </w:p>
              </w:tc>
              <w:tc>
                <w:tcPr>
                  <w:tcW w:w="963" w:type="dxa"/>
                  <w:noWrap w:val="0"/>
                  <w:vAlign w:val="center"/>
                </w:tcPr>
                <w:p w14:paraId="2566683F">
                  <w:pPr>
                    <w:pStyle w:val="166"/>
                    <w:rPr>
                      <w:rFonts w:hint="default" w:eastAsia="宋体"/>
                      <w:color w:val="auto"/>
                      <w:u w:val="none" w:color="auto"/>
                      <w:lang w:val="en-US" w:eastAsia="zh-CN"/>
                    </w:rPr>
                  </w:pPr>
                  <w:r>
                    <w:rPr>
                      <w:rFonts w:hint="default" w:eastAsia="宋体"/>
                      <w:color w:val="auto"/>
                      <w:u w:val="none" w:color="auto"/>
                      <w:lang w:val="en-US" w:eastAsia="zh-CN"/>
                    </w:rPr>
                    <w:t>设备运行、维修过程</w:t>
                  </w:r>
                </w:p>
              </w:tc>
              <w:tc>
                <w:tcPr>
                  <w:tcW w:w="593" w:type="dxa"/>
                  <w:noWrap w:val="0"/>
                  <w:vAlign w:val="center"/>
                </w:tcPr>
                <w:p w14:paraId="18FD5886">
                  <w:pPr>
                    <w:pStyle w:val="166"/>
                    <w:rPr>
                      <w:rFonts w:hint="default"/>
                      <w:color w:val="auto"/>
                      <w:u w:val="none" w:color="auto"/>
                      <w:lang w:val="en-US" w:eastAsia="zh-CN"/>
                    </w:rPr>
                  </w:pPr>
                  <w:r>
                    <w:rPr>
                      <w:rFonts w:hint="eastAsia"/>
                      <w:color w:val="auto"/>
                      <w:u w:val="none" w:color="auto"/>
                      <w:lang w:val="en-US" w:eastAsia="zh-CN"/>
                    </w:rPr>
                    <w:t>液态</w:t>
                  </w:r>
                </w:p>
              </w:tc>
              <w:tc>
                <w:tcPr>
                  <w:tcW w:w="902" w:type="dxa"/>
                  <w:noWrap w:val="0"/>
                  <w:vAlign w:val="center"/>
                </w:tcPr>
                <w:p w14:paraId="5E507F12">
                  <w:pPr>
                    <w:pStyle w:val="166"/>
                    <w:rPr>
                      <w:rFonts w:hint="default"/>
                      <w:color w:val="auto"/>
                      <w:u w:val="none" w:color="auto"/>
                      <w:lang w:val="en-US" w:eastAsia="zh-CN"/>
                    </w:rPr>
                  </w:pPr>
                  <w:r>
                    <w:rPr>
                      <w:rFonts w:hint="eastAsia"/>
                      <w:color w:val="auto"/>
                      <w:u w:val="none" w:color="auto"/>
                      <w:lang w:val="en-US" w:eastAsia="zh-CN"/>
                    </w:rPr>
                    <w:t>含油废物</w:t>
                  </w:r>
                </w:p>
              </w:tc>
              <w:tc>
                <w:tcPr>
                  <w:tcW w:w="632" w:type="dxa"/>
                  <w:noWrap w:val="0"/>
                  <w:vAlign w:val="center"/>
                </w:tcPr>
                <w:p w14:paraId="59F10630">
                  <w:pPr>
                    <w:pStyle w:val="166"/>
                    <w:rPr>
                      <w:rFonts w:hint="eastAsia" w:eastAsia="宋体"/>
                      <w:color w:val="auto"/>
                      <w:u w:val="none" w:color="auto"/>
                      <w:lang w:val="en-US" w:eastAsia="zh-CN"/>
                    </w:rPr>
                  </w:pPr>
                  <w:r>
                    <w:rPr>
                      <w:rFonts w:hint="eastAsia"/>
                      <w:color w:val="auto"/>
                      <w:u w:val="none" w:color="auto"/>
                      <w:lang w:val="en-US" w:eastAsia="zh-CN"/>
                    </w:rPr>
                    <w:t>T</w:t>
                  </w:r>
                </w:p>
              </w:tc>
              <w:tc>
                <w:tcPr>
                  <w:tcW w:w="975" w:type="dxa"/>
                  <w:noWrap w:val="0"/>
                  <w:vAlign w:val="center"/>
                </w:tcPr>
                <w:p w14:paraId="5BF18ACC">
                  <w:pPr>
                    <w:pStyle w:val="166"/>
                    <w:rPr>
                      <w:rFonts w:hint="eastAsia"/>
                      <w:color w:val="auto"/>
                      <w:u w:val="none" w:color="auto"/>
                    </w:rPr>
                  </w:pPr>
                  <w:r>
                    <w:rPr>
                      <w:rFonts w:hint="eastAsia"/>
                      <w:color w:val="auto"/>
                      <w:u w:val="none" w:color="auto"/>
                    </w:rPr>
                    <w:t>危废间暂存，委托有资质单位处置</w:t>
                  </w:r>
                </w:p>
              </w:tc>
            </w:tr>
            <w:tr w14:paraId="5651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dxa"/>
                  <w:noWrap w:val="0"/>
                  <w:vAlign w:val="center"/>
                </w:tcPr>
                <w:p w14:paraId="10055A5F">
                  <w:pPr>
                    <w:pStyle w:val="166"/>
                    <w:rPr>
                      <w:rFonts w:hint="default"/>
                      <w:color w:val="auto"/>
                      <w:u w:val="none" w:color="auto"/>
                      <w:lang w:val="en-US" w:eastAsia="zh-CN"/>
                    </w:rPr>
                  </w:pPr>
                  <w:r>
                    <w:rPr>
                      <w:rFonts w:hint="eastAsia"/>
                      <w:color w:val="auto"/>
                      <w:u w:val="none" w:color="auto"/>
                      <w:lang w:val="en-US" w:eastAsia="zh-CN"/>
                    </w:rPr>
                    <w:t>2</w:t>
                  </w:r>
                </w:p>
              </w:tc>
              <w:tc>
                <w:tcPr>
                  <w:tcW w:w="724" w:type="dxa"/>
                  <w:noWrap w:val="0"/>
                  <w:vAlign w:val="center"/>
                </w:tcPr>
                <w:p w14:paraId="6C5DFF69">
                  <w:pPr>
                    <w:pStyle w:val="115"/>
                    <w:bidi w:val="0"/>
                    <w:ind w:firstLine="0" w:firstLineChars="0"/>
                    <w:rPr>
                      <w:rFonts w:hint="default" w:eastAsia="宋体"/>
                      <w:color w:val="auto"/>
                      <w:u w:val="none" w:color="auto"/>
                      <w:lang w:val="en-US" w:eastAsia="zh-CN"/>
                    </w:rPr>
                  </w:pPr>
                  <w:r>
                    <w:rPr>
                      <w:rFonts w:hint="default"/>
                      <w:u w:val="none"/>
                      <w:lang w:val="en-US" w:eastAsia="zh-CN"/>
                    </w:rPr>
                    <w:t>含油废抹布、手套</w:t>
                  </w:r>
                </w:p>
              </w:tc>
              <w:tc>
                <w:tcPr>
                  <w:tcW w:w="1406" w:type="dxa"/>
                  <w:noWrap w:val="0"/>
                  <w:vAlign w:val="center"/>
                </w:tcPr>
                <w:p w14:paraId="3770B70F">
                  <w:pPr>
                    <w:pStyle w:val="166"/>
                    <w:rPr>
                      <w:rFonts w:hint="default"/>
                      <w:color w:val="auto"/>
                      <w:u w:val="none" w:color="auto"/>
                      <w:lang w:val="en-US" w:eastAsia="zh-CN"/>
                    </w:rPr>
                  </w:pPr>
                  <w:r>
                    <w:rPr>
                      <w:rFonts w:hint="eastAsia"/>
                      <w:color w:val="auto"/>
                      <w:u w:val="none" w:color="auto"/>
                      <w:lang w:val="en-US" w:eastAsia="zh-CN"/>
                    </w:rPr>
                    <w:t>HW49</w:t>
                  </w:r>
                </w:p>
              </w:tc>
              <w:tc>
                <w:tcPr>
                  <w:tcW w:w="1254" w:type="dxa"/>
                  <w:noWrap w:val="0"/>
                  <w:vAlign w:val="center"/>
                </w:tcPr>
                <w:p w14:paraId="24F19354">
                  <w:pPr>
                    <w:pStyle w:val="166"/>
                    <w:rPr>
                      <w:rFonts w:hint="eastAsia"/>
                      <w:color w:val="auto"/>
                      <w:u w:val="none" w:color="auto"/>
                      <w:lang w:val="en-US" w:eastAsia="zh-CN"/>
                    </w:rPr>
                  </w:pPr>
                  <w:r>
                    <w:rPr>
                      <w:rFonts w:hint="eastAsia"/>
                      <w:color w:val="auto"/>
                      <w:u w:val="none" w:color="auto"/>
                      <w:lang w:val="en-US" w:eastAsia="zh-CN"/>
                    </w:rPr>
                    <w:t>900-041-49</w:t>
                  </w:r>
                </w:p>
              </w:tc>
              <w:tc>
                <w:tcPr>
                  <w:tcW w:w="914" w:type="dxa"/>
                  <w:noWrap w:val="0"/>
                  <w:vAlign w:val="center"/>
                </w:tcPr>
                <w:p w14:paraId="51A1CF91">
                  <w:pPr>
                    <w:pStyle w:val="166"/>
                    <w:rPr>
                      <w:rFonts w:hint="default"/>
                      <w:color w:val="auto"/>
                      <w:u w:val="none" w:color="auto"/>
                      <w:lang w:val="en-US" w:eastAsia="zh-CN"/>
                    </w:rPr>
                  </w:pPr>
                  <w:r>
                    <w:rPr>
                      <w:rFonts w:hint="eastAsia"/>
                      <w:color w:val="auto"/>
                      <w:u w:val="none" w:color="auto"/>
                      <w:lang w:val="en-US" w:eastAsia="zh-CN"/>
                    </w:rPr>
                    <w:t>0.01</w:t>
                  </w:r>
                </w:p>
              </w:tc>
              <w:tc>
                <w:tcPr>
                  <w:tcW w:w="963" w:type="dxa"/>
                  <w:noWrap w:val="0"/>
                  <w:vAlign w:val="center"/>
                </w:tcPr>
                <w:p w14:paraId="180B95B2">
                  <w:pPr>
                    <w:pStyle w:val="166"/>
                    <w:rPr>
                      <w:rFonts w:hint="default" w:eastAsia="宋体"/>
                      <w:color w:val="auto"/>
                      <w:u w:val="none" w:color="auto"/>
                      <w:lang w:val="en-US" w:eastAsia="zh-CN"/>
                    </w:rPr>
                  </w:pPr>
                  <w:r>
                    <w:rPr>
                      <w:rFonts w:hint="default" w:eastAsia="宋体"/>
                      <w:color w:val="auto"/>
                      <w:u w:val="none" w:color="auto"/>
                      <w:lang w:val="en-US" w:eastAsia="zh-CN"/>
                    </w:rPr>
                    <w:t>设备运行、维修过程</w:t>
                  </w:r>
                </w:p>
              </w:tc>
              <w:tc>
                <w:tcPr>
                  <w:tcW w:w="593" w:type="dxa"/>
                  <w:noWrap w:val="0"/>
                  <w:vAlign w:val="center"/>
                </w:tcPr>
                <w:p w14:paraId="5983AB85">
                  <w:pPr>
                    <w:pStyle w:val="166"/>
                    <w:rPr>
                      <w:rFonts w:hint="default"/>
                      <w:color w:val="auto"/>
                      <w:u w:val="none" w:color="auto"/>
                      <w:lang w:val="en-US" w:eastAsia="zh-CN"/>
                    </w:rPr>
                  </w:pPr>
                  <w:r>
                    <w:rPr>
                      <w:rFonts w:hint="eastAsia"/>
                      <w:color w:val="auto"/>
                      <w:u w:val="none" w:color="auto"/>
                      <w:lang w:val="en-US" w:eastAsia="zh-CN"/>
                    </w:rPr>
                    <w:t>固态</w:t>
                  </w:r>
                </w:p>
              </w:tc>
              <w:tc>
                <w:tcPr>
                  <w:tcW w:w="902" w:type="dxa"/>
                  <w:shd w:val="clear" w:color="auto" w:fill="auto"/>
                  <w:noWrap w:val="0"/>
                  <w:vAlign w:val="center"/>
                </w:tcPr>
                <w:p w14:paraId="37C1F4BD">
                  <w:pPr>
                    <w:pStyle w:val="166"/>
                    <w:ind w:firstLine="0" w:firstLineChars="0"/>
                    <w:rPr>
                      <w:rFonts w:hint="eastAsia" w:ascii="Times New Roman" w:hAnsi="Times New Roman" w:eastAsia="宋体" w:cs="Times New Roman"/>
                      <w:bCs/>
                      <w:color w:val="auto"/>
                      <w:kern w:val="2"/>
                      <w:sz w:val="21"/>
                      <w:szCs w:val="22"/>
                      <w:u w:val="none" w:color="auto"/>
                      <w:lang w:val="en-US" w:eastAsia="zh-CN" w:bidi="ar-SA"/>
                    </w:rPr>
                  </w:pPr>
                  <w:r>
                    <w:rPr>
                      <w:rFonts w:hint="eastAsia"/>
                      <w:color w:val="auto"/>
                      <w:u w:val="none" w:color="auto"/>
                      <w:lang w:val="en-US" w:eastAsia="zh-CN"/>
                    </w:rPr>
                    <w:t>含油废物</w:t>
                  </w:r>
                </w:p>
              </w:tc>
              <w:tc>
                <w:tcPr>
                  <w:tcW w:w="632" w:type="dxa"/>
                  <w:shd w:val="clear" w:color="auto" w:fill="auto"/>
                  <w:noWrap w:val="0"/>
                  <w:vAlign w:val="center"/>
                </w:tcPr>
                <w:p w14:paraId="58FE09B5">
                  <w:pPr>
                    <w:pStyle w:val="166"/>
                    <w:ind w:firstLine="0" w:firstLineChars="0"/>
                    <w:rPr>
                      <w:rFonts w:hint="eastAsia" w:ascii="Times New Roman" w:hAnsi="Times New Roman" w:eastAsia="宋体" w:cs="Times New Roman"/>
                      <w:bCs/>
                      <w:color w:val="auto"/>
                      <w:kern w:val="2"/>
                      <w:sz w:val="21"/>
                      <w:szCs w:val="22"/>
                      <w:u w:val="none" w:color="auto"/>
                      <w:lang w:val="en-US" w:eastAsia="zh-CN" w:bidi="ar-SA"/>
                    </w:rPr>
                  </w:pPr>
                  <w:r>
                    <w:rPr>
                      <w:rFonts w:hint="eastAsia"/>
                      <w:color w:val="auto"/>
                      <w:u w:val="none" w:color="auto"/>
                      <w:lang w:val="en-US" w:eastAsia="zh-CN"/>
                    </w:rPr>
                    <w:t>T</w:t>
                  </w:r>
                </w:p>
              </w:tc>
              <w:tc>
                <w:tcPr>
                  <w:tcW w:w="975" w:type="dxa"/>
                  <w:shd w:val="clear" w:color="auto" w:fill="auto"/>
                  <w:noWrap w:val="0"/>
                  <w:vAlign w:val="center"/>
                </w:tcPr>
                <w:p w14:paraId="4B7B1F3F">
                  <w:pPr>
                    <w:pStyle w:val="166"/>
                    <w:ind w:firstLine="0" w:firstLineChars="0"/>
                    <w:rPr>
                      <w:rFonts w:hint="eastAsia" w:ascii="Times New Roman" w:hAnsi="Times New Roman" w:eastAsia="宋体" w:cs="Times New Roman"/>
                      <w:bCs/>
                      <w:color w:val="auto"/>
                      <w:kern w:val="2"/>
                      <w:sz w:val="21"/>
                      <w:szCs w:val="22"/>
                      <w:u w:val="none" w:color="auto"/>
                      <w:lang w:val="en-US" w:eastAsia="zh-CN" w:bidi="ar-SA"/>
                    </w:rPr>
                  </w:pPr>
                  <w:r>
                    <w:rPr>
                      <w:rFonts w:hint="eastAsia"/>
                      <w:color w:val="auto"/>
                      <w:u w:val="none" w:color="auto"/>
                    </w:rPr>
                    <w:t>危废间暂存，委托有资质单位处置</w:t>
                  </w:r>
                </w:p>
              </w:tc>
            </w:tr>
            <w:tr w14:paraId="6EB9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dxa"/>
                  <w:vMerge w:val="restart"/>
                  <w:noWrap w:val="0"/>
                  <w:vAlign w:val="center"/>
                </w:tcPr>
                <w:p w14:paraId="040062BB">
                  <w:pPr>
                    <w:pStyle w:val="166"/>
                    <w:rPr>
                      <w:rFonts w:hint="default"/>
                      <w:color w:val="auto"/>
                      <w:u w:val="none" w:color="auto"/>
                      <w:lang w:val="en-US" w:eastAsia="zh-CN"/>
                    </w:rPr>
                  </w:pPr>
                  <w:r>
                    <w:rPr>
                      <w:rFonts w:hint="eastAsia"/>
                      <w:color w:val="auto"/>
                      <w:u w:val="none" w:color="auto"/>
                      <w:lang w:val="en-US" w:eastAsia="zh-CN"/>
                    </w:rPr>
                    <w:t>3</w:t>
                  </w:r>
                </w:p>
              </w:tc>
              <w:tc>
                <w:tcPr>
                  <w:tcW w:w="724" w:type="dxa"/>
                  <w:vMerge w:val="restart"/>
                  <w:noWrap w:val="0"/>
                  <w:vAlign w:val="center"/>
                </w:tcPr>
                <w:p w14:paraId="166F7959">
                  <w:pPr>
                    <w:pStyle w:val="115"/>
                    <w:bidi w:val="0"/>
                    <w:ind w:firstLine="0" w:firstLineChars="0"/>
                    <w:rPr>
                      <w:rFonts w:hint="default"/>
                      <w:u w:val="none"/>
                      <w:lang w:val="en-US" w:eastAsia="zh-CN"/>
                    </w:rPr>
                  </w:pPr>
                  <w:r>
                    <w:rPr>
                      <w:rFonts w:hint="eastAsia"/>
                      <w:u w:val="none"/>
                      <w:lang w:val="en-US" w:eastAsia="zh-CN"/>
                    </w:rPr>
                    <w:t>分选危险废物</w:t>
                  </w:r>
                </w:p>
              </w:tc>
              <w:tc>
                <w:tcPr>
                  <w:tcW w:w="1406" w:type="dxa"/>
                  <w:noWrap w:val="0"/>
                  <w:vAlign w:val="center"/>
                </w:tcPr>
                <w:p w14:paraId="05EDE984">
                  <w:pPr>
                    <w:pStyle w:val="166"/>
                    <w:rPr>
                      <w:rFonts w:hint="eastAsia"/>
                      <w:color w:val="auto"/>
                      <w:u w:val="none" w:color="auto"/>
                      <w:lang w:val="en-US" w:eastAsia="zh-CN"/>
                    </w:rPr>
                  </w:pPr>
                  <w:r>
                    <w:rPr>
                      <w:rFonts w:hint="eastAsia"/>
                      <w:color w:val="auto"/>
                      <w:u w:val="none" w:color="auto"/>
                      <w:lang w:val="en-US" w:eastAsia="zh-CN"/>
                    </w:rPr>
                    <w:t xml:space="preserve">HW49 </w:t>
                  </w:r>
                </w:p>
              </w:tc>
              <w:tc>
                <w:tcPr>
                  <w:tcW w:w="1254" w:type="dxa"/>
                  <w:noWrap w:val="0"/>
                  <w:vAlign w:val="center"/>
                </w:tcPr>
                <w:p w14:paraId="69D72CAF">
                  <w:pPr>
                    <w:pStyle w:val="166"/>
                    <w:rPr>
                      <w:rFonts w:hint="eastAsia"/>
                      <w:color w:val="auto"/>
                      <w:u w:val="none" w:color="auto"/>
                      <w:lang w:val="en-US" w:eastAsia="zh-CN"/>
                    </w:rPr>
                  </w:pPr>
                  <w:r>
                    <w:rPr>
                      <w:rFonts w:hint="eastAsia"/>
                      <w:color w:val="auto"/>
                      <w:u w:val="none" w:color="auto"/>
                      <w:lang w:val="en-US" w:eastAsia="zh-CN"/>
                    </w:rPr>
                    <w:t>900-041-49</w:t>
                  </w:r>
                </w:p>
              </w:tc>
              <w:tc>
                <w:tcPr>
                  <w:tcW w:w="914" w:type="dxa"/>
                  <w:vMerge w:val="restart"/>
                  <w:noWrap w:val="0"/>
                  <w:vAlign w:val="center"/>
                </w:tcPr>
                <w:p w14:paraId="3A42132F">
                  <w:pPr>
                    <w:pStyle w:val="166"/>
                    <w:rPr>
                      <w:rFonts w:hint="default"/>
                      <w:color w:val="auto"/>
                      <w:u w:val="none" w:color="auto"/>
                      <w:lang w:val="en-US" w:eastAsia="zh-CN"/>
                    </w:rPr>
                  </w:pPr>
                  <w:r>
                    <w:rPr>
                      <w:rFonts w:hint="eastAsia"/>
                      <w:color w:val="auto"/>
                      <w:u w:val="none" w:color="auto"/>
                      <w:lang w:val="en-US" w:eastAsia="zh-CN"/>
                    </w:rPr>
                    <w:t>19.71</w:t>
                  </w:r>
                </w:p>
              </w:tc>
              <w:tc>
                <w:tcPr>
                  <w:tcW w:w="963" w:type="dxa"/>
                  <w:vMerge w:val="restart"/>
                  <w:noWrap w:val="0"/>
                  <w:vAlign w:val="center"/>
                </w:tcPr>
                <w:p w14:paraId="2D4C16A8">
                  <w:pPr>
                    <w:pStyle w:val="166"/>
                    <w:rPr>
                      <w:rFonts w:hint="default" w:eastAsia="宋体"/>
                      <w:color w:val="auto"/>
                      <w:u w:val="none" w:color="auto"/>
                      <w:lang w:val="en-US" w:eastAsia="zh-CN"/>
                    </w:rPr>
                  </w:pPr>
                  <w:r>
                    <w:rPr>
                      <w:rFonts w:hint="eastAsia"/>
                      <w:color w:val="auto"/>
                      <w:u w:val="none" w:color="auto"/>
                      <w:lang w:val="en-US" w:eastAsia="zh-CN"/>
                    </w:rPr>
                    <w:t>堆填分选过程</w:t>
                  </w:r>
                </w:p>
              </w:tc>
              <w:tc>
                <w:tcPr>
                  <w:tcW w:w="593" w:type="dxa"/>
                  <w:noWrap w:val="0"/>
                  <w:vAlign w:val="center"/>
                </w:tcPr>
                <w:p w14:paraId="0C951A95">
                  <w:pPr>
                    <w:pStyle w:val="166"/>
                    <w:rPr>
                      <w:rFonts w:hint="default"/>
                      <w:color w:val="auto"/>
                      <w:u w:val="none" w:color="auto"/>
                      <w:lang w:val="en-US" w:eastAsia="zh-CN"/>
                    </w:rPr>
                  </w:pPr>
                  <w:r>
                    <w:rPr>
                      <w:rFonts w:hint="eastAsia"/>
                      <w:color w:val="auto"/>
                      <w:u w:val="none" w:color="auto"/>
                      <w:lang w:val="en-US" w:eastAsia="zh-CN"/>
                    </w:rPr>
                    <w:t>固态</w:t>
                  </w:r>
                </w:p>
              </w:tc>
              <w:tc>
                <w:tcPr>
                  <w:tcW w:w="902" w:type="dxa"/>
                  <w:shd w:val="clear" w:color="auto" w:fill="auto"/>
                  <w:noWrap w:val="0"/>
                  <w:vAlign w:val="center"/>
                </w:tcPr>
                <w:p w14:paraId="0763A8A2">
                  <w:pPr>
                    <w:pStyle w:val="166"/>
                    <w:ind w:firstLine="0" w:firstLineChars="0"/>
                    <w:rPr>
                      <w:rFonts w:hint="default"/>
                      <w:color w:val="auto"/>
                      <w:u w:val="none" w:color="auto"/>
                      <w:lang w:val="en-US" w:eastAsia="zh-CN"/>
                    </w:rPr>
                  </w:pPr>
                  <w:r>
                    <w:rPr>
                      <w:rFonts w:hint="eastAsia"/>
                      <w:color w:val="auto"/>
                      <w:u w:val="none" w:color="auto"/>
                      <w:lang w:val="en-US" w:eastAsia="zh-CN"/>
                    </w:rPr>
                    <w:t>含油废物</w:t>
                  </w:r>
                </w:p>
              </w:tc>
              <w:tc>
                <w:tcPr>
                  <w:tcW w:w="632" w:type="dxa"/>
                  <w:shd w:val="clear" w:color="auto" w:fill="auto"/>
                  <w:noWrap w:val="0"/>
                  <w:vAlign w:val="center"/>
                </w:tcPr>
                <w:p w14:paraId="38AF4818">
                  <w:pPr>
                    <w:pStyle w:val="166"/>
                    <w:ind w:firstLine="0" w:firstLineChars="0"/>
                    <w:rPr>
                      <w:rFonts w:hint="eastAsia"/>
                      <w:color w:val="auto"/>
                      <w:u w:val="none" w:color="auto"/>
                      <w:lang w:val="en-US" w:eastAsia="zh-CN"/>
                    </w:rPr>
                  </w:pPr>
                  <w:r>
                    <w:rPr>
                      <w:rFonts w:hint="eastAsia"/>
                      <w:color w:val="auto"/>
                      <w:u w:val="none" w:color="auto"/>
                      <w:lang w:val="en-US" w:eastAsia="zh-CN"/>
                    </w:rPr>
                    <w:t>T</w:t>
                  </w:r>
                </w:p>
              </w:tc>
              <w:tc>
                <w:tcPr>
                  <w:tcW w:w="975" w:type="dxa"/>
                  <w:vMerge w:val="restart"/>
                  <w:shd w:val="clear" w:color="auto" w:fill="auto"/>
                  <w:noWrap w:val="0"/>
                  <w:vAlign w:val="center"/>
                </w:tcPr>
                <w:p w14:paraId="5B170433">
                  <w:pPr>
                    <w:pStyle w:val="166"/>
                    <w:ind w:firstLine="0" w:firstLineChars="0"/>
                    <w:rPr>
                      <w:rFonts w:hint="eastAsia"/>
                      <w:color w:val="auto"/>
                      <w:u w:val="none" w:color="auto"/>
                    </w:rPr>
                  </w:pPr>
                  <w:r>
                    <w:rPr>
                      <w:rFonts w:hint="eastAsia"/>
                      <w:color w:val="auto"/>
                      <w:u w:val="none" w:color="auto"/>
                    </w:rPr>
                    <w:t>危废间暂存，委托有资质单位处置</w:t>
                  </w:r>
                </w:p>
              </w:tc>
            </w:tr>
            <w:tr w14:paraId="7639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dxa"/>
                  <w:vMerge w:val="continue"/>
                  <w:noWrap w:val="0"/>
                  <w:vAlign w:val="center"/>
                </w:tcPr>
                <w:p w14:paraId="024F0CF9">
                  <w:pPr>
                    <w:pStyle w:val="166"/>
                    <w:rPr>
                      <w:rFonts w:hint="eastAsia"/>
                      <w:color w:val="auto"/>
                      <w:u w:val="none" w:color="auto"/>
                      <w:lang w:val="en-US" w:eastAsia="zh-CN"/>
                    </w:rPr>
                  </w:pPr>
                </w:p>
              </w:tc>
              <w:tc>
                <w:tcPr>
                  <w:tcW w:w="724" w:type="dxa"/>
                  <w:vMerge w:val="continue"/>
                  <w:noWrap w:val="0"/>
                  <w:vAlign w:val="center"/>
                </w:tcPr>
                <w:p w14:paraId="40F58ACB">
                  <w:pPr>
                    <w:pStyle w:val="115"/>
                    <w:bidi w:val="0"/>
                    <w:ind w:firstLine="0" w:firstLineChars="0"/>
                    <w:rPr>
                      <w:rFonts w:hint="eastAsia"/>
                      <w:u w:val="none"/>
                      <w:lang w:val="en-US" w:eastAsia="zh-CN"/>
                    </w:rPr>
                  </w:pPr>
                </w:p>
              </w:tc>
              <w:tc>
                <w:tcPr>
                  <w:tcW w:w="1406" w:type="dxa"/>
                  <w:noWrap w:val="0"/>
                  <w:vAlign w:val="center"/>
                </w:tcPr>
                <w:p w14:paraId="7E3A2BDB">
                  <w:pPr>
                    <w:pStyle w:val="166"/>
                    <w:rPr>
                      <w:rFonts w:hint="eastAsia"/>
                      <w:color w:val="auto"/>
                      <w:u w:val="none" w:color="auto"/>
                      <w:lang w:val="en-US" w:eastAsia="zh-CN"/>
                    </w:rPr>
                  </w:pPr>
                  <w:r>
                    <w:rPr>
                      <w:rFonts w:hint="eastAsia"/>
                      <w:color w:val="auto"/>
                      <w:u w:val="none" w:color="auto"/>
                      <w:lang w:val="en-US" w:eastAsia="zh-CN"/>
                    </w:rPr>
                    <w:t>HW08</w:t>
                  </w:r>
                </w:p>
              </w:tc>
              <w:tc>
                <w:tcPr>
                  <w:tcW w:w="1254" w:type="dxa"/>
                  <w:noWrap w:val="0"/>
                  <w:vAlign w:val="center"/>
                </w:tcPr>
                <w:p w14:paraId="42472330">
                  <w:pPr>
                    <w:pStyle w:val="166"/>
                    <w:rPr>
                      <w:rFonts w:hint="eastAsia"/>
                      <w:color w:val="auto"/>
                      <w:u w:val="none" w:color="auto"/>
                      <w:lang w:val="en-US" w:eastAsia="zh-CN"/>
                    </w:rPr>
                  </w:pPr>
                  <w:r>
                    <w:rPr>
                      <w:rFonts w:hint="eastAsia"/>
                      <w:color w:val="auto"/>
                      <w:u w:val="none" w:color="auto"/>
                      <w:lang w:val="en-US" w:eastAsia="zh-CN"/>
                    </w:rPr>
                    <w:t>900-249-08</w:t>
                  </w:r>
                </w:p>
              </w:tc>
              <w:tc>
                <w:tcPr>
                  <w:tcW w:w="914" w:type="dxa"/>
                  <w:vMerge w:val="continue"/>
                  <w:noWrap w:val="0"/>
                  <w:vAlign w:val="center"/>
                </w:tcPr>
                <w:p w14:paraId="1B3313B3">
                  <w:pPr>
                    <w:pStyle w:val="166"/>
                    <w:rPr>
                      <w:rFonts w:hint="eastAsia"/>
                      <w:color w:val="auto"/>
                      <w:u w:val="none" w:color="auto"/>
                      <w:lang w:val="en-US" w:eastAsia="zh-CN"/>
                    </w:rPr>
                  </w:pPr>
                </w:p>
              </w:tc>
              <w:tc>
                <w:tcPr>
                  <w:tcW w:w="963" w:type="dxa"/>
                  <w:vMerge w:val="continue"/>
                  <w:noWrap w:val="0"/>
                  <w:vAlign w:val="center"/>
                </w:tcPr>
                <w:p w14:paraId="014BB565">
                  <w:pPr>
                    <w:pStyle w:val="166"/>
                    <w:rPr>
                      <w:rFonts w:hint="eastAsia"/>
                      <w:color w:val="auto"/>
                      <w:u w:val="none" w:color="auto"/>
                      <w:lang w:val="en-US" w:eastAsia="zh-CN"/>
                    </w:rPr>
                  </w:pPr>
                </w:p>
              </w:tc>
              <w:tc>
                <w:tcPr>
                  <w:tcW w:w="593" w:type="dxa"/>
                  <w:noWrap w:val="0"/>
                  <w:vAlign w:val="center"/>
                </w:tcPr>
                <w:p w14:paraId="1C3D007A">
                  <w:pPr>
                    <w:pStyle w:val="166"/>
                    <w:rPr>
                      <w:rFonts w:hint="eastAsia"/>
                      <w:color w:val="auto"/>
                      <w:u w:val="none" w:color="auto"/>
                      <w:lang w:val="en-US" w:eastAsia="zh-CN"/>
                    </w:rPr>
                  </w:pPr>
                  <w:r>
                    <w:rPr>
                      <w:rFonts w:hint="eastAsia"/>
                      <w:color w:val="auto"/>
                      <w:u w:val="none" w:color="auto"/>
                      <w:lang w:val="en-US" w:eastAsia="zh-CN"/>
                    </w:rPr>
                    <w:t>固态</w:t>
                  </w:r>
                </w:p>
              </w:tc>
              <w:tc>
                <w:tcPr>
                  <w:tcW w:w="902" w:type="dxa"/>
                  <w:shd w:val="clear" w:color="auto" w:fill="auto"/>
                  <w:noWrap w:val="0"/>
                  <w:vAlign w:val="center"/>
                </w:tcPr>
                <w:p w14:paraId="33F29ADE">
                  <w:pPr>
                    <w:pStyle w:val="166"/>
                    <w:ind w:firstLine="0" w:firstLineChars="0"/>
                    <w:rPr>
                      <w:rFonts w:hint="default"/>
                      <w:color w:val="auto"/>
                      <w:u w:val="none" w:color="auto"/>
                      <w:lang w:val="en-US" w:eastAsia="zh-CN"/>
                    </w:rPr>
                  </w:pPr>
                  <w:r>
                    <w:rPr>
                      <w:rFonts w:hint="eastAsia"/>
                      <w:color w:val="auto"/>
                      <w:u w:val="none" w:color="auto"/>
                      <w:lang w:val="en-US" w:eastAsia="zh-CN"/>
                    </w:rPr>
                    <w:t>有毒有害物质</w:t>
                  </w:r>
                </w:p>
              </w:tc>
              <w:tc>
                <w:tcPr>
                  <w:tcW w:w="632" w:type="dxa"/>
                  <w:shd w:val="clear" w:color="auto" w:fill="auto"/>
                  <w:noWrap w:val="0"/>
                  <w:vAlign w:val="center"/>
                </w:tcPr>
                <w:p w14:paraId="36116535">
                  <w:pPr>
                    <w:pStyle w:val="166"/>
                    <w:ind w:firstLine="0" w:firstLineChars="0"/>
                    <w:rPr>
                      <w:rFonts w:hint="eastAsia"/>
                      <w:color w:val="auto"/>
                      <w:u w:val="none" w:color="auto"/>
                      <w:lang w:val="en-US" w:eastAsia="zh-CN"/>
                    </w:rPr>
                  </w:pPr>
                  <w:r>
                    <w:rPr>
                      <w:rFonts w:hint="eastAsia"/>
                      <w:color w:val="auto"/>
                      <w:u w:val="none" w:color="auto"/>
                      <w:lang w:val="en-US" w:eastAsia="zh-CN"/>
                    </w:rPr>
                    <w:t>T</w:t>
                  </w:r>
                </w:p>
              </w:tc>
              <w:tc>
                <w:tcPr>
                  <w:tcW w:w="975" w:type="dxa"/>
                  <w:vMerge w:val="continue"/>
                  <w:shd w:val="clear" w:color="auto" w:fill="auto"/>
                  <w:noWrap w:val="0"/>
                  <w:vAlign w:val="center"/>
                </w:tcPr>
                <w:p w14:paraId="06A0F16E">
                  <w:pPr>
                    <w:pStyle w:val="166"/>
                    <w:ind w:firstLine="0" w:firstLineChars="0"/>
                    <w:rPr>
                      <w:rFonts w:hint="eastAsia"/>
                      <w:color w:val="auto"/>
                      <w:u w:val="none" w:color="auto"/>
                    </w:rPr>
                  </w:pPr>
                </w:p>
              </w:tc>
            </w:tr>
            <w:tr w14:paraId="2D7C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dxa"/>
                  <w:vMerge w:val="continue"/>
                  <w:noWrap w:val="0"/>
                  <w:vAlign w:val="center"/>
                </w:tcPr>
                <w:p w14:paraId="03507071">
                  <w:pPr>
                    <w:pStyle w:val="166"/>
                    <w:rPr>
                      <w:rFonts w:hint="eastAsia"/>
                      <w:color w:val="auto"/>
                      <w:u w:val="none" w:color="auto"/>
                      <w:lang w:val="en-US" w:eastAsia="zh-CN"/>
                    </w:rPr>
                  </w:pPr>
                </w:p>
              </w:tc>
              <w:tc>
                <w:tcPr>
                  <w:tcW w:w="724" w:type="dxa"/>
                  <w:vMerge w:val="continue"/>
                  <w:noWrap w:val="0"/>
                  <w:vAlign w:val="center"/>
                </w:tcPr>
                <w:p w14:paraId="2F9890B0">
                  <w:pPr>
                    <w:pStyle w:val="115"/>
                    <w:bidi w:val="0"/>
                    <w:ind w:firstLine="0" w:firstLineChars="0"/>
                    <w:rPr>
                      <w:rFonts w:hint="eastAsia"/>
                      <w:u w:val="none"/>
                      <w:lang w:val="en-US" w:eastAsia="zh-CN"/>
                    </w:rPr>
                  </w:pPr>
                </w:p>
              </w:tc>
              <w:tc>
                <w:tcPr>
                  <w:tcW w:w="1406" w:type="dxa"/>
                  <w:noWrap w:val="0"/>
                  <w:vAlign w:val="center"/>
                </w:tcPr>
                <w:p w14:paraId="150C1873">
                  <w:pPr>
                    <w:pStyle w:val="166"/>
                    <w:rPr>
                      <w:rFonts w:hint="eastAsia"/>
                      <w:color w:val="auto"/>
                      <w:u w:val="none" w:color="auto"/>
                      <w:lang w:val="en-US" w:eastAsia="zh-CN"/>
                    </w:rPr>
                  </w:pPr>
                  <w:r>
                    <w:rPr>
                      <w:rFonts w:hint="eastAsia"/>
                      <w:color w:val="auto"/>
                      <w:u w:val="none" w:color="auto"/>
                      <w:lang w:val="en-US" w:eastAsia="zh-CN"/>
                    </w:rPr>
                    <w:t xml:space="preserve">HW31 </w:t>
                  </w:r>
                </w:p>
              </w:tc>
              <w:tc>
                <w:tcPr>
                  <w:tcW w:w="1254" w:type="dxa"/>
                  <w:noWrap w:val="0"/>
                  <w:vAlign w:val="center"/>
                </w:tcPr>
                <w:p w14:paraId="70C7C1A2">
                  <w:pPr>
                    <w:pStyle w:val="166"/>
                    <w:rPr>
                      <w:rFonts w:hint="eastAsia"/>
                      <w:color w:val="auto"/>
                      <w:u w:val="none" w:color="auto"/>
                      <w:lang w:val="en-US" w:eastAsia="zh-CN"/>
                    </w:rPr>
                  </w:pPr>
                  <w:r>
                    <w:rPr>
                      <w:rFonts w:hint="eastAsia"/>
                      <w:color w:val="auto"/>
                      <w:u w:val="none" w:color="auto"/>
                      <w:lang w:val="en-US" w:eastAsia="zh-CN"/>
                    </w:rPr>
                    <w:t>900-052-31</w:t>
                  </w:r>
                </w:p>
              </w:tc>
              <w:tc>
                <w:tcPr>
                  <w:tcW w:w="914" w:type="dxa"/>
                  <w:vMerge w:val="continue"/>
                  <w:noWrap w:val="0"/>
                  <w:vAlign w:val="center"/>
                </w:tcPr>
                <w:p w14:paraId="52F91BC7">
                  <w:pPr>
                    <w:pStyle w:val="166"/>
                    <w:rPr>
                      <w:rFonts w:hint="eastAsia"/>
                      <w:color w:val="auto"/>
                      <w:u w:val="none" w:color="auto"/>
                      <w:lang w:val="en-US" w:eastAsia="zh-CN"/>
                    </w:rPr>
                  </w:pPr>
                </w:p>
              </w:tc>
              <w:tc>
                <w:tcPr>
                  <w:tcW w:w="963" w:type="dxa"/>
                  <w:vMerge w:val="continue"/>
                  <w:noWrap w:val="0"/>
                  <w:vAlign w:val="center"/>
                </w:tcPr>
                <w:p w14:paraId="2AC3D1D3">
                  <w:pPr>
                    <w:pStyle w:val="166"/>
                    <w:rPr>
                      <w:rFonts w:hint="eastAsia"/>
                      <w:color w:val="auto"/>
                      <w:u w:val="none" w:color="auto"/>
                      <w:lang w:val="en-US" w:eastAsia="zh-CN"/>
                    </w:rPr>
                  </w:pPr>
                </w:p>
              </w:tc>
              <w:tc>
                <w:tcPr>
                  <w:tcW w:w="593" w:type="dxa"/>
                  <w:noWrap w:val="0"/>
                  <w:vAlign w:val="center"/>
                </w:tcPr>
                <w:p w14:paraId="7BE66CA9">
                  <w:pPr>
                    <w:pStyle w:val="166"/>
                    <w:rPr>
                      <w:rFonts w:hint="eastAsia"/>
                      <w:color w:val="auto"/>
                      <w:u w:val="none" w:color="auto"/>
                      <w:lang w:val="en-US" w:eastAsia="zh-CN"/>
                    </w:rPr>
                  </w:pPr>
                  <w:r>
                    <w:rPr>
                      <w:rFonts w:hint="eastAsia"/>
                      <w:color w:val="auto"/>
                      <w:u w:val="none" w:color="auto"/>
                      <w:lang w:val="en-US" w:eastAsia="zh-CN"/>
                    </w:rPr>
                    <w:t>固态</w:t>
                  </w:r>
                </w:p>
              </w:tc>
              <w:tc>
                <w:tcPr>
                  <w:tcW w:w="902" w:type="dxa"/>
                  <w:shd w:val="clear" w:color="auto" w:fill="auto"/>
                  <w:noWrap w:val="0"/>
                  <w:vAlign w:val="center"/>
                </w:tcPr>
                <w:p w14:paraId="31C0F0C5">
                  <w:pPr>
                    <w:pStyle w:val="166"/>
                    <w:ind w:firstLine="0" w:firstLineChars="0"/>
                    <w:rPr>
                      <w:rFonts w:hint="default"/>
                      <w:color w:val="auto"/>
                      <w:u w:val="none" w:color="auto"/>
                      <w:lang w:val="en-US" w:eastAsia="zh-CN"/>
                    </w:rPr>
                  </w:pPr>
                  <w:r>
                    <w:rPr>
                      <w:rFonts w:hint="eastAsia"/>
                      <w:color w:val="auto"/>
                      <w:u w:val="none" w:color="auto"/>
                      <w:lang w:val="en-US" w:eastAsia="zh-CN"/>
                    </w:rPr>
                    <w:t>重金属</w:t>
                  </w:r>
                </w:p>
              </w:tc>
              <w:tc>
                <w:tcPr>
                  <w:tcW w:w="632" w:type="dxa"/>
                  <w:shd w:val="clear" w:color="auto" w:fill="auto"/>
                  <w:noWrap w:val="0"/>
                  <w:vAlign w:val="center"/>
                </w:tcPr>
                <w:p w14:paraId="5FAC87BE">
                  <w:pPr>
                    <w:pStyle w:val="166"/>
                    <w:ind w:firstLine="0" w:firstLineChars="0"/>
                    <w:rPr>
                      <w:rFonts w:hint="eastAsia"/>
                      <w:color w:val="auto"/>
                      <w:u w:val="none" w:color="auto"/>
                      <w:lang w:val="en-US" w:eastAsia="zh-CN"/>
                    </w:rPr>
                  </w:pPr>
                  <w:r>
                    <w:rPr>
                      <w:rFonts w:hint="eastAsia"/>
                      <w:color w:val="auto"/>
                      <w:u w:val="none" w:color="auto"/>
                      <w:lang w:val="en-US" w:eastAsia="zh-CN"/>
                    </w:rPr>
                    <w:t>T</w:t>
                  </w:r>
                </w:p>
              </w:tc>
              <w:tc>
                <w:tcPr>
                  <w:tcW w:w="975" w:type="dxa"/>
                  <w:vMerge w:val="continue"/>
                  <w:shd w:val="clear" w:color="auto" w:fill="auto"/>
                  <w:noWrap w:val="0"/>
                  <w:vAlign w:val="center"/>
                </w:tcPr>
                <w:p w14:paraId="41C4A40C">
                  <w:pPr>
                    <w:pStyle w:val="166"/>
                    <w:ind w:firstLine="0" w:firstLineChars="0"/>
                    <w:rPr>
                      <w:rFonts w:hint="eastAsia"/>
                      <w:color w:val="auto"/>
                      <w:u w:val="none" w:color="auto"/>
                    </w:rPr>
                  </w:pPr>
                </w:p>
              </w:tc>
            </w:tr>
          </w:tbl>
          <w:p w14:paraId="687FECC9">
            <w:pPr>
              <w:pStyle w:val="5"/>
              <w:bidi w:val="0"/>
              <w:rPr>
                <w:rFonts w:hint="eastAsia"/>
                <w:lang w:val="en-US" w:eastAsia="zh-CN"/>
              </w:rPr>
            </w:pPr>
            <w:r>
              <w:rPr>
                <w:rFonts w:hint="eastAsia"/>
                <w:lang w:val="en-US" w:eastAsia="zh-CN"/>
              </w:rPr>
              <w:t>4.5.2固体废物环境管理要求</w:t>
            </w:r>
          </w:p>
          <w:p w14:paraId="5BEB5972">
            <w:pPr>
              <w:ind w:firstLine="480"/>
              <w:rPr>
                <w:rFonts w:hint="eastAsia"/>
                <w:b/>
                <w:bCs/>
                <w:u w:val="none"/>
                <w:lang w:val="en-US" w:eastAsia="zh-CN"/>
              </w:rPr>
            </w:pPr>
            <w:r>
              <w:rPr>
                <w:rFonts w:hint="eastAsia"/>
                <w:b/>
                <w:bCs/>
                <w:u w:val="none"/>
                <w:lang w:val="en-US" w:eastAsia="zh-CN"/>
              </w:rPr>
              <w:t>1、一般工业固体废物</w:t>
            </w:r>
          </w:p>
          <w:p w14:paraId="6B81175C">
            <w:pPr>
              <w:ind w:firstLine="480"/>
              <w:rPr>
                <w:rFonts w:hint="eastAsia"/>
                <w:u w:val="none"/>
                <w:lang w:val="en-US" w:eastAsia="zh-CN"/>
              </w:rPr>
            </w:pPr>
            <w:r>
              <w:rPr>
                <w:rFonts w:hint="eastAsia"/>
                <w:u w:val="none"/>
                <w:lang w:val="en-US" w:eastAsia="zh-CN"/>
              </w:rPr>
              <w:t>洗车废水沉淀池泥渣、淋滤水废水沉淀池泥渣定期清理直接运往建筑垃圾堆填场进行堆填处理，不在厂内暂存；废金属、废塑料、废木块等一般工业固体废物不含有毒有害物质，无腐蚀性，单独收集、单独贮存，定时收集起来用包装工具（罐、桶、包装袋等）密封贮存，统一贮存于厂区内的一般工业固体废物暂存间中，交由物资回收企业综合利用；在管理用房旁设置一般工业固体废物暂存间面积为20m</w:t>
            </w:r>
            <w:r>
              <w:rPr>
                <w:rFonts w:hint="eastAsia"/>
                <w:u w:val="none"/>
                <w:vertAlign w:val="superscript"/>
                <w:lang w:val="en-US" w:eastAsia="zh-CN"/>
              </w:rPr>
              <w:t>2</w:t>
            </w:r>
            <w:r>
              <w:rPr>
                <w:rFonts w:hint="eastAsia"/>
                <w:u w:val="none"/>
                <w:lang w:val="en-US" w:eastAsia="zh-CN"/>
              </w:rPr>
              <w:t>，采用独立密闭隔间的结构，地面硬化、一般防渗。</w:t>
            </w:r>
          </w:p>
          <w:p w14:paraId="3C5C7C6D">
            <w:pPr>
              <w:wordWrap w:val="0"/>
              <w:ind w:firstLine="482"/>
              <w:rPr>
                <w:rFonts w:hint="eastAsia"/>
                <w:b/>
                <w:color w:val="auto"/>
                <w:u w:val="none" w:color="auto"/>
              </w:rPr>
            </w:pPr>
            <w:r>
              <w:rPr>
                <w:rFonts w:hint="eastAsia"/>
                <w:b/>
                <w:color w:val="auto"/>
                <w:u w:val="none" w:color="auto"/>
              </w:rPr>
              <w:t>2、危废贮存间建设要求</w:t>
            </w:r>
          </w:p>
          <w:p w14:paraId="3570A9FA">
            <w:pPr>
              <w:bidi w:val="0"/>
              <w:rPr>
                <w:rFonts w:hint="eastAsia"/>
                <w:u w:val="single"/>
              </w:rPr>
            </w:pPr>
            <w:r>
              <w:rPr>
                <w:u w:val="single"/>
                <w:lang w:val="zh-CN"/>
              </w:rPr>
              <w:t>根据《危险废物贮存污染控制标准》（GB18597-20</w:t>
            </w:r>
            <w:r>
              <w:rPr>
                <w:rFonts w:hint="eastAsia"/>
                <w:u w:val="single"/>
              </w:rPr>
              <w:t>23</w:t>
            </w:r>
            <w:r>
              <w:rPr>
                <w:u w:val="single"/>
                <w:lang w:val="zh-CN"/>
              </w:rPr>
              <w:t>）和《危险废物收集贮存运输技术规范》（HJ2025-2012）的要求</w:t>
            </w:r>
            <w:r>
              <w:rPr>
                <w:rFonts w:hint="eastAsia"/>
                <w:u w:val="single"/>
                <w:lang w:val="zh-CN"/>
              </w:rPr>
              <w:t>及结合本项目实际建设情况</w:t>
            </w:r>
            <w:r>
              <w:rPr>
                <w:u w:val="single"/>
                <w:lang w:val="zh-CN"/>
              </w:rPr>
              <w:t>，</w:t>
            </w:r>
            <w:r>
              <w:rPr>
                <w:rFonts w:hint="eastAsia"/>
                <w:u w:val="single"/>
                <w:lang w:val="en-US" w:eastAsia="zh-CN"/>
              </w:rPr>
              <w:t>本项目在管理用房旁设置危废暂存间面积为10m</w:t>
            </w:r>
            <w:r>
              <w:rPr>
                <w:rFonts w:hint="eastAsia"/>
                <w:u w:val="single"/>
                <w:vertAlign w:val="superscript"/>
                <w:lang w:val="en-US" w:eastAsia="zh-CN"/>
              </w:rPr>
              <w:t>2</w:t>
            </w:r>
            <w:r>
              <w:rPr>
                <w:rFonts w:hint="eastAsia"/>
                <w:u w:val="single"/>
                <w:lang w:val="en-US" w:eastAsia="zh-CN"/>
              </w:rPr>
              <w:t>，</w:t>
            </w:r>
            <w:r>
              <w:rPr>
                <w:u w:val="single"/>
                <w:lang w:val="zh-CN"/>
              </w:rPr>
              <w:t>危废</w:t>
            </w:r>
            <w:r>
              <w:rPr>
                <w:rFonts w:hint="eastAsia"/>
                <w:u w:val="single"/>
              </w:rPr>
              <w:t>贮存间</w:t>
            </w:r>
            <w:r>
              <w:rPr>
                <w:u w:val="single"/>
                <w:lang w:val="zh-CN"/>
              </w:rPr>
              <w:t>应按以下要求设置：</w:t>
            </w:r>
          </w:p>
          <w:p w14:paraId="2D5DDBC8">
            <w:pPr>
              <w:bidi w:val="0"/>
              <w:rPr>
                <w:u w:val="single"/>
              </w:rPr>
            </w:pPr>
            <w:r>
              <w:rPr>
                <w:rFonts w:hint="eastAsia"/>
                <w:u w:val="single"/>
              </w:rPr>
              <w:t xml:space="preserve">①在暂存场所上空设有防雨淋设施，地面采取防渗措施，危险废物收集后分别临时贮存于废物收集桶内。 </w:t>
            </w:r>
          </w:p>
          <w:p w14:paraId="1B521AEF">
            <w:pPr>
              <w:bidi w:val="0"/>
              <w:rPr>
                <w:u w:val="single"/>
              </w:rPr>
            </w:pPr>
            <w:r>
              <w:rPr>
                <w:rFonts w:hint="eastAsia"/>
                <w:u w:val="single"/>
              </w:rPr>
              <w:t>②根据生产需要合理设置贮存量，尽量减少厂内的物料贮存量，产生的危险废物实行分类收集后置于危废贮存间内，贮存时限一般不得超过一年，并设专人管理；严禁将危险废物混入生活垃圾。</w:t>
            </w:r>
          </w:p>
          <w:p w14:paraId="77DEB447">
            <w:pPr>
              <w:bidi w:val="0"/>
              <w:rPr>
                <w:u w:val="single"/>
              </w:rPr>
            </w:pPr>
            <w:r>
              <w:rPr>
                <w:rFonts w:hint="eastAsia"/>
                <w:u w:val="single"/>
              </w:rPr>
              <w:t xml:space="preserve">③堆放危险废物的地方要有明显的标志，门外双锁双人管理制度并挂有危险品标识牌，堆放点要防雨、防渗、防漏，应按要求进行包装贮存，盛装危险废物的容器和包装物以及产生、收集、贮存、运输、处置危险废物的场所，必须依法设置相应标识、警示标志和标签，标签上应注明贮存的废物类别、危害性以及开始贮存时间等内容。 </w:t>
            </w:r>
          </w:p>
          <w:p w14:paraId="49ADFF2E">
            <w:pPr>
              <w:bidi w:val="0"/>
              <w:rPr>
                <w:u w:val="single"/>
              </w:rPr>
            </w:pPr>
            <w:r>
              <w:rPr>
                <w:rFonts w:hint="eastAsia"/>
                <w:u w:val="single"/>
              </w:rPr>
              <w:t xml:space="preserve">④室内上墙固废管理制度和固废产生工艺流程图及固废台账，台帐应如实记载产生危险废物的种类、数量、利用、贮存、处置、流向等信息，以此作为向当地环保部门申报危险废物管理计划的编制依据。 </w:t>
            </w:r>
          </w:p>
          <w:p w14:paraId="538661A3">
            <w:pPr>
              <w:bidi w:val="0"/>
              <w:rPr>
                <w:rFonts w:hint="eastAsia"/>
                <w:u w:val="single"/>
              </w:rPr>
            </w:pPr>
            <w:r>
              <w:rPr>
                <w:rFonts w:hint="eastAsia"/>
                <w:u w:val="single"/>
              </w:rPr>
              <w:t>⑤对危险废物的运输要求安全可靠，要严格按照危险废物运输的管理规定进行危险废物的运输，减少运输过程中的二次污染和可能造成的环境风险，运输车辆需有特殊标志。</w:t>
            </w:r>
          </w:p>
          <w:p w14:paraId="4F28AB31">
            <w:pPr>
              <w:bidi w:val="0"/>
              <w:rPr>
                <w:rFonts w:hint="eastAsia"/>
                <w:u w:val="single"/>
              </w:rPr>
            </w:pPr>
            <w:r>
              <w:rPr>
                <w:rFonts w:hint="eastAsia"/>
                <w:u w:val="single"/>
              </w:rPr>
              <w:t>按照上述规定对危废进行妥善处置后，在加强管理，并在落实好各项污染防治措施和固体废物综合利用等安全处置措施的前提下，本项目产生的固体废物对周围环境的影响较小。</w:t>
            </w:r>
          </w:p>
          <w:p w14:paraId="09ED7D89">
            <w:pPr>
              <w:ind w:firstLine="482"/>
              <w:rPr>
                <w:rFonts w:hint="eastAsia"/>
                <w:b/>
                <w:color w:val="auto"/>
                <w:u w:val="none" w:color="auto"/>
              </w:rPr>
            </w:pPr>
            <w:r>
              <w:rPr>
                <w:rFonts w:hint="eastAsia"/>
                <w:b/>
                <w:color w:val="auto"/>
                <w:u w:val="none" w:color="auto"/>
              </w:rPr>
              <w:t>3、危废环境管理要求</w:t>
            </w:r>
          </w:p>
          <w:p w14:paraId="2CCD29E3">
            <w:pPr>
              <w:widowControl/>
              <w:ind w:firstLine="480"/>
              <w:jc w:val="left"/>
              <w:rPr>
                <w:color w:val="auto"/>
                <w:u w:val="none" w:color="auto"/>
              </w:rPr>
            </w:pPr>
            <w:r>
              <w:rPr>
                <w:rFonts w:hint="eastAsia" w:cs="宋体"/>
                <w:bCs/>
                <w:color w:val="auto"/>
                <w:kern w:val="0"/>
                <w:u w:val="none" w:color="auto"/>
                <w:lang w:bidi="ar"/>
              </w:rPr>
              <w:t>对于危险废物规范化管理，企业严格按照《关于</w:t>
            </w:r>
            <w:r>
              <w:rPr>
                <w:bCs/>
                <w:color w:val="auto"/>
                <w:kern w:val="0"/>
                <w:u w:val="none" w:color="auto"/>
                <w:lang w:bidi="ar"/>
              </w:rPr>
              <w:t>&lt;</w:t>
            </w:r>
            <w:r>
              <w:rPr>
                <w:rFonts w:hint="eastAsia" w:cs="宋体"/>
                <w:bCs/>
                <w:color w:val="auto"/>
                <w:kern w:val="0"/>
                <w:u w:val="none" w:color="auto"/>
                <w:lang w:bidi="ar"/>
              </w:rPr>
              <w:t>印发危险废物规范化管理指标体系</w:t>
            </w:r>
            <w:r>
              <w:rPr>
                <w:bCs/>
                <w:color w:val="auto"/>
                <w:kern w:val="0"/>
                <w:u w:val="none" w:color="auto"/>
                <w:lang w:bidi="ar"/>
              </w:rPr>
              <w:t>&gt;</w:t>
            </w:r>
            <w:r>
              <w:rPr>
                <w:rFonts w:hint="eastAsia" w:cs="宋体"/>
                <w:bCs/>
                <w:color w:val="auto"/>
                <w:kern w:val="0"/>
                <w:u w:val="none" w:color="auto"/>
                <w:lang w:bidi="ar"/>
              </w:rPr>
              <w:t>的通知》（环办</w:t>
            </w:r>
            <w:r>
              <w:rPr>
                <w:rFonts w:hint="eastAsia" w:ascii="宋体" w:hAnsi="宋体" w:eastAsia="宋体" w:cs="宋体"/>
                <w:bCs/>
                <w:color w:val="auto"/>
                <w:kern w:val="0"/>
                <w:u w:val="none" w:color="auto"/>
                <w:lang w:bidi="ar"/>
              </w:rPr>
              <w:t>〔</w:t>
            </w:r>
            <w:r>
              <w:rPr>
                <w:bCs/>
                <w:color w:val="auto"/>
                <w:kern w:val="0"/>
                <w:u w:val="none" w:color="auto"/>
                <w:lang w:bidi="ar"/>
              </w:rPr>
              <w:t>2015</w:t>
            </w:r>
            <w:r>
              <w:rPr>
                <w:rFonts w:hint="eastAsia" w:ascii="宋体" w:hAnsi="宋体" w:eastAsia="宋体" w:cs="宋体"/>
                <w:bCs/>
                <w:color w:val="auto"/>
                <w:kern w:val="0"/>
                <w:u w:val="none" w:color="auto"/>
                <w:lang w:bidi="ar"/>
              </w:rPr>
              <w:t>〕</w:t>
            </w:r>
            <w:r>
              <w:rPr>
                <w:bCs/>
                <w:color w:val="auto"/>
                <w:kern w:val="0"/>
                <w:u w:val="none" w:color="auto"/>
                <w:lang w:bidi="ar"/>
              </w:rPr>
              <w:t xml:space="preserve">99 </w:t>
            </w:r>
            <w:r>
              <w:rPr>
                <w:rFonts w:hint="eastAsia" w:cs="宋体"/>
                <w:bCs/>
                <w:color w:val="auto"/>
                <w:kern w:val="0"/>
                <w:u w:val="none" w:color="auto"/>
                <w:lang w:bidi="ar"/>
              </w:rPr>
              <w:t xml:space="preserve">号）及《危险废物管理计划和管理台账制定技术导则》（HJ 12592022）的要求执行。具体要求如下： </w:t>
            </w:r>
          </w:p>
          <w:p w14:paraId="7B15724A">
            <w:pPr>
              <w:wordWrap w:val="0"/>
              <w:autoSpaceDE w:val="0"/>
              <w:autoSpaceDN w:val="0"/>
              <w:ind w:firstLine="480"/>
              <w:rPr>
                <w:rFonts w:hint="eastAsia"/>
                <w:color w:val="auto"/>
                <w:kern w:val="0"/>
                <w:szCs w:val="22"/>
                <w:u w:val="none" w:color="auto"/>
                <w:lang w:val="zh-CN" w:bidi="zh-CN"/>
              </w:rPr>
            </w:pPr>
            <w:r>
              <w:rPr>
                <w:rFonts w:hint="eastAsia"/>
                <w:color w:val="auto"/>
                <w:kern w:val="0"/>
                <w:szCs w:val="22"/>
                <w:u w:val="none" w:color="auto"/>
                <w:lang w:val="zh-CN" w:bidi="zh-CN"/>
              </w:rPr>
              <w:t>（</w:t>
            </w:r>
            <w:r>
              <w:rPr>
                <w:rFonts w:hint="eastAsia"/>
                <w:color w:val="auto"/>
                <w:kern w:val="0"/>
                <w:szCs w:val="22"/>
                <w:u w:val="none" w:color="auto"/>
                <w:lang w:bidi="zh-CN"/>
              </w:rPr>
              <w:t>1</w:t>
            </w:r>
            <w:r>
              <w:rPr>
                <w:rFonts w:hint="eastAsia"/>
                <w:color w:val="auto"/>
                <w:kern w:val="0"/>
                <w:szCs w:val="22"/>
                <w:u w:val="none" w:color="auto"/>
                <w:lang w:val="zh-CN" w:bidi="zh-CN"/>
              </w:rPr>
              <w:t>）委托处置环节污染防控技术要求</w:t>
            </w:r>
          </w:p>
          <w:p w14:paraId="266DB116">
            <w:pPr>
              <w:widowControl/>
              <w:ind w:firstLine="480"/>
              <w:jc w:val="left"/>
              <w:rPr>
                <w:rFonts w:hint="eastAsia"/>
                <w:color w:val="auto"/>
                <w:u w:val="none" w:color="auto"/>
              </w:rPr>
            </w:pPr>
            <w:r>
              <w:rPr>
                <w:rFonts w:hint="eastAsia"/>
                <w:color w:val="auto"/>
                <w:u w:val="none" w:color="auto"/>
              </w:rPr>
              <w:t>排污单位委托他人运输、利用、处置危险废物的，应落实《中华人民共和国固体废物污染环境防治法》等法律法规要求，对受托方的主体资格和技术能进行核实，依法签订书面合同，在合同中约定污染防治要求</w:t>
            </w:r>
            <w:r>
              <w:rPr>
                <w:rFonts w:hint="eastAsia"/>
                <w:color w:val="auto"/>
                <w:u w:val="none" w:color="auto"/>
                <w:lang w:eastAsia="zh-CN"/>
              </w:rPr>
              <w:t>；</w:t>
            </w:r>
            <w:r>
              <w:rPr>
                <w:rFonts w:hint="eastAsia"/>
                <w:color w:val="auto"/>
                <w:u w:val="none" w:color="auto"/>
              </w:rPr>
              <w:t>转移危险废物的，应当按照国家有关规定填写、运行危险废物转移联单等。</w:t>
            </w:r>
          </w:p>
          <w:p w14:paraId="10B178DD">
            <w:pPr>
              <w:ind w:firstLine="480"/>
              <w:rPr>
                <w:rFonts w:hint="eastAsia" w:cs="宋体"/>
                <w:color w:val="auto"/>
                <w:kern w:val="0"/>
                <w:u w:val="none" w:color="auto"/>
                <w:lang w:bidi="ar"/>
              </w:rPr>
            </w:pPr>
            <w:r>
              <w:rPr>
                <w:rFonts w:hint="eastAsia" w:cs="宋体"/>
                <w:color w:val="auto"/>
                <w:kern w:val="0"/>
                <w:u w:val="none" w:color="auto"/>
                <w:lang w:bidi="ar"/>
              </w:rPr>
              <w:t>（2）环境管理台账记录要求</w:t>
            </w:r>
          </w:p>
          <w:p w14:paraId="209ED8D9">
            <w:pPr>
              <w:ind w:firstLine="480"/>
              <w:rPr>
                <w:rFonts w:hint="eastAsia" w:cs="宋体"/>
                <w:color w:val="auto"/>
                <w:kern w:val="0"/>
                <w:u w:val="none" w:color="auto"/>
                <w:lang w:bidi="ar"/>
              </w:rPr>
            </w:pPr>
            <w:r>
              <w:rPr>
                <w:rFonts w:hint="eastAsia" w:cs="宋体"/>
                <w:color w:val="auto"/>
                <w:kern w:val="0"/>
                <w:u w:val="none" w:color="auto"/>
                <w:lang w:bidi="ar"/>
              </w:rPr>
              <w:t>环境管理台账记录要求如下：</w:t>
            </w:r>
          </w:p>
          <w:p w14:paraId="399250A8">
            <w:pPr>
              <w:pStyle w:val="44"/>
              <w:bidi w:val="0"/>
            </w:pPr>
            <w:r>
              <w:rPr>
                <w:rFonts w:hint="eastAsia"/>
              </w:rPr>
              <w:t>表</w:t>
            </w:r>
            <w:r>
              <w:rPr>
                <w:rFonts w:hint="eastAsia"/>
                <w:lang w:val="en-US" w:eastAsia="zh-CN"/>
              </w:rPr>
              <w:t>4.5-3：</w:t>
            </w:r>
            <w:r>
              <w:rPr>
                <w:rFonts w:hint="eastAsia"/>
              </w:rPr>
              <w:t>环境管理台账记录要求</w:t>
            </w:r>
          </w:p>
          <w:tbl>
            <w:tblPr>
              <w:tblStyle w:val="38"/>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9"/>
              <w:gridCol w:w="2778"/>
              <w:gridCol w:w="1213"/>
              <w:gridCol w:w="1556"/>
            </w:tblGrid>
            <w:tr w14:paraId="6A66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8" w:type="pct"/>
                  <w:noWrap w:val="0"/>
                  <w:vAlign w:val="center"/>
                </w:tcPr>
                <w:p w14:paraId="451B7566">
                  <w:pPr>
                    <w:pStyle w:val="115"/>
                    <w:bidi w:val="0"/>
                    <w:rPr>
                      <w:rFonts w:hint="eastAsia"/>
                      <w:b/>
                      <w:bCs/>
                    </w:rPr>
                  </w:pPr>
                  <w:r>
                    <w:rPr>
                      <w:rFonts w:hint="eastAsia"/>
                      <w:b/>
                      <w:bCs/>
                    </w:rPr>
                    <w:t>记录内容</w:t>
                  </w:r>
                </w:p>
              </w:tc>
              <w:tc>
                <w:tcPr>
                  <w:tcW w:w="1608" w:type="pct"/>
                  <w:noWrap w:val="0"/>
                  <w:vAlign w:val="center"/>
                </w:tcPr>
                <w:p w14:paraId="0DCA99DC">
                  <w:pPr>
                    <w:pStyle w:val="115"/>
                    <w:bidi w:val="0"/>
                    <w:rPr>
                      <w:b/>
                      <w:bCs/>
                    </w:rPr>
                  </w:pPr>
                  <w:r>
                    <w:rPr>
                      <w:rFonts w:hint="eastAsia"/>
                      <w:b/>
                      <w:bCs/>
                    </w:rPr>
                    <w:t>记录频次</w:t>
                  </w:r>
                </w:p>
              </w:tc>
              <w:tc>
                <w:tcPr>
                  <w:tcW w:w="1142" w:type="dxa"/>
                  <w:noWrap w:val="0"/>
                  <w:vAlign w:val="center"/>
                </w:tcPr>
                <w:p w14:paraId="5146F2F1">
                  <w:pPr>
                    <w:pStyle w:val="115"/>
                    <w:bidi w:val="0"/>
                    <w:rPr>
                      <w:b/>
                      <w:bCs/>
                    </w:rPr>
                  </w:pPr>
                  <w:r>
                    <w:rPr>
                      <w:rFonts w:hint="eastAsia"/>
                      <w:b/>
                      <w:bCs/>
                    </w:rPr>
                    <w:t>记录类型</w:t>
                  </w:r>
                </w:p>
              </w:tc>
              <w:tc>
                <w:tcPr>
                  <w:tcW w:w="1464" w:type="dxa"/>
                  <w:noWrap w:val="0"/>
                  <w:vAlign w:val="center"/>
                </w:tcPr>
                <w:p w14:paraId="130647A3">
                  <w:pPr>
                    <w:pStyle w:val="115"/>
                    <w:bidi w:val="0"/>
                    <w:rPr>
                      <w:b/>
                      <w:bCs/>
                    </w:rPr>
                  </w:pPr>
                  <w:r>
                    <w:rPr>
                      <w:rFonts w:hint="eastAsia"/>
                      <w:b/>
                      <w:bCs/>
                    </w:rPr>
                    <w:t>保存时间</w:t>
                  </w:r>
                </w:p>
              </w:tc>
            </w:tr>
            <w:tr w14:paraId="3CC5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8" w:type="pct"/>
                  <w:noWrap w:val="0"/>
                  <w:vAlign w:val="center"/>
                </w:tcPr>
                <w:p w14:paraId="67A4D3FF">
                  <w:pPr>
                    <w:pStyle w:val="115"/>
                    <w:bidi w:val="0"/>
                  </w:pPr>
                  <w:r>
                    <w:t>根据《危险废物管理计划和管理台账制定技术导则》（HJ 1259-2022）6.3及附录B的记录内容，产生危险废物的单位应记录危险废物产生、贮存、利用、处置等环节的动态流向。</w:t>
                  </w:r>
                </w:p>
              </w:tc>
              <w:tc>
                <w:tcPr>
                  <w:tcW w:w="1608" w:type="pct"/>
                  <w:noWrap w:val="0"/>
                  <w:vAlign w:val="center"/>
                </w:tcPr>
                <w:p w14:paraId="7FE3153F">
                  <w:pPr>
                    <w:pStyle w:val="115"/>
                    <w:bidi w:val="0"/>
                  </w:pPr>
                  <w:r>
                    <w:t>产生后盛放至容器和包装物的，应按每个容器和包装物进行记录；产生后采用管道等方式输送至贮存场所的，按日记录；其他特殊情形的，根据危险废物产生规律确定记录频次。</w:t>
                  </w:r>
                </w:p>
              </w:tc>
              <w:tc>
                <w:tcPr>
                  <w:tcW w:w="702" w:type="pct"/>
                  <w:noWrap w:val="0"/>
                  <w:vAlign w:val="center"/>
                </w:tcPr>
                <w:p w14:paraId="6F6009D2">
                  <w:pPr>
                    <w:pStyle w:val="115"/>
                    <w:bidi w:val="0"/>
                  </w:pPr>
                  <w:r>
                    <w:t>电子台账+纸质台账</w:t>
                  </w:r>
                </w:p>
              </w:tc>
              <w:tc>
                <w:tcPr>
                  <w:tcW w:w="900" w:type="pct"/>
                  <w:noWrap w:val="0"/>
                  <w:vAlign w:val="center"/>
                </w:tcPr>
                <w:p w14:paraId="5D09C1A6">
                  <w:pPr>
                    <w:pStyle w:val="115"/>
                    <w:bidi w:val="0"/>
                  </w:pPr>
                  <w:r>
                    <w:t>危废台账保存期限不得少于</w:t>
                  </w:r>
                  <w:r>
                    <w:rPr>
                      <w:rFonts w:hint="eastAsia"/>
                      <w:lang w:val="en-US" w:eastAsia="zh-CN"/>
                    </w:rPr>
                    <w:t>5</w:t>
                  </w:r>
                  <w:r>
                    <w:t>年</w:t>
                  </w:r>
                </w:p>
              </w:tc>
            </w:tr>
          </w:tbl>
          <w:p w14:paraId="3EAE84E8">
            <w:pPr>
              <w:ind w:firstLine="480"/>
              <w:rPr>
                <w:rFonts w:hint="eastAsia"/>
                <w:color w:val="auto"/>
                <w:u w:val="none" w:color="auto"/>
              </w:rPr>
            </w:pPr>
            <w:r>
              <w:rPr>
                <w:rFonts w:hint="eastAsia"/>
                <w:color w:val="auto"/>
                <w:u w:val="none" w:color="auto"/>
              </w:rPr>
              <w:t>综上所述，项目固废能综合利用的综合利用，不能综合利用的得到有效、合理、安全处置，对环境影响较小。</w:t>
            </w:r>
          </w:p>
          <w:p w14:paraId="466FA7FA">
            <w:pPr>
              <w:pStyle w:val="4"/>
              <w:bidi w:val="0"/>
              <w:rPr>
                <w:rFonts w:hint="eastAsia"/>
                <w:lang w:val="en-US" w:eastAsia="zh-CN"/>
              </w:rPr>
            </w:pPr>
            <w:bookmarkStart w:id="103" w:name="_Toc29009"/>
            <w:bookmarkStart w:id="104" w:name="_Toc16703"/>
            <w:bookmarkStart w:id="105" w:name="_Toc12712"/>
            <w:r>
              <w:rPr>
                <w:rFonts w:hint="eastAsia"/>
                <w:lang w:val="en-US" w:eastAsia="zh-CN"/>
              </w:rPr>
              <w:t>4.6地下水、土壤环境影响分析</w:t>
            </w:r>
            <w:bookmarkEnd w:id="103"/>
            <w:bookmarkEnd w:id="104"/>
            <w:bookmarkEnd w:id="105"/>
          </w:p>
          <w:p w14:paraId="1AAA05E6">
            <w:pPr>
              <w:keepNext w:val="0"/>
              <w:keepLines w:val="0"/>
              <w:pageBreakBefore w:val="0"/>
              <w:widowControl w:val="0"/>
              <w:kinsoku/>
              <w:wordWrap/>
              <w:overflowPunct/>
              <w:topLinePunct w:val="0"/>
              <w:autoSpaceDE/>
              <w:autoSpaceDN/>
              <w:bidi w:val="0"/>
              <w:adjustRightInd/>
              <w:snapToGrid/>
              <w:ind w:firstLine="480"/>
              <w:jc w:val="both"/>
              <w:textAlignment w:val="auto"/>
              <w:rPr>
                <w:rFonts w:hint="default" w:eastAsia="宋体"/>
                <w:b/>
                <w:bCs/>
                <w:color w:val="000000"/>
                <w:u w:val="none" w:color="auto"/>
                <w:lang w:val="en-US" w:eastAsia="zh-CN"/>
              </w:rPr>
            </w:pPr>
            <w:r>
              <w:rPr>
                <w:rFonts w:hint="eastAsia"/>
                <w:b/>
                <w:bCs/>
                <w:color w:val="000000"/>
                <w:u w:val="none" w:color="auto"/>
                <w:lang w:eastAsia="zh-CN"/>
              </w:rPr>
              <w:t>（</w:t>
            </w:r>
            <w:r>
              <w:rPr>
                <w:rFonts w:hint="eastAsia"/>
                <w:b/>
                <w:bCs/>
                <w:color w:val="000000"/>
                <w:u w:val="none" w:color="auto"/>
                <w:lang w:val="en-US" w:eastAsia="zh-CN"/>
              </w:rPr>
              <w:t>1</w:t>
            </w:r>
            <w:r>
              <w:rPr>
                <w:rFonts w:hint="eastAsia"/>
                <w:b/>
                <w:bCs/>
                <w:color w:val="000000"/>
                <w:u w:val="none" w:color="auto"/>
                <w:lang w:eastAsia="zh-CN"/>
              </w:rPr>
              <w:t>）</w:t>
            </w:r>
            <w:r>
              <w:rPr>
                <w:rFonts w:hint="eastAsia"/>
                <w:b/>
                <w:bCs/>
                <w:color w:val="000000"/>
                <w:u w:val="none" w:color="auto"/>
                <w:lang w:val="en-US" w:eastAsia="zh-CN"/>
              </w:rPr>
              <w:t>等级判定</w:t>
            </w:r>
          </w:p>
          <w:p w14:paraId="0E217C16">
            <w:pPr>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cs="Times New Roman"/>
                <w:color w:val="auto"/>
                <w:u w:val="none" w:color="auto"/>
              </w:rPr>
            </w:pPr>
            <w:r>
              <w:rPr>
                <w:rFonts w:hint="eastAsia"/>
                <w:color w:val="000000"/>
                <w:u w:val="none" w:color="auto"/>
              </w:rPr>
              <w:t>根据《城市建筑垃圾管理规定》、《中华人民共和国固体废物污染环境防治法》及释义等固体废物的分类界定，本项目服务对象的施工渣土定性为城市垃圾范畴中的建筑垃圾，不属于工业固体废物范畴，因此不按一般工业固体废物管理</w:t>
            </w:r>
            <w:r>
              <w:rPr>
                <w:rFonts w:hint="eastAsia" w:cs="宋体"/>
                <w:color w:val="000000"/>
                <w:spacing w:val="-1"/>
                <w:kern w:val="0"/>
                <w:u w:val="none" w:color="auto"/>
                <w:lang w:val="zh-CN" w:bidi="zh-CN"/>
              </w:rPr>
              <w:t>。根据《环境影响评价技术导则</w:t>
            </w:r>
            <w:r>
              <w:rPr>
                <w:rFonts w:hint="eastAsia" w:cs="宋体"/>
                <w:color w:val="000000"/>
                <w:spacing w:val="-1"/>
                <w:kern w:val="0"/>
                <w:u w:val="none" w:color="auto"/>
                <w:lang w:val="en-US" w:bidi="zh-CN"/>
              </w:rPr>
              <w:t xml:space="preserve"> </w:t>
            </w:r>
            <w:r>
              <w:rPr>
                <w:rFonts w:hint="eastAsia" w:cs="宋体"/>
                <w:color w:val="000000"/>
                <w:spacing w:val="-1"/>
                <w:kern w:val="0"/>
                <w:u w:val="none" w:color="auto"/>
                <w:lang w:val="zh-CN" w:bidi="zh-CN"/>
              </w:rPr>
              <w:t>地下水环境》（HJ610—2016）附录 A，本项目不属于“工业固体废物（含污泥）集中处置”中 I、II、III 类，因此本项目不开展地下水环境影响评价。</w:t>
            </w:r>
          </w:p>
          <w:p w14:paraId="4F92D340">
            <w:pPr>
              <w:ind w:firstLine="480"/>
              <w:rPr>
                <w:rFonts w:hint="eastAsia"/>
                <w:color w:val="000000"/>
                <w:u w:val="none" w:color="auto"/>
              </w:rPr>
            </w:pPr>
            <w:r>
              <w:rPr>
                <w:color w:val="000000"/>
                <w:u w:val="none" w:color="auto"/>
              </w:rPr>
              <w:t>根据《环境影响评价技术导则</w:t>
            </w:r>
            <w:r>
              <w:rPr>
                <w:rFonts w:hint="eastAsia"/>
                <w:color w:val="000000"/>
                <w:u w:val="none" w:color="auto"/>
                <w:lang w:val="en-US" w:eastAsia="zh-CN"/>
              </w:rPr>
              <w:t xml:space="preserve"> </w:t>
            </w:r>
            <w:r>
              <w:rPr>
                <w:color w:val="000000"/>
                <w:u w:val="none" w:color="auto"/>
              </w:rPr>
              <w:t>土壤环境》（HJ964-2018）附录A</w:t>
            </w:r>
            <w:r>
              <w:rPr>
                <w:rFonts w:hint="eastAsia"/>
                <w:color w:val="000000"/>
                <w:u w:val="none" w:color="auto"/>
              </w:rPr>
              <w:t>，本项目属于“环境和公共设施管理业”——“其他”</w:t>
            </w:r>
            <w:r>
              <w:rPr>
                <w:color w:val="000000"/>
                <w:u w:val="none" w:color="auto"/>
              </w:rPr>
              <w:t>，类别为IV类，因此可不开展土壤环境影响评价</w:t>
            </w:r>
            <w:r>
              <w:rPr>
                <w:rFonts w:hint="eastAsia"/>
                <w:color w:val="000000"/>
                <w:u w:val="none" w:color="auto"/>
              </w:rPr>
              <w:t>。</w:t>
            </w:r>
          </w:p>
          <w:p w14:paraId="056B1905">
            <w:pPr>
              <w:pStyle w:val="21"/>
              <w:rPr>
                <w:rFonts w:hint="eastAsia" w:eastAsia="宋体"/>
                <w:lang w:val="en-US" w:eastAsia="zh-CN"/>
              </w:rPr>
            </w:pPr>
            <w:r>
              <w:rPr>
                <w:rFonts w:hint="eastAsia"/>
                <w:color w:val="000000"/>
                <w:u w:val="none" w:color="auto"/>
                <w:lang w:val="en-US" w:eastAsia="zh-CN"/>
              </w:rPr>
              <w:t>但根据</w:t>
            </w:r>
            <w:r>
              <w:rPr>
                <w:rFonts w:hint="eastAsia" w:ascii="Times New Roman" w:hAnsi="Times New Roman" w:cs="Times New Roman"/>
                <w:u w:val="none"/>
                <w:lang w:val="en-US" w:eastAsia="zh-CN"/>
              </w:rPr>
              <w:t>《建筑垃圾污染控制技术规范》HJ1462-2026第7.2.3堆填利用前应开展环境本底调查，包括堆填利用区域的土壤环境、地下水环境以及地表水环境等，可参考已有的环境影响评价以及相关水文地质资料。因此本环评对项目</w:t>
            </w:r>
            <w:r>
              <w:rPr>
                <w:rFonts w:hint="eastAsia"/>
                <w:color w:val="auto"/>
                <w:highlight w:val="none"/>
                <w:lang w:val="en-US" w:eastAsia="zh-CN"/>
              </w:rPr>
              <w:t>建筑垃圾消纳场</w:t>
            </w:r>
            <w:r>
              <w:rPr>
                <w:rFonts w:hint="eastAsia" w:ascii="Times New Roman" w:hAnsi="Times New Roman" w:cs="Times New Roman"/>
                <w:u w:val="none"/>
                <w:lang w:val="en-US" w:eastAsia="zh-CN"/>
              </w:rPr>
              <w:t>中部进行了土壤环境现状本底调查，对项目</w:t>
            </w:r>
            <w:r>
              <w:rPr>
                <w:rFonts w:hint="eastAsia"/>
                <w:color w:val="auto"/>
                <w:highlight w:val="none"/>
                <w:lang w:val="en-US" w:eastAsia="zh-CN"/>
              </w:rPr>
              <w:t>建筑垃圾消纳场</w:t>
            </w:r>
            <w:r>
              <w:rPr>
                <w:rFonts w:hint="eastAsia" w:ascii="Times New Roman" w:hAnsi="Times New Roman" w:cs="Times New Roman"/>
                <w:u w:val="none"/>
                <w:lang w:val="en-US" w:eastAsia="zh-CN"/>
              </w:rPr>
              <w:t>下游进行了地下水环境现状本底调查。结合检测结果可知，</w:t>
            </w:r>
            <w:r>
              <w:rPr>
                <w:rFonts w:ascii="Times New Roman" w:hAnsi="Times New Roman" w:cs="Times New Roman"/>
                <w:color w:val="auto"/>
                <w:spacing w:val="4"/>
                <w:sz w:val="24"/>
                <w:u w:val="none" w:color="auto"/>
              </w:rPr>
              <w:t>区域土壤</w:t>
            </w:r>
            <w:r>
              <w:rPr>
                <w:rFonts w:hint="eastAsia" w:ascii="Times New Roman" w:hAnsi="Times New Roman" w:cs="Times New Roman"/>
                <w:color w:val="auto"/>
                <w:spacing w:val="4"/>
                <w:sz w:val="24"/>
                <w:u w:val="none" w:color="auto"/>
                <w:lang w:eastAsia="zh-CN"/>
              </w:rPr>
              <w:t>、</w:t>
            </w:r>
            <w:r>
              <w:rPr>
                <w:rFonts w:hint="eastAsia" w:ascii="Times New Roman" w:hAnsi="Times New Roman" w:cs="Times New Roman"/>
                <w:color w:val="auto"/>
                <w:spacing w:val="4"/>
                <w:sz w:val="24"/>
                <w:u w:val="none" w:color="auto"/>
                <w:lang w:val="en-US" w:eastAsia="zh-CN"/>
              </w:rPr>
              <w:t>地下水</w:t>
            </w:r>
            <w:r>
              <w:rPr>
                <w:rFonts w:ascii="Times New Roman" w:hAnsi="Times New Roman" w:cs="Times New Roman"/>
                <w:color w:val="auto"/>
                <w:spacing w:val="4"/>
                <w:sz w:val="24"/>
                <w:u w:val="none" w:color="auto"/>
              </w:rPr>
              <w:t>环境质量均能达到相应功能要求</w:t>
            </w:r>
            <w:r>
              <w:rPr>
                <w:rFonts w:hint="eastAsia" w:ascii="Times New Roman" w:hAnsi="Times New Roman" w:cs="Times New Roman"/>
                <w:color w:val="auto"/>
                <w:spacing w:val="4"/>
                <w:sz w:val="24"/>
                <w:u w:val="none" w:color="auto"/>
                <w:lang w:eastAsia="zh-CN"/>
              </w:rPr>
              <w:t>。</w:t>
            </w:r>
          </w:p>
          <w:p w14:paraId="3C30640A">
            <w:pPr>
              <w:spacing w:after="2"/>
              <w:ind w:firstLine="480"/>
              <w:rPr>
                <w:rFonts w:hint="default" w:eastAsia="宋体"/>
                <w:b/>
                <w:bCs/>
                <w:color w:val="000000"/>
                <w:u w:val="none" w:color="auto"/>
                <w:lang w:val="en-US" w:eastAsia="zh-CN"/>
              </w:rPr>
            </w:pPr>
            <w:r>
              <w:rPr>
                <w:rFonts w:hint="eastAsia"/>
                <w:b/>
                <w:bCs/>
                <w:color w:val="000000"/>
                <w:u w:val="none" w:color="auto"/>
                <w:lang w:eastAsia="zh-CN"/>
              </w:rPr>
              <w:t>（</w:t>
            </w:r>
            <w:r>
              <w:rPr>
                <w:rFonts w:hint="eastAsia"/>
                <w:b/>
                <w:bCs/>
                <w:color w:val="000000"/>
                <w:u w:val="none" w:color="auto"/>
                <w:lang w:val="en-US" w:eastAsia="zh-CN"/>
              </w:rPr>
              <w:t>2</w:t>
            </w:r>
            <w:r>
              <w:rPr>
                <w:rFonts w:hint="eastAsia"/>
                <w:b/>
                <w:bCs/>
                <w:color w:val="000000"/>
                <w:u w:val="none" w:color="auto"/>
                <w:lang w:eastAsia="zh-CN"/>
              </w:rPr>
              <w:t>）</w:t>
            </w:r>
            <w:r>
              <w:rPr>
                <w:rFonts w:hint="eastAsia"/>
                <w:b/>
                <w:bCs/>
                <w:color w:val="000000"/>
                <w:u w:val="none" w:color="auto"/>
                <w:lang w:val="en-US" w:eastAsia="zh-CN"/>
              </w:rPr>
              <w:t>影响分析</w:t>
            </w:r>
          </w:p>
          <w:p w14:paraId="303E7283">
            <w:pPr>
              <w:spacing w:after="2"/>
              <w:ind w:firstLine="480"/>
              <w:rPr>
                <w:rFonts w:hint="eastAsia"/>
                <w:color w:val="000000"/>
                <w:u w:val="none" w:color="auto"/>
                <w:lang w:val="en-US" w:eastAsia="zh-CN"/>
              </w:rPr>
            </w:pPr>
            <w:r>
              <w:rPr>
                <w:color w:val="000000"/>
                <w:u w:val="none" w:color="auto"/>
              </w:rPr>
              <w:t>本项目生产</w:t>
            </w:r>
            <w:r>
              <w:rPr>
                <w:rFonts w:hint="eastAsia"/>
                <w:color w:val="000000"/>
                <w:u w:val="none" w:color="auto"/>
                <w:lang w:val="en-US" w:eastAsia="zh-CN"/>
              </w:rPr>
              <w:t>废水主要为洗车废水、堆填场矿坑积水（淋滤水），其中洗车废水经洗车废水沉淀池沉淀后循环使用，不外排，堆填场矿坑积水（淋滤水）经淋滤水沉淀池沉淀后外排，洗车废水沉淀池、淋滤水沉淀池采用混凝土结构，具有防渗、防腐功能，正常使用不会出现下渗情况；项目洒水降尘用水利用沉淀后的淋滤水或自来水进行洒水降尘。</w:t>
            </w:r>
          </w:p>
          <w:p w14:paraId="08AEB504">
            <w:pPr>
              <w:spacing w:after="2"/>
              <w:ind w:firstLine="480"/>
              <w:rPr>
                <w:color w:val="000000"/>
                <w:u w:val="single" w:color="auto"/>
              </w:rPr>
            </w:pPr>
            <w:r>
              <w:rPr>
                <w:rFonts w:hint="eastAsia"/>
                <w:color w:val="000000"/>
                <w:u w:val="single" w:color="auto"/>
              </w:rPr>
              <w:t>本项目场地所在区域无地下水集中供水水源地，也不在地下水集中供水水源补给区，项目场地不在洪泛区和泄洪道，不属于活动的坍塌地带，无地下蕴矿区，无灰岩坑和溶岩洞</w:t>
            </w:r>
            <w:r>
              <w:rPr>
                <w:rFonts w:hint="eastAsia"/>
                <w:color w:val="000000"/>
                <w:u w:val="single" w:color="auto"/>
                <w:lang w:val="en-US" w:eastAsia="zh-CN"/>
              </w:rPr>
              <w:t>，淋滤水水质参考《保靖县建筑垃圾资源化处置利用项目环境影响报告表》项目淋滤水排放口中淋滤水水质、《呼和浩特市玉泉区小黑河镇茂林太村建筑垃圾消纳场项目竣工环境保护验收监测报告表》项目填埋区调节池水质，具体监测结果详见下表4.3-2、4.3-3，本项目淋滤水沉淀后可以稳定达到《污水综合排放标准》（GB8978-1996）一级标准，因此本项目建筑垃圾堆填场不会因为淋滤水水质下渗区域土壤环境进而污染地下水环境</w:t>
            </w:r>
            <w:r>
              <w:rPr>
                <w:color w:val="000000"/>
                <w:u w:val="single" w:color="auto"/>
              </w:rPr>
              <w:t>。</w:t>
            </w:r>
          </w:p>
          <w:p w14:paraId="26C3A7B5">
            <w:pPr>
              <w:bidi w:val="0"/>
              <w:rPr>
                <w:rFonts w:hint="eastAsia"/>
                <w:lang w:val="en-US" w:eastAsia="zh-CN"/>
              </w:rPr>
            </w:pPr>
            <w:r>
              <w:rPr>
                <w:rFonts w:hint="eastAsia"/>
                <w:lang w:val="en-US" w:eastAsia="zh-CN"/>
              </w:rPr>
              <w:t>同时在建筑垃圾堆填场库区外围、场区内西至东侧一侧设置排水沟</w:t>
            </w:r>
            <w:r>
              <w:t>，在雨季可有效截排走场地周边的雨水</w:t>
            </w:r>
            <w:r>
              <w:rPr>
                <w:rFonts w:hint="eastAsia"/>
                <w:lang w:eastAsia="zh-CN"/>
              </w:rPr>
              <w:t>，</w:t>
            </w:r>
            <w:r>
              <w:rPr>
                <w:rFonts w:hint="eastAsia"/>
                <w:lang w:val="en-US" w:eastAsia="zh-CN"/>
              </w:rPr>
              <w:t>同时因项目一期工程是利用历史遗留矿坑建设消纳场，矿坑较深且无法修建进入矿坑内的道路，在堆填场矿坑底部设置抽水管道，通过抽水泵将底部积水抽上来再泵送至淋滤水沉淀水池（30m</w:t>
            </w:r>
            <w:r>
              <w:rPr>
                <w:rFonts w:hint="eastAsia"/>
                <w:vertAlign w:val="superscript"/>
                <w:lang w:val="en-US" w:eastAsia="zh-CN"/>
              </w:rPr>
              <w:t>3</w:t>
            </w:r>
            <w:r>
              <w:rPr>
                <w:rFonts w:hint="eastAsia"/>
                <w:lang w:val="en-US" w:eastAsia="zh-CN"/>
              </w:rPr>
              <w:t>）沉淀后外排。</w:t>
            </w:r>
          </w:p>
          <w:p w14:paraId="544D63FA">
            <w:pPr>
              <w:bidi w:val="0"/>
              <w:rPr>
                <w:rFonts w:hint="eastAsia"/>
              </w:rPr>
            </w:pPr>
            <w:r>
              <w:t>本</w:t>
            </w:r>
            <w:r>
              <w:rPr>
                <w:rFonts w:hint="eastAsia"/>
                <w:lang w:val="en-US" w:eastAsia="zh-CN"/>
              </w:rPr>
              <w:t>堆填场</w:t>
            </w:r>
            <w:r>
              <w:t>堆积物为</w:t>
            </w:r>
            <w:r>
              <w:rPr>
                <w:rFonts w:hint="eastAsia"/>
                <w:lang w:val="en-US" w:eastAsia="zh-CN"/>
              </w:rPr>
              <w:t>洪江市</w:t>
            </w:r>
            <w:r>
              <w:rPr>
                <w:rFonts w:hint="eastAsia"/>
              </w:rPr>
              <w:t>建筑垃圾</w:t>
            </w:r>
            <w:r>
              <w:t>，与场地本底物质成分基本一致，无其他有毒有害成分，故少量下渗水对区域地下水的影响也较小。因此，弃渣场对区域地下水影响较小</w:t>
            </w:r>
            <w:r>
              <w:rPr>
                <w:rFonts w:hint="eastAsia"/>
              </w:rPr>
              <w:t>，对区域土壤影响也较小</w:t>
            </w:r>
            <w:r>
              <w:t>。</w:t>
            </w:r>
          </w:p>
          <w:p w14:paraId="1710BCCE">
            <w:pPr>
              <w:bidi w:val="0"/>
              <w:rPr>
                <w:rFonts w:hint="eastAsia"/>
                <w:u w:val="single"/>
              </w:rPr>
            </w:pPr>
            <w:r>
              <w:rPr>
                <w:rFonts w:hint="eastAsia"/>
                <w:u w:val="single"/>
              </w:rPr>
              <w:t>考虑项目</w:t>
            </w:r>
            <w:r>
              <w:rPr>
                <w:rFonts w:hint="eastAsia"/>
                <w:u w:val="single"/>
                <w:lang w:val="en-US" w:eastAsia="zh-CN"/>
              </w:rPr>
              <w:t>设有</w:t>
            </w:r>
            <w:r>
              <w:rPr>
                <w:rFonts w:hint="eastAsia"/>
                <w:u w:val="single"/>
                <w:lang w:eastAsia="zh-CN"/>
              </w:rPr>
              <w:t>沉淀池等，</w:t>
            </w:r>
            <w:r>
              <w:rPr>
                <w:rFonts w:hint="eastAsia"/>
                <w:u w:val="single"/>
              </w:rPr>
              <w:t>本环评着重考虑</w:t>
            </w:r>
            <w:r>
              <w:rPr>
                <w:rFonts w:hint="eastAsia"/>
                <w:u w:val="single"/>
                <w:lang w:eastAsia="zh-CN"/>
              </w:rPr>
              <w:t>沉淀池</w:t>
            </w:r>
            <w:r>
              <w:rPr>
                <w:rFonts w:hint="eastAsia"/>
                <w:u w:val="single"/>
              </w:rPr>
              <w:t>对地下水污染，具体如下：</w:t>
            </w:r>
          </w:p>
          <w:p w14:paraId="61BB7AE9">
            <w:pPr>
              <w:bidi w:val="0"/>
              <w:rPr>
                <w:u w:val="single"/>
              </w:rPr>
            </w:pPr>
            <w:r>
              <w:rPr>
                <w:rFonts w:hint="eastAsia"/>
                <w:u w:val="single"/>
              </w:rPr>
              <w:t>①</w:t>
            </w:r>
            <w:r>
              <w:rPr>
                <w:rFonts w:hint="eastAsia"/>
                <w:u w:val="single"/>
                <w:lang w:eastAsia="zh-CN"/>
              </w:rPr>
              <w:t>沉淀池</w:t>
            </w:r>
            <w:r>
              <w:rPr>
                <w:rFonts w:hint="eastAsia"/>
                <w:u w:val="single"/>
              </w:rPr>
              <w:t xml:space="preserve">废水收集、处理系统防渗措施不当造成污水直接下渗，影响区域周围地区浅层地下水。 </w:t>
            </w:r>
          </w:p>
          <w:p w14:paraId="07A23A96">
            <w:pPr>
              <w:bidi w:val="0"/>
              <w:rPr>
                <w:u w:val="single"/>
              </w:rPr>
            </w:pPr>
            <w:r>
              <w:rPr>
                <w:rFonts w:hint="eastAsia"/>
                <w:u w:val="single"/>
              </w:rPr>
              <w:t>②</w:t>
            </w:r>
            <w:r>
              <w:rPr>
                <w:rFonts w:hint="eastAsia"/>
                <w:u w:val="single"/>
                <w:lang w:val="en-US" w:eastAsia="zh-CN"/>
              </w:rPr>
              <w:t>库区地下水收集与导排系统破损污染区域地下水环境</w:t>
            </w:r>
            <w:r>
              <w:rPr>
                <w:rFonts w:hint="eastAsia"/>
                <w:u w:val="single"/>
              </w:rPr>
              <w:t xml:space="preserve">。 </w:t>
            </w:r>
          </w:p>
          <w:p w14:paraId="09496EE0">
            <w:pPr>
              <w:bidi w:val="0"/>
              <w:rPr>
                <w:u w:val="single"/>
              </w:rPr>
            </w:pPr>
            <w:r>
              <w:rPr>
                <w:u w:val="single"/>
              </w:rPr>
              <w:t>本项目地下水污染防治措施按照</w:t>
            </w:r>
            <w:r>
              <w:rPr>
                <w:rFonts w:hint="eastAsia"/>
                <w:u w:val="single"/>
                <w:lang w:eastAsia="zh-CN"/>
              </w:rPr>
              <w:t>“</w:t>
            </w:r>
            <w:r>
              <w:rPr>
                <w:u w:val="single"/>
              </w:rPr>
              <w:t>源头控制、分区防治、污染监控、应急响应</w:t>
            </w:r>
            <w:r>
              <w:rPr>
                <w:rFonts w:hint="eastAsia"/>
                <w:u w:val="single"/>
                <w:lang w:eastAsia="zh-CN"/>
              </w:rPr>
              <w:t>”</w:t>
            </w:r>
            <w:r>
              <w:rPr>
                <w:u w:val="single"/>
              </w:rPr>
              <w:t>相结合的原则，从污染物的生产、入渗、扩散、应急响应全方位进行控制。</w:t>
            </w:r>
          </w:p>
          <w:p w14:paraId="0419D889">
            <w:pPr>
              <w:bidi w:val="0"/>
              <w:rPr>
                <w:u w:val="single"/>
              </w:rPr>
            </w:pPr>
            <w:r>
              <w:rPr>
                <w:u w:val="single"/>
              </w:rPr>
              <w:t>严格按照国家相关规范要求，对</w:t>
            </w:r>
            <w:r>
              <w:rPr>
                <w:rFonts w:hint="eastAsia"/>
                <w:u w:val="single"/>
                <w:lang w:eastAsia="zh-CN"/>
              </w:rPr>
              <w:t>沉淀池</w:t>
            </w:r>
            <w:r>
              <w:rPr>
                <w:u w:val="single"/>
              </w:rPr>
              <w:t>采取相应的防渗措施，以防止和降低污染物的跑、冒、滴、漏，将污染物泄漏的环境风险事故降低到最低程度。</w:t>
            </w:r>
          </w:p>
          <w:p w14:paraId="3848691A">
            <w:pPr>
              <w:bidi w:val="0"/>
              <w:rPr>
                <w:u w:val="single"/>
              </w:rPr>
            </w:pPr>
            <w:r>
              <w:rPr>
                <w:rFonts w:hint="eastAsia"/>
                <w:u w:val="single"/>
              </w:rPr>
              <w:t>为保护区域地下水安全，需对区域进行防渗。</w:t>
            </w:r>
            <w:r>
              <w:rPr>
                <w:rFonts w:hint="eastAsia"/>
                <w:u w:val="single"/>
                <w:lang w:val="en-US" w:eastAsia="zh-CN"/>
              </w:rPr>
              <w:t>堆填场堆填区、沉淀池</w:t>
            </w:r>
            <w:r>
              <w:rPr>
                <w:rFonts w:hint="eastAsia"/>
                <w:u w:val="single"/>
              </w:rPr>
              <w:t>列为</w:t>
            </w:r>
            <w:r>
              <w:rPr>
                <w:rFonts w:hint="eastAsia"/>
                <w:u w:val="single"/>
                <w:lang w:val="en-US" w:eastAsia="zh-CN"/>
              </w:rPr>
              <w:t>一般</w:t>
            </w:r>
            <w:r>
              <w:rPr>
                <w:rFonts w:hint="eastAsia"/>
                <w:u w:val="single"/>
              </w:rPr>
              <w:t>防渗区</w:t>
            </w:r>
            <w:r>
              <w:rPr>
                <w:rFonts w:hint="eastAsia"/>
                <w:u w:val="single"/>
                <w:lang w:eastAsia="zh-CN"/>
              </w:rPr>
              <w:t>，</w:t>
            </w:r>
            <w:r>
              <w:rPr>
                <w:rFonts w:hint="eastAsia"/>
                <w:u w:val="single"/>
                <w:lang w:val="en-US" w:eastAsia="zh-CN"/>
              </w:rPr>
              <w:t>回车区、进场道路列为简单防渗区</w:t>
            </w:r>
            <w:r>
              <w:rPr>
                <w:rFonts w:hint="eastAsia"/>
                <w:u w:val="single"/>
              </w:rPr>
              <w:t>。项目分区防渗一览表见下表。</w:t>
            </w:r>
          </w:p>
          <w:p w14:paraId="2AC5B4D8">
            <w:pPr>
              <w:pStyle w:val="44"/>
              <w:bidi w:val="0"/>
            </w:pPr>
            <w:r>
              <w:rPr>
                <w:rFonts w:hint="eastAsia"/>
              </w:rPr>
              <w:t>表</w:t>
            </w:r>
            <w:r>
              <w:rPr>
                <w:rFonts w:hint="eastAsia"/>
                <w:lang w:val="en-US" w:eastAsia="zh-CN"/>
              </w:rPr>
              <w:t>4.6-1：</w:t>
            </w:r>
            <w:r>
              <w:t>分区防渗一览表</w:t>
            </w:r>
          </w:p>
          <w:tbl>
            <w:tblPr>
              <w:tblStyle w:val="38"/>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58"/>
              <w:gridCol w:w="1888"/>
              <w:gridCol w:w="1488"/>
              <w:gridCol w:w="4745"/>
            </w:tblGrid>
            <w:tr w14:paraId="4212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5" w:type="pct"/>
                  <w:noWrap w:val="0"/>
                  <w:vAlign w:val="center"/>
                </w:tcPr>
                <w:p w14:paraId="3E1BDC82">
                  <w:pPr>
                    <w:pStyle w:val="107"/>
                    <w:bidi w:val="0"/>
                    <w:rPr>
                      <w:b/>
                      <w:bCs/>
                      <w:color w:val="000000"/>
                      <w:u w:val="none" w:color="auto"/>
                    </w:rPr>
                  </w:pPr>
                  <w:r>
                    <w:rPr>
                      <w:rFonts w:hint="eastAsia"/>
                      <w:b/>
                      <w:bCs/>
                      <w:color w:val="000000"/>
                      <w:u w:val="none" w:color="auto"/>
                    </w:rPr>
                    <w:t>序号</w:t>
                  </w:r>
                </w:p>
              </w:tc>
              <w:tc>
                <w:tcPr>
                  <w:tcW w:w="1075" w:type="pct"/>
                  <w:noWrap w:val="0"/>
                  <w:vAlign w:val="center"/>
                </w:tcPr>
                <w:p w14:paraId="7C080A30">
                  <w:pPr>
                    <w:pStyle w:val="107"/>
                    <w:bidi w:val="0"/>
                    <w:rPr>
                      <w:b/>
                      <w:bCs/>
                      <w:color w:val="000000"/>
                      <w:u w:val="none" w:color="auto"/>
                    </w:rPr>
                  </w:pPr>
                  <w:r>
                    <w:rPr>
                      <w:rFonts w:hint="eastAsia"/>
                      <w:b/>
                      <w:bCs/>
                      <w:color w:val="000000"/>
                      <w:u w:val="none" w:color="auto"/>
                    </w:rPr>
                    <w:t>名称</w:t>
                  </w:r>
                </w:p>
              </w:tc>
              <w:tc>
                <w:tcPr>
                  <w:tcW w:w="847" w:type="pct"/>
                  <w:noWrap w:val="0"/>
                  <w:vAlign w:val="center"/>
                </w:tcPr>
                <w:p w14:paraId="72D18A20">
                  <w:pPr>
                    <w:pStyle w:val="107"/>
                    <w:bidi w:val="0"/>
                    <w:rPr>
                      <w:b/>
                      <w:bCs/>
                      <w:color w:val="000000"/>
                      <w:u w:val="none" w:color="auto"/>
                    </w:rPr>
                  </w:pPr>
                  <w:r>
                    <w:rPr>
                      <w:rFonts w:hint="eastAsia"/>
                      <w:b/>
                      <w:bCs/>
                      <w:color w:val="000000"/>
                      <w:u w:val="none" w:color="auto"/>
                    </w:rPr>
                    <w:t>防渗级别</w:t>
                  </w:r>
                </w:p>
              </w:tc>
              <w:tc>
                <w:tcPr>
                  <w:tcW w:w="2701" w:type="pct"/>
                  <w:noWrap w:val="0"/>
                  <w:vAlign w:val="center"/>
                </w:tcPr>
                <w:p w14:paraId="773E9762">
                  <w:pPr>
                    <w:pStyle w:val="107"/>
                    <w:bidi w:val="0"/>
                    <w:rPr>
                      <w:b/>
                      <w:bCs/>
                      <w:color w:val="000000"/>
                      <w:u w:val="none" w:color="auto"/>
                    </w:rPr>
                  </w:pPr>
                  <w:r>
                    <w:rPr>
                      <w:rFonts w:hint="eastAsia"/>
                      <w:b/>
                      <w:bCs/>
                      <w:color w:val="000000"/>
                      <w:u w:val="none" w:color="auto"/>
                    </w:rPr>
                    <w:t>防渗要求</w:t>
                  </w:r>
                </w:p>
              </w:tc>
            </w:tr>
            <w:tr w14:paraId="7A04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5" w:type="pct"/>
                  <w:noWrap w:val="0"/>
                  <w:vAlign w:val="center"/>
                </w:tcPr>
                <w:p w14:paraId="37A8B787">
                  <w:pPr>
                    <w:pStyle w:val="107"/>
                    <w:bidi w:val="0"/>
                    <w:rPr>
                      <w:rFonts w:hint="default"/>
                      <w:color w:val="000000"/>
                      <w:u w:val="none" w:color="auto"/>
                      <w:lang w:val="en-US" w:eastAsia="zh-CN"/>
                    </w:rPr>
                  </w:pPr>
                  <w:r>
                    <w:rPr>
                      <w:rFonts w:hint="eastAsia"/>
                      <w:color w:val="000000"/>
                      <w:u w:val="none" w:color="auto"/>
                      <w:lang w:val="en-US" w:eastAsia="zh-CN"/>
                    </w:rPr>
                    <w:t>1</w:t>
                  </w:r>
                </w:p>
              </w:tc>
              <w:tc>
                <w:tcPr>
                  <w:tcW w:w="1075" w:type="pct"/>
                  <w:noWrap w:val="0"/>
                  <w:vAlign w:val="center"/>
                </w:tcPr>
                <w:p w14:paraId="1129E96A">
                  <w:pPr>
                    <w:pStyle w:val="107"/>
                    <w:bidi w:val="0"/>
                    <w:rPr>
                      <w:rFonts w:hint="default"/>
                      <w:color w:val="000000"/>
                      <w:u w:val="none" w:color="auto"/>
                      <w:lang w:val="en-US" w:eastAsia="zh-CN"/>
                    </w:rPr>
                  </w:pPr>
                  <w:r>
                    <w:rPr>
                      <w:rFonts w:hint="eastAsia"/>
                      <w:color w:val="000000"/>
                      <w:u w:val="none" w:color="auto"/>
                      <w:lang w:val="en-US" w:eastAsia="zh-CN"/>
                    </w:rPr>
                    <w:t>危险废物暂存间</w:t>
                  </w:r>
                </w:p>
              </w:tc>
              <w:tc>
                <w:tcPr>
                  <w:tcW w:w="847" w:type="pct"/>
                  <w:noWrap w:val="0"/>
                  <w:vAlign w:val="center"/>
                </w:tcPr>
                <w:p w14:paraId="14DF2C0C">
                  <w:pPr>
                    <w:pStyle w:val="107"/>
                    <w:bidi w:val="0"/>
                    <w:rPr>
                      <w:rFonts w:hint="default" w:eastAsia="宋体"/>
                      <w:color w:val="000000"/>
                      <w:u w:val="none" w:color="auto"/>
                      <w:lang w:val="en-US" w:eastAsia="zh-CN"/>
                    </w:rPr>
                  </w:pPr>
                  <w:r>
                    <w:rPr>
                      <w:rFonts w:hint="eastAsia"/>
                      <w:color w:val="000000"/>
                      <w:u w:val="none" w:color="auto"/>
                      <w:lang w:val="en-US" w:eastAsia="zh-CN"/>
                    </w:rPr>
                    <w:t>重点防渗区</w:t>
                  </w:r>
                </w:p>
              </w:tc>
              <w:tc>
                <w:tcPr>
                  <w:tcW w:w="2701" w:type="pct"/>
                  <w:noWrap w:val="0"/>
                  <w:vAlign w:val="center"/>
                </w:tcPr>
                <w:p w14:paraId="215B4E68">
                  <w:pPr>
                    <w:pStyle w:val="107"/>
                    <w:bidi w:val="0"/>
                    <w:rPr>
                      <w:rFonts w:hint="eastAsia"/>
                      <w:color w:val="000000"/>
                      <w:u w:val="none" w:color="auto"/>
                      <w:lang w:val="en-US" w:eastAsia="zh-CN"/>
                    </w:rPr>
                  </w:pPr>
                  <w:r>
                    <w:rPr>
                      <w:rFonts w:hint="eastAsia"/>
                      <w:color w:val="000000"/>
                      <w:u w:val="none" w:color="auto"/>
                      <w:lang w:val="en-US" w:eastAsia="zh-CN"/>
                    </w:rPr>
                    <w:t>等效黏土防渗层Mb≥6.0m，K≤1×10</w:t>
                  </w:r>
                  <w:r>
                    <w:rPr>
                      <w:rFonts w:hint="eastAsia"/>
                      <w:color w:val="000000"/>
                      <w:u w:val="none" w:color="auto"/>
                      <w:vertAlign w:val="superscript"/>
                      <w:lang w:val="en-US" w:eastAsia="zh-CN"/>
                    </w:rPr>
                    <w:t>-7</w:t>
                  </w:r>
                  <w:r>
                    <w:rPr>
                      <w:rFonts w:hint="eastAsia"/>
                      <w:color w:val="000000"/>
                      <w:u w:val="none" w:color="auto"/>
                      <w:lang w:val="en-US" w:eastAsia="zh-CN"/>
                    </w:rPr>
                    <w:t>cm/s</w:t>
                  </w:r>
                </w:p>
              </w:tc>
            </w:tr>
            <w:tr w14:paraId="23F2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75" w:type="pct"/>
                  <w:noWrap w:val="0"/>
                  <w:vAlign w:val="center"/>
                </w:tcPr>
                <w:p w14:paraId="6D38D058">
                  <w:pPr>
                    <w:pStyle w:val="107"/>
                    <w:bidi w:val="0"/>
                    <w:rPr>
                      <w:rFonts w:hint="eastAsia"/>
                      <w:color w:val="000000"/>
                      <w:u w:val="none" w:color="auto"/>
                      <w:lang w:val="en-US" w:eastAsia="zh-CN"/>
                    </w:rPr>
                  </w:pPr>
                  <w:r>
                    <w:rPr>
                      <w:rFonts w:hint="eastAsia"/>
                      <w:color w:val="000000"/>
                      <w:u w:val="none" w:color="auto"/>
                      <w:lang w:val="en-US" w:eastAsia="zh-CN"/>
                    </w:rPr>
                    <w:t>2</w:t>
                  </w:r>
                </w:p>
              </w:tc>
              <w:tc>
                <w:tcPr>
                  <w:tcW w:w="1075" w:type="pct"/>
                  <w:noWrap w:val="0"/>
                  <w:vAlign w:val="center"/>
                </w:tcPr>
                <w:p w14:paraId="0E95546E">
                  <w:pPr>
                    <w:pStyle w:val="107"/>
                    <w:bidi w:val="0"/>
                    <w:rPr>
                      <w:rFonts w:hint="default"/>
                      <w:color w:val="000000"/>
                      <w:u w:val="none" w:color="auto"/>
                      <w:lang w:val="en-US" w:eastAsia="zh-CN"/>
                    </w:rPr>
                  </w:pPr>
                  <w:r>
                    <w:rPr>
                      <w:rFonts w:hint="eastAsia"/>
                      <w:color w:val="000000"/>
                      <w:u w:val="none" w:color="auto"/>
                      <w:lang w:val="en-US" w:eastAsia="zh-CN"/>
                    </w:rPr>
                    <w:t>堆填区、洗车废水沉淀池、淋滤水沉淀池、一般固废暂存间、化粪池</w:t>
                  </w:r>
                </w:p>
              </w:tc>
              <w:tc>
                <w:tcPr>
                  <w:tcW w:w="847" w:type="pct"/>
                  <w:noWrap w:val="0"/>
                  <w:vAlign w:val="center"/>
                </w:tcPr>
                <w:p w14:paraId="3FC59AF9">
                  <w:pPr>
                    <w:pStyle w:val="107"/>
                    <w:bidi w:val="0"/>
                    <w:rPr>
                      <w:color w:val="000000"/>
                      <w:u w:val="none" w:color="auto"/>
                    </w:rPr>
                  </w:pPr>
                  <w:r>
                    <w:rPr>
                      <w:rFonts w:hint="eastAsia"/>
                      <w:color w:val="000000"/>
                      <w:u w:val="none" w:color="auto"/>
                    </w:rPr>
                    <w:t>一般防渗区</w:t>
                  </w:r>
                </w:p>
              </w:tc>
              <w:tc>
                <w:tcPr>
                  <w:tcW w:w="2701" w:type="pct"/>
                  <w:noWrap w:val="0"/>
                  <w:vAlign w:val="center"/>
                </w:tcPr>
                <w:p w14:paraId="63818C9B">
                  <w:pPr>
                    <w:pStyle w:val="107"/>
                    <w:bidi w:val="0"/>
                    <w:rPr>
                      <w:rFonts w:hint="default" w:eastAsia="宋体"/>
                      <w:color w:val="000000"/>
                      <w:u w:val="none" w:color="auto"/>
                      <w:lang w:val="en-US" w:eastAsia="zh-CN"/>
                    </w:rPr>
                  </w:pPr>
                  <w:r>
                    <w:rPr>
                      <w:rFonts w:hint="eastAsia"/>
                      <w:color w:val="000000"/>
                      <w:u w:val="none" w:color="auto"/>
                      <w:lang w:val="en-US" w:eastAsia="zh-CN"/>
                    </w:rPr>
                    <w:t>采用混凝土结构，其混凝强度能够达到等效黏土防渗层Mb≥1.5m，K≤1×10</w:t>
                  </w:r>
                  <w:r>
                    <w:rPr>
                      <w:rFonts w:hint="eastAsia"/>
                      <w:color w:val="000000"/>
                      <w:u w:val="none" w:color="auto"/>
                      <w:vertAlign w:val="superscript"/>
                      <w:lang w:val="en-US" w:eastAsia="zh-CN"/>
                    </w:rPr>
                    <w:t>-7</w:t>
                  </w:r>
                  <w:r>
                    <w:rPr>
                      <w:rFonts w:hint="eastAsia"/>
                      <w:color w:val="000000"/>
                      <w:u w:val="none" w:color="auto"/>
                      <w:lang w:val="en-US" w:eastAsia="zh-CN"/>
                    </w:rPr>
                    <w:t>cm/s要求。</w:t>
                  </w:r>
                </w:p>
              </w:tc>
            </w:tr>
            <w:tr w14:paraId="3130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75" w:type="pct"/>
                  <w:noWrap w:val="0"/>
                  <w:vAlign w:val="center"/>
                </w:tcPr>
                <w:p w14:paraId="74C7C6BE">
                  <w:pPr>
                    <w:pStyle w:val="107"/>
                    <w:bidi w:val="0"/>
                    <w:rPr>
                      <w:rFonts w:hint="default"/>
                      <w:color w:val="000000"/>
                      <w:u w:val="none" w:color="auto"/>
                      <w:lang w:val="en-US" w:eastAsia="zh-CN"/>
                    </w:rPr>
                  </w:pPr>
                  <w:r>
                    <w:rPr>
                      <w:rFonts w:hint="eastAsia"/>
                      <w:color w:val="000000"/>
                      <w:u w:val="none" w:color="auto"/>
                      <w:lang w:val="en-US" w:eastAsia="zh-CN"/>
                    </w:rPr>
                    <w:t>3</w:t>
                  </w:r>
                </w:p>
              </w:tc>
              <w:tc>
                <w:tcPr>
                  <w:tcW w:w="1075" w:type="pct"/>
                  <w:noWrap w:val="0"/>
                  <w:vAlign w:val="center"/>
                </w:tcPr>
                <w:p w14:paraId="18654509">
                  <w:pPr>
                    <w:pStyle w:val="107"/>
                    <w:bidi w:val="0"/>
                    <w:rPr>
                      <w:rFonts w:hint="default"/>
                      <w:color w:val="000000"/>
                      <w:sz w:val="21"/>
                      <w:u w:val="none" w:color="auto"/>
                      <w:lang w:val="en-US" w:eastAsia="zh-CN" w:bidi="ar-SA"/>
                    </w:rPr>
                  </w:pPr>
                  <w:r>
                    <w:rPr>
                      <w:rFonts w:hint="eastAsia"/>
                      <w:color w:val="000000"/>
                      <w:u w:val="none" w:color="auto"/>
                      <w:lang w:val="en-US" w:eastAsia="zh-CN"/>
                    </w:rPr>
                    <w:t>进场道路</w:t>
                  </w:r>
                </w:p>
              </w:tc>
              <w:tc>
                <w:tcPr>
                  <w:tcW w:w="847" w:type="pct"/>
                  <w:noWrap w:val="0"/>
                  <w:vAlign w:val="center"/>
                </w:tcPr>
                <w:p w14:paraId="58BC2206">
                  <w:pPr>
                    <w:pStyle w:val="107"/>
                    <w:bidi w:val="0"/>
                    <w:ind w:firstLine="0" w:firstLineChars="0"/>
                    <w:rPr>
                      <w:rFonts w:hint="eastAsia"/>
                      <w:color w:val="000000"/>
                      <w:sz w:val="21"/>
                      <w:u w:val="none" w:color="auto"/>
                      <w:lang w:val="en-US" w:eastAsia="zh-CN" w:bidi="ar-SA"/>
                    </w:rPr>
                  </w:pPr>
                  <w:r>
                    <w:rPr>
                      <w:rFonts w:hint="eastAsia"/>
                      <w:color w:val="000000"/>
                      <w:u w:val="none" w:color="auto"/>
                    </w:rPr>
                    <w:t>简单防渗区</w:t>
                  </w:r>
                </w:p>
              </w:tc>
              <w:tc>
                <w:tcPr>
                  <w:tcW w:w="2701" w:type="pct"/>
                  <w:noWrap w:val="0"/>
                  <w:vAlign w:val="center"/>
                </w:tcPr>
                <w:p w14:paraId="23728FBD">
                  <w:pPr>
                    <w:pStyle w:val="107"/>
                    <w:bidi w:val="0"/>
                    <w:ind w:firstLine="0" w:firstLineChars="0"/>
                    <w:rPr>
                      <w:rFonts w:hint="default"/>
                      <w:color w:val="000000"/>
                      <w:sz w:val="21"/>
                      <w:u w:val="none" w:color="auto"/>
                      <w:lang w:val="en-US" w:eastAsia="zh-CN" w:bidi="ar-SA"/>
                    </w:rPr>
                  </w:pPr>
                  <w:r>
                    <w:rPr>
                      <w:rFonts w:hint="eastAsia"/>
                      <w:color w:val="000000"/>
                      <w:u w:val="none" w:color="auto"/>
                    </w:rPr>
                    <w:t>一般硬化</w:t>
                  </w:r>
                </w:p>
              </w:tc>
            </w:tr>
          </w:tbl>
          <w:p w14:paraId="1BADBDA0">
            <w:pPr>
              <w:ind w:firstLine="480"/>
              <w:rPr>
                <w:rFonts w:hint="default" w:eastAsia="宋体"/>
                <w:color w:val="000000"/>
                <w:u w:val="single" w:color="auto"/>
                <w:lang w:val="en-US" w:eastAsia="zh-CN"/>
              </w:rPr>
            </w:pPr>
            <w:r>
              <w:rPr>
                <w:rFonts w:hint="eastAsia"/>
                <w:color w:val="000000"/>
                <w:u w:val="none" w:color="auto"/>
                <w:lang w:val="en-US" w:eastAsia="zh-CN"/>
              </w:rPr>
              <w:t>结合《建筑垃圾处理技术标准》（CJJ/T134-2019）以及《建筑垃圾污染控制技术规范》（HJ1462-2026），项目</w:t>
            </w:r>
            <w:r>
              <w:rPr>
                <w:rFonts w:hint="eastAsia"/>
                <w:color w:val="auto"/>
                <w:highlight w:val="none"/>
                <w:lang w:val="en-US" w:eastAsia="zh-CN"/>
              </w:rPr>
              <w:t>建筑垃圾堆填场</w:t>
            </w:r>
            <w:r>
              <w:rPr>
                <w:rFonts w:hint="eastAsia"/>
                <w:color w:val="000000"/>
                <w:u w:val="none" w:color="auto"/>
                <w:lang w:val="en-US" w:eastAsia="zh-CN"/>
              </w:rPr>
              <w:t>设有地下水收集导排系统，为方便今后管理，</w:t>
            </w:r>
            <w:r>
              <w:rPr>
                <w:rFonts w:hint="eastAsia"/>
                <w:color w:val="000000"/>
                <w:u w:val="single" w:color="auto"/>
                <w:lang w:val="en-US" w:eastAsia="zh-CN"/>
              </w:rPr>
              <w:t>本评价建议在</w:t>
            </w:r>
            <w:r>
              <w:rPr>
                <w:rFonts w:hint="eastAsia"/>
                <w:color w:val="auto"/>
                <w:highlight w:val="none"/>
                <w:u w:val="single" w:color="auto"/>
                <w:lang w:val="en-US" w:eastAsia="zh-CN"/>
              </w:rPr>
              <w:t>建筑垃圾堆填场</w:t>
            </w:r>
            <w:r>
              <w:rPr>
                <w:rFonts w:hint="eastAsia"/>
                <w:color w:val="000000"/>
                <w:u w:val="single" w:color="auto"/>
                <w:lang w:val="en-US" w:eastAsia="zh-CN"/>
              </w:rPr>
              <w:t>上下游各设置一座地下水监控井，其中填埋场下游地下监控井可依托海龙形现有水井进行监测，对</w:t>
            </w:r>
            <w:r>
              <w:rPr>
                <w:rFonts w:hint="eastAsia"/>
                <w:color w:val="auto"/>
                <w:highlight w:val="none"/>
                <w:u w:val="single" w:color="auto"/>
                <w:lang w:val="en-US" w:eastAsia="zh-CN"/>
              </w:rPr>
              <w:t>建筑垃圾堆填场</w:t>
            </w:r>
            <w:r>
              <w:rPr>
                <w:rFonts w:hint="eastAsia"/>
                <w:color w:val="000000"/>
                <w:u w:val="single" w:color="auto"/>
                <w:lang w:val="en-US" w:eastAsia="zh-CN"/>
              </w:rPr>
              <w:t>地下水进行跟踪监测。</w:t>
            </w:r>
          </w:p>
          <w:p w14:paraId="0982F111">
            <w:pPr>
              <w:bidi w:val="0"/>
              <w:rPr>
                <w:rFonts w:hint="eastAsia"/>
                <w:color w:val="000000"/>
                <w:u w:val="single" w:color="auto"/>
              </w:rPr>
            </w:pPr>
            <w:r>
              <w:rPr>
                <w:rFonts w:hint="eastAsia"/>
                <w:color w:val="000000"/>
                <w:u w:val="single" w:color="auto"/>
                <w:lang w:val="en-US" w:eastAsia="zh-CN"/>
              </w:rPr>
              <w:t>项目</w:t>
            </w:r>
            <w:r>
              <w:rPr>
                <w:rFonts w:hint="eastAsia"/>
                <w:color w:val="000000"/>
                <w:u w:val="single" w:color="auto"/>
              </w:rPr>
              <w:t>监测计划、水质监测因子等基本情况见下表。</w:t>
            </w:r>
          </w:p>
          <w:p w14:paraId="46AE95AC">
            <w:pPr>
              <w:pStyle w:val="44"/>
              <w:bidi w:val="0"/>
              <w:rPr>
                <w:u w:val="single" w:color="auto"/>
              </w:rPr>
            </w:pPr>
            <w:r>
              <w:rPr>
                <w:rFonts w:hint="eastAsia"/>
                <w:u w:val="single" w:color="auto"/>
              </w:rPr>
              <w:t>表</w:t>
            </w:r>
            <w:r>
              <w:rPr>
                <w:rFonts w:hint="eastAsia"/>
                <w:u w:val="single" w:color="auto"/>
                <w:lang w:val="en-US" w:eastAsia="zh-CN"/>
              </w:rPr>
              <w:t>4.6-2：</w:t>
            </w:r>
            <w:r>
              <w:rPr>
                <w:rFonts w:hint="eastAsia"/>
                <w:u w:val="single" w:color="auto"/>
              </w:rPr>
              <w:t>地下水跟踪监测计划一览表</w:t>
            </w:r>
          </w:p>
          <w:tbl>
            <w:tblPr>
              <w:tblStyle w:val="38"/>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254"/>
              <w:gridCol w:w="2443"/>
              <w:gridCol w:w="1265"/>
              <w:gridCol w:w="3083"/>
            </w:tblGrid>
            <w:tr w14:paraId="52DD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83" w:type="pct"/>
                  <w:noWrap w:val="0"/>
                  <w:vAlign w:val="center"/>
                </w:tcPr>
                <w:p w14:paraId="3845E520">
                  <w:pPr>
                    <w:pStyle w:val="168"/>
                    <w:bidi w:val="0"/>
                    <w:rPr>
                      <w:rFonts w:hint="eastAsia" w:eastAsia="宋体"/>
                      <w:b/>
                      <w:bCs/>
                      <w:color w:val="000000"/>
                      <w:u w:val="single" w:color="auto"/>
                      <w:lang w:eastAsia="zh-CN"/>
                    </w:rPr>
                  </w:pPr>
                  <w:r>
                    <w:rPr>
                      <w:rFonts w:hint="eastAsia"/>
                      <w:b/>
                      <w:bCs/>
                      <w:color w:val="000000"/>
                      <w:u w:val="single" w:color="auto"/>
                      <w:lang w:val="en-US" w:eastAsia="zh-CN"/>
                    </w:rPr>
                    <w:t>时期</w:t>
                  </w:r>
                </w:p>
              </w:tc>
              <w:tc>
                <w:tcPr>
                  <w:tcW w:w="704" w:type="pct"/>
                  <w:noWrap w:val="0"/>
                  <w:vAlign w:val="center"/>
                </w:tcPr>
                <w:p w14:paraId="40E6B4DA">
                  <w:pPr>
                    <w:pStyle w:val="168"/>
                    <w:bidi w:val="0"/>
                    <w:rPr>
                      <w:b/>
                      <w:bCs/>
                      <w:color w:val="000000"/>
                      <w:u w:val="single" w:color="auto"/>
                    </w:rPr>
                  </w:pPr>
                  <w:r>
                    <w:rPr>
                      <w:b/>
                      <w:bCs/>
                      <w:color w:val="000000"/>
                      <w:u w:val="single" w:color="auto"/>
                    </w:rPr>
                    <w:t>监测层位</w:t>
                  </w:r>
                </w:p>
              </w:tc>
              <w:tc>
                <w:tcPr>
                  <w:tcW w:w="1371" w:type="pct"/>
                  <w:noWrap w:val="0"/>
                  <w:vAlign w:val="center"/>
                </w:tcPr>
                <w:p w14:paraId="7C652228">
                  <w:pPr>
                    <w:pStyle w:val="168"/>
                    <w:bidi w:val="0"/>
                    <w:rPr>
                      <w:rFonts w:hint="eastAsia" w:eastAsia="宋体"/>
                      <w:b/>
                      <w:bCs/>
                      <w:color w:val="000000"/>
                      <w:u w:val="single" w:color="auto"/>
                      <w:lang w:eastAsia="zh-CN"/>
                    </w:rPr>
                  </w:pPr>
                  <w:r>
                    <w:rPr>
                      <w:rFonts w:hint="eastAsia"/>
                      <w:b/>
                      <w:bCs/>
                      <w:color w:val="000000"/>
                      <w:u w:val="single" w:color="auto"/>
                      <w:lang w:val="en-US" w:eastAsia="zh-CN"/>
                    </w:rPr>
                    <w:t>点位</w:t>
                  </w:r>
                </w:p>
              </w:tc>
              <w:tc>
                <w:tcPr>
                  <w:tcW w:w="710" w:type="pct"/>
                  <w:noWrap w:val="0"/>
                  <w:vAlign w:val="center"/>
                </w:tcPr>
                <w:p w14:paraId="6BEE18B8">
                  <w:pPr>
                    <w:pStyle w:val="168"/>
                    <w:bidi w:val="0"/>
                    <w:rPr>
                      <w:b/>
                      <w:bCs/>
                      <w:color w:val="000000"/>
                      <w:u w:val="single" w:color="auto"/>
                    </w:rPr>
                  </w:pPr>
                  <w:r>
                    <w:rPr>
                      <w:b/>
                      <w:bCs/>
                      <w:color w:val="000000"/>
                      <w:u w:val="single" w:color="auto"/>
                    </w:rPr>
                    <w:t>监测频率</w:t>
                  </w:r>
                </w:p>
              </w:tc>
              <w:tc>
                <w:tcPr>
                  <w:tcW w:w="1730" w:type="pct"/>
                  <w:noWrap w:val="0"/>
                  <w:vAlign w:val="center"/>
                </w:tcPr>
                <w:p w14:paraId="258D5E25">
                  <w:pPr>
                    <w:pStyle w:val="168"/>
                    <w:bidi w:val="0"/>
                    <w:rPr>
                      <w:b/>
                      <w:bCs/>
                      <w:color w:val="000000"/>
                      <w:u w:val="single" w:color="auto"/>
                    </w:rPr>
                  </w:pPr>
                  <w:r>
                    <w:rPr>
                      <w:b/>
                      <w:bCs/>
                      <w:color w:val="000000"/>
                      <w:u w:val="single" w:color="auto"/>
                    </w:rPr>
                    <w:t>监测因子</w:t>
                  </w:r>
                </w:p>
              </w:tc>
            </w:tr>
            <w:tr w14:paraId="75FF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83" w:type="pct"/>
                  <w:vMerge w:val="restart"/>
                  <w:noWrap w:val="0"/>
                  <w:vAlign w:val="center"/>
                </w:tcPr>
                <w:p w14:paraId="46F86D5F">
                  <w:pPr>
                    <w:pStyle w:val="168"/>
                    <w:bidi w:val="0"/>
                    <w:rPr>
                      <w:rFonts w:hint="eastAsia"/>
                      <w:color w:val="000000"/>
                      <w:u w:val="single" w:color="auto"/>
                    </w:rPr>
                  </w:pPr>
                  <w:r>
                    <w:rPr>
                      <w:rFonts w:hint="eastAsia"/>
                      <w:color w:val="000000"/>
                      <w:u w:val="single" w:color="auto"/>
                      <w:lang w:val="en-US" w:eastAsia="zh-CN"/>
                    </w:rPr>
                    <w:t>运行期</w:t>
                  </w:r>
                </w:p>
              </w:tc>
              <w:tc>
                <w:tcPr>
                  <w:tcW w:w="704" w:type="pct"/>
                  <w:vMerge w:val="restart"/>
                  <w:noWrap w:val="0"/>
                  <w:vAlign w:val="center"/>
                </w:tcPr>
                <w:p w14:paraId="5EC88A6A">
                  <w:pPr>
                    <w:pStyle w:val="168"/>
                    <w:bidi w:val="0"/>
                    <w:rPr>
                      <w:rFonts w:hint="eastAsia" w:eastAsia="宋体"/>
                      <w:color w:val="000000"/>
                      <w:u w:val="single" w:color="auto"/>
                      <w:lang w:eastAsia="zh-CN"/>
                    </w:rPr>
                  </w:pPr>
                  <w:r>
                    <w:rPr>
                      <w:color w:val="000000"/>
                      <w:u w:val="single" w:color="auto"/>
                    </w:rPr>
                    <w:t>浅层地下</w:t>
                  </w:r>
                </w:p>
              </w:tc>
              <w:tc>
                <w:tcPr>
                  <w:tcW w:w="1371" w:type="pct"/>
                  <w:noWrap w:val="0"/>
                  <w:vAlign w:val="center"/>
                </w:tcPr>
                <w:p w14:paraId="7F01B221">
                  <w:pPr>
                    <w:pStyle w:val="168"/>
                    <w:bidi w:val="0"/>
                    <w:rPr>
                      <w:rFonts w:hint="default"/>
                      <w:color w:val="000000"/>
                      <w:u w:val="single" w:color="auto"/>
                      <w:lang w:val="en-US" w:eastAsia="zh-CN"/>
                    </w:rPr>
                  </w:pPr>
                  <w:r>
                    <w:rPr>
                      <w:rFonts w:hint="eastAsia"/>
                      <w:color w:val="000000"/>
                      <w:u w:val="single" w:color="auto"/>
                      <w:lang w:val="en-US" w:eastAsia="zh-CN"/>
                    </w:rPr>
                    <w:t>堆填场堆填区上游地下水监控井</w:t>
                  </w:r>
                </w:p>
              </w:tc>
              <w:tc>
                <w:tcPr>
                  <w:tcW w:w="710" w:type="pct"/>
                  <w:vMerge w:val="restart"/>
                  <w:noWrap w:val="0"/>
                  <w:vAlign w:val="center"/>
                </w:tcPr>
                <w:p w14:paraId="4D92A546">
                  <w:pPr>
                    <w:pStyle w:val="168"/>
                    <w:bidi w:val="0"/>
                    <w:rPr>
                      <w:rFonts w:hint="default" w:ascii="Times New Roman" w:hAnsi="Times New Roman" w:cs="Times New Roman"/>
                      <w:color w:val="000000"/>
                      <w:u w:val="single" w:color="auto"/>
                      <w:lang w:val="en-US"/>
                    </w:rPr>
                  </w:pPr>
                  <w:r>
                    <w:rPr>
                      <w:rFonts w:hint="eastAsia" w:ascii="Times New Roman" w:hAnsi="Times New Roman" w:cs="Times New Roman"/>
                      <w:color w:val="000000"/>
                      <w:u w:val="single" w:color="auto"/>
                      <w:lang w:val="en-US" w:eastAsia="zh-CN"/>
                    </w:rPr>
                    <w:t>1次/季度</w:t>
                  </w:r>
                </w:p>
              </w:tc>
              <w:tc>
                <w:tcPr>
                  <w:tcW w:w="1730" w:type="pct"/>
                  <w:vMerge w:val="restart"/>
                  <w:noWrap w:val="0"/>
                  <w:vAlign w:val="center"/>
                </w:tcPr>
                <w:p w14:paraId="683DCC24">
                  <w:pPr>
                    <w:pStyle w:val="168"/>
                    <w:bidi w:val="0"/>
                    <w:rPr>
                      <w:rFonts w:hint="eastAsia" w:ascii="Times New Roman" w:hAnsi="Times New Roman" w:eastAsia="宋体" w:cs="Times New Roman"/>
                      <w:color w:val="000000"/>
                      <w:u w:val="single" w:color="auto"/>
                      <w:lang w:val="en-US" w:eastAsia="zh-CN"/>
                    </w:rPr>
                  </w:pPr>
                  <w:r>
                    <w:rPr>
                      <w:rFonts w:hint="default" w:ascii="Times New Roman" w:hAnsi="Times New Roman" w:cs="Times New Roman"/>
                      <w:color w:val="000000"/>
                      <w:u w:val="single" w:color="auto"/>
                      <w:lang w:val="en-US" w:eastAsia="zh-CN"/>
                    </w:rPr>
                    <w:t>浑浊度、pH、溶解性总固体、钙、钾、钠、硫酸盐、碳酸盐、砷、汞、总铬、六价铬、铅、镉、铁、锰、铜、锌、镍</w:t>
                  </w:r>
                </w:p>
              </w:tc>
            </w:tr>
            <w:tr w14:paraId="446C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83" w:type="pct"/>
                  <w:vMerge w:val="continue"/>
                  <w:noWrap w:val="0"/>
                  <w:vAlign w:val="center"/>
                </w:tcPr>
                <w:p w14:paraId="44954F96">
                  <w:pPr>
                    <w:pStyle w:val="168"/>
                    <w:bidi w:val="0"/>
                    <w:rPr>
                      <w:rFonts w:hint="eastAsia"/>
                      <w:color w:val="000000"/>
                      <w:u w:val="single" w:color="auto"/>
                    </w:rPr>
                  </w:pPr>
                </w:p>
              </w:tc>
              <w:tc>
                <w:tcPr>
                  <w:tcW w:w="704" w:type="pct"/>
                  <w:vMerge w:val="continue"/>
                  <w:noWrap w:val="0"/>
                  <w:vAlign w:val="center"/>
                </w:tcPr>
                <w:p w14:paraId="64A0F674">
                  <w:pPr>
                    <w:pStyle w:val="168"/>
                    <w:bidi w:val="0"/>
                    <w:rPr>
                      <w:color w:val="000000"/>
                      <w:u w:val="single" w:color="auto"/>
                    </w:rPr>
                  </w:pPr>
                </w:p>
              </w:tc>
              <w:tc>
                <w:tcPr>
                  <w:tcW w:w="1371" w:type="pct"/>
                  <w:noWrap w:val="0"/>
                  <w:vAlign w:val="center"/>
                </w:tcPr>
                <w:p w14:paraId="3F80DF3E">
                  <w:pPr>
                    <w:pStyle w:val="168"/>
                    <w:bidi w:val="0"/>
                    <w:rPr>
                      <w:rFonts w:hint="eastAsia"/>
                      <w:color w:val="000000"/>
                      <w:u w:val="single" w:color="auto"/>
                      <w:lang w:val="en-US" w:eastAsia="zh-CN"/>
                    </w:rPr>
                  </w:pPr>
                  <w:r>
                    <w:rPr>
                      <w:rFonts w:hint="eastAsia"/>
                      <w:color w:val="000000"/>
                      <w:u w:val="single" w:color="auto"/>
                      <w:lang w:val="en-US" w:eastAsia="zh-CN"/>
                    </w:rPr>
                    <w:t>堆填区下游地下水监控井（可依托海龙形现有水井）</w:t>
                  </w:r>
                </w:p>
              </w:tc>
              <w:tc>
                <w:tcPr>
                  <w:tcW w:w="710" w:type="pct"/>
                  <w:vMerge w:val="continue"/>
                  <w:noWrap w:val="0"/>
                  <w:vAlign w:val="center"/>
                </w:tcPr>
                <w:p w14:paraId="50CA2B4C">
                  <w:pPr>
                    <w:pStyle w:val="168"/>
                    <w:bidi w:val="0"/>
                    <w:rPr>
                      <w:rFonts w:hint="default" w:ascii="Times New Roman" w:hAnsi="Times New Roman" w:cs="Times New Roman"/>
                      <w:color w:val="000000"/>
                      <w:u w:val="single" w:color="auto"/>
                      <w:lang w:val="en-US"/>
                    </w:rPr>
                  </w:pPr>
                </w:p>
              </w:tc>
              <w:tc>
                <w:tcPr>
                  <w:tcW w:w="1730" w:type="pct"/>
                  <w:vMerge w:val="continue"/>
                  <w:noWrap w:val="0"/>
                  <w:vAlign w:val="center"/>
                </w:tcPr>
                <w:p w14:paraId="05989518">
                  <w:pPr>
                    <w:pStyle w:val="168"/>
                    <w:bidi w:val="0"/>
                    <w:rPr>
                      <w:rFonts w:hint="default" w:ascii="Times New Roman" w:hAnsi="Times New Roman" w:cs="Times New Roman"/>
                      <w:color w:val="000000"/>
                      <w:u w:val="single" w:color="auto"/>
                      <w:lang w:val="en-US" w:eastAsia="zh-CN"/>
                    </w:rPr>
                  </w:pPr>
                </w:p>
              </w:tc>
            </w:tr>
          </w:tbl>
          <w:p w14:paraId="5D483D68">
            <w:pPr>
              <w:keepNext w:val="0"/>
              <w:keepLines w:val="0"/>
              <w:pageBreakBefore w:val="0"/>
              <w:widowControl w:val="0"/>
              <w:kinsoku/>
              <w:wordWrap/>
              <w:overflowPunct/>
              <w:topLinePunct w:val="0"/>
              <w:autoSpaceDE/>
              <w:autoSpaceDN/>
              <w:bidi w:val="0"/>
              <w:adjustRightInd/>
              <w:snapToGrid/>
              <w:ind w:firstLine="480"/>
              <w:jc w:val="both"/>
              <w:textAlignment w:val="auto"/>
              <w:rPr>
                <w:rFonts w:hint="eastAsia"/>
                <w:color w:val="000000"/>
                <w:u w:val="none" w:color="auto"/>
                <w:lang w:eastAsia="zh-CN"/>
              </w:rPr>
            </w:pPr>
            <w:r>
              <w:rPr>
                <w:rFonts w:hint="eastAsia"/>
                <w:color w:val="000000"/>
                <w:u w:val="none" w:color="auto"/>
              </w:rPr>
              <w:t>通过以上分析，</w:t>
            </w:r>
            <w:r>
              <w:rPr>
                <w:rFonts w:hint="eastAsia"/>
                <w:color w:val="000000"/>
                <w:u w:val="none" w:color="auto"/>
                <w:lang w:eastAsia="zh-CN"/>
              </w:rPr>
              <w:t>本</w:t>
            </w:r>
            <w:r>
              <w:rPr>
                <w:rFonts w:hint="eastAsia"/>
                <w:color w:val="000000"/>
                <w:u w:val="none" w:color="auto"/>
              </w:rPr>
              <w:t>项目</w:t>
            </w:r>
            <w:r>
              <w:rPr>
                <w:rFonts w:hint="eastAsia"/>
                <w:color w:val="000000"/>
                <w:u w:val="none" w:color="auto"/>
                <w:lang w:val="en-US" w:eastAsia="zh-CN"/>
              </w:rPr>
              <w:t>沉淀池、危废暂存间进行</w:t>
            </w:r>
            <w:r>
              <w:rPr>
                <w:rFonts w:hint="eastAsia"/>
                <w:color w:val="000000"/>
                <w:u w:val="none" w:color="auto"/>
              </w:rPr>
              <w:t>防渗防腐、管理措施</w:t>
            </w:r>
            <w:r>
              <w:rPr>
                <w:rFonts w:hint="eastAsia"/>
                <w:color w:val="000000"/>
                <w:u w:val="none" w:color="auto"/>
                <w:lang w:eastAsia="zh-CN"/>
              </w:rPr>
              <w:t>后</w:t>
            </w:r>
            <w:r>
              <w:rPr>
                <w:rFonts w:hint="eastAsia"/>
                <w:color w:val="000000"/>
                <w:u w:val="none" w:color="auto"/>
              </w:rPr>
              <w:t>，可以在很大程度上</w:t>
            </w:r>
            <w:r>
              <w:rPr>
                <w:rFonts w:hint="eastAsia"/>
                <w:color w:val="000000"/>
                <w:u w:val="none" w:color="auto"/>
                <w:lang w:val="en-US" w:eastAsia="zh-CN"/>
              </w:rPr>
              <w:t>减低</w:t>
            </w:r>
            <w:r>
              <w:rPr>
                <w:rFonts w:hint="eastAsia"/>
                <w:color w:val="000000"/>
                <w:u w:val="none" w:color="auto"/>
                <w:lang w:eastAsia="zh-CN"/>
              </w:rPr>
              <w:t>沉淀池</w:t>
            </w:r>
            <w:r>
              <w:rPr>
                <w:rFonts w:hint="eastAsia"/>
                <w:color w:val="000000"/>
                <w:u w:val="none" w:color="auto"/>
                <w:lang w:val="en-US" w:eastAsia="zh-CN"/>
              </w:rPr>
              <w:t>、进场道路、堆填区</w:t>
            </w:r>
            <w:r>
              <w:rPr>
                <w:rFonts w:hint="eastAsia"/>
                <w:color w:val="000000"/>
                <w:u w:val="none" w:color="auto"/>
              </w:rPr>
              <w:t>对当地地下水的污染，不会对地下水水质造成影响</w:t>
            </w:r>
            <w:r>
              <w:rPr>
                <w:rFonts w:hint="eastAsia"/>
                <w:color w:val="000000"/>
                <w:u w:val="none" w:color="auto"/>
                <w:lang w:eastAsia="zh-CN"/>
              </w:rPr>
              <w:t>。</w:t>
            </w:r>
          </w:p>
          <w:p w14:paraId="123E6A25">
            <w:pPr>
              <w:ind w:firstLine="480"/>
              <w:rPr>
                <w:rFonts w:hint="default" w:eastAsia="宋体"/>
                <w:color w:val="000000"/>
                <w:u w:val="none" w:color="auto"/>
                <w:lang w:val="en-US" w:eastAsia="zh-CN"/>
              </w:rPr>
            </w:pPr>
            <w:r>
              <w:rPr>
                <w:rFonts w:hint="eastAsia"/>
                <w:color w:val="000000"/>
                <w:u w:val="none" w:color="auto"/>
                <w:lang w:val="en-US" w:eastAsia="zh-CN"/>
              </w:rPr>
              <w:t>根据《建筑垃圾污染控制技术规范》（HJ1462-2026），在区域下游周边雨水易于汇流和积聚的区域以及区域外主导风向的下风向区域布设土壤采样监测点，采样深度根据可能影响的深度适当调整，以表层土壤为重点采样层，对</w:t>
            </w:r>
            <w:r>
              <w:rPr>
                <w:rFonts w:hint="eastAsia"/>
                <w:color w:val="auto"/>
                <w:highlight w:val="none"/>
                <w:lang w:val="en-US" w:eastAsia="zh-CN"/>
              </w:rPr>
              <w:t>建筑垃圾消纳场</w:t>
            </w:r>
            <w:r>
              <w:rPr>
                <w:rFonts w:hint="eastAsia"/>
                <w:color w:val="000000"/>
                <w:u w:val="none" w:color="auto"/>
                <w:lang w:val="en-US" w:eastAsia="zh-CN"/>
              </w:rPr>
              <w:t>土壤环境进行跟踪监测。</w:t>
            </w:r>
          </w:p>
          <w:p w14:paraId="628612C9">
            <w:pPr>
              <w:bidi w:val="0"/>
              <w:rPr>
                <w:rFonts w:hint="eastAsia"/>
                <w:color w:val="000000"/>
                <w:u w:val="none" w:color="auto"/>
              </w:rPr>
            </w:pPr>
            <w:r>
              <w:rPr>
                <w:rFonts w:hint="eastAsia"/>
                <w:color w:val="000000"/>
                <w:u w:val="none" w:color="auto"/>
                <w:lang w:val="en-US" w:eastAsia="zh-CN"/>
              </w:rPr>
              <w:t>项目</w:t>
            </w:r>
            <w:r>
              <w:rPr>
                <w:rFonts w:hint="eastAsia"/>
                <w:color w:val="000000"/>
                <w:u w:val="none" w:color="auto"/>
              </w:rPr>
              <w:t>监测计划、监测因子等基本情况见下表。</w:t>
            </w:r>
          </w:p>
          <w:p w14:paraId="380D95BE">
            <w:pPr>
              <w:pStyle w:val="44"/>
              <w:bidi w:val="0"/>
            </w:pPr>
            <w:r>
              <w:rPr>
                <w:rFonts w:hint="eastAsia"/>
              </w:rPr>
              <w:t>表</w:t>
            </w:r>
            <w:r>
              <w:rPr>
                <w:rFonts w:hint="eastAsia"/>
                <w:lang w:val="en-US" w:eastAsia="zh-CN"/>
              </w:rPr>
              <w:t>4.6-3：土壤</w:t>
            </w:r>
            <w:r>
              <w:rPr>
                <w:rFonts w:hint="eastAsia"/>
              </w:rPr>
              <w:t>跟踪监测计划一览表</w:t>
            </w:r>
          </w:p>
          <w:tbl>
            <w:tblPr>
              <w:tblStyle w:val="38"/>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9"/>
              <w:gridCol w:w="1257"/>
              <w:gridCol w:w="1915"/>
              <w:gridCol w:w="1519"/>
              <w:gridCol w:w="3080"/>
            </w:tblGrid>
            <w:tr w14:paraId="2989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9" w:type="pct"/>
                  <w:noWrap w:val="0"/>
                  <w:vAlign w:val="center"/>
                </w:tcPr>
                <w:p w14:paraId="13B76345">
                  <w:pPr>
                    <w:pStyle w:val="168"/>
                    <w:bidi w:val="0"/>
                    <w:rPr>
                      <w:rFonts w:hint="eastAsia" w:eastAsia="宋体"/>
                      <w:b/>
                      <w:bCs/>
                      <w:color w:val="000000"/>
                      <w:u w:val="none" w:color="auto"/>
                      <w:lang w:eastAsia="zh-CN"/>
                    </w:rPr>
                  </w:pPr>
                  <w:r>
                    <w:rPr>
                      <w:rFonts w:hint="eastAsia"/>
                      <w:b/>
                      <w:bCs/>
                      <w:color w:val="000000"/>
                      <w:u w:val="none" w:color="auto"/>
                      <w:lang w:val="en-US" w:eastAsia="zh-CN"/>
                    </w:rPr>
                    <w:t>时期</w:t>
                  </w:r>
                </w:p>
              </w:tc>
              <w:tc>
                <w:tcPr>
                  <w:tcW w:w="705" w:type="pct"/>
                  <w:noWrap w:val="0"/>
                  <w:vAlign w:val="center"/>
                </w:tcPr>
                <w:p w14:paraId="0AAE29B9">
                  <w:pPr>
                    <w:pStyle w:val="168"/>
                    <w:bidi w:val="0"/>
                    <w:rPr>
                      <w:b/>
                      <w:bCs/>
                      <w:color w:val="000000"/>
                      <w:u w:val="none" w:color="auto"/>
                    </w:rPr>
                  </w:pPr>
                  <w:r>
                    <w:rPr>
                      <w:b/>
                      <w:bCs/>
                      <w:color w:val="000000"/>
                      <w:u w:val="none" w:color="auto"/>
                    </w:rPr>
                    <w:t>监测层位</w:t>
                  </w:r>
                </w:p>
              </w:tc>
              <w:tc>
                <w:tcPr>
                  <w:tcW w:w="1074" w:type="pct"/>
                  <w:noWrap w:val="0"/>
                  <w:vAlign w:val="center"/>
                </w:tcPr>
                <w:p w14:paraId="2F99D1D6">
                  <w:pPr>
                    <w:pStyle w:val="168"/>
                    <w:bidi w:val="0"/>
                    <w:rPr>
                      <w:rFonts w:hint="eastAsia" w:eastAsia="宋体"/>
                      <w:b/>
                      <w:bCs/>
                      <w:color w:val="000000"/>
                      <w:u w:val="none" w:color="auto"/>
                      <w:lang w:eastAsia="zh-CN"/>
                    </w:rPr>
                  </w:pPr>
                  <w:r>
                    <w:rPr>
                      <w:rFonts w:hint="eastAsia"/>
                      <w:b/>
                      <w:bCs/>
                      <w:color w:val="000000"/>
                      <w:u w:val="none" w:color="auto"/>
                      <w:lang w:val="en-US" w:eastAsia="zh-CN"/>
                    </w:rPr>
                    <w:t>点位</w:t>
                  </w:r>
                </w:p>
              </w:tc>
              <w:tc>
                <w:tcPr>
                  <w:tcW w:w="852" w:type="pct"/>
                  <w:noWrap w:val="0"/>
                  <w:vAlign w:val="center"/>
                </w:tcPr>
                <w:p w14:paraId="0E4047C3">
                  <w:pPr>
                    <w:pStyle w:val="168"/>
                    <w:bidi w:val="0"/>
                    <w:rPr>
                      <w:b/>
                      <w:bCs/>
                      <w:color w:val="000000"/>
                      <w:u w:val="none" w:color="auto"/>
                    </w:rPr>
                  </w:pPr>
                  <w:r>
                    <w:rPr>
                      <w:b/>
                      <w:bCs/>
                      <w:color w:val="000000"/>
                      <w:u w:val="none" w:color="auto"/>
                    </w:rPr>
                    <w:t>监测频率</w:t>
                  </w:r>
                </w:p>
              </w:tc>
              <w:tc>
                <w:tcPr>
                  <w:tcW w:w="1727" w:type="pct"/>
                  <w:noWrap w:val="0"/>
                  <w:vAlign w:val="center"/>
                </w:tcPr>
                <w:p w14:paraId="245CDD4F">
                  <w:pPr>
                    <w:pStyle w:val="168"/>
                    <w:bidi w:val="0"/>
                    <w:rPr>
                      <w:b/>
                      <w:bCs/>
                      <w:color w:val="000000"/>
                      <w:u w:val="none" w:color="auto"/>
                    </w:rPr>
                  </w:pPr>
                  <w:r>
                    <w:rPr>
                      <w:b/>
                      <w:bCs/>
                      <w:color w:val="000000"/>
                      <w:u w:val="none" w:color="auto"/>
                    </w:rPr>
                    <w:t>监测因子</w:t>
                  </w:r>
                </w:p>
              </w:tc>
            </w:tr>
            <w:tr w14:paraId="7D7E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39" w:type="pct"/>
                  <w:noWrap w:val="0"/>
                  <w:vAlign w:val="center"/>
                </w:tcPr>
                <w:p w14:paraId="36A246DB">
                  <w:pPr>
                    <w:pStyle w:val="168"/>
                    <w:bidi w:val="0"/>
                    <w:rPr>
                      <w:rFonts w:hint="eastAsia"/>
                      <w:color w:val="000000"/>
                      <w:u w:val="none" w:color="auto"/>
                    </w:rPr>
                  </w:pPr>
                  <w:r>
                    <w:rPr>
                      <w:rFonts w:hint="eastAsia"/>
                      <w:color w:val="000000"/>
                      <w:u w:val="none" w:color="auto"/>
                      <w:lang w:val="en-US" w:eastAsia="zh-CN"/>
                    </w:rPr>
                    <w:t>运行期</w:t>
                  </w:r>
                </w:p>
              </w:tc>
              <w:tc>
                <w:tcPr>
                  <w:tcW w:w="705" w:type="pct"/>
                  <w:noWrap w:val="0"/>
                  <w:vAlign w:val="center"/>
                </w:tcPr>
                <w:p w14:paraId="17BE3665">
                  <w:pPr>
                    <w:pStyle w:val="168"/>
                    <w:bidi w:val="0"/>
                    <w:rPr>
                      <w:rFonts w:hint="eastAsia" w:eastAsia="宋体"/>
                      <w:color w:val="000000"/>
                      <w:u w:val="none" w:color="auto"/>
                      <w:lang w:eastAsia="zh-CN"/>
                    </w:rPr>
                  </w:pPr>
                  <w:r>
                    <w:rPr>
                      <w:rFonts w:hint="eastAsia" w:eastAsia="宋体"/>
                      <w:color w:val="000000"/>
                      <w:u w:val="none" w:color="auto"/>
                      <w:lang w:val="en-US" w:eastAsia="zh-CN"/>
                    </w:rPr>
                    <w:t>表层样</w:t>
                  </w:r>
                </w:p>
              </w:tc>
              <w:tc>
                <w:tcPr>
                  <w:tcW w:w="1074" w:type="pct"/>
                  <w:noWrap w:val="0"/>
                  <w:vAlign w:val="center"/>
                </w:tcPr>
                <w:p w14:paraId="603FCD35">
                  <w:pPr>
                    <w:pStyle w:val="168"/>
                    <w:bidi w:val="0"/>
                    <w:rPr>
                      <w:rFonts w:hint="default"/>
                      <w:color w:val="000000"/>
                      <w:u w:val="none" w:color="auto"/>
                      <w:lang w:val="en-US" w:eastAsia="zh-CN"/>
                    </w:rPr>
                  </w:pPr>
                  <w:r>
                    <w:rPr>
                      <w:rFonts w:hint="eastAsia"/>
                      <w:color w:val="000000"/>
                      <w:u w:val="none" w:color="auto"/>
                      <w:lang w:val="en-US" w:eastAsia="zh-CN"/>
                    </w:rPr>
                    <w:t>堆填区坝下</w:t>
                  </w:r>
                </w:p>
              </w:tc>
              <w:tc>
                <w:tcPr>
                  <w:tcW w:w="852" w:type="pct"/>
                  <w:noWrap w:val="0"/>
                  <w:vAlign w:val="center"/>
                </w:tcPr>
                <w:p w14:paraId="7FF30BC8">
                  <w:pPr>
                    <w:pStyle w:val="168"/>
                    <w:bidi w:val="0"/>
                    <w:rPr>
                      <w:rFonts w:hint="default" w:ascii="Times New Roman" w:hAnsi="Times New Roman" w:cs="Times New Roman"/>
                      <w:color w:val="000000"/>
                      <w:u w:val="none" w:color="auto"/>
                      <w:lang w:val="en-US"/>
                    </w:rPr>
                  </w:pPr>
                  <w:r>
                    <w:rPr>
                      <w:rFonts w:hint="eastAsia" w:ascii="Times New Roman" w:hAnsi="Times New Roman" w:cs="Times New Roman"/>
                      <w:color w:val="000000"/>
                      <w:u w:val="none" w:color="auto"/>
                      <w:lang w:val="en-US" w:eastAsia="zh-CN"/>
                    </w:rPr>
                    <w:t>1次/3年</w:t>
                  </w:r>
                </w:p>
              </w:tc>
              <w:tc>
                <w:tcPr>
                  <w:tcW w:w="1727" w:type="pct"/>
                  <w:noWrap w:val="0"/>
                  <w:vAlign w:val="center"/>
                </w:tcPr>
                <w:p w14:paraId="4034BBAC">
                  <w:pPr>
                    <w:pStyle w:val="168"/>
                    <w:bidi w:val="0"/>
                    <w:rPr>
                      <w:rFonts w:hint="eastAsia" w:ascii="Times New Roman" w:hAnsi="Times New Roman" w:eastAsia="宋体" w:cs="Times New Roman"/>
                      <w:color w:val="000000"/>
                      <w:u w:val="none" w:color="auto"/>
                      <w:lang w:val="en-US" w:eastAsia="zh-CN"/>
                    </w:rPr>
                  </w:pPr>
                  <w:r>
                    <w:rPr>
                      <w:rFonts w:hint="eastAsia" w:eastAsia="宋体" w:cs="Times New Roman"/>
                      <w:b w:val="0"/>
                      <w:bCs w:val="0"/>
                      <w:sz w:val="21"/>
                      <w:szCs w:val="21"/>
                      <w:lang w:val="en-US" w:eastAsia="zh-CN"/>
                    </w:rPr>
                    <w:t>pH、</w:t>
                  </w:r>
                  <w:r>
                    <w:rPr>
                      <w:rFonts w:hint="eastAsia" w:ascii="宋体" w:hAnsi="宋体" w:eastAsia="宋体" w:cs="宋体"/>
                      <w:b w:val="0"/>
                      <w:bCs w:val="0"/>
                      <w:color w:val="000000"/>
                      <w:sz w:val="21"/>
                      <w:szCs w:val="21"/>
                    </w:rPr>
                    <w:t>建设用地土壤污染风险筛选基本项目（</w:t>
                  </w:r>
                  <w:r>
                    <w:rPr>
                      <w:rFonts w:hint="default" w:ascii="Times New Roman" w:hAnsi="Times New Roman" w:eastAsia="宋体" w:cs="Times New Roman"/>
                      <w:b w:val="0"/>
                      <w:bCs w:val="0"/>
                      <w:color w:val="000000"/>
                      <w:sz w:val="21"/>
                      <w:szCs w:val="21"/>
                    </w:rPr>
                    <w:t>45</w:t>
                  </w:r>
                  <w:r>
                    <w:rPr>
                      <w:rFonts w:hint="eastAsia" w:ascii="宋体" w:hAnsi="宋体" w:eastAsia="宋体" w:cs="宋体"/>
                      <w:b w:val="0"/>
                      <w:bCs w:val="0"/>
                      <w:color w:val="000000"/>
                      <w:sz w:val="21"/>
                      <w:szCs w:val="21"/>
                    </w:rPr>
                    <w:t>项）</w:t>
                  </w:r>
                </w:p>
              </w:tc>
            </w:tr>
          </w:tbl>
          <w:p w14:paraId="49BC80A8">
            <w:pPr>
              <w:bidi w:val="0"/>
            </w:pPr>
            <w:bookmarkStart w:id="106" w:name="_Toc30203"/>
            <w:bookmarkStart w:id="107" w:name="_Toc2881"/>
            <w:bookmarkStart w:id="108" w:name="_Toc7149"/>
            <w:r>
              <w:t>对比《</w:t>
            </w:r>
            <w:r>
              <w:rPr>
                <w:lang w:val="en-US" w:eastAsia="zh-CN"/>
              </w:rPr>
              <w:t>建筑垃圾污染控制技术规范</w:t>
            </w:r>
            <w:r>
              <w:t>》（HJ</w:t>
            </w:r>
            <w:r>
              <w:rPr>
                <w:rFonts w:hint="eastAsia"/>
                <w:lang w:val="en-US" w:eastAsia="zh-CN"/>
              </w:rPr>
              <w:t>1462</w:t>
            </w:r>
            <w:r>
              <w:t>-20</w:t>
            </w:r>
            <w:r>
              <w:rPr>
                <w:rFonts w:hint="eastAsia"/>
                <w:lang w:val="en-US" w:eastAsia="zh-CN"/>
              </w:rPr>
              <w:t>26</w:t>
            </w:r>
            <w:r>
              <w:t>）中</w:t>
            </w:r>
            <w:r>
              <w:rPr>
                <w:rFonts w:hint="eastAsia"/>
                <w:lang w:val="en-US" w:eastAsia="zh-CN"/>
              </w:rPr>
              <w:t>污染控制要求</w:t>
            </w:r>
            <w:r>
              <w:t>，项目</w:t>
            </w:r>
            <w:r>
              <w:rPr>
                <w:rFonts w:hint="eastAsia"/>
                <w:lang w:val="en-US" w:eastAsia="zh-CN"/>
              </w:rPr>
              <w:t>地下水及土壤</w:t>
            </w:r>
            <w:r>
              <w:t>污染防治措施可行。</w:t>
            </w:r>
          </w:p>
          <w:p w14:paraId="4DC751AC">
            <w:pPr>
              <w:pStyle w:val="44"/>
              <w:bidi w:val="0"/>
            </w:pPr>
            <w:r>
              <w:t>表</w:t>
            </w:r>
            <w:r>
              <w:rPr>
                <w:rFonts w:hint="eastAsia"/>
                <w:lang w:val="en-US" w:eastAsia="zh-CN"/>
              </w:rPr>
              <w:t>4.6-4：</w:t>
            </w:r>
            <w:r>
              <w:t>项目</w:t>
            </w:r>
            <w:r>
              <w:rPr>
                <w:rFonts w:hint="eastAsia"/>
                <w:lang w:val="en-US" w:eastAsia="zh-CN"/>
              </w:rPr>
              <w:t>地下水及土壤</w:t>
            </w:r>
            <w:r>
              <w:t>污染防治措施与HJ</w:t>
            </w:r>
            <w:r>
              <w:rPr>
                <w:rFonts w:hint="eastAsia"/>
                <w:lang w:val="en-US" w:eastAsia="zh-CN"/>
              </w:rPr>
              <w:t>1462</w:t>
            </w:r>
            <w:r>
              <w:t>-20</w:t>
            </w:r>
            <w:r>
              <w:rPr>
                <w:rFonts w:hint="eastAsia"/>
                <w:lang w:val="en-US" w:eastAsia="zh-CN"/>
              </w:rPr>
              <w:t>26</w:t>
            </w:r>
            <w:r>
              <w:t>符合性分析</w:t>
            </w:r>
          </w:p>
          <w:tbl>
            <w:tblPr>
              <w:tblStyle w:val="38"/>
              <w:tblW w:w="498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354"/>
              <w:gridCol w:w="3525"/>
              <w:gridCol w:w="2980"/>
              <w:gridCol w:w="1018"/>
            </w:tblGrid>
            <w:tr w14:paraId="070777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2748" w:type="pct"/>
                  <w:gridSpan w:val="2"/>
                  <w:noWrap w:val="0"/>
                  <w:vAlign w:val="center"/>
                </w:tcPr>
                <w:p w14:paraId="72D2FAD5">
                  <w:pPr>
                    <w:pStyle w:val="115"/>
                    <w:bidi w:val="0"/>
                    <w:rPr>
                      <w:rFonts w:hint="eastAsia"/>
                      <w:b/>
                      <w:bCs/>
                      <w:lang w:eastAsia="zh-CN"/>
                    </w:rPr>
                  </w:pPr>
                  <w:r>
                    <w:rPr>
                      <w:rFonts w:hint="eastAsia"/>
                      <w:b/>
                      <w:bCs/>
                      <w:lang w:val="en-US" w:eastAsia="zh-CN"/>
                    </w:rPr>
                    <w:t>技术规范要求</w:t>
                  </w:r>
                </w:p>
              </w:tc>
              <w:tc>
                <w:tcPr>
                  <w:tcW w:w="1678" w:type="pct"/>
                  <w:noWrap w:val="0"/>
                  <w:vAlign w:val="center"/>
                </w:tcPr>
                <w:p w14:paraId="320576CE">
                  <w:pPr>
                    <w:pStyle w:val="115"/>
                    <w:bidi w:val="0"/>
                    <w:rPr>
                      <w:b/>
                      <w:bCs/>
                    </w:rPr>
                  </w:pPr>
                  <w:r>
                    <w:rPr>
                      <w:b/>
                      <w:bCs/>
                    </w:rPr>
                    <w:t>本项目措施</w:t>
                  </w:r>
                </w:p>
              </w:tc>
              <w:tc>
                <w:tcPr>
                  <w:tcW w:w="573" w:type="pct"/>
                  <w:noWrap w:val="0"/>
                  <w:vAlign w:val="center"/>
                </w:tcPr>
                <w:p w14:paraId="51739A6C">
                  <w:pPr>
                    <w:pStyle w:val="115"/>
                    <w:bidi w:val="0"/>
                    <w:rPr>
                      <w:b/>
                      <w:bCs/>
                    </w:rPr>
                  </w:pPr>
                  <w:r>
                    <w:rPr>
                      <w:b/>
                      <w:bCs/>
                    </w:rPr>
                    <w:t>符合性判断</w:t>
                  </w:r>
                </w:p>
              </w:tc>
            </w:tr>
            <w:tr w14:paraId="333509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restart"/>
                  <w:noWrap w:val="0"/>
                  <w:vAlign w:val="center"/>
                </w:tcPr>
                <w:p w14:paraId="226B3430">
                  <w:pPr>
                    <w:pStyle w:val="115"/>
                    <w:bidi w:val="0"/>
                  </w:pPr>
                  <w:r>
                    <w:rPr>
                      <w:rFonts w:hint="eastAsia"/>
                      <w:lang w:val="en-US" w:eastAsia="zh-CN"/>
                    </w:rPr>
                    <w:t>堆填利用</w:t>
                  </w:r>
                  <w:r>
                    <w:rPr>
                      <w:lang w:val="en-US" w:eastAsia="zh-CN"/>
                    </w:rPr>
                    <w:t>的污染控制要求</w:t>
                  </w:r>
                </w:p>
              </w:tc>
              <w:tc>
                <w:tcPr>
                  <w:tcW w:w="1985" w:type="pct"/>
                  <w:noWrap w:val="0"/>
                  <w:vAlign w:val="center"/>
                </w:tcPr>
                <w:p w14:paraId="49194B7C">
                  <w:pPr>
                    <w:pStyle w:val="115"/>
                    <w:bidi w:val="0"/>
                    <w:rPr>
                      <w:rFonts w:hint="eastAsia"/>
                      <w:lang w:val="en-US" w:eastAsia="zh-CN"/>
                    </w:rPr>
                  </w:pPr>
                  <w:r>
                    <w:rPr>
                      <w:rFonts w:hint="eastAsia"/>
                      <w:lang w:val="en-US" w:eastAsia="zh-CN"/>
                    </w:rPr>
                    <w:t>堆填利用前应开展环境本底调查，包括堆填利用区域的土壤环境、地下水环境以及地表水环境等，可参考已有的环境影响评价以及相关水文地质资料</w:t>
                  </w:r>
                </w:p>
              </w:tc>
              <w:tc>
                <w:tcPr>
                  <w:tcW w:w="1678" w:type="pct"/>
                  <w:noWrap w:val="0"/>
                  <w:vAlign w:val="center"/>
                </w:tcPr>
                <w:p w14:paraId="2FB89966">
                  <w:pPr>
                    <w:pStyle w:val="115"/>
                    <w:bidi w:val="0"/>
                    <w:rPr>
                      <w:rFonts w:hint="default"/>
                      <w:lang w:val="en-US" w:eastAsia="zh-CN"/>
                    </w:rPr>
                  </w:pPr>
                  <w:r>
                    <w:rPr>
                      <w:rFonts w:hint="default"/>
                      <w:lang w:val="en-US" w:eastAsia="zh-CN"/>
                    </w:rPr>
                    <w:t>本环评对项目建筑垃圾消纳场中部进行了土壤环境现状本底调查，对项目建筑垃圾消纳场下游进行了地下水环境</w:t>
                  </w:r>
                  <w:r>
                    <w:rPr>
                      <w:rFonts w:hint="eastAsia"/>
                      <w:lang w:val="en-US" w:eastAsia="zh-CN"/>
                    </w:rPr>
                    <w:t>、地表水环境</w:t>
                  </w:r>
                  <w:r>
                    <w:rPr>
                      <w:rFonts w:hint="default"/>
                      <w:lang w:val="en-US" w:eastAsia="zh-CN"/>
                    </w:rPr>
                    <w:t>现状本底调查</w:t>
                  </w:r>
                  <w:r>
                    <w:rPr>
                      <w:rFonts w:hint="eastAsia"/>
                      <w:lang w:val="en-US" w:eastAsia="zh-CN"/>
                    </w:rPr>
                    <w:t>；</w:t>
                  </w:r>
                  <w:r>
                    <w:rPr>
                      <w:rFonts w:hint="default"/>
                      <w:lang w:val="en-US" w:eastAsia="zh-CN"/>
                    </w:rPr>
                    <w:t>结合检测结果可知，区域土壤、地下水</w:t>
                  </w:r>
                  <w:r>
                    <w:rPr>
                      <w:rFonts w:hint="eastAsia"/>
                      <w:lang w:val="en-US" w:eastAsia="zh-CN"/>
                    </w:rPr>
                    <w:t>、地表水</w:t>
                  </w:r>
                  <w:r>
                    <w:rPr>
                      <w:rFonts w:hint="default"/>
                      <w:lang w:val="en-US" w:eastAsia="zh-CN"/>
                    </w:rPr>
                    <w:t>环境质量均能达到相应功能要求</w:t>
                  </w:r>
                </w:p>
              </w:tc>
              <w:tc>
                <w:tcPr>
                  <w:tcW w:w="573" w:type="pct"/>
                  <w:noWrap w:val="0"/>
                  <w:vAlign w:val="center"/>
                </w:tcPr>
                <w:p w14:paraId="67AA9F10">
                  <w:pPr>
                    <w:pStyle w:val="115"/>
                    <w:bidi w:val="0"/>
                  </w:pPr>
                  <w:r>
                    <w:t>符合</w:t>
                  </w:r>
                </w:p>
              </w:tc>
            </w:tr>
            <w:tr w14:paraId="48CE0A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continue"/>
                  <w:noWrap w:val="0"/>
                  <w:vAlign w:val="center"/>
                </w:tcPr>
                <w:p w14:paraId="58AF9F50">
                  <w:pPr>
                    <w:pStyle w:val="115"/>
                    <w:bidi w:val="0"/>
                    <w:rPr>
                      <w:rFonts w:hint="eastAsia"/>
                      <w:lang w:val="en-US" w:eastAsia="zh-CN"/>
                    </w:rPr>
                  </w:pPr>
                </w:p>
              </w:tc>
              <w:tc>
                <w:tcPr>
                  <w:tcW w:w="1985" w:type="pct"/>
                  <w:noWrap w:val="0"/>
                  <w:vAlign w:val="center"/>
                </w:tcPr>
                <w:p w14:paraId="62547270">
                  <w:pPr>
                    <w:pStyle w:val="115"/>
                    <w:bidi w:val="0"/>
                    <w:rPr>
                      <w:rFonts w:hint="eastAsia"/>
                      <w:lang w:val="en-US" w:eastAsia="zh-CN"/>
                    </w:rPr>
                  </w:pPr>
                  <w:r>
                    <w:rPr>
                      <w:rFonts w:hint="eastAsia"/>
                      <w:lang w:val="en-US" w:eastAsia="zh-CN"/>
                    </w:rPr>
                    <w:t>堆填利用作业实施前，应制定施工方案，制定作业计划、作业工序，包括防扬尘、雨水导排等措施</w:t>
                  </w:r>
                </w:p>
              </w:tc>
              <w:tc>
                <w:tcPr>
                  <w:tcW w:w="1678" w:type="pct"/>
                  <w:noWrap w:val="0"/>
                  <w:vAlign w:val="center"/>
                </w:tcPr>
                <w:p w14:paraId="10CCB8C0">
                  <w:pPr>
                    <w:pStyle w:val="115"/>
                    <w:bidi w:val="0"/>
                    <w:rPr>
                      <w:rFonts w:hint="default"/>
                      <w:lang w:val="en-US" w:eastAsia="zh-CN"/>
                    </w:rPr>
                  </w:pPr>
                  <w:r>
                    <w:rPr>
                      <w:rFonts w:hint="eastAsia"/>
                      <w:lang w:val="en-US" w:eastAsia="zh-CN"/>
                    </w:rPr>
                    <w:t>本项目已制定了施工方案、作业计划、工序，包括了防扬尘、雨水导排等措施</w:t>
                  </w:r>
                </w:p>
              </w:tc>
              <w:tc>
                <w:tcPr>
                  <w:tcW w:w="573" w:type="pct"/>
                  <w:noWrap w:val="0"/>
                  <w:vAlign w:val="center"/>
                </w:tcPr>
                <w:p w14:paraId="6165882C">
                  <w:pPr>
                    <w:pStyle w:val="115"/>
                    <w:bidi w:val="0"/>
                  </w:pPr>
                  <w:r>
                    <w:t>符合</w:t>
                  </w:r>
                </w:p>
              </w:tc>
            </w:tr>
            <w:tr w14:paraId="0B217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restart"/>
                  <w:noWrap w:val="0"/>
                  <w:vAlign w:val="center"/>
                </w:tcPr>
                <w:p w14:paraId="2691803E">
                  <w:pPr>
                    <w:pStyle w:val="115"/>
                    <w:bidi w:val="0"/>
                    <w:rPr>
                      <w:rFonts w:hint="eastAsia"/>
                      <w:lang w:val="en-US" w:eastAsia="zh-CN"/>
                    </w:rPr>
                  </w:pPr>
                  <w:r>
                    <w:rPr>
                      <w:rFonts w:hint="eastAsia"/>
                      <w:lang w:val="en-US" w:eastAsia="zh-CN"/>
                    </w:rPr>
                    <w:t>污染物监测要求（土壤）</w:t>
                  </w:r>
                </w:p>
              </w:tc>
              <w:tc>
                <w:tcPr>
                  <w:tcW w:w="1985" w:type="pct"/>
                  <w:noWrap w:val="0"/>
                  <w:vAlign w:val="center"/>
                </w:tcPr>
                <w:p w14:paraId="33D4828E">
                  <w:pPr>
                    <w:pStyle w:val="115"/>
                    <w:bidi w:val="0"/>
                    <w:rPr>
                      <w:rFonts w:hint="eastAsia"/>
                      <w:lang w:val="en-US" w:eastAsia="zh-CN"/>
                    </w:rPr>
                  </w:pPr>
                  <w:r>
                    <w:rPr>
                      <w:rFonts w:hint="eastAsia"/>
                      <w:lang w:val="en-US" w:eastAsia="zh-CN"/>
                    </w:rPr>
                    <w:t>参照 HJ 25.1中采样布点方法的相关要求，在区域下游周边雨水易于汇流和积聚的区域以及区域外主导风向的下风向区域布设土壤采样监测点，采样深度根据可能影响的深度适当调整，以表层土壤为重点采样层</w:t>
                  </w:r>
                </w:p>
              </w:tc>
              <w:tc>
                <w:tcPr>
                  <w:tcW w:w="1678" w:type="pct"/>
                  <w:noWrap w:val="0"/>
                  <w:vAlign w:val="center"/>
                </w:tcPr>
                <w:p w14:paraId="5F0B9FA6">
                  <w:pPr>
                    <w:pStyle w:val="115"/>
                    <w:bidi w:val="0"/>
                    <w:rPr>
                      <w:rFonts w:hint="default"/>
                      <w:lang w:val="en-US" w:eastAsia="zh-CN"/>
                    </w:rPr>
                  </w:pPr>
                  <w:r>
                    <w:rPr>
                      <w:rFonts w:hint="eastAsia"/>
                      <w:lang w:val="en-US" w:eastAsia="zh-CN"/>
                    </w:rPr>
                    <w:t>本环评设置了1处土壤采样监测点，监测层位为表层样</w:t>
                  </w:r>
                </w:p>
              </w:tc>
              <w:tc>
                <w:tcPr>
                  <w:tcW w:w="573" w:type="pct"/>
                  <w:noWrap w:val="0"/>
                  <w:vAlign w:val="center"/>
                </w:tcPr>
                <w:p w14:paraId="667A3AB7">
                  <w:pPr>
                    <w:pStyle w:val="115"/>
                    <w:bidi w:val="0"/>
                  </w:pPr>
                  <w:r>
                    <w:t>符合</w:t>
                  </w:r>
                </w:p>
              </w:tc>
            </w:tr>
            <w:tr w14:paraId="3C69CD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continue"/>
                  <w:noWrap w:val="0"/>
                  <w:vAlign w:val="center"/>
                </w:tcPr>
                <w:p w14:paraId="782DEAD9">
                  <w:pPr>
                    <w:pStyle w:val="115"/>
                    <w:bidi w:val="0"/>
                    <w:rPr>
                      <w:rFonts w:hint="eastAsia"/>
                      <w:lang w:val="en-US" w:eastAsia="zh-CN"/>
                    </w:rPr>
                  </w:pPr>
                </w:p>
              </w:tc>
              <w:tc>
                <w:tcPr>
                  <w:tcW w:w="1985" w:type="pct"/>
                  <w:noWrap w:val="0"/>
                  <w:vAlign w:val="center"/>
                </w:tcPr>
                <w:p w14:paraId="03714FA3">
                  <w:pPr>
                    <w:pStyle w:val="115"/>
                    <w:bidi w:val="0"/>
                    <w:rPr>
                      <w:rFonts w:hint="eastAsia"/>
                      <w:lang w:val="en-US" w:eastAsia="zh-CN"/>
                    </w:rPr>
                  </w:pPr>
                  <w:r>
                    <w:rPr>
                      <w:rFonts w:hint="eastAsia"/>
                      <w:lang w:val="en-US" w:eastAsia="zh-CN"/>
                    </w:rPr>
                    <w:t>作业或运行期间，监测频次至少每3年1次；作业结束或封场后，监测频次至少每年1次，直到相关指标连续 2 年不超过环境本底水平</w:t>
                  </w:r>
                </w:p>
              </w:tc>
              <w:tc>
                <w:tcPr>
                  <w:tcW w:w="1678" w:type="pct"/>
                  <w:noWrap w:val="0"/>
                  <w:vAlign w:val="center"/>
                </w:tcPr>
                <w:p w14:paraId="15F83F0A">
                  <w:pPr>
                    <w:pStyle w:val="115"/>
                    <w:bidi w:val="0"/>
                    <w:rPr>
                      <w:rFonts w:hint="default"/>
                      <w:lang w:val="en-US" w:eastAsia="zh-CN"/>
                    </w:rPr>
                  </w:pPr>
                  <w:r>
                    <w:rPr>
                      <w:rFonts w:hint="eastAsia"/>
                      <w:lang w:val="en-US" w:eastAsia="zh-CN"/>
                    </w:rPr>
                    <w:t>堆填期监测频次为1次/3年</w:t>
                  </w:r>
                </w:p>
              </w:tc>
              <w:tc>
                <w:tcPr>
                  <w:tcW w:w="573" w:type="pct"/>
                  <w:noWrap w:val="0"/>
                  <w:vAlign w:val="center"/>
                </w:tcPr>
                <w:p w14:paraId="002043E6">
                  <w:pPr>
                    <w:pStyle w:val="115"/>
                    <w:bidi w:val="0"/>
                  </w:pPr>
                  <w:r>
                    <w:t>符合</w:t>
                  </w:r>
                </w:p>
              </w:tc>
            </w:tr>
            <w:tr w14:paraId="351ED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restart"/>
                  <w:noWrap w:val="0"/>
                  <w:vAlign w:val="center"/>
                </w:tcPr>
                <w:p w14:paraId="7DF723CB">
                  <w:pPr>
                    <w:pStyle w:val="115"/>
                    <w:bidi w:val="0"/>
                    <w:rPr>
                      <w:rFonts w:hint="eastAsia"/>
                      <w:lang w:val="en-US" w:eastAsia="zh-CN"/>
                    </w:rPr>
                  </w:pPr>
                  <w:r>
                    <w:rPr>
                      <w:rFonts w:hint="eastAsia"/>
                      <w:lang w:val="en-US" w:eastAsia="zh-CN"/>
                    </w:rPr>
                    <w:t>污染物监测要求（地下水）</w:t>
                  </w:r>
                </w:p>
              </w:tc>
              <w:tc>
                <w:tcPr>
                  <w:tcW w:w="1985" w:type="pct"/>
                  <w:noWrap w:val="0"/>
                  <w:vAlign w:val="center"/>
                </w:tcPr>
                <w:p w14:paraId="4E013238">
                  <w:pPr>
                    <w:pStyle w:val="115"/>
                    <w:bidi w:val="0"/>
                    <w:rPr>
                      <w:rFonts w:hint="eastAsia"/>
                      <w:lang w:val="en-US" w:eastAsia="zh-CN"/>
                    </w:rPr>
                  </w:pPr>
                  <w:r>
                    <w:rPr>
                      <w:rFonts w:hint="eastAsia"/>
                      <w:lang w:val="en-US" w:eastAsia="zh-CN"/>
                    </w:rPr>
                    <w:t xml:space="preserve">参照 </w:t>
                  </w:r>
                  <w:r>
                    <w:rPr>
                      <w:rFonts w:hint="default"/>
                      <w:lang w:val="en-US" w:eastAsia="zh-CN"/>
                    </w:rPr>
                    <w:t>HJ 610</w:t>
                  </w:r>
                  <w:r>
                    <w:rPr>
                      <w:rFonts w:hint="eastAsia"/>
                      <w:lang w:val="en-US" w:eastAsia="zh-CN"/>
                    </w:rPr>
                    <w:t>中初步采样布点方法的相关要求，在区域地下水流向上游、下游，以及可能受污染物扩散影响的周边区域内布设测井，监测井建设与管理按</w:t>
                  </w:r>
                  <w:r>
                    <w:rPr>
                      <w:rFonts w:hint="default"/>
                      <w:lang w:val="en-US" w:eastAsia="zh-CN"/>
                    </w:rPr>
                    <w:t>HJ164</w:t>
                  </w:r>
                  <w:r>
                    <w:rPr>
                      <w:rFonts w:hint="eastAsia"/>
                      <w:lang w:val="en-US" w:eastAsia="zh-CN"/>
                    </w:rPr>
                    <w:t>的规定执行</w:t>
                  </w:r>
                </w:p>
              </w:tc>
              <w:tc>
                <w:tcPr>
                  <w:tcW w:w="1678" w:type="pct"/>
                  <w:noWrap w:val="0"/>
                  <w:vAlign w:val="center"/>
                </w:tcPr>
                <w:p w14:paraId="79C9E5A2">
                  <w:pPr>
                    <w:pStyle w:val="115"/>
                    <w:bidi w:val="0"/>
                    <w:rPr>
                      <w:rFonts w:hint="default"/>
                      <w:lang w:val="en-US" w:eastAsia="zh-CN"/>
                    </w:rPr>
                  </w:pPr>
                  <w:r>
                    <w:rPr>
                      <w:rFonts w:hint="eastAsia"/>
                      <w:lang w:val="en-US" w:eastAsia="zh-CN"/>
                    </w:rPr>
                    <w:t>结合项目建筑垃圾消纳场实际地势，分别于堆填区上下游各设置1处地下水监测井</w:t>
                  </w:r>
                </w:p>
              </w:tc>
              <w:tc>
                <w:tcPr>
                  <w:tcW w:w="573" w:type="pct"/>
                  <w:noWrap w:val="0"/>
                  <w:vAlign w:val="center"/>
                </w:tcPr>
                <w:p w14:paraId="479DC764">
                  <w:pPr>
                    <w:pStyle w:val="115"/>
                    <w:bidi w:val="0"/>
                  </w:pPr>
                  <w:r>
                    <w:t>符合</w:t>
                  </w:r>
                </w:p>
              </w:tc>
            </w:tr>
            <w:tr w14:paraId="0A947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continue"/>
                  <w:noWrap w:val="0"/>
                  <w:vAlign w:val="center"/>
                </w:tcPr>
                <w:p w14:paraId="643EC01D">
                  <w:pPr>
                    <w:pStyle w:val="115"/>
                    <w:bidi w:val="0"/>
                    <w:rPr>
                      <w:rFonts w:hint="eastAsia"/>
                      <w:lang w:val="en-US" w:eastAsia="zh-CN"/>
                    </w:rPr>
                  </w:pPr>
                </w:p>
              </w:tc>
              <w:tc>
                <w:tcPr>
                  <w:tcW w:w="1985" w:type="pct"/>
                  <w:noWrap w:val="0"/>
                  <w:vAlign w:val="center"/>
                </w:tcPr>
                <w:p w14:paraId="71952626">
                  <w:pPr>
                    <w:pStyle w:val="115"/>
                    <w:bidi w:val="0"/>
                    <w:rPr>
                      <w:rFonts w:hint="eastAsia"/>
                      <w:lang w:val="en-US" w:eastAsia="zh-CN"/>
                    </w:rPr>
                  </w:pPr>
                  <w:r>
                    <w:rPr>
                      <w:rFonts w:hint="eastAsia"/>
                      <w:lang w:val="en-US" w:eastAsia="zh-CN"/>
                    </w:rPr>
                    <w:t>地下水监测项目应至少包括：浑浊度、pH、溶解性总固体、钙、钾、钠、硫酸盐、碳酸盐、砷、汞、总铬、六价铬、铅、镉、铁、锰、铜、锌、镍等，以及环境风险评估的关注污染因子，采用的监测分析方法应当符合生态环境监测有关规范和标准的规定</w:t>
                  </w:r>
                </w:p>
              </w:tc>
              <w:tc>
                <w:tcPr>
                  <w:tcW w:w="1678" w:type="pct"/>
                  <w:noWrap w:val="0"/>
                  <w:vAlign w:val="center"/>
                </w:tcPr>
                <w:p w14:paraId="6CF84DEF">
                  <w:pPr>
                    <w:pStyle w:val="115"/>
                    <w:bidi w:val="0"/>
                    <w:rPr>
                      <w:rFonts w:hint="default"/>
                      <w:lang w:val="en-US" w:eastAsia="zh-CN"/>
                    </w:rPr>
                  </w:pPr>
                  <w:r>
                    <w:rPr>
                      <w:rFonts w:hint="eastAsia"/>
                      <w:lang w:val="en-US" w:eastAsia="zh-CN"/>
                    </w:rPr>
                    <w:t>监测因子为浑浊度、pH、溶解性总固体、钙、钾、钠、硫酸盐、碳酸盐、砷、汞、总铬、六价铬、铅、镉、铁、锰、铜、锌、镍等</w:t>
                  </w:r>
                </w:p>
              </w:tc>
              <w:tc>
                <w:tcPr>
                  <w:tcW w:w="573" w:type="pct"/>
                  <w:noWrap w:val="0"/>
                  <w:vAlign w:val="center"/>
                </w:tcPr>
                <w:p w14:paraId="65CEDD97">
                  <w:pPr>
                    <w:pStyle w:val="115"/>
                    <w:bidi w:val="0"/>
                  </w:pPr>
                  <w:r>
                    <w:t>符合</w:t>
                  </w:r>
                </w:p>
              </w:tc>
            </w:tr>
            <w:tr w14:paraId="0FB66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763" w:type="pct"/>
                  <w:vMerge w:val="continue"/>
                  <w:noWrap w:val="0"/>
                  <w:vAlign w:val="center"/>
                </w:tcPr>
                <w:p w14:paraId="5E8055DE">
                  <w:pPr>
                    <w:pStyle w:val="115"/>
                    <w:bidi w:val="0"/>
                    <w:rPr>
                      <w:rFonts w:hint="eastAsia"/>
                      <w:lang w:val="en-US" w:eastAsia="zh-CN"/>
                    </w:rPr>
                  </w:pPr>
                </w:p>
              </w:tc>
              <w:tc>
                <w:tcPr>
                  <w:tcW w:w="1985" w:type="pct"/>
                  <w:noWrap w:val="0"/>
                  <w:vAlign w:val="center"/>
                </w:tcPr>
                <w:p w14:paraId="12A344A9">
                  <w:pPr>
                    <w:pStyle w:val="115"/>
                    <w:bidi w:val="0"/>
                    <w:rPr>
                      <w:rFonts w:hint="eastAsia"/>
                      <w:lang w:val="en-US" w:eastAsia="zh-CN"/>
                    </w:rPr>
                  </w:pPr>
                  <w:r>
                    <w:rPr>
                      <w:rFonts w:hint="eastAsia"/>
                      <w:lang w:val="en-US" w:eastAsia="zh-CN"/>
                    </w:rPr>
                    <w:t>作业或运行期间，监测频次至少每季度 1次，每两次监测之间间隔不少于 1个月；作业结束或封场后，监测频次至少每半年1次，直到地下水水质连续 2年不超出地下水本底水平</w:t>
                  </w:r>
                </w:p>
              </w:tc>
              <w:tc>
                <w:tcPr>
                  <w:tcW w:w="1678" w:type="pct"/>
                  <w:noWrap w:val="0"/>
                  <w:vAlign w:val="center"/>
                </w:tcPr>
                <w:p w14:paraId="7A9E99F1">
                  <w:pPr>
                    <w:pStyle w:val="115"/>
                    <w:bidi w:val="0"/>
                    <w:rPr>
                      <w:rFonts w:hint="eastAsia"/>
                      <w:lang w:val="en-US" w:eastAsia="zh-CN"/>
                    </w:rPr>
                  </w:pPr>
                  <w:r>
                    <w:rPr>
                      <w:rFonts w:hint="eastAsia"/>
                      <w:lang w:val="en-US" w:eastAsia="zh-CN"/>
                    </w:rPr>
                    <w:t>堆填期监测频次为1次/季度</w:t>
                  </w:r>
                </w:p>
              </w:tc>
              <w:tc>
                <w:tcPr>
                  <w:tcW w:w="573" w:type="pct"/>
                  <w:noWrap w:val="0"/>
                  <w:vAlign w:val="center"/>
                </w:tcPr>
                <w:p w14:paraId="4CC31D91">
                  <w:pPr>
                    <w:pStyle w:val="115"/>
                    <w:bidi w:val="0"/>
                  </w:pPr>
                  <w:r>
                    <w:t>符合</w:t>
                  </w:r>
                </w:p>
              </w:tc>
            </w:tr>
          </w:tbl>
          <w:p w14:paraId="54AA31C7">
            <w:pPr>
              <w:pStyle w:val="4"/>
              <w:bidi w:val="0"/>
              <w:rPr>
                <w:rFonts w:hint="eastAsia"/>
                <w:lang w:val="en-US" w:eastAsia="zh-CN"/>
              </w:rPr>
            </w:pPr>
            <w:r>
              <w:rPr>
                <w:rFonts w:hint="eastAsia"/>
                <w:lang w:val="en-US" w:eastAsia="zh-CN"/>
              </w:rPr>
              <w:t>4.7环境风险分析</w:t>
            </w:r>
            <w:bookmarkEnd w:id="106"/>
            <w:bookmarkEnd w:id="107"/>
            <w:bookmarkEnd w:id="108"/>
          </w:p>
          <w:p w14:paraId="44A092FE">
            <w:pPr>
              <w:pStyle w:val="5"/>
              <w:bidi w:val="0"/>
              <w:rPr>
                <w:rFonts w:hint="eastAsia"/>
                <w:lang w:val="en-US" w:eastAsia="zh-CN"/>
              </w:rPr>
            </w:pPr>
            <w:r>
              <w:rPr>
                <w:rFonts w:hint="eastAsia"/>
                <w:lang w:val="en-US" w:eastAsia="zh-CN"/>
              </w:rPr>
              <w:t>4.7.1评价依据</w:t>
            </w:r>
          </w:p>
          <w:p w14:paraId="3C3E5AFB">
            <w:pPr>
              <w:ind w:firstLine="480"/>
              <w:rPr>
                <w:rFonts w:hint="eastAsia"/>
                <w:u w:val="none"/>
                <w:lang w:val="en-US" w:eastAsia="zh-CN"/>
              </w:rPr>
            </w:pPr>
            <w:r>
              <w:rPr>
                <w:rFonts w:hint="eastAsia"/>
                <w:u w:val="none"/>
                <w:lang w:val="en-US" w:eastAsia="zh-CN"/>
              </w:rPr>
              <w:t>①风险调查</w:t>
            </w:r>
          </w:p>
          <w:p w14:paraId="3084ABC9">
            <w:pPr>
              <w:ind w:firstLine="480"/>
              <w:rPr>
                <w:rFonts w:hint="eastAsia"/>
                <w:u w:val="none"/>
                <w:lang w:val="en-US" w:eastAsia="zh-CN"/>
              </w:rPr>
            </w:pPr>
            <w:r>
              <w:rPr>
                <w:rFonts w:hint="eastAsia"/>
                <w:u w:val="none"/>
                <w:lang w:val="en-US" w:eastAsia="zh-CN"/>
              </w:rPr>
              <w:t>依据《建设项目环境风险评价技术导则》（HJ169-2018）、《危险化学品重大危险源辨识》（GB18218-2018）和《危险化学品名录（2018版）》中的危险物质或危险化学品，对项目的环境风险物质进行判断，本项目风险物质主要有润滑油、废润滑油、含油废抹布、手套、分选危险废物。</w:t>
            </w:r>
          </w:p>
          <w:p w14:paraId="6D99187E">
            <w:pPr>
              <w:ind w:firstLine="480"/>
              <w:rPr>
                <w:rFonts w:hint="eastAsia"/>
                <w:u w:val="none"/>
                <w:lang w:val="en-US" w:eastAsia="zh-CN"/>
              </w:rPr>
            </w:pPr>
            <w:r>
              <w:rPr>
                <w:rFonts w:hint="eastAsia"/>
                <w:u w:val="none"/>
                <w:lang w:val="en-US" w:eastAsia="zh-CN"/>
              </w:rPr>
              <w:t>②风险潜势初判</w:t>
            </w:r>
          </w:p>
          <w:p w14:paraId="03D9DCFF">
            <w:pPr>
              <w:ind w:firstLine="480"/>
              <w:rPr>
                <w:rFonts w:hint="eastAsia"/>
                <w:u w:val="none"/>
                <w:lang w:val="en-US" w:eastAsia="zh-CN"/>
              </w:rPr>
            </w:pPr>
            <w:r>
              <w:rPr>
                <w:rFonts w:hint="eastAsia"/>
                <w:u w:val="none"/>
                <w:lang w:val="en-US" w:eastAsia="zh-CN"/>
              </w:rPr>
              <w:t>根据《建设项目环境风险评价技术导则》（HJ169-2018），建设项目环境风险潜势划分为Ⅰ、Ⅱ、Ⅲ、Ⅳ/Ⅳ+级。根据建设项目涉及的物质和工艺系统的危险性（P）及其所在地的环境敏感程度（E），结合事故情形下环境影响途径，对建设项目潜在环境危害程度进行概化分析，并确定环境风险潜势。其中危险物质及工艺系统危险性（P）等级由危险物质数量与临界量的比值（Q）和所属行业及生产工艺特点（M）。</w:t>
            </w:r>
          </w:p>
          <w:p w14:paraId="1AA2D5A3">
            <w:pPr>
              <w:ind w:firstLine="480"/>
              <w:rPr>
                <w:rFonts w:hint="eastAsia"/>
                <w:u w:val="none"/>
                <w:lang w:val="en-US" w:eastAsia="zh-CN"/>
              </w:rPr>
            </w:pPr>
            <w:r>
              <w:rPr>
                <w:rFonts w:hint="eastAsia"/>
                <w:u w:val="none"/>
                <w:lang w:val="en-US" w:eastAsia="zh-CN"/>
              </w:rPr>
              <w:t>当企业只涉及一种环境风险物质时，该物质的数量与其临界量比值，即为Q。当企业存在多种风险物质时，根据《建设项目环境风险评价技术导则》（HJ/T169-2018）附录C，Q按下式进行计算</w:t>
            </w:r>
          </w:p>
          <w:p w14:paraId="0F938BA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u w:val="none"/>
                <w:lang w:val="en-US" w:eastAsia="zh-CN"/>
              </w:rPr>
            </w:pPr>
            <w:r>
              <w:rPr>
                <w:rFonts w:hint="eastAsia"/>
                <w:u w:val="none"/>
                <w:lang w:val="en-US" w:eastAsia="zh-CN"/>
              </w:rPr>
              <w:drawing>
                <wp:inline distT="0" distB="0" distL="114300" distR="114300">
                  <wp:extent cx="2047875" cy="581025"/>
                  <wp:effectExtent l="0" t="0" r="9525" b="9525"/>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34"/>
                          <a:stretch>
                            <a:fillRect/>
                          </a:stretch>
                        </pic:blipFill>
                        <pic:spPr>
                          <a:xfrm>
                            <a:off x="0" y="0"/>
                            <a:ext cx="2047875" cy="581025"/>
                          </a:xfrm>
                          <a:prstGeom prst="rect">
                            <a:avLst/>
                          </a:prstGeom>
                          <a:noFill/>
                          <a:ln>
                            <a:noFill/>
                          </a:ln>
                        </pic:spPr>
                      </pic:pic>
                    </a:graphicData>
                  </a:graphic>
                </wp:inline>
              </w:drawing>
            </w:r>
          </w:p>
          <w:p w14:paraId="7D212A0C">
            <w:pPr>
              <w:ind w:firstLine="480"/>
              <w:rPr>
                <w:rFonts w:hint="eastAsia"/>
                <w:u w:val="none"/>
                <w:lang w:val="en-US" w:eastAsia="zh-CN"/>
              </w:rPr>
            </w:pPr>
            <w:r>
              <w:rPr>
                <w:rFonts w:hint="eastAsia"/>
                <w:u w:val="none"/>
                <w:lang w:val="en-US" w:eastAsia="zh-CN"/>
              </w:rPr>
              <w:t>式中：q1，q2……qn——每种风险物质的最大存在总量，t；</w:t>
            </w:r>
          </w:p>
          <w:p w14:paraId="4A7DF6C3">
            <w:pPr>
              <w:ind w:firstLine="480"/>
              <w:rPr>
                <w:rFonts w:hint="eastAsia"/>
                <w:u w:val="none"/>
                <w:lang w:val="en-US" w:eastAsia="zh-CN"/>
              </w:rPr>
            </w:pPr>
            <w:r>
              <w:rPr>
                <w:rFonts w:hint="eastAsia"/>
                <w:u w:val="none"/>
                <w:lang w:val="en-US" w:eastAsia="zh-CN"/>
              </w:rPr>
              <w:t>Q1，Q2……Qn ——每种风险物质的临界量，t。</w:t>
            </w:r>
          </w:p>
          <w:p w14:paraId="76C031DB">
            <w:pPr>
              <w:ind w:firstLine="480"/>
              <w:rPr>
                <w:rFonts w:hint="eastAsia"/>
                <w:u w:val="none"/>
                <w:lang w:val="en-US" w:eastAsia="zh-CN"/>
              </w:rPr>
            </w:pPr>
            <w:r>
              <w:rPr>
                <w:rFonts w:hint="eastAsia"/>
                <w:u w:val="none"/>
                <w:lang w:val="en-US" w:eastAsia="zh-CN"/>
              </w:rPr>
              <w:t>当Q＜1时，该项目环境风险潜势为Ⅰ；</w:t>
            </w:r>
          </w:p>
          <w:p w14:paraId="0BAF50C1">
            <w:pPr>
              <w:ind w:firstLine="480"/>
              <w:rPr>
                <w:rFonts w:hint="eastAsia"/>
                <w:u w:val="none"/>
                <w:lang w:val="en-US" w:eastAsia="zh-CN"/>
              </w:rPr>
            </w:pPr>
            <w:r>
              <w:rPr>
                <w:rFonts w:hint="eastAsia"/>
                <w:u w:val="none"/>
                <w:lang w:val="en-US" w:eastAsia="zh-CN"/>
              </w:rPr>
              <w:t>当Q≥1时，将Q值划分为：（1）1≤Q＜10；（2）10≤Q＜100；（3）Q≥100。</w:t>
            </w:r>
          </w:p>
          <w:p w14:paraId="7770E21D">
            <w:pPr>
              <w:ind w:firstLine="480"/>
              <w:rPr>
                <w:rFonts w:hint="eastAsia" w:ascii="仿宋_GB2312" w:hAnsi="仿宋_GB2312" w:eastAsia="仿宋_GB2312" w:cs="仿宋_GB2312"/>
                <w:b/>
                <w:color w:val="auto"/>
                <w:spacing w:val="6"/>
                <w:kern w:val="0"/>
                <w:sz w:val="24"/>
                <w:szCs w:val="24"/>
                <w:highlight w:val="none"/>
                <w:lang w:val="en-US" w:eastAsia="zh-CN" w:bidi="ar-SA"/>
              </w:rPr>
            </w:pPr>
            <w:r>
              <w:rPr>
                <w:rFonts w:hint="eastAsia"/>
                <w:u w:val="none"/>
                <w:lang w:val="en-US" w:eastAsia="zh-CN"/>
              </w:rPr>
              <w:t>根据《建设项目环境风险评价技术导则》附录B，本项目Q的分级确定情况见下表4.7-1。</w:t>
            </w:r>
          </w:p>
          <w:p w14:paraId="0F2E447E">
            <w:pPr>
              <w:pStyle w:val="44"/>
              <w:widowControl w:val="0"/>
              <w:bidi w:val="0"/>
              <w:rPr>
                <w:rFonts w:hint="eastAsia"/>
                <w:u w:val="none"/>
                <w:lang w:val="en-US" w:eastAsia="zh-CN"/>
              </w:rPr>
            </w:pPr>
            <w:r>
              <w:rPr>
                <w:rFonts w:hint="eastAsia"/>
                <w:u w:val="none"/>
                <w:lang w:val="en-US" w:eastAsia="zh-CN"/>
              </w:rPr>
              <w:t>表4.7-1：危险物质数量与临界量比值（Q）情况</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3"/>
              <w:gridCol w:w="1601"/>
              <w:gridCol w:w="1215"/>
              <w:gridCol w:w="1232"/>
            </w:tblGrid>
            <w:tr w14:paraId="44C6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3" w:type="dxa"/>
                  <w:noWrap w:val="0"/>
                  <w:vAlign w:val="center"/>
                </w:tcPr>
                <w:p w14:paraId="54F17375">
                  <w:pPr>
                    <w:pStyle w:val="115"/>
                    <w:bidi w:val="0"/>
                    <w:rPr>
                      <w:rFonts w:hint="eastAsia"/>
                      <w:b/>
                      <w:bCs/>
                      <w:lang w:val="en-US" w:eastAsia="zh-CN"/>
                    </w:rPr>
                  </w:pPr>
                  <w:r>
                    <w:rPr>
                      <w:rFonts w:hint="eastAsia"/>
                      <w:b/>
                      <w:bCs/>
                      <w:lang w:val="en-US" w:eastAsia="zh-CN"/>
                    </w:rPr>
                    <w:t>物质名称</w:t>
                  </w:r>
                </w:p>
              </w:tc>
              <w:tc>
                <w:tcPr>
                  <w:tcW w:w="1601" w:type="dxa"/>
                  <w:noWrap w:val="0"/>
                  <w:vAlign w:val="center"/>
                </w:tcPr>
                <w:p w14:paraId="7AB9B9A8">
                  <w:pPr>
                    <w:pStyle w:val="115"/>
                    <w:bidi w:val="0"/>
                    <w:rPr>
                      <w:rFonts w:hint="eastAsia"/>
                      <w:b/>
                      <w:bCs/>
                      <w:lang w:val="en-US" w:eastAsia="zh-CN"/>
                    </w:rPr>
                  </w:pPr>
                  <w:r>
                    <w:rPr>
                      <w:rFonts w:hint="eastAsia"/>
                      <w:b/>
                      <w:bCs/>
                      <w:lang w:val="en-US" w:eastAsia="zh-CN"/>
                    </w:rPr>
                    <w:t>最大储存量t</w:t>
                  </w:r>
                </w:p>
              </w:tc>
              <w:tc>
                <w:tcPr>
                  <w:tcW w:w="1215" w:type="dxa"/>
                  <w:noWrap w:val="0"/>
                  <w:vAlign w:val="center"/>
                </w:tcPr>
                <w:p w14:paraId="7CD00745">
                  <w:pPr>
                    <w:pStyle w:val="115"/>
                    <w:bidi w:val="0"/>
                    <w:rPr>
                      <w:rFonts w:hint="eastAsia"/>
                      <w:b/>
                      <w:bCs/>
                      <w:lang w:val="en-US" w:eastAsia="zh-CN"/>
                    </w:rPr>
                  </w:pPr>
                  <w:r>
                    <w:rPr>
                      <w:rFonts w:hint="eastAsia"/>
                      <w:b/>
                      <w:bCs/>
                      <w:lang w:val="en-US" w:eastAsia="zh-CN"/>
                    </w:rPr>
                    <w:t>临界量t</w:t>
                  </w:r>
                </w:p>
              </w:tc>
              <w:tc>
                <w:tcPr>
                  <w:tcW w:w="1232" w:type="dxa"/>
                  <w:noWrap w:val="0"/>
                  <w:vAlign w:val="center"/>
                </w:tcPr>
                <w:p w14:paraId="2977D964">
                  <w:pPr>
                    <w:pStyle w:val="115"/>
                    <w:bidi w:val="0"/>
                    <w:rPr>
                      <w:rFonts w:hint="eastAsia"/>
                      <w:b/>
                      <w:bCs/>
                      <w:lang w:val="en-US" w:eastAsia="zh-CN"/>
                    </w:rPr>
                  </w:pPr>
                  <w:r>
                    <w:rPr>
                      <w:rFonts w:hint="eastAsia"/>
                      <w:b/>
                      <w:bCs/>
                      <w:lang w:val="en-US" w:eastAsia="zh-CN"/>
                    </w:rPr>
                    <w:t>Q</w:t>
                  </w:r>
                </w:p>
              </w:tc>
            </w:tr>
            <w:tr w14:paraId="3FC9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3" w:type="dxa"/>
                  <w:noWrap w:val="0"/>
                  <w:vAlign w:val="center"/>
                </w:tcPr>
                <w:p w14:paraId="69A38D74">
                  <w:pPr>
                    <w:pStyle w:val="115"/>
                    <w:bidi w:val="0"/>
                    <w:rPr>
                      <w:rFonts w:hint="eastAsia"/>
                      <w:lang w:val="en-US" w:eastAsia="zh-CN"/>
                    </w:rPr>
                  </w:pPr>
                  <w:r>
                    <w:rPr>
                      <w:rFonts w:hint="eastAsia"/>
                      <w:lang w:val="en-US" w:eastAsia="zh-CN"/>
                    </w:rPr>
                    <w:t>危险废物</w:t>
                  </w:r>
                </w:p>
                <w:p w14:paraId="034831CA">
                  <w:pPr>
                    <w:pStyle w:val="115"/>
                    <w:bidi w:val="0"/>
                    <w:rPr>
                      <w:rFonts w:hint="default"/>
                      <w:lang w:val="en-US" w:eastAsia="zh-CN"/>
                    </w:rPr>
                  </w:pPr>
                  <w:r>
                    <w:rPr>
                      <w:rFonts w:hint="eastAsia"/>
                      <w:lang w:val="en-US" w:eastAsia="zh-CN"/>
                    </w:rPr>
                    <w:t>（废润滑油、含油废抹布、手套、分选危险废物）</w:t>
                  </w:r>
                </w:p>
              </w:tc>
              <w:tc>
                <w:tcPr>
                  <w:tcW w:w="1601" w:type="dxa"/>
                  <w:noWrap w:val="0"/>
                  <w:vAlign w:val="center"/>
                </w:tcPr>
                <w:p w14:paraId="7E3F34C3">
                  <w:pPr>
                    <w:pStyle w:val="115"/>
                    <w:bidi w:val="0"/>
                    <w:rPr>
                      <w:rFonts w:hint="default"/>
                      <w:lang w:val="en-US" w:eastAsia="zh-CN"/>
                    </w:rPr>
                  </w:pPr>
                  <w:r>
                    <w:rPr>
                      <w:rFonts w:hint="eastAsia"/>
                      <w:lang w:val="en-US" w:eastAsia="zh-CN"/>
                    </w:rPr>
                    <w:t>1.8525</w:t>
                  </w:r>
                </w:p>
              </w:tc>
              <w:tc>
                <w:tcPr>
                  <w:tcW w:w="1215" w:type="dxa"/>
                  <w:noWrap w:val="0"/>
                  <w:vAlign w:val="center"/>
                </w:tcPr>
                <w:p w14:paraId="262BDB9C">
                  <w:pPr>
                    <w:pStyle w:val="115"/>
                    <w:bidi w:val="0"/>
                    <w:rPr>
                      <w:rFonts w:hint="default"/>
                      <w:lang w:val="en-US" w:eastAsia="zh-CN"/>
                    </w:rPr>
                  </w:pPr>
                  <w:r>
                    <w:rPr>
                      <w:rFonts w:hint="eastAsia"/>
                      <w:lang w:val="en-US" w:eastAsia="zh-CN"/>
                    </w:rPr>
                    <w:t>2500</w:t>
                  </w:r>
                </w:p>
              </w:tc>
              <w:tc>
                <w:tcPr>
                  <w:tcW w:w="1232" w:type="dxa"/>
                  <w:noWrap w:val="0"/>
                  <w:vAlign w:val="center"/>
                </w:tcPr>
                <w:p w14:paraId="4A6E78A4">
                  <w:pPr>
                    <w:pStyle w:val="115"/>
                    <w:bidi w:val="0"/>
                    <w:rPr>
                      <w:rFonts w:hint="default"/>
                      <w:lang w:val="en-US" w:eastAsia="zh-CN"/>
                    </w:rPr>
                  </w:pPr>
                  <w:r>
                    <w:rPr>
                      <w:rFonts w:hint="eastAsia"/>
                      <w:lang w:val="en-US" w:eastAsia="zh-CN"/>
                    </w:rPr>
                    <w:t>0.000741</w:t>
                  </w:r>
                </w:p>
              </w:tc>
            </w:tr>
            <w:tr w14:paraId="04F4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3" w:type="dxa"/>
                  <w:noWrap w:val="0"/>
                  <w:vAlign w:val="center"/>
                </w:tcPr>
                <w:p w14:paraId="3F6045A6">
                  <w:pPr>
                    <w:pStyle w:val="115"/>
                    <w:bidi w:val="0"/>
                    <w:rPr>
                      <w:rFonts w:hint="default"/>
                      <w:lang w:val="en-US" w:eastAsia="zh-CN"/>
                    </w:rPr>
                  </w:pPr>
                  <w:r>
                    <w:rPr>
                      <w:rFonts w:hint="eastAsia"/>
                      <w:lang w:val="en-US" w:eastAsia="zh-CN"/>
                    </w:rPr>
                    <w:t>润滑油</w:t>
                  </w:r>
                </w:p>
              </w:tc>
              <w:tc>
                <w:tcPr>
                  <w:tcW w:w="1601" w:type="dxa"/>
                  <w:noWrap w:val="0"/>
                  <w:vAlign w:val="center"/>
                </w:tcPr>
                <w:p w14:paraId="1DB6259A">
                  <w:pPr>
                    <w:pStyle w:val="115"/>
                    <w:bidi w:val="0"/>
                    <w:rPr>
                      <w:rFonts w:hint="default"/>
                      <w:lang w:val="en-US" w:eastAsia="zh-CN"/>
                    </w:rPr>
                  </w:pPr>
                  <w:r>
                    <w:rPr>
                      <w:rFonts w:hint="default" w:ascii="Times New Roman" w:hAnsi="Times New Roman" w:cs="Times New Roman"/>
                      <w:lang w:val="en-US" w:eastAsia="zh-CN"/>
                    </w:rPr>
                    <w:t>0.5</w:t>
                  </w:r>
                </w:p>
              </w:tc>
              <w:tc>
                <w:tcPr>
                  <w:tcW w:w="1215" w:type="dxa"/>
                  <w:noWrap w:val="0"/>
                  <w:vAlign w:val="center"/>
                </w:tcPr>
                <w:p w14:paraId="53737EA6">
                  <w:pPr>
                    <w:pStyle w:val="115"/>
                    <w:bidi w:val="0"/>
                    <w:rPr>
                      <w:rFonts w:hint="default"/>
                      <w:lang w:val="en-US" w:eastAsia="zh-CN"/>
                    </w:rPr>
                  </w:pPr>
                  <w:r>
                    <w:rPr>
                      <w:rFonts w:hint="eastAsia"/>
                      <w:lang w:val="en-US" w:eastAsia="zh-CN"/>
                    </w:rPr>
                    <w:t>2500</w:t>
                  </w:r>
                </w:p>
              </w:tc>
              <w:tc>
                <w:tcPr>
                  <w:tcW w:w="1232" w:type="dxa"/>
                  <w:noWrap w:val="0"/>
                  <w:vAlign w:val="center"/>
                </w:tcPr>
                <w:p w14:paraId="6D514BD5">
                  <w:pPr>
                    <w:pStyle w:val="115"/>
                    <w:bidi w:val="0"/>
                    <w:rPr>
                      <w:rFonts w:hint="default"/>
                      <w:lang w:val="en-US" w:eastAsia="zh-CN"/>
                    </w:rPr>
                  </w:pPr>
                  <w:r>
                    <w:rPr>
                      <w:rFonts w:hint="eastAsia"/>
                      <w:lang w:val="en-US" w:eastAsia="zh-CN"/>
                    </w:rPr>
                    <w:t>0.0002</w:t>
                  </w:r>
                </w:p>
              </w:tc>
            </w:tr>
            <w:tr w14:paraId="2625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39" w:type="dxa"/>
                  <w:gridSpan w:val="3"/>
                  <w:noWrap w:val="0"/>
                  <w:vAlign w:val="center"/>
                </w:tcPr>
                <w:p w14:paraId="4B2CA72F">
                  <w:pPr>
                    <w:pStyle w:val="115"/>
                    <w:bidi w:val="0"/>
                    <w:rPr>
                      <w:rFonts w:hint="eastAsia"/>
                      <w:lang w:val="en-US" w:eastAsia="zh-CN"/>
                    </w:rPr>
                  </w:pPr>
                  <w:r>
                    <w:rPr>
                      <w:rFonts w:hint="eastAsia"/>
                      <w:lang w:val="en-US" w:eastAsia="zh-CN"/>
                    </w:rPr>
                    <w:t>合计</w:t>
                  </w:r>
                </w:p>
              </w:tc>
              <w:tc>
                <w:tcPr>
                  <w:tcW w:w="1232" w:type="dxa"/>
                  <w:noWrap w:val="0"/>
                  <w:vAlign w:val="center"/>
                </w:tcPr>
                <w:p w14:paraId="7768EA32">
                  <w:pPr>
                    <w:pStyle w:val="115"/>
                    <w:bidi w:val="0"/>
                    <w:rPr>
                      <w:rFonts w:hint="default"/>
                      <w:lang w:val="en-US" w:eastAsia="zh-CN"/>
                    </w:rPr>
                  </w:pPr>
                  <w:r>
                    <w:rPr>
                      <w:rFonts w:hint="eastAsia"/>
                      <w:lang w:val="en-US" w:eastAsia="zh-CN"/>
                    </w:rPr>
                    <w:t>0.000941</w:t>
                  </w:r>
                </w:p>
              </w:tc>
            </w:tr>
            <w:tr w14:paraId="3F36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71" w:type="dxa"/>
                  <w:gridSpan w:val="4"/>
                  <w:noWrap w:val="0"/>
                  <w:vAlign w:val="center"/>
                </w:tcPr>
                <w:p w14:paraId="1256CB03">
                  <w:pPr>
                    <w:pStyle w:val="115"/>
                    <w:bidi w:val="0"/>
                    <w:jc w:val="left"/>
                    <w:rPr>
                      <w:rFonts w:hint="default"/>
                      <w:lang w:val="en-US" w:eastAsia="zh-CN"/>
                    </w:rPr>
                  </w:pPr>
                  <w:r>
                    <w:rPr>
                      <w:rFonts w:hint="eastAsia"/>
                      <w:lang w:val="en-US" w:eastAsia="zh-CN"/>
                    </w:rPr>
                    <w:t>其中分选危险废物最大储存量为1.6425t</w:t>
                  </w:r>
                </w:p>
              </w:tc>
            </w:tr>
          </w:tbl>
          <w:p w14:paraId="302F1FB1">
            <w:pPr>
              <w:ind w:firstLine="480"/>
              <w:rPr>
                <w:rFonts w:hint="eastAsia"/>
                <w:u w:val="none"/>
                <w:lang w:val="en-US" w:eastAsia="zh-CN"/>
              </w:rPr>
            </w:pPr>
            <w:r>
              <w:rPr>
                <w:rFonts w:hint="eastAsia"/>
                <w:u w:val="none"/>
                <w:lang w:val="en-US" w:eastAsia="zh-CN"/>
              </w:rPr>
              <w:t>B）风险潜势判定</w:t>
            </w:r>
          </w:p>
          <w:p w14:paraId="500E5441">
            <w:pPr>
              <w:ind w:firstLine="480"/>
              <w:rPr>
                <w:rFonts w:hint="eastAsia"/>
                <w:u w:val="none"/>
                <w:lang w:val="en-US" w:eastAsia="zh-CN"/>
              </w:rPr>
            </w:pPr>
            <w:r>
              <w:rPr>
                <w:rFonts w:hint="eastAsia"/>
                <w:u w:val="none"/>
                <w:lang w:val="en-US" w:eastAsia="zh-CN"/>
              </w:rPr>
              <w:t>根据统计可得，企业现有危险物质数量与临界量的比值（Q）为0.000941&lt;1，判定项目环境风险潜势为I级。</w:t>
            </w:r>
          </w:p>
          <w:p w14:paraId="583CD6E1">
            <w:pPr>
              <w:ind w:firstLine="480"/>
              <w:rPr>
                <w:rFonts w:hint="eastAsia"/>
                <w:u w:val="none"/>
                <w:lang w:val="en-US" w:eastAsia="zh-CN"/>
              </w:rPr>
            </w:pPr>
            <w:r>
              <w:rPr>
                <w:rFonts w:hint="eastAsia"/>
                <w:u w:val="none"/>
                <w:lang w:val="en-US" w:eastAsia="zh-CN"/>
              </w:rPr>
              <w:t>C）环境风险评价等级</w:t>
            </w:r>
          </w:p>
          <w:p w14:paraId="7B2E2C0F">
            <w:pPr>
              <w:ind w:firstLine="480"/>
              <w:rPr>
                <w:rFonts w:hint="eastAsia" w:ascii="仿宋_GB2312" w:hAnsi="仿宋_GB2312" w:eastAsia="仿宋_GB2312" w:cs="仿宋_GB2312"/>
                <w:b/>
                <w:bCs/>
                <w:color w:val="auto"/>
                <w:kern w:val="20"/>
                <w:sz w:val="24"/>
                <w:szCs w:val="24"/>
                <w:highlight w:val="none"/>
                <w:lang w:val="en-US" w:eastAsia="zh-CN"/>
              </w:rPr>
            </w:pPr>
            <w:r>
              <w:rPr>
                <w:rFonts w:hint="eastAsia"/>
                <w:u w:val="none"/>
                <w:lang w:val="en-US" w:eastAsia="zh-CN"/>
              </w:rPr>
              <w:t>根据《建设项目环境风险评价技术导则》（HJ169-2018）4.3评价工作等级划分章节中的相关内容，本项目环境风险评价工作等级为简单分析。</w:t>
            </w:r>
          </w:p>
          <w:p w14:paraId="662DCF52">
            <w:pPr>
              <w:pStyle w:val="5"/>
              <w:bidi w:val="0"/>
              <w:rPr>
                <w:rFonts w:hint="eastAsia"/>
                <w:lang w:val="en-US" w:eastAsia="zh-CN"/>
              </w:rPr>
            </w:pPr>
            <w:r>
              <w:rPr>
                <w:rFonts w:hint="eastAsia"/>
                <w:lang w:val="en-US" w:eastAsia="zh-CN"/>
              </w:rPr>
              <w:t>4.7.2 环境风险识别</w:t>
            </w:r>
          </w:p>
          <w:p w14:paraId="4CF934E1">
            <w:pPr>
              <w:ind w:firstLine="480"/>
              <w:rPr>
                <w:rFonts w:hint="eastAsia"/>
              </w:rPr>
            </w:pPr>
            <w:r>
              <w:rPr>
                <w:rFonts w:hint="eastAsia"/>
              </w:rPr>
              <w:t>依据《建设项目环境风险评价技术导则》（HJ169-2018）等规范，对项目涉及的危险物质及生产设施进行环境风险识别。</w:t>
            </w:r>
          </w:p>
          <w:p w14:paraId="2F38CC9A">
            <w:pPr>
              <w:ind w:firstLine="480"/>
              <w:rPr>
                <w:rFonts w:hint="eastAsia"/>
                <w:b/>
                <w:bCs/>
              </w:rPr>
            </w:pPr>
            <w:r>
              <w:rPr>
                <w:rFonts w:hint="eastAsia"/>
                <w:b/>
                <w:bCs/>
                <w:lang w:val="en-US" w:eastAsia="zh-CN"/>
              </w:rPr>
              <w:t>一、</w:t>
            </w:r>
            <w:r>
              <w:rPr>
                <w:rFonts w:hint="eastAsia"/>
                <w:b/>
                <w:bCs/>
              </w:rPr>
              <w:t>主要风险物质识别</w:t>
            </w:r>
          </w:p>
          <w:p w14:paraId="1AC28EC4">
            <w:pPr>
              <w:ind w:firstLine="480"/>
              <w:rPr>
                <w:rFonts w:hint="eastAsia"/>
              </w:rPr>
            </w:pPr>
            <w:r>
              <w:rPr>
                <w:rFonts w:hint="eastAsia"/>
              </w:rPr>
              <w:t>本项目运营期涉及的主要环境风险物质为：润滑油、废润滑油、含油废抹布、手套、分选危险废物。经辨识，其厂内储存量均未构成《危险化学品重大危险源辨识》（GB 18218-2018）规定的重大危险源。</w:t>
            </w:r>
          </w:p>
          <w:p w14:paraId="2ACB56E1">
            <w:pPr>
              <w:ind w:firstLine="480"/>
              <w:rPr>
                <w:rFonts w:hint="eastAsia"/>
                <w:b/>
                <w:bCs/>
              </w:rPr>
            </w:pPr>
            <w:r>
              <w:rPr>
                <w:rFonts w:hint="eastAsia"/>
                <w:b/>
                <w:bCs/>
                <w:lang w:val="en-US" w:eastAsia="zh-CN"/>
              </w:rPr>
              <w:t>二、</w:t>
            </w:r>
            <w:r>
              <w:rPr>
                <w:rFonts w:hint="eastAsia"/>
                <w:b/>
                <w:bCs/>
              </w:rPr>
              <w:t>生产设施及风险类型识别</w:t>
            </w:r>
          </w:p>
          <w:p w14:paraId="4AA0CA3C">
            <w:pPr>
              <w:ind w:firstLine="480"/>
              <w:rPr>
                <w:rFonts w:hint="eastAsia"/>
                <w:color w:val="auto"/>
                <w:u w:val="none" w:color="auto"/>
              </w:rPr>
            </w:pPr>
            <w:r>
              <w:rPr>
                <w:rFonts w:hint="eastAsia"/>
                <w:color w:val="auto"/>
                <w:u w:val="none" w:color="auto"/>
              </w:rPr>
              <w:t>生产系统危险性识别是通过对生产装置、储运设施、公用工程设施、工程环保设施及辅助生产设施等运行过程中存在的危险因素和可能发生的风险类型进行识别。</w:t>
            </w:r>
          </w:p>
          <w:p w14:paraId="4F582435">
            <w:pPr>
              <w:ind w:firstLine="480"/>
              <w:rPr>
                <w:rFonts w:ascii="宋体" w:hAnsi="宋体" w:cs="宋体"/>
                <w:color w:val="auto"/>
                <w:u w:val="none" w:color="auto"/>
              </w:rPr>
            </w:pPr>
            <w:r>
              <w:rPr>
                <w:rFonts w:ascii="宋体" w:hAnsi="宋体" w:cs="宋体"/>
                <w:color w:val="auto"/>
                <w:u w:val="none" w:color="auto"/>
              </w:rPr>
              <w:t>通过前面物质风险识别和重大危险源识别，本项目</w:t>
            </w:r>
            <w:r>
              <w:rPr>
                <w:rFonts w:hint="eastAsia" w:ascii="宋体" w:hAnsi="宋体" w:cs="宋体"/>
                <w:color w:val="auto"/>
                <w:u w:val="none" w:color="auto"/>
                <w:lang w:val="en-US" w:eastAsia="zh-CN"/>
              </w:rPr>
              <w:t>生产区</w:t>
            </w:r>
            <w:r>
              <w:rPr>
                <w:rFonts w:ascii="宋体" w:hAnsi="宋体" w:cs="宋体"/>
                <w:color w:val="auto"/>
                <w:u w:val="none" w:color="auto"/>
              </w:rPr>
              <w:t>主要的事故类型为火灾、爆炸</w:t>
            </w:r>
            <w:r>
              <w:rPr>
                <w:rFonts w:hint="eastAsia" w:ascii="宋体" w:hAnsi="宋体" w:cs="宋体"/>
                <w:color w:val="auto"/>
                <w:u w:val="none" w:color="auto"/>
                <w:lang w:eastAsia="zh-CN"/>
              </w:rPr>
              <w:t>、</w:t>
            </w:r>
            <w:r>
              <w:rPr>
                <w:rFonts w:hint="eastAsia" w:ascii="宋体" w:hAnsi="宋体" w:cs="宋体"/>
                <w:color w:val="auto"/>
                <w:u w:val="none" w:color="auto"/>
              </w:rPr>
              <w:t>风险物质泄露</w:t>
            </w:r>
            <w:r>
              <w:rPr>
                <w:rFonts w:ascii="宋体" w:hAnsi="宋体" w:cs="宋体"/>
                <w:color w:val="auto"/>
                <w:u w:val="none" w:color="auto"/>
              </w:rPr>
              <w:t>泄漏</w:t>
            </w:r>
            <w:r>
              <w:rPr>
                <w:rFonts w:hint="eastAsia" w:ascii="宋体" w:hAnsi="宋体" w:cs="宋体"/>
                <w:color w:val="auto"/>
                <w:u w:val="none" w:color="auto"/>
                <w:lang w:eastAsia="zh-CN"/>
              </w:rPr>
              <w:t>、</w:t>
            </w:r>
            <w:r>
              <w:rPr>
                <w:rFonts w:hint="eastAsia"/>
                <w:color w:val="auto"/>
                <w:u w:val="none" w:color="auto"/>
              </w:rPr>
              <w:t>废水事故性排放</w:t>
            </w:r>
            <w:r>
              <w:rPr>
                <w:rFonts w:hint="eastAsia"/>
                <w:color w:val="auto"/>
                <w:u w:val="none" w:color="auto"/>
                <w:lang w:eastAsia="zh-CN"/>
              </w:rPr>
              <w:t>、</w:t>
            </w:r>
            <w:r>
              <w:rPr>
                <w:rFonts w:hint="eastAsia"/>
                <w:color w:val="auto"/>
                <w:u w:val="none" w:color="auto"/>
                <w:lang w:val="en-US" w:eastAsia="zh-CN"/>
              </w:rPr>
              <w:t>建筑垃圾消纳场</w:t>
            </w:r>
            <w:r>
              <w:rPr>
                <w:rFonts w:ascii="宋体" w:hAnsi="宋体" w:cs="宋体"/>
                <w:color w:val="auto"/>
                <w:u w:val="none" w:color="auto"/>
              </w:rPr>
              <w:t>主要的事故类型为</w:t>
            </w:r>
            <w:r>
              <w:rPr>
                <w:rFonts w:hint="eastAsia" w:ascii="宋体" w:hAnsi="宋体" w:cs="宋体"/>
                <w:color w:val="auto"/>
                <w:u w:val="none" w:color="auto"/>
                <w:lang w:val="en-US" w:eastAsia="zh-CN"/>
              </w:rPr>
              <w:t>填堆体滑移</w:t>
            </w:r>
            <w:r>
              <w:rPr>
                <w:rFonts w:hint="eastAsia"/>
                <w:color w:val="auto"/>
                <w:u w:val="none" w:color="auto"/>
              </w:rPr>
              <w:t>、滑坡</w:t>
            </w:r>
            <w:r>
              <w:rPr>
                <w:rFonts w:hint="eastAsia"/>
                <w:color w:val="auto"/>
                <w:u w:val="none" w:color="auto"/>
                <w:lang w:eastAsia="zh-CN"/>
              </w:rPr>
              <w:t>、</w:t>
            </w:r>
            <w:r>
              <w:rPr>
                <w:rFonts w:hint="eastAsia"/>
                <w:color w:val="auto"/>
                <w:u w:val="none" w:color="auto"/>
                <w:lang w:val="en-US" w:eastAsia="zh-CN"/>
              </w:rPr>
              <w:t>泄漏、抽排水设施失效、建筑垃圾外泄等</w:t>
            </w:r>
            <w:r>
              <w:rPr>
                <w:rFonts w:hint="eastAsia" w:ascii="宋体" w:hAnsi="宋体" w:cs="宋体"/>
                <w:color w:val="auto"/>
                <w:u w:val="none" w:color="auto"/>
              </w:rPr>
              <w:t>。</w:t>
            </w:r>
          </w:p>
          <w:p w14:paraId="7990A103">
            <w:pPr>
              <w:numPr>
                <w:ilvl w:val="0"/>
                <w:numId w:val="0"/>
              </w:numPr>
              <w:ind w:firstLine="480" w:firstLineChars="200"/>
              <w:rPr>
                <w:rFonts w:hint="eastAsia"/>
                <w:color w:val="auto"/>
                <w:u w:val="single" w:color="auto"/>
              </w:rPr>
            </w:pPr>
            <w:r>
              <w:rPr>
                <w:rFonts w:hint="eastAsia" w:ascii="Times New Roman" w:hAnsi="Times New Roman" w:eastAsia="宋体" w:cs="Times New Roman"/>
                <w:color w:val="auto"/>
                <w:kern w:val="2"/>
                <w:sz w:val="24"/>
                <w:szCs w:val="24"/>
                <w:u w:val="single" w:color="auto"/>
                <w:lang w:val="en-US" w:eastAsia="zh-CN" w:bidi="ar-SA"/>
              </w:rPr>
              <w:t>（1）</w:t>
            </w:r>
            <w:r>
              <w:rPr>
                <w:rFonts w:hint="eastAsia"/>
                <w:color w:val="auto"/>
                <w:u w:val="single" w:color="auto"/>
              </w:rPr>
              <w:t>废水事故性排放</w:t>
            </w:r>
            <w:r>
              <w:rPr>
                <w:rFonts w:hint="eastAsia"/>
                <w:color w:val="auto"/>
                <w:u w:val="single" w:color="auto"/>
                <w:lang w:eastAsia="zh-CN"/>
              </w:rPr>
              <w:t>：矿坑内积水（含建筑垃圾渗滤液）因抽排水设施故障、防渗层破损或暴雨漫溢而外泄，对下游造成持续性环境损害。废水进入下游地表水体后，会导致悬浮物、COD、氨氮及重金属超标，使水体浑浊、溶解氧下降，危害鱼类等水生生物；若通过地下渗漏，则会污染下游地下水。受污染的水灌溉农田会引起土壤盐碱化、重金属累积，造成农作物减产甚至绝收。长期排放还会破坏区域生态平衡，影响下游居民健康</w:t>
            </w:r>
            <w:r>
              <w:rPr>
                <w:rFonts w:hint="eastAsia"/>
                <w:color w:val="auto"/>
                <w:u w:val="single" w:color="auto"/>
                <w:lang w:val="en-US" w:eastAsia="zh-CN"/>
              </w:rPr>
              <w:t>，对环境影响较大。</w:t>
            </w:r>
          </w:p>
          <w:p w14:paraId="41A3EA4F">
            <w:pPr>
              <w:ind w:firstLine="480"/>
              <w:rPr>
                <w:rFonts w:hint="eastAsia"/>
                <w:color w:val="auto"/>
                <w:u w:val="none" w:color="auto"/>
                <w:lang w:eastAsia="zh-CN"/>
              </w:rPr>
            </w:pPr>
            <w:r>
              <w:rPr>
                <w:rFonts w:hint="eastAsia"/>
                <w:color w:val="auto"/>
                <w:u w:val="none" w:color="auto"/>
                <w:lang w:val="en-US" w:eastAsia="zh-CN"/>
              </w:rPr>
              <w:t>（2）废润滑油、润滑油</w:t>
            </w:r>
            <w:r>
              <w:rPr>
                <w:rFonts w:hint="eastAsia"/>
                <w:color w:val="auto"/>
                <w:u w:val="none" w:color="auto"/>
                <w:lang w:eastAsia="zh-CN"/>
              </w:rPr>
              <w:t>在储存过程中发生的“</w:t>
            </w:r>
            <w:r>
              <w:rPr>
                <w:rFonts w:hint="eastAsia"/>
                <w:color w:val="auto"/>
                <w:u w:val="none" w:color="auto"/>
              </w:rPr>
              <w:t>跑、冒、滴、漏</w:t>
            </w:r>
            <w:r>
              <w:rPr>
                <w:rFonts w:hint="eastAsia"/>
                <w:color w:val="auto"/>
                <w:u w:val="none" w:color="auto"/>
                <w:lang w:eastAsia="zh-CN"/>
              </w:rPr>
              <w:t>”</w:t>
            </w:r>
            <w:r>
              <w:rPr>
                <w:rFonts w:hint="eastAsia"/>
                <w:color w:val="auto"/>
                <w:u w:val="none" w:color="auto"/>
              </w:rPr>
              <w:t>现象引发泄漏事故</w:t>
            </w:r>
            <w:r>
              <w:rPr>
                <w:rFonts w:hint="eastAsia"/>
                <w:color w:val="auto"/>
                <w:u w:val="none" w:color="auto"/>
                <w:lang w:eastAsia="zh-CN"/>
              </w:rPr>
              <w:t>；</w:t>
            </w:r>
          </w:p>
          <w:p w14:paraId="31473F22">
            <w:pPr>
              <w:ind w:firstLine="480"/>
              <w:rPr>
                <w:rFonts w:hint="eastAsia"/>
                <w:color w:val="auto"/>
                <w:u w:val="none" w:color="auto"/>
                <w:lang w:eastAsia="zh-CN"/>
              </w:rPr>
            </w:pPr>
            <w:r>
              <w:rPr>
                <w:rFonts w:hint="eastAsia"/>
                <w:color w:val="auto"/>
                <w:u w:val="none" w:color="auto"/>
              </w:rPr>
              <w:t>（</w:t>
            </w:r>
            <w:r>
              <w:rPr>
                <w:rFonts w:hint="eastAsia"/>
                <w:color w:val="auto"/>
                <w:u w:val="none" w:color="auto"/>
                <w:lang w:val="en-US" w:eastAsia="zh-CN"/>
              </w:rPr>
              <w:t>3</w:t>
            </w:r>
            <w:r>
              <w:rPr>
                <w:rFonts w:hint="eastAsia"/>
                <w:color w:val="auto"/>
                <w:u w:val="none" w:color="auto"/>
              </w:rPr>
              <w:t>）废润滑油、润滑油遇到火源引起</w:t>
            </w:r>
            <w:r>
              <w:rPr>
                <w:rFonts w:hint="eastAsia"/>
                <w:color w:val="auto"/>
                <w:u w:val="none" w:color="auto"/>
                <w:lang w:eastAsia="zh-CN"/>
              </w:rPr>
              <w:t>的</w:t>
            </w:r>
            <w:r>
              <w:rPr>
                <w:rFonts w:hint="eastAsia"/>
                <w:color w:val="auto"/>
                <w:u w:val="none" w:color="auto"/>
              </w:rPr>
              <w:t>火灾事故</w:t>
            </w:r>
            <w:r>
              <w:rPr>
                <w:rFonts w:hint="eastAsia"/>
                <w:color w:val="auto"/>
                <w:u w:val="none" w:color="auto"/>
                <w:lang w:eastAsia="zh-CN"/>
              </w:rPr>
              <w:t>造成的次生环境污染；</w:t>
            </w:r>
          </w:p>
          <w:p w14:paraId="56C780E3">
            <w:pPr>
              <w:ind w:firstLine="480"/>
              <w:rPr>
                <w:rFonts w:hint="eastAsia"/>
                <w:color w:val="auto"/>
                <w:u w:val="single" w:color="auto"/>
                <w:lang w:eastAsia="zh-CN"/>
              </w:rPr>
            </w:pPr>
            <w:r>
              <w:rPr>
                <w:rFonts w:hint="eastAsia"/>
                <w:color w:val="auto"/>
                <w:u w:val="single" w:color="auto"/>
                <w:lang w:eastAsia="zh-CN"/>
              </w:rPr>
              <w:t>（</w:t>
            </w:r>
            <w:r>
              <w:rPr>
                <w:rFonts w:hint="eastAsia"/>
                <w:color w:val="auto"/>
                <w:u w:val="single" w:color="auto"/>
                <w:lang w:val="en-US" w:eastAsia="zh-CN"/>
              </w:rPr>
              <w:t>4</w:t>
            </w:r>
            <w:r>
              <w:rPr>
                <w:rFonts w:hint="eastAsia"/>
                <w:color w:val="auto"/>
                <w:u w:val="single" w:color="auto"/>
                <w:lang w:eastAsia="zh-CN"/>
              </w:rPr>
              <w:t>）本工程建筑垃圾堆填过程可能产生堆填体滑移、滑坡、渗漏、排水设施失效及建筑垃圾外泄等危险有害因素。建筑垃圾消纳场最大的危害是堆填体滑移（类似溃坝效应）及滑坡，事故一旦发生，其主要危险目标为：所有在场工作人员以及下游的农田、设施、</w:t>
            </w:r>
            <w:r>
              <w:rPr>
                <w:rFonts w:hint="eastAsia"/>
                <w:color w:val="auto"/>
                <w:u w:val="single" w:color="auto"/>
                <w:lang w:val="en-US" w:eastAsia="zh-CN"/>
              </w:rPr>
              <w:t>居民点</w:t>
            </w:r>
            <w:r>
              <w:rPr>
                <w:rFonts w:hint="eastAsia"/>
                <w:color w:val="auto"/>
                <w:u w:val="single" w:color="auto"/>
                <w:lang w:eastAsia="zh-CN"/>
              </w:rPr>
              <w:t>等。</w:t>
            </w:r>
          </w:p>
          <w:p w14:paraId="6CE1E7D6">
            <w:pPr>
              <w:ind w:firstLine="480"/>
              <w:rPr>
                <w:rFonts w:hint="eastAsia"/>
                <w:color w:val="auto"/>
                <w:u w:val="single" w:color="auto"/>
                <w:lang w:eastAsia="zh-CN"/>
              </w:rPr>
            </w:pPr>
            <w:r>
              <w:rPr>
                <w:rFonts w:hint="eastAsia"/>
                <w:color w:val="auto"/>
                <w:u w:val="single" w:color="auto"/>
                <w:lang w:eastAsia="zh-CN"/>
              </w:rPr>
              <w:t>①堆填体滑移（类似溃坝效应）</w:t>
            </w:r>
          </w:p>
          <w:p w14:paraId="7F17639A">
            <w:pPr>
              <w:ind w:firstLine="480"/>
              <w:rPr>
                <w:rFonts w:hint="eastAsia"/>
                <w:color w:val="auto"/>
                <w:u w:val="single" w:color="auto"/>
                <w:lang w:eastAsia="zh-CN"/>
              </w:rPr>
            </w:pPr>
            <w:r>
              <w:rPr>
                <w:rFonts w:hint="eastAsia"/>
                <w:color w:val="auto"/>
                <w:u w:val="single" w:color="auto"/>
                <w:lang w:eastAsia="zh-CN"/>
              </w:rPr>
              <w:t>堆填场垮塌（包括堆填体整体滑移、矿坑边坡滑坡或泥石流式外泄）具有突发性和强破坏性，对下游造成直接冲击与掩埋灾害。垮塌的垃圾体可瞬间冲向下游，掩埋数十至数百米范围内的农田、果园、林地，使土壤长期无法耕种；同时会撞击或冲毁下游道路、桥梁、排水沟渠及房屋建筑，造成基础设施瘫痪。位于下游的作业人员及居民若未及时撤离，可能被掩埋或撞击致死致伤。此外，大量建筑垃圾散布于自然环境，难以清理，形成持久固废污染，并可能堵塞河道、引发次生灾害，带来巨额经济损失与社会稳定风险。</w:t>
            </w:r>
          </w:p>
          <w:p w14:paraId="3A05FAE6">
            <w:pPr>
              <w:ind w:firstLine="480"/>
              <w:rPr>
                <w:rFonts w:hint="eastAsia"/>
                <w:color w:val="auto"/>
                <w:u w:val="single" w:color="auto"/>
                <w:lang w:eastAsia="zh-CN"/>
              </w:rPr>
            </w:pPr>
            <w:r>
              <w:rPr>
                <w:rFonts w:hint="eastAsia"/>
                <w:color w:val="auto"/>
                <w:u w:val="single" w:color="auto"/>
                <w:lang w:eastAsia="zh-CN"/>
              </w:rPr>
              <w:t>产生原因：堆填过程中未进行有效压实、分层不当、堆填坡度太陡、含水量过高或底部积水软化等，可能导致堆填体整体滑移，产生类似溃坝的突发性泥石流。</w:t>
            </w:r>
          </w:p>
          <w:p w14:paraId="21C4595C">
            <w:pPr>
              <w:ind w:firstLine="480"/>
              <w:rPr>
                <w:rFonts w:hint="eastAsia"/>
                <w:color w:val="auto"/>
                <w:u w:val="single" w:color="auto"/>
                <w:lang w:eastAsia="zh-CN"/>
              </w:rPr>
            </w:pPr>
            <w:r>
              <w:rPr>
                <w:rFonts w:hint="eastAsia"/>
                <w:color w:val="auto"/>
                <w:u w:val="single" w:color="auto"/>
                <w:lang w:eastAsia="zh-CN"/>
              </w:rPr>
              <w:t>②滑坡</w:t>
            </w:r>
          </w:p>
          <w:p w14:paraId="0453C127">
            <w:pPr>
              <w:ind w:firstLine="480"/>
              <w:rPr>
                <w:rFonts w:hint="eastAsia"/>
                <w:color w:val="auto"/>
                <w:u w:val="single" w:color="auto"/>
                <w:lang w:eastAsia="zh-CN"/>
              </w:rPr>
            </w:pPr>
            <w:r>
              <w:rPr>
                <w:rFonts w:hint="eastAsia"/>
                <w:color w:val="auto"/>
                <w:u w:val="single" w:color="auto"/>
                <w:lang w:eastAsia="zh-CN"/>
              </w:rPr>
              <w:t>滑坡的产生受人类活动影响，如不适当地开挖矿坑边坡、不适当地在坡体上方堆载、坡体灌水等，均可能诱发滑坡。主要危害包括矿坑边坡滑坡、堆填体自身滑坡以及两侧山体在外力条件改变时产生的滑坡、塌方等不良地质作用，可能导致人员伤亡、设施损毁及垃圾外泄。</w:t>
            </w:r>
          </w:p>
          <w:p w14:paraId="402F5C9F">
            <w:pPr>
              <w:ind w:firstLine="480"/>
              <w:rPr>
                <w:rFonts w:hint="eastAsia"/>
                <w:color w:val="auto"/>
                <w:u w:val="single" w:color="auto"/>
                <w:lang w:eastAsia="zh-CN"/>
              </w:rPr>
            </w:pPr>
            <w:r>
              <w:rPr>
                <w:rFonts w:hint="eastAsia"/>
                <w:color w:val="auto"/>
                <w:u w:val="single" w:color="auto"/>
                <w:lang w:eastAsia="zh-CN"/>
              </w:rPr>
              <w:t>③渗漏</w:t>
            </w:r>
          </w:p>
          <w:p w14:paraId="53EE0FA6">
            <w:pPr>
              <w:ind w:firstLine="480"/>
              <w:rPr>
                <w:rFonts w:hint="eastAsia"/>
                <w:color w:val="auto"/>
                <w:u w:val="single" w:color="auto"/>
                <w:lang w:eastAsia="zh-CN"/>
              </w:rPr>
            </w:pPr>
            <w:r>
              <w:rPr>
                <w:rFonts w:hint="eastAsia"/>
                <w:color w:val="auto"/>
                <w:u w:val="single" w:color="auto"/>
                <w:lang w:eastAsia="zh-CN"/>
              </w:rPr>
              <w:t>包括矿坑底部渗漏、侧壁绕渗等，主要易发生于矿坑底部原有裂隙、矿坑与山体接触带等部位。渗漏可能导致地下水污染及堆填体底部软化失稳，进而增加滑坡或滑移风险。</w:t>
            </w:r>
          </w:p>
          <w:p w14:paraId="7F47F186">
            <w:pPr>
              <w:ind w:firstLine="480"/>
              <w:rPr>
                <w:rFonts w:hint="eastAsia"/>
                <w:color w:val="auto"/>
                <w:u w:val="single" w:color="auto"/>
                <w:lang w:eastAsia="zh-CN"/>
              </w:rPr>
            </w:pPr>
            <w:r>
              <w:rPr>
                <w:rFonts w:hint="eastAsia"/>
                <w:color w:val="auto"/>
                <w:u w:val="single" w:color="auto"/>
                <w:lang w:eastAsia="zh-CN"/>
              </w:rPr>
              <w:t>④抽排水设施失效危害</w:t>
            </w:r>
          </w:p>
          <w:p w14:paraId="3F62EFC2">
            <w:pPr>
              <w:ind w:firstLine="480"/>
              <w:rPr>
                <w:rFonts w:hint="eastAsia"/>
                <w:color w:val="auto"/>
                <w:u w:val="single" w:color="auto"/>
                <w:lang w:eastAsia="zh-CN"/>
              </w:rPr>
            </w:pPr>
            <w:r>
              <w:rPr>
                <w:rFonts w:hint="eastAsia"/>
                <w:color w:val="auto"/>
                <w:u w:val="single" w:color="auto"/>
                <w:lang w:eastAsia="zh-CN"/>
              </w:rPr>
              <w:t>矿坑底部设置的抽排水设施若发生故障（如水泵损坏、管道堵塞、电力中断等）或排水能力不足，会导致矿坑内积水不能正常排出，造成库区水位升高，堆填体长期浸泡饱和，抗剪强度降低，进而可能引发堆填体滑坡或泥石流事故，同时可能造成废水漫溢外排，污染下游水体及土壤。</w:t>
            </w:r>
          </w:p>
          <w:p w14:paraId="27652234">
            <w:pPr>
              <w:ind w:firstLine="480"/>
              <w:rPr>
                <w:rFonts w:hint="eastAsia"/>
                <w:color w:val="auto"/>
                <w:u w:val="single" w:color="auto"/>
                <w:lang w:eastAsia="zh-CN"/>
              </w:rPr>
            </w:pPr>
            <w:r>
              <w:rPr>
                <w:rFonts w:hint="eastAsia"/>
                <w:color w:val="auto"/>
                <w:u w:val="single" w:color="auto"/>
                <w:lang w:eastAsia="zh-CN"/>
              </w:rPr>
              <w:t>⑤建筑垃圾外泄</w:t>
            </w:r>
          </w:p>
          <w:p w14:paraId="36DECFFD">
            <w:pPr>
              <w:ind w:firstLine="480"/>
              <w:rPr>
                <w:rFonts w:hint="eastAsia"/>
                <w:color w:val="auto"/>
                <w:u w:val="single" w:color="auto"/>
                <w:lang w:eastAsia="zh-CN"/>
              </w:rPr>
            </w:pPr>
            <w:r>
              <w:rPr>
                <w:rFonts w:hint="eastAsia"/>
                <w:color w:val="auto"/>
                <w:u w:val="single" w:color="auto"/>
                <w:lang w:eastAsia="zh-CN"/>
              </w:rPr>
              <w:t>正常运行情况下堆填体较为稳定，建筑垃圾存储在矿坑内不会发生外泄。当由于堆填边坡过陡、地震或周边地下活动造成地质结构改变、暴雨导致积水漫溢、日常巡检不到位等原因，可能出现建筑垃圾外泄，对下游环境造成污染（覆盖农田、堵塞河道、破坏生态）。</w:t>
            </w:r>
          </w:p>
          <w:p w14:paraId="577ABBC9">
            <w:pPr>
              <w:pStyle w:val="5"/>
              <w:bidi w:val="0"/>
              <w:rPr>
                <w:rFonts w:hint="eastAsia"/>
                <w:lang w:val="en-US" w:eastAsia="zh-CN"/>
              </w:rPr>
            </w:pPr>
            <w:r>
              <w:rPr>
                <w:rFonts w:hint="eastAsia"/>
                <w:lang w:val="en-US" w:eastAsia="zh-CN"/>
              </w:rPr>
              <w:t>4.7.3环境风险分析</w:t>
            </w:r>
          </w:p>
          <w:p w14:paraId="2C53FC21">
            <w:pPr>
              <w:pStyle w:val="6"/>
              <w:bidi w:val="0"/>
              <w:rPr>
                <w:rFonts w:hint="eastAsia"/>
                <w:b/>
                <w:bCs/>
                <w:lang w:eastAsia="zh-CN"/>
              </w:rPr>
            </w:pPr>
            <w:r>
              <w:rPr>
                <w:rFonts w:hint="eastAsia"/>
                <w:b/>
                <w:bCs/>
                <w:lang w:val="en-US" w:eastAsia="zh-CN"/>
              </w:rPr>
              <w:t>4.7.3.1</w:t>
            </w:r>
            <w:r>
              <w:rPr>
                <w:rFonts w:hint="eastAsia"/>
                <w:b/>
                <w:bCs/>
                <w:lang w:eastAsia="zh-CN"/>
              </w:rPr>
              <w:t>泄漏事故防范措施</w:t>
            </w:r>
          </w:p>
          <w:p w14:paraId="6AD7B2DF">
            <w:pPr>
              <w:pStyle w:val="49"/>
              <w:ind w:firstLine="480"/>
              <w:rPr>
                <w:rFonts w:hint="eastAsia"/>
                <w:color w:val="auto"/>
                <w:u w:val="none" w:color="auto"/>
                <w:lang w:eastAsia="zh-CN"/>
              </w:rPr>
            </w:pPr>
            <w:r>
              <w:rPr>
                <w:rFonts w:hint="eastAsia"/>
                <w:color w:val="auto"/>
                <w:u w:val="none" w:color="auto"/>
                <w:lang w:eastAsia="zh-CN"/>
              </w:rPr>
              <w:t>防止跑冒滴漏，减少物料的逸出，对</w:t>
            </w:r>
            <w:r>
              <w:rPr>
                <w:rFonts w:hint="eastAsia"/>
                <w:color w:val="auto"/>
                <w:u w:val="none" w:color="auto"/>
                <w:lang w:val="en-US" w:eastAsia="zh-CN"/>
              </w:rPr>
              <w:t>危废暂存间、库房</w:t>
            </w:r>
            <w:r>
              <w:rPr>
                <w:rFonts w:hint="eastAsia"/>
                <w:color w:val="auto"/>
                <w:u w:val="none" w:color="auto"/>
                <w:lang w:eastAsia="zh-CN"/>
              </w:rPr>
              <w:t>地面采取防渗措施，避免泄漏的</w:t>
            </w:r>
            <w:r>
              <w:rPr>
                <w:rFonts w:hint="eastAsia"/>
                <w:color w:val="auto"/>
                <w:u w:val="none" w:color="auto"/>
                <w:lang w:val="en-US" w:eastAsia="zh-CN"/>
              </w:rPr>
              <w:t>废润滑油、润滑油</w:t>
            </w:r>
            <w:r>
              <w:rPr>
                <w:rFonts w:hint="eastAsia"/>
                <w:color w:val="auto"/>
                <w:u w:val="none" w:color="auto"/>
                <w:lang w:eastAsia="zh-CN"/>
              </w:rPr>
              <w:t>外溢污染土壤、当地水体。</w:t>
            </w:r>
          </w:p>
          <w:p w14:paraId="7930FDC3">
            <w:pPr>
              <w:pStyle w:val="6"/>
              <w:bidi w:val="0"/>
              <w:rPr>
                <w:rFonts w:hint="eastAsia"/>
                <w:b/>
                <w:bCs/>
                <w:lang w:eastAsia="zh-CN"/>
              </w:rPr>
            </w:pPr>
            <w:r>
              <w:rPr>
                <w:rFonts w:hint="eastAsia"/>
                <w:b/>
                <w:bCs/>
                <w:lang w:val="en-US" w:eastAsia="zh-CN"/>
              </w:rPr>
              <w:t>4.7.3.2</w:t>
            </w:r>
            <w:r>
              <w:rPr>
                <w:rFonts w:hint="eastAsia"/>
                <w:b/>
                <w:bCs/>
                <w:lang w:eastAsia="zh-CN"/>
              </w:rPr>
              <w:t>火灾事故防治措施</w:t>
            </w:r>
          </w:p>
          <w:p w14:paraId="03A7000F">
            <w:pPr>
              <w:bidi w:val="0"/>
              <w:rPr>
                <w:rFonts w:hint="eastAsia"/>
                <w:color w:val="auto"/>
                <w:u w:val="none" w:color="auto"/>
                <w:lang w:eastAsia="zh-CN"/>
              </w:rPr>
            </w:pPr>
            <w:r>
              <w:rPr>
                <w:rFonts w:hint="eastAsia"/>
                <w:color w:val="auto"/>
                <w:u w:val="none" w:color="auto"/>
                <w:lang w:eastAsia="zh-CN"/>
              </w:rPr>
              <w:t>①建立健全并严格执行防火防爆的规章制度，严格遵守各项操作规章。</w:t>
            </w:r>
          </w:p>
          <w:p w14:paraId="7B72EC12">
            <w:pPr>
              <w:bidi w:val="0"/>
              <w:rPr>
                <w:rFonts w:hint="eastAsia"/>
                <w:color w:val="auto"/>
                <w:u w:val="none" w:color="auto"/>
                <w:lang w:eastAsia="zh-CN"/>
              </w:rPr>
            </w:pPr>
            <w:r>
              <w:rPr>
                <w:rFonts w:hint="eastAsia"/>
                <w:color w:val="auto"/>
                <w:u w:val="none" w:color="auto"/>
                <w:lang w:eastAsia="zh-CN"/>
              </w:rPr>
              <w:t>②</w:t>
            </w:r>
            <w:r>
              <w:rPr>
                <w:rFonts w:hint="eastAsia"/>
                <w:color w:val="auto"/>
                <w:u w:val="none" w:color="auto"/>
                <w:lang w:val="en-US" w:eastAsia="zh-CN"/>
              </w:rPr>
              <w:t>润滑油、废润滑油</w:t>
            </w:r>
            <w:r>
              <w:rPr>
                <w:rFonts w:hint="eastAsia"/>
                <w:color w:val="auto"/>
                <w:u w:val="none" w:color="auto"/>
                <w:lang w:eastAsia="zh-CN"/>
              </w:rPr>
              <w:t>应储存于阴凉干燥、通风处，远离高温、明火、避免阳光直射，远离热源、火种和容易起火的地方。</w:t>
            </w:r>
          </w:p>
          <w:p w14:paraId="49666DC0">
            <w:pPr>
              <w:bidi w:val="0"/>
              <w:rPr>
                <w:rFonts w:hint="default"/>
                <w:color w:val="auto"/>
                <w:u w:val="none" w:color="auto"/>
                <w:lang w:val="en-US" w:eastAsia="zh-CN"/>
              </w:rPr>
            </w:pPr>
            <w:r>
              <w:rPr>
                <w:rFonts w:hint="eastAsia"/>
                <w:color w:val="auto"/>
                <w:u w:val="none" w:color="auto"/>
                <w:lang w:eastAsia="zh-CN"/>
              </w:rPr>
              <w:t>③</w:t>
            </w:r>
            <w:r>
              <w:rPr>
                <w:rFonts w:hint="eastAsia"/>
                <w:color w:val="auto"/>
                <w:u w:val="none" w:color="auto"/>
                <w:lang w:val="en-US" w:eastAsia="zh-CN"/>
              </w:rPr>
              <w:t>建筑垃圾消纳场因配备灭火器，在库房、危废暂存间内设置</w:t>
            </w:r>
            <w:r>
              <w:rPr>
                <w:rFonts w:hint="eastAsia"/>
                <w:color w:val="auto"/>
                <w:u w:val="none" w:color="auto"/>
                <w:lang w:eastAsia="zh-CN"/>
              </w:rPr>
              <w:t>严禁吸烟和使用明火</w:t>
            </w:r>
            <w:r>
              <w:rPr>
                <w:rFonts w:hint="eastAsia"/>
                <w:color w:val="auto"/>
                <w:u w:val="none" w:color="auto"/>
                <w:lang w:val="en-US" w:eastAsia="zh-CN"/>
              </w:rPr>
              <w:t>标志标识。</w:t>
            </w:r>
          </w:p>
          <w:p w14:paraId="6083932F">
            <w:pPr>
              <w:bidi w:val="0"/>
              <w:rPr>
                <w:rFonts w:hint="eastAsia"/>
                <w:color w:val="auto"/>
                <w:u w:val="none" w:color="auto"/>
                <w:lang w:eastAsia="zh-CN"/>
              </w:rPr>
            </w:pPr>
            <w:r>
              <w:rPr>
                <w:rFonts w:hint="eastAsia"/>
                <w:color w:val="auto"/>
                <w:u w:val="none" w:color="auto"/>
                <w:lang w:eastAsia="zh-CN"/>
              </w:rPr>
              <w:t>本项目</w:t>
            </w:r>
            <w:r>
              <w:rPr>
                <w:rFonts w:hint="eastAsia"/>
                <w:color w:val="auto"/>
                <w:u w:val="none" w:color="auto"/>
                <w:lang w:val="en-US" w:eastAsia="zh-CN"/>
              </w:rPr>
              <w:t>废润滑油、润滑油</w:t>
            </w:r>
            <w:r>
              <w:rPr>
                <w:rFonts w:hint="eastAsia"/>
                <w:color w:val="auto"/>
                <w:u w:val="none" w:color="auto"/>
                <w:lang w:eastAsia="zh-CN"/>
              </w:rPr>
              <w:t>发生火灾事故的概率较小，在</w:t>
            </w:r>
            <w:r>
              <w:rPr>
                <w:rFonts w:hint="eastAsia"/>
                <w:color w:val="auto"/>
                <w:u w:val="none" w:color="auto"/>
                <w:lang w:val="en-US" w:eastAsia="zh-CN"/>
              </w:rPr>
              <w:t>消纳场</w:t>
            </w:r>
            <w:r>
              <w:rPr>
                <w:rFonts w:hint="eastAsia"/>
                <w:color w:val="auto"/>
                <w:u w:val="none" w:color="auto"/>
                <w:lang w:eastAsia="zh-CN"/>
              </w:rPr>
              <w:t>设置灭火器能够满足消防需求。</w:t>
            </w:r>
          </w:p>
          <w:p w14:paraId="4B235ACE">
            <w:pPr>
              <w:pStyle w:val="6"/>
              <w:bidi w:val="0"/>
              <w:rPr>
                <w:rFonts w:hint="eastAsia"/>
                <w:b/>
                <w:bCs/>
                <w:lang w:eastAsia="zh-CN"/>
              </w:rPr>
            </w:pPr>
            <w:r>
              <w:rPr>
                <w:rFonts w:hint="eastAsia"/>
                <w:b/>
                <w:bCs/>
                <w:lang w:val="en-US" w:eastAsia="zh-CN"/>
              </w:rPr>
              <w:t>4.7.3.3</w:t>
            </w:r>
            <w:r>
              <w:rPr>
                <w:rFonts w:hint="eastAsia"/>
                <w:b/>
                <w:bCs/>
                <w:lang w:eastAsia="zh-CN"/>
              </w:rPr>
              <w:t>废水事故外排防范措施</w:t>
            </w:r>
          </w:p>
          <w:p w14:paraId="1641D679">
            <w:pPr>
              <w:pStyle w:val="49"/>
              <w:ind w:firstLine="480"/>
              <w:rPr>
                <w:rFonts w:hint="eastAsia"/>
                <w:color w:val="auto"/>
                <w:u w:val="none" w:color="auto"/>
              </w:rPr>
            </w:pPr>
            <w:r>
              <w:rPr>
                <w:rFonts w:hint="eastAsia"/>
                <w:color w:val="auto"/>
                <w:u w:val="none" w:color="auto"/>
              </w:rPr>
              <w:t>①加强废水</w:t>
            </w:r>
            <w:r>
              <w:rPr>
                <w:rFonts w:hint="eastAsia"/>
                <w:color w:val="auto"/>
                <w:u w:val="none" w:color="auto"/>
                <w:lang w:eastAsia="zh-CN"/>
              </w:rPr>
              <w:t>沉淀</w:t>
            </w:r>
            <w:r>
              <w:rPr>
                <w:rFonts w:hint="eastAsia"/>
                <w:color w:val="auto"/>
                <w:u w:val="none" w:color="auto"/>
              </w:rPr>
              <w:t>池施工建设，确保各池体质量达标，防止因池体质量不达标导致的池体破损，废水外溢。</w:t>
            </w:r>
          </w:p>
          <w:p w14:paraId="60ADA8D2">
            <w:pPr>
              <w:pStyle w:val="49"/>
              <w:ind w:firstLine="480"/>
              <w:rPr>
                <w:rFonts w:hint="eastAsia"/>
                <w:color w:val="auto"/>
                <w:u w:val="none" w:color="auto"/>
              </w:rPr>
            </w:pPr>
            <w:r>
              <w:rPr>
                <w:rFonts w:hint="eastAsia"/>
                <w:color w:val="auto"/>
                <w:u w:val="none" w:color="auto"/>
              </w:rPr>
              <w:t>②加强人员管理，定期对生产废水处理系统的检修与维护，保障其正常运行，发现问题及时解决，预防风险事故的发生。</w:t>
            </w:r>
          </w:p>
          <w:p w14:paraId="0882F42A">
            <w:pPr>
              <w:pStyle w:val="49"/>
              <w:ind w:firstLine="480"/>
              <w:rPr>
                <w:rFonts w:hint="eastAsia"/>
                <w:color w:val="auto"/>
                <w:u w:val="none" w:color="auto"/>
              </w:rPr>
            </w:pPr>
            <w:r>
              <w:rPr>
                <w:rFonts w:hint="eastAsia"/>
                <w:color w:val="auto"/>
                <w:u w:val="none" w:color="auto"/>
              </w:rPr>
              <w:t>③雨季期间，加强对自然天气状况的监控，发生暴雨等自然环境影响时，及时做好场区排水工程，防止因大量雨水进入到</w:t>
            </w:r>
            <w:r>
              <w:rPr>
                <w:rFonts w:hint="eastAsia"/>
                <w:color w:val="auto"/>
                <w:u w:val="none" w:color="auto"/>
                <w:lang w:eastAsia="zh-CN"/>
              </w:rPr>
              <w:t>沉淀</w:t>
            </w:r>
            <w:r>
              <w:rPr>
                <w:rFonts w:hint="eastAsia"/>
                <w:color w:val="auto"/>
                <w:u w:val="none" w:color="auto"/>
              </w:rPr>
              <w:t>池内，导致</w:t>
            </w:r>
            <w:r>
              <w:rPr>
                <w:rFonts w:hint="eastAsia"/>
                <w:color w:val="auto"/>
                <w:u w:val="none" w:color="auto"/>
                <w:lang w:eastAsia="zh-CN"/>
              </w:rPr>
              <w:t>沉淀</w:t>
            </w:r>
            <w:r>
              <w:rPr>
                <w:rFonts w:hint="eastAsia"/>
                <w:color w:val="auto"/>
                <w:u w:val="none" w:color="auto"/>
              </w:rPr>
              <w:t>池废水外溢情况发生。</w:t>
            </w:r>
          </w:p>
          <w:p w14:paraId="6D9D751F">
            <w:pPr>
              <w:pStyle w:val="6"/>
              <w:bidi w:val="0"/>
              <w:rPr>
                <w:rFonts w:hint="default"/>
                <w:b/>
                <w:bCs/>
                <w:lang w:val="en-US" w:eastAsia="zh-CN"/>
              </w:rPr>
            </w:pPr>
            <w:r>
              <w:rPr>
                <w:rFonts w:hint="eastAsia"/>
                <w:b/>
                <w:bCs/>
                <w:lang w:val="en-US" w:eastAsia="zh-CN"/>
              </w:rPr>
              <w:t>4.7.3.4建筑垃圾消纳场</w:t>
            </w:r>
            <w:r>
              <w:rPr>
                <w:rFonts w:hint="eastAsia"/>
                <w:b/>
                <w:bCs/>
                <w:lang w:eastAsia="zh-CN"/>
              </w:rPr>
              <w:t>事故防范措施</w:t>
            </w:r>
          </w:p>
          <w:p w14:paraId="0F493157">
            <w:pPr>
              <w:bidi w:val="0"/>
              <w:rPr>
                <w:rFonts w:hint="eastAsia"/>
                <w:u w:val="single"/>
                <w:lang w:eastAsia="zh-CN"/>
              </w:rPr>
            </w:pPr>
            <w:r>
              <w:rPr>
                <w:rFonts w:hint="eastAsia"/>
                <w:u w:val="single"/>
                <w:lang w:val="en-US" w:eastAsia="zh-CN"/>
              </w:rPr>
              <w:t>1、</w:t>
            </w:r>
            <w:r>
              <w:rPr>
                <w:rFonts w:hint="eastAsia"/>
                <w:u w:val="single"/>
                <w:lang w:eastAsia="zh-CN"/>
              </w:rPr>
              <w:t>堆填体滑移（类似溃坝）风险防范措施</w:t>
            </w:r>
          </w:p>
          <w:p w14:paraId="39D895AC">
            <w:pPr>
              <w:bidi w:val="0"/>
              <w:ind w:firstLine="480" w:firstLineChars="200"/>
              <w:rPr>
                <w:rFonts w:hint="eastAsia"/>
                <w:u w:val="single"/>
                <w:lang w:val="en-US" w:eastAsia="zh-CN"/>
              </w:rPr>
            </w:pPr>
            <w:r>
              <w:rPr>
                <w:rFonts w:hint="eastAsia"/>
                <w:u w:val="single"/>
                <w:lang w:val="en-US" w:eastAsia="zh-CN"/>
              </w:rPr>
              <w:t>①分层压实堆填：建筑垃圾进场后按每层厚度≤2 m进行分层摊铺，采用推土机压实，必要时辅以振动压路机。压实度要求：基础压实度≥93%，边坡压实度≥90%（依据《建筑垃圾处理技术标准》CJJ/T134-2019第9.2.5条）。严禁一次性倾倒形成高陡坡面，控制堆填边坡坡度不大于1:2（垂直:水平），局部软弱地基处放缓至1:3。</w:t>
            </w:r>
          </w:p>
          <w:p w14:paraId="205B26AE">
            <w:pPr>
              <w:bidi w:val="0"/>
              <w:ind w:firstLine="480" w:firstLineChars="200"/>
              <w:rPr>
                <w:rFonts w:hint="eastAsia"/>
                <w:u w:val="single"/>
                <w:lang w:val="en-US" w:eastAsia="zh-CN"/>
              </w:rPr>
            </w:pPr>
            <w:r>
              <w:rPr>
                <w:rFonts w:hint="eastAsia"/>
                <w:u w:val="single"/>
                <w:lang w:val="en-US" w:eastAsia="zh-CN"/>
              </w:rPr>
              <w:t>②控制堆填速率：每日堆填量不超过设计值，且底部排水系统运行正常后方可逐层上升。遇连续降雨或矿坑内水位上升时，暂停堆填作业，待水位降至安全标高以下并稳定24小时后再复工。</w:t>
            </w:r>
          </w:p>
          <w:p w14:paraId="551B9F3A">
            <w:pPr>
              <w:bidi w:val="0"/>
              <w:ind w:firstLine="480" w:firstLineChars="200"/>
              <w:rPr>
                <w:rFonts w:hint="eastAsia"/>
                <w:u w:val="single"/>
                <w:lang w:val="en-US" w:eastAsia="zh-CN"/>
              </w:rPr>
            </w:pPr>
            <w:r>
              <w:rPr>
                <w:rFonts w:hint="eastAsia"/>
                <w:u w:val="single"/>
                <w:lang w:val="en-US" w:eastAsia="zh-CN"/>
              </w:rPr>
              <w:t>③位移监测与预警：在堆填体表面及边坡关键部位设置沉降位移观测桩，每周监测一次，雨季加密至每日一次。当单日水平位移超过20 mm或出现贯通裂缝时，立即停止作业并采取坡脚压载、后缘卸载等应急措施。</w:t>
            </w:r>
          </w:p>
          <w:p w14:paraId="29007BCA">
            <w:pPr>
              <w:bidi w:val="0"/>
              <w:rPr>
                <w:rFonts w:hint="eastAsia"/>
                <w:u w:val="single"/>
                <w:lang w:eastAsia="zh-CN"/>
              </w:rPr>
            </w:pPr>
            <w:r>
              <w:rPr>
                <w:rFonts w:hint="eastAsia"/>
                <w:u w:val="single"/>
                <w:lang w:val="en-US" w:eastAsia="zh-CN"/>
              </w:rPr>
              <w:t>2</w:t>
            </w:r>
            <w:r>
              <w:rPr>
                <w:rFonts w:hint="eastAsia"/>
                <w:u w:val="single"/>
                <w:lang w:eastAsia="zh-CN"/>
              </w:rPr>
              <w:t>、滑坡风险防范措施</w:t>
            </w:r>
          </w:p>
          <w:p w14:paraId="286F8F63">
            <w:pPr>
              <w:bidi w:val="0"/>
              <w:rPr>
                <w:rFonts w:hint="eastAsia"/>
                <w:u w:val="single"/>
                <w:lang w:val="en-US" w:eastAsia="zh-CN"/>
              </w:rPr>
            </w:pPr>
            <w:r>
              <w:rPr>
                <w:rFonts w:hint="eastAsia"/>
                <w:u w:val="single"/>
                <w:lang w:val="en-US" w:eastAsia="zh-CN"/>
              </w:rPr>
              <w:t>①边坡修整与防护：对矿坑原有边坡进行清坡处理，清除松动岩土体，坡顶设截水沟防止地表水冲刷。堆填体边坡坡面可采用土工格栅加筋或覆盖种植土、草皮护坡，减少雨水侵蚀。</w:t>
            </w:r>
          </w:p>
          <w:p w14:paraId="3144E7AE">
            <w:pPr>
              <w:bidi w:val="0"/>
              <w:rPr>
                <w:rFonts w:hint="eastAsia"/>
                <w:u w:val="single"/>
                <w:lang w:val="en-US" w:eastAsia="zh-CN"/>
              </w:rPr>
            </w:pPr>
            <w:r>
              <w:rPr>
                <w:rFonts w:hint="eastAsia"/>
                <w:u w:val="single"/>
                <w:lang w:val="en-US" w:eastAsia="zh-CN"/>
              </w:rPr>
              <w:t>②禁止超载与不当开挖：严禁在坡顶边缘5 m范围内堆放重型设备或超量垃圾，避免局部加载。严禁在坡脚开挖取土，确需施工须经稳定性验算。</w:t>
            </w:r>
          </w:p>
          <w:p w14:paraId="5CBCF14A">
            <w:pPr>
              <w:bidi w:val="0"/>
              <w:rPr>
                <w:rFonts w:hint="eastAsia"/>
                <w:u w:val="single"/>
                <w:lang w:val="en-US" w:eastAsia="zh-CN"/>
              </w:rPr>
            </w:pPr>
            <w:r>
              <w:rPr>
                <w:rFonts w:hint="eastAsia"/>
                <w:u w:val="single"/>
                <w:lang w:val="en-US" w:eastAsia="zh-CN"/>
              </w:rPr>
              <w:t>③雨季专项管理：雨季前完成全场地排水系统检查，保证坡顶截水沟、坡脚排水沟畅通。遇暴雨预警时，对高陡边坡覆盖防水彩条布，并加密巡检频次。</w:t>
            </w:r>
          </w:p>
          <w:p w14:paraId="57D3172D">
            <w:pPr>
              <w:bidi w:val="0"/>
              <w:rPr>
                <w:rFonts w:hint="eastAsia"/>
                <w:u w:val="single"/>
                <w:lang w:eastAsia="zh-CN"/>
              </w:rPr>
            </w:pPr>
            <w:r>
              <w:rPr>
                <w:rFonts w:hint="eastAsia"/>
                <w:u w:val="single"/>
                <w:lang w:val="en-US" w:eastAsia="zh-CN"/>
              </w:rPr>
              <w:t>3</w:t>
            </w:r>
            <w:r>
              <w:rPr>
                <w:rFonts w:hint="eastAsia"/>
                <w:u w:val="single"/>
                <w:lang w:eastAsia="zh-CN"/>
              </w:rPr>
              <w:t>、渗漏及地下水污染风险防范措施</w:t>
            </w:r>
          </w:p>
          <w:p w14:paraId="0780AB67">
            <w:pPr>
              <w:bidi w:val="0"/>
              <w:rPr>
                <w:rFonts w:hint="eastAsia"/>
                <w:u w:val="single"/>
                <w:lang w:val="en-US" w:eastAsia="zh-CN"/>
              </w:rPr>
            </w:pPr>
            <w:r>
              <w:rPr>
                <w:rFonts w:hint="eastAsia"/>
                <w:u w:val="single"/>
                <w:lang w:val="en-US" w:eastAsia="zh-CN"/>
              </w:rPr>
              <w:t>在矿坑上游、下游各布设1个地下水监测井，每季度取样检测pH、COD、重金属等指标。底部抽排水设施排出的水应定期检测，若超标需经沉淀、絮凝等处理后排放或回用。</w:t>
            </w:r>
          </w:p>
          <w:p w14:paraId="131C4256">
            <w:pPr>
              <w:bidi w:val="0"/>
              <w:rPr>
                <w:rFonts w:hint="eastAsia"/>
                <w:u w:val="single"/>
                <w:lang w:eastAsia="zh-CN"/>
              </w:rPr>
            </w:pPr>
            <w:r>
              <w:rPr>
                <w:rFonts w:hint="eastAsia"/>
                <w:u w:val="single"/>
                <w:lang w:val="en-US" w:eastAsia="zh-CN"/>
              </w:rPr>
              <w:t>4</w:t>
            </w:r>
            <w:r>
              <w:rPr>
                <w:rFonts w:hint="eastAsia"/>
                <w:u w:val="single"/>
                <w:lang w:eastAsia="zh-CN"/>
              </w:rPr>
              <w:t>、抽排水设施失效风险防范措施</w:t>
            </w:r>
          </w:p>
          <w:p w14:paraId="0CAFA8D3">
            <w:pPr>
              <w:bidi w:val="0"/>
              <w:rPr>
                <w:rFonts w:hint="eastAsia"/>
                <w:u w:val="single"/>
                <w:lang w:val="en-US" w:eastAsia="zh-CN"/>
              </w:rPr>
            </w:pPr>
            <w:r>
              <w:rPr>
                <w:rFonts w:hint="eastAsia"/>
                <w:u w:val="single"/>
                <w:lang w:val="en-US" w:eastAsia="zh-CN"/>
              </w:rPr>
              <w:t>①设备冗余与备用电源：设置一用一备两台排水泵，单台能力满足24 h最大降雨径流量。配备柴油发电机或双回路供电，确保断电时排水不中断。</w:t>
            </w:r>
          </w:p>
          <w:p w14:paraId="6EF072F2">
            <w:pPr>
              <w:bidi w:val="0"/>
              <w:rPr>
                <w:rFonts w:hint="eastAsia"/>
                <w:u w:val="single"/>
                <w:lang w:val="en-US" w:eastAsia="zh-CN"/>
              </w:rPr>
            </w:pPr>
            <w:r>
              <w:rPr>
                <w:rFonts w:hint="eastAsia"/>
                <w:u w:val="single"/>
                <w:lang w:val="en-US" w:eastAsia="zh-CN"/>
              </w:rPr>
              <w:t>②定期维护：每周检查水泵、管道、阀门，清理矿坑废水沉淀池内的淤积物。</w:t>
            </w:r>
          </w:p>
          <w:p w14:paraId="4894EBDD">
            <w:pPr>
              <w:bidi w:val="0"/>
              <w:rPr>
                <w:rFonts w:hint="eastAsia"/>
                <w:lang w:val="en-US" w:eastAsia="zh-CN"/>
              </w:rPr>
            </w:pPr>
            <w:r>
              <w:rPr>
                <w:rFonts w:hint="eastAsia"/>
                <w:u w:val="single"/>
                <w:lang w:val="en-US" w:eastAsia="zh-CN"/>
              </w:rPr>
              <w:t>③应急排水通道：在矿坑最低处预留应急排水口或DN100以上虹吸管。当主排水系统完全失效时，立即启用移动式潜水泵或虹吸管紧急抽排，将积水引至安全区域。</w:t>
            </w:r>
          </w:p>
          <w:p w14:paraId="5D5A17C8">
            <w:pPr>
              <w:bidi w:val="0"/>
              <w:rPr>
                <w:rFonts w:hint="eastAsia"/>
                <w:u w:val="single"/>
                <w:lang w:eastAsia="zh-CN"/>
              </w:rPr>
            </w:pPr>
            <w:r>
              <w:rPr>
                <w:rFonts w:hint="eastAsia"/>
                <w:u w:val="single"/>
                <w:lang w:val="en-US" w:eastAsia="zh-CN"/>
              </w:rPr>
              <w:t>5</w:t>
            </w:r>
            <w:r>
              <w:rPr>
                <w:rFonts w:hint="eastAsia"/>
                <w:u w:val="single"/>
                <w:lang w:eastAsia="zh-CN"/>
              </w:rPr>
              <w:t>、建筑垃圾外泄风险防范措施</w:t>
            </w:r>
          </w:p>
          <w:p w14:paraId="47835966">
            <w:pPr>
              <w:bidi w:val="0"/>
              <w:rPr>
                <w:rFonts w:hint="eastAsia"/>
                <w:u w:val="single"/>
                <w:lang w:eastAsia="zh-CN"/>
              </w:rPr>
            </w:pPr>
            <w:r>
              <w:rPr>
                <w:rFonts w:hint="eastAsia"/>
                <w:u w:val="single"/>
                <w:lang w:eastAsia="zh-CN"/>
              </w:rPr>
              <w:t>①日常巡查与清理：每日安排专人巡查堆填体边坡及矿坑周边，发现垃圾外泄立即清理并分析原因。雨季加密巡查，暴雨后24小时内必须完成一次全场地检查。</w:t>
            </w:r>
          </w:p>
          <w:p w14:paraId="394230B3">
            <w:pPr>
              <w:bidi w:val="0"/>
              <w:rPr>
                <w:rFonts w:hint="eastAsia"/>
                <w:u w:val="single"/>
                <w:lang w:eastAsia="zh-CN"/>
              </w:rPr>
            </w:pPr>
            <w:r>
              <w:rPr>
                <w:rFonts w:hint="eastAsia"/>
                <w:u w:val="single"/>
                <w:lang w:eastAsia="zh-CN"/>
              </w:rPr>
              <w:t>②物理拦挡：在矿坑下游方向及低洼处设置拦渣网（钢丝网+立柱）或简易土石拦渣埂（高≥1 m，顶宽≥1 m），防止垃圾在暴雨期间滚落外泄。定期检查拦挡设施完整性，损坏及时修复。</w:t>
            </w:r>
          </w:p>
          <w:p w14:paraId="2133576A">
            <w:pPr>
              <w:pStyle w:val="5"/>
              <w:bidi w:val="0"/>
              <w:rPr>
                <w:rFonts w:hint="eastAsia"/>
                <w:lang w:val="en-US" w:eastAsia="zh-CN"/>
              </w:rPr>
            </w:pPr>
            <w:r>
              <w:rPr>
                <w:rFonts w:hint="eastAsia"/>
                <w:lang w:val="en-US" w:eastAsia="zh-CN"/>
              </w:rPr>
              <w:t>4.7.5环境风险应急预案</w:t>
            </w:r>
          </w:p>
          <w:p w14:paraId="0EC9A037">
            <w:pPr>
              <w:bidi w:val="0"/>
              <w:rPr>
                <w:rFonts w:hint="eastAsia"/>
              </w:rPr>
            </w:pPr>
            <w:r>
              <w:rPr>
                <w:rFonts w:hint="eastAsia"/>
              </w:rPr>
              <w:t>根据《关于进一步加强环境影响评价管理防范环境风险的通知》（环发〔2012〕77号）、湖南省生态环境厅《关于印发《湖南省突发环境事件应急预案管理办法（修订版）》的通知》（湘环发〔2024〕49号）和《突发事件应急预案管理办法》（国办发〔2024〕5号，2024年2月7日施行）等文件要求，当企业的环境风险物质的Q&lt;1时，结合该企业事业单位的Q、M、E值的实际情况，对该单位环境应急预案实行豁免管理，豁免企业事业单位、核查后豁免的企业事业单位不强制编制环境应急预案，但须向属地县级生态环境主管部门提供环境应急预案豁免管理申请表并得到同意。</w:t>
            </w:r>
          </w:p>
          <w:p w14:paraId="17EA851C">
            <w:pPr>
              <w:bidi w:val="0"/>
              <w:rPr>
                <w:rFonts w:hint="eastAsia"/>
              </w:rPr>
            </w:pPr>
            <w:r>
              <w:rPr>
                <w:rFonts w:hint="eastAsia"/>
              </w:rPr>
              <w:t>应急预案应包含的内容见下表。</w:t>
            </w:r>
          </w:p>
          <w:p w14:paraId="62DC34C2">
            <w:pPr>
              <w:pStyle w:val="44"/>
              <w:bidi w:val="0"/>
            </w:pPr>
            <w:bookmarkStart w:id="109" w:name="_Ref239129876"/>
            <w:r>
              <w:t>表</w:t>
            </w:r>
            <w:r>
              <w:rPr>
                <w:rFonts w:hint="eastAsia"/>
                <w:lang w:val="en-US" w:eastAsia="zh-CN"/>
              </w:rPr>
              <w:t>4.7-2</w:t>
            </w:r>
            <w:r>
              <w:rPr>
                <w:rFonts w:hint="eastAsia"/>
              </w:rPr>
              <w:t>：</w:t>
            </w:r>
            <w:r>
              <w:t>突发环境事件应急预案内容</w:t>
            </w:r>
            <w:bookmarkEnd w:id="109"/>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35"/>
              <w:gridCol w:w="2635"/>
              <w:gridCol w:w="5401"/>
            </w:tblGrid>
            <w:tr w14:paraId="203811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204C4D2A">
                  <w:pPr>
                    <w:tabs>
                      <w:tab w:val="left" w:pos="1021"/>
                    </w:tabs>
                    <w:spacing w:line="240" w:lineRule="auto"/>
                    <w:ind w:firstLine="0" w:firstLineChars="0"/>
                    <w:jc w:val="center"/>
                    <w:rPr>
                      <w:b/>
                      <w:color w:val="auto"/>
                      <w:sz w:val="21"/>
                      <w:szCs w:val="21"/>
                      <w:u w:val="none" w:color="auto"/>
                    </w:rPr>
                  </w:pPr>
                  <w:r>
                    <w:rPr>
                      <w:b/>
                      <w:color w:val="auto"/>
                      <w:sz w:val="21"/>
                      <w:szCs w:val="21"/>
                      <w:u w:val="none" w:color="auto"/>
                    </w:rPr>
                    <w:t>序号</w:t>
                  </w:r>
                </w:p>
              </w:tc>
              <w:tc>
                <w:tcPr>
                  <w:tcW w:w="2635" w:type="dxa"/>
                  <w:noWrap w:val="0"/>
                  <w:vAlign w:val="center"/>
                </w:tcPr>
                <w:p w14:paraId="3519DF21">
                  <w:pPr>
                    <w:tabs>
                      <w:tab w:val="left" w:pos="1021"/>
                    </w:tabs>
                    <w:spacing w:line="240" w:lineRule="auto"/>
                    <w:ind w:firstLine="0" w:firstLineChars="0"/>
                    <w:jc w:val="center"/>
                    <w:rPr>
                      <w:b/>
                      <w:color w:val="auto"/>
                      <w:sz w:val="21"/>
                      <w:szCs w:val="21"/>
                      <w:u w:val="none" w:color="auto"/>
                    </w:rPr>
                  </w:pPr>
                  <w:r>
                    <w:rPr>
                      <w:b/>
                      <w:color w:val="auto"/>
                      <w:sz w:val="21"/>
                      <w:szCs w:val="21"/>
                      <w:u w:val="none" w:color="auto"/>
                    </w:rPr>
                    <w:t>项目</w:t>
                  </w:r>
                </w:p>
              </w:tc>
              <w:tc>
                <w:tcPr>
                  <w:tcW w:w="5401" w:type="dxa"/>
                  <w:noWrap w:val="0"/>
                  <w:vAlign w:val="center"/>
                </w:tcPr>
                <w:p w14:paraId="49D01757">
                  <w:pPr>
                    <w:tabs>
                      <w:tab w:val="left" w:pos="1021"/>
                    </w:tabs>
                    <w:spacing w:line="240" w:lineRule="auto"/>
                    <w:ind w:firstLine="0" w:firstLineChars="0"/>
                    <w:jc w:val="center"/>
                    <w:rPr>
                      <w:b/>
                      <w:color w:val="auto"/>
                      <w:sz w:val="21"/>
                      <w:szCs w:val="21"/>
                      <w:u w:val="none" w:color="auto"/>
                    </w:rPr>
                  </w:pPr>
                  <w:r>
                    <w:rPr>
                      <w:b/>
                      <w:color w:val="auto"/>
                      <w:sz w:val="21"/>
                      <w:szCs w:val="21"/>
                      <w:u w:val="none" w:color="auto"/>
                    </w:rPr>
                    <w:t>内容及要求</w:t>
                  </w:r>
                </w:p>
              </w:tc>
            </w:tr>
            <w:tr w14:paraId="7342D0F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5FAA8245">
                  <w:pPr>
                    <w:tabs>
                      <w:tab w:val="left" w:pos="1021"/>
                    </w:tabs>
                    <w:spacing w:line="240" w:lineRule="auto"/>
                    <w:ind w:firstLine="0" w:firstLineChars="0"/>
                    <w:jc w:val="center"/>
                    <w:rPr>
                      <w:color w:val="auto"/>
                      <w:sz w:val="21"/>
                      <w:szCs w:val="21"/>
                      <w:u w:val="none" w:color="auto"/>
                    </w:rPr>
                  </w:pPr>
                  <w:r>
                    <w:rPr>
                      <w:color w:val="auto"/>
                      <w:sz w:val="21"/>
                      <w:szCs w:val="21"/>
                      <w:u w:val="none" w:color="auto"/>
                    </w:rPr>
                    <w:t>1</w:t>
                  </w:r>
                </w:p>
              </w:tc>
              <w:tc>
                <w:tcPr>
                  <w:tcW w:w="2635" w:type="dxa"/>
                  <w:noWrap w:val="0"/>
                  <w:vAlign w:val="center"/>
                </w:tcPr>
                <w:p w14:paraId="17AC2EC4">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应急计划区</w:t>
                  </w:r>
                </w:p>
              </w:tc>
              <w:tc>
                <w:tcPr>
                  <w:tcW w:w="5401" w:type="dxa"/>
                  <w:noWrap w:val="0"/>
                  <w:vAlign w:val="center"/>
                </w:tcPr>
                <w:p w14:paraId="6B9B2847">
                  <w:pPr>
                    <w:tabs>
                      <w:tab w:val="left" w:pos="1021"/>
                    </w:tabs>
                    <w:spacing w:line="240" w:lineRule="auto"/>
                    <w:ind w:firstLine="0" w:firstLineChars="0"/>
                    <w:jc w:val="center"/>
                    <w:rPr>
                      <w:color w:val="auto"/>
                      <w:sz w:val="21"/>
                      <w:szCs w:val="21"/>
                      <w:u w:val="none" w:color="auto"/>
                    </w:rPr>
                  </w:pPr>
                  <w:r>
                    <w:rPr>
                      <w:color w:val="auto"/>
                      <w:sz w:val="21"/>
                      <w:szCs w:val="21"/>
                      <w:u w:val="none" w:color="auto"/>
                    </w:rPr>
                    <w:t>危险目标：</w:t>
                  </w:r>
                  <w:r>
                    <w:rPr>
                      <w:rFonts w:hint="eastAsia"/>
                      <w:color w:val="auto"/>
                      <w:sz w:val="21"/>
                      <w:szCs w:val="21"/>
                      <w:u w:val="none" w:color="auto"/>
                      <w:lang w:val="en-US" w:eastAsia="zh-CN"/>
                    </w:rPr>
                    <w:t>沉淀池、车辆废水沉淀池</w:t>
                  </w:r>
                  <w:r>
                    <w:rPr>
                      <w:rFonts w:hint="eastAsia"/>
                      <w:color w:val="auto"/>
                      <w:sz w:val="21"/>
                      <w:szCs w:val="21"/>
                      <w:u w:val="none" w:color="auto"/>
                    </w:rPr>
                    <w:t>、危废贮存间</w:t>
                  </w:r>
                  <w:r>
                    <w:rPr>
                      <w:rFonts w:hint="eastAsia"/>
                      <w:color w:val="auto"/>
                      <w:sz w:val="21"/>
                      <w:szCs w:val="21"/>
                      <w:u w:val="none" w:color="auto"/>
                      <w:lang w:val="en-US" w:eastAsia="zh-CN"/>
                    </w:rPr>
                    <w:t>建筑垃圾消纳场</w:t>
                  </w:r>
                  <w:r>
                    <w:rPr>
                      <w:rFonts w:hint="eastAsia"/>
                      <w:color w:val="auto"/>
                      <w:sz w:val="21"/>
                      <w:szCs w:val="21"/>
                      <w:u w:val="none" w:color="auto"/>
                    </w:rPr>
                    <w:t>、</w:t>
                  </w:r>
                  <w:r>
                    <w:rPr>
                      <w:color w:val="auto"/>
                      <w:sz w:val="21"/>
                      <w:szCs w:val="21"/>
                      <w:u w:val="none" w:color="auto"/>
                    </w:rPr>
                    <w:t>环境保护目标等</w:t>
                  </w:r>
                </w:p>
              </w:tc>
            </w:tr>
            <w:tr w14:paraId="74E903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377F3258">
                  <w:pPr>
                    <w:tabs>
                      <w:tab w:val="left" w:pos="1021"/>
                    </w:tabs>
                    <w:spacing w:line="240" w:lineRule="auto"/>
                    <w:ind w:firstLine="0" w:firstLineChars="0"/>
                    <w:jc w:val="center"/>
                    <w:rPr>
                      <w:color w:val="auto"/>
                      <w:sz w:val="21"/>
                      <w:szCs w:val="21"/>
                      <w:u w:val="none" w:color="auto"/>
                    </w:rPr>
                  </w:pPr>
                  <w:r>
                    <w:rPr>
                      <w:color w:val="auto"/>
                      <w:sz w:val="21"/>
                      <w:szCs w:val="21"/>
                      <w:u w:val="none" w:color="auto"/>
                    </w:rPr>
                    <w:t>2</w:t>
                  </w:r>
                </w:p>
              </w:tc>
              <w:tc>
                <w:tcPr>
                  <w:tcW w:w="2635" w:type="dxa"/>
                  <w:noWrap w:val="0"/>
                  <w:vAlign w:val="center"/>
                </w:tcPr>
                <w:p w14:paraId="355995F5">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应急组织机构、人员</w:t>
                  </w:r>
                </w:p>
              </w:tc>
              <w:tc>
                <w:tcPr>
                  <w:tcW w:w="5401" w:type="dxa"/>
                  <w:noWrap w:val="0"/>
                  <w:vAlign w:val="center"/>
                </w:tcPr>
                <w:p w14:paraId="516102B8">
                  <w:pPr>
                    <w:tabs>
                      <w:tab w:val="left" w:pos="1021"/>
                    </w:tabs>
                    <w:spacing w:line="240" w:lineRule="auto"/>
                    <w:ind w:firstLine="0" w:firstLineChars="0"/>
                    <w:jc w:val="center"/>
                    <w:rPr>
                      <w:color w:val="auto"/>
                      <w:sz w:val="21"/>
                      <w:szCs w:val="21"/>
                      <w:u w:val="none" w:color="auto"/>
                    </w:rPr>
                  </w:pPr>
                  <w:r>
                    <w:rPr>
                      <w:rFonts w:hint="eastAsia"/>
                      <w:color w:val="auto"/>
                      <w:sz w:val="21"/>
                      <w:szCs w:val="21"/>
                      <w:u w:val="none" w:color="auto"/>
                    </w:rPr>
                    <w:t>公司</w:t>
                  </w:r>
                  <w:r>
                    <w:rPr>
                      <w:color w:val="auto"/>
                      <w:sz w:val="21"/>
                      <w:szCs w:val="21"/>
                      <w:u w:val="none" w:color="auto"/>
                    </w:rPr>
                    <w:t>、地区应急组织机构、人员</w:t>
                  </w:r>
                </w:p>
              </w:tc>
            </w:tr>
            <w:tr w14:paraId="520954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541478F3">
                  <w:pPr>
                    <w:tabs>
                      <w:tab w:val="left" w:pos="1021"/>
                    </w:tabs>
                    <w:spacing w:line="240" w:lineRule="auto"/>
                    <w:ind w:firstLine="0" w:firstLineChars="0"/>
                    <w:jc w:val="center"/>
                    <w:rPr>
                      <w:color w:val="auto"/>
                      <w:sz w:val="21"/>
                      <w:szCs w:val="21"/>
                      <w:u w:val="none" w:color="auto"/>
                    </w:rPr>
                  </w:pPr>
                  <w:r>
                    <w:rPr>
                      <w:color w:val="auto"/>
                      <w:sz w:val="21"/>
                      <w:szCs w:val="21"/>
                      <w:u w:val="none" w:color="auto"/>
                    </w:rPr>
                    <w:t>3</w:t>
                  </w:r>
                </w:p>
              </w:tc>
              <w:tc>
                <w:tcPr>
                  <w:tcW w:w="2635" w:type="dxa"/>
                  <w:noWrap w:val="0"/>
                  <w:vAlign w:val="center"/>
                </w:tcPr>
                <w:p w14:paraId="5504A0E4">
                  <w:pPr>
                    <w:tabs>
                      <w:tab w:val="left" w:pos="1021"/>
                    </w:tabs>
                    <w:spacing w:line="240" w:lineRule="auto"/>
                    <w:ind w:firstLine="0" w:firstLineChars="0"/>
                    <w:jc w:val="center"/>
                    <w:rPr>
                      <w:color w:val="auto"/>
                      <w:sz w:val="21"/>
                      <w:szCs w:val="21"/>
                      <w:u w:val="none" w:color="auto"/>
                    </w:rPr>
                  </w:pPr>
                  <w:r>
                    <w:rPr>
                      <w:color w:val="auto"/>
                      <w:sz w:val="21"/>
                      <w:szCs w:val="21"/>
                      <w:u w:val="none" w:color="auto"/>
                    </w:rPr>
                    <w:t>预案分级</w:t>
                  </w:r>
                  <w:r>
                    <w:rPr>
                      <w:rFonts w:hint="eastAsia"/>
                      <w:color w:val="auto"/>
                      <w:sz w:val="21"/>
                      <w:szCs w:val="21"/>
                      <w:u w:val="none" w:color="auto"/>
                    </w:rPr>
                    <w:t>响应</w:t>
                  </w:r>
                  <w:r>
                    <w:rPr>
                      <w:color w:val="auto"/>
                      <w:sz w:val="21"/>
                      <w:szCs w:val="21"/>
                      <w:u w:val="none" w:color="auto"/>
                    </w:rPr>
                    <w:t>条件</w:t>
                  </w:r>
                </w:p>
              </w:tc>
              <w:tc>
                <w:tcPr>
                  <w:tcW w:w="5401" w:type="dxa"/>
                  <w:noWrap w:val="0"/>
                  <w:vAlign w:val="center"/>
                </w:tcPr>
                <w:p w14:paraId="6AAB5F11">
                  <w:pPr>
                    <w:tabs>
                      <w:tab w:val="left" w:pos="1021"/>
                    </w:tabs>
                    <w:spacing w:line="240" w:lineRule="auto"/>
                    <w:ind w:firstLine="0" w:firstLineChars="0"/>
                    <w:jc w:val="center"/>
                    <w:rPr>
                      <w:color w:val="auto"/>
                      <w:sz w:val="21"/>
                      <w:szCs w:val="21"/>
                      <w:u w:val="none" w:color="auto"/>
                    </w:rPr>
                  </w:pPr>
                  <w:r>
                    <w:rPr>
                      <w:color w:val="auto"/>
                      <w:sz w:val="21"/>
                      <w:szCs w:val="21"/>
                      <w:u w:val="none" w:color="auto"/>
                    </w:rPr>
                    <w:t>规定预案的级别和分级</w:t>
                  </w:r>
                  <w:r>
                    <w:rPr>
                      <w:rFonts w:hint="eastAsia"/>
                      <w:color w:val="auto"/>
                      <w:sz w:val="21"/>
                      <w:szCs w:val="21"/>
                      <w:u w:val="none" w:color="auto"/>
                    </w:rPr>
                    <w:t>响应</w:t>
                  </w:r>
                  <w:r>
                    <w:rPr>
                      <w:color w:val="auto"/>
                      <w:sz w:val="21"/>
                      <w:szCs w:val="21"/>
                      <w:u w:val="none" w:color="auto"/>
                    </w:rPr>
                    <w:t>程序</w:t>
                  </w:r>
                </w:p>
              </w:tc>
            </w:tr>
            <w:tr w14:paraId="651493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27CA7290">
                  <w:pPr>
                    <w:tabs>
                      <w:tab w:val="left" w:pos="1021"/>
                    </w:tabs>
                    <w:spacing w:line="240" w:lineRule="auto"/>
                    <w:ind w:firstLine="0" w:firstLineChars="0"/>
                    <w:jc w:val="center"/>
                    <w:rPr>
                      <w:color w:val="auto"/>
                      <w:sz w:val="21"/>
                      <w:szCs w:val="21"/>
                      <w:u w:val="none" w:color="auto"/>
                    </w:rPr>
                  </w:pPr>
                  <w:r>
                    <w:rPr>
                      <w:color w:val="auto"/>
                      <w:sz w:val="21"/>
                      <w:szCs w:val="21"/>
                      <w:u w:val="none" w:color="auto"/>
                    </w:rPr>
                    <w:t>4</w:t>
                  </w:r>
                </w:p>
              </w:tc>
              <w:tc>
                <w:tcPr>
                  <w:tcW w:w="2635" w:type="dxa"/>
                  <w:noWrap w:val="0"/>
                  <w:vAlign w:val="center"/>
                </w:tcPr>
                <w:p w14:paraId="4A68A5C2">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应急救援保障</w:t>
                  </w:r>
                </w:p>
              </w:tc>
              <w:tc>
                <w:tcPr>
                  <w:tcW w:w="5401" w:type="dxa"/>
                  <w:noWrap w:val="0"/>
                  <w:vAlign w:val="center"/>
                </w:tcPr>
                <w:p w14:paraId="1E3BA104">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应急设施，设备与器材等</w:t>
                  </w:r>
                </w:p>
              </w:tc>
            </w:tr>
            <w:tr w14:paraId="028677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43107EFA">
                  <w:pPr>
                    <w:tabs>
                      <w:tab w:val="left" w:pos="1021"/>
                    </w:tabs>
                    <w:spacing w:line="240" w:lineRule="auto"/>
                    <w:ind w:firstLine="0" w:firstLineChars="0"/>
                    <w:jc w:val="center"/>
                    <w:rPr>
                      <w:color w:val="auto"/>
                      <w:sz w:val="21"/>
                      <w:szCs w:val="21"/>
                      <w:u w:val="none" w:color="auto"/>
                    </w:rPr>
                  </w:pPr>
                  <w:r>
                    <w:rPr>
                      <w:color w:val="auto"/>
                      <w:sz w:val="21"/>
                      <w:szCs w:val="21"/>
                      <w:u w:val="none" w:color="auto"/>
                    </w:rPr>
                    <w:t>5</w:t>
                  </w:r>
                </w:p>
              </w:tc>
              <w:tc>
                <w:tcPr>
                  <w:tcW w:w="2635" w:type="dxa"/>
                  <w:noWrap w:val="0"/>
                  <w:vAlign w:val="center"/>
                </w:tcPr>
                <w:p w14:paraId="02E6A5C4">
                  <w:pPr>
                    <w:tabs>
                      <w:tab w:val="left" w:pos="1021"/>
                    </w:tabs>
                    <w:spacing w:line="240" w:lineRule="auto"/>
                    <w:ind w:firstLine="0" w:firstLineChars="0"/>
                    <w:jc w:val="center"/>
                    <w:rPr>
                      <w:color w:val="auto"/>
                      <w:sz w:val="21"/>
                      <w:szCs w:val="21"/>
                      <w:u w:val="none" w:color="auto"/>
                    </w:rPr>
                  </w:pPr>
                  <w:r>
                    <w:rPr>
                      <w:color w:val="auto"/>
                      <w:sz w:val="21"/>
                      <w:szCs w:val="21"/>
                      <w:u w:val="none" w:color="auto"/>
                    </w:rPr>
                    <w:t>报警、通讯联络方式</w:t>
                  </w:r>
                </w:p>
              </w:tc>
              <w:tc>
                <w:tcPr>
                  <w:tcW w:w="5401" w:type="dxa"/>
                  <w:noWrap w:val="0"/>
                  <w:vAlign w:val="center"/>
                </w:tcPr>
                <w:p w14:paraId="482692C0">
                  <w:pPr>
                    <w:tabs>
                      <w:tab w:val="left" w:pos="1021"/>
                    </w:tabs>
                    <w:spacing w:line="240" w:lineRule="auto"/>
                    <w:ind w:firstLine="0" w:firstLineChars="0"/>
                    <w:jc w:val="center"/>
                    <w:rPr>
                      <w:color w:val="auto"/>
                      <w:sz w:val="21"/>
                      <w:szCs w:val="21"/>
                      <w:u w:val="none" w:color="auto"/>
                    </w:rPr>
                  </w:pPr>
                  <w:r>
                    <w:rPr>
                      <w:color w:val="auto"/>
                      <w:sz w:val="21"/>
                      <w:szCs w:val="21"/>
                      <w:u w:val="none" w:color="auto"/>
                    </w:rPr>
                    <w:t>规定应急状态下的报警通讯方式、通知方式和交通保障、管制</w:t>
                  </w:r>
                </w:p>
              </w:tc>
            </w:tr>
            <w:tr w14:paraId="5BF8C7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1062E3AA">
                  <w:pPr>
                    <w:tabs>
                      <w:tab w:val="left" w:pos="1021"/>
                    </w:tabs>
                    <w:spacing w:line="240" w:lineRule="auto"/>
                    <w:ind w:firstLine="0" w:firstLineChars="0"/>
                    <w:jc w:val="center"/>
                    <w:rPr>
                      <w:color w:val="auto"/>
                      <w:sz w:val="21"/>
                      <w:szCs w:val="21"/>
                      <w:u w:val="none" w:color="auto"/>
                    </w:rPr>
                  </w:pPr>
                  <w:r>
                    <w:rPr>
                      <w:color w:val="auto"/>
                      <w:sz w:val="21"/>
                      <w:szCs w:val="21"/>
                      <w:u w:val="none" w:color="auto"/>
                    </w:rPr>
                    <w:t>6</w:t>
                  </w:r>
                </w:p>
              </w:tc>
              <w:tc>
                <w:tcPr>
                  <w:tcW w:w="2635" w:type="dxa"/>
                  <w:noWrap w:val="0"/>
                  <w:vAlign w:val="center"/>
                </w:tcPr>
                <w:p w14:paraId="2830573B">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应急环境监测、抢救、救援及控制措施</w:t>
                  </w:r>
                </w:p>
              </w:tc>
              <w:tc>
                <w:tcPr>
                  <w:tcW w:w="5401" w:type="dxa"/>
                  <w:noWrap w:val="0"/>
                  <w:vAlign w:val="center"/>
                </w:tcPr>
                <w:p w14:paraId="315BFFE1">
                  <w:pPr>
                    <w:tabs>
                      <w:tab w:val="left" w:pos="1021"/>
                    </w:tabs>
                    <w:spacing w:line="240" w:lineRule="auto"/>
                    <w:ind w:firstLine="0" w:firstLineChars="0"/>
                    <w:jc w:val="center"/>
                    <w:rPr>
                      <w:color w:val="auto"/>
                      <w:sz w:val="21"/>
                      <w:szCs w:val="21"/>
                      <w:u w:val="none" w:color="auto"/>
                    </w:rPr>
                  </w:pPr>
                  <w:r>
                    <w:rPr>
                      <w:color w:val="auto"/>
                      <w:sz w:val="21"/>
                      <w:szCs w:val="21"/>
                      <w:u w:val="none" w:color="auto"/>
                    </w:rPr>
                    <w:t>由专业队伍负责对事故现场进行侦察监测，对事故性质、参数后果进行评估，为指挥部门提供决策依据。</w:t>
                  </w:r>
                </w:p>
              </w:tc>
            </w:tr>
            <w:tr w14:paraId="5CBADD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4273A72A">
                  <w:pPr>
                    <w:tabs>
                      <w:tab w:val="left" w:pos="1021"/>
                    </w:tabs>
                    <w:spacing w:line="240" w:lineRule="auto"/>
                    <w:ind w:firstLine="0" w:firstLineChars="0"/>
                    <w:jc w:val="center"/>
                    <w:rPr>
                      <w:color w:val="auto"/>
                      <w:sz w:val="21"/>
                      <w:szCs w:val="21"/>
                      <w:u w:val="none" w:color="auto"/>
                    </w:rPr>
                  </w:pPr>
                  <w:r>
                    <w:rPr>
                      <w:color w:val="auto"/>
                      <w:sz w:val="21"/>
                      <w:szCs w:val="21"/>
                      <w:u w:val="none" w:color="auto"/>
                    </w:rPr>
                    <w:t>7</w:t>
                  </w:r>
                </w:p>
              </w:tc>
              <w:tc>
                <w:tcPr>
                  <w:tcW w:w="2635" w:type="dxa"/>
                  <w:noWrap w:val="0"/>
                  <w:vAlign w:val="center"/>
                </w:tcPr>
                <w:p w14:paraId="43C8E7DC">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应急监测、防护措施、清除泄漏措施和器材</w:t>
                  </w:r>
                </w:p>
              </w:tc>
              <w:tc>
                <w:tcPr>
                  <w:tcW w:w="5401" w:type="dxa"/>
                  <w:noWrap w:val="0"/>
                  <w:vAlign w:val="center"/>
                </w:tcPr>
                <w:p w14:paraId="4827CF07">
                  <w:pPr>
                    <w:tabs>
                      <w:tab w:val="left" w:pos="1021"/>
                    </w:tabs>
                    <w:spacing w:line="240" w:lineRule="auto"/>
                    <w:ind w:firstLine="0" w:firstLineChars="0"/>
                    <w:jc w:val="center"/>
                    <w:rPr>
                      <w:color w:val="auto"/>
                      <w:sz w:val="21"/>
                      <w:szCs w:val="21"/>
                      <w:u w:val="none" w:color="auto"/>
                    </w:rPr>
                  </w:pPr>
                  <w:r>
                    <w:rPr>
                      <w:color w:val="auto"/>
                      <w:sz w:val="21"/>
                      <w:szCs w:val="21"/>
                      <w:u w:val="none" w:color="auto"/>
                    </w:rPr>
                    <w:t>事故现场、邻近区域、控制防火区域、控制清除污染措施及相设施。</w:t>
                  </w:r>
                </w:p>
              </w:tc>
            </w:tr>
            <w:tr w14:paraId="04CCB1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0F9690B3">
                  <w:pPr>
                    <w:tabs>
                      <w:tab w:val="left" w:pos="1021"/>
                    </w:tabs>
                    <w:spacing w:line="240" w:lineRule="auto"/>
                    <w:ind w:firstLine="0" w:firstLineChars="0"/>
                    <w:jc w:val="center"/>
                    <w:rPr>
                      <w:color w:val="auto"/>
                      <w:sz w:val="21"/>
                      <w:szCs w:val="21"/>
                      <w:u w:val="none" w:color="auto"/>
                    </w:rPr>
                  </w:pPr>
                  <w:r>
                    <w:rPr>
                      <w:color w:val="auto"/>
                      <w:sz w:val="21"/>
                      <w:szCs w:val="21"/>
                      <w:u w:val="none" w:color="auto"/>
                    </w:rPr>
                    <w:t>8</w:t>
                  </w:r>
                </w:p>
              </w:tc>
              <w:tc>
                <w:tcPr>
                  <w:tcW w:w="2635" w:type="dxa"/>
                  <w:noWrap w:val="0"/>
                  <w:vAlign w:val="center"/>
                </w:tcPr>
                <w:p w14:paraId="0D3B584D">
                  <w:pPr>
                    <w:autoSpaceDE w:val="0"/>
                    <w:autoSpaceDN w:val="0"/>
                    <w:spacing w:line="240" w:lineRule="auto"/>
                    <w:ind w:firstLine="0" w:firstLineChars="0"/>
                    <w:jc w:val="center"/>
                    <w:rPr>
                      <w:color w:val="auto"/>
                      <w:kern w:val="0"/>
                      <w:sz w:val="21"/>
                      <w:szCs w:val="21"/>
                      <w:u w:val="none" w:color="auto"/>
                    </w:rPr>
                  </w:pPr>
                  <w:r>
                    <w:rPr>
                      <w:color w:val="auto"/>
                      <w:kern w:val="0"/>
                      <w:sz w:val="21"/>
                      <w:szCs w:val="21"/>
                      <w:u w:val="none" w:color="auto"/>
                    </w:rPr>
                    <w:t>人员紧急撤离、疏散，应急剂量控制、撤离组织计划</w:t>
                  </w:r>
                </w:p>
              </w:tc>
              <w:tc>
                <w:tcPr>
                  <w:tcW w:w="5401" w:type="dxa"/>
                  <w:noWrap w:val="0"/>
                  <w:vAlign w:val="center"/>
                </w:tcPr>
                <w:p w14:paraId="4EA29872">
                  <w:pPr>
                    <w:tabs>
                      <w:tab w:val="left" w:pos="1021"/>
                    </w:tabs>
                    <w:spacing w:line="240" w:lineRule="auto"/>
                    <w:ind w:firstLine="0" w:firstLineChars="0"/>
                    <w:jc w:val="center"/>
                    <w:rPr>
                      <w:color w:val="auto"/>
                      <w:sz w:val="21"/>
                      <w:szCs w:val="21"/>
                      <w:u w:val="none" w:color="auto"/>
                    </w:rPr>
                  </w:pPr>
                  <w:r>
                    <w:rPr>
                      <w:color w:val="auto"/>
                      <w:sz w:val="21"/>
                      <w:szCs w:val="21"/>
                      <w:u w:val="none" w:color="auto"/>
                    </w:rPr>
                    <w:t>事故现场、工厂邻近区、受事故影响的区域人员及公众对毒物应急剂量控制规定，撤离组织计划及救护，医疗救护与公众健康。</w:t>
                  </w:r>
                </w:p>
              </w:tc>
            </w:tr>
            <w:tr w14:paraId="2DC895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087A5444">
                  <w:pPr>
                    <w:tabs>
                      <w:tab w:val="left" w:pos="1021"/>
                    </w:tabs>
                    <w:spacing w:line="240" w:lineRule="auto"/>
                    <w:ind w:firstLine="0" w:firstLineChars="0"/>
                    <w:jc w:val="center"/>
                    <w:rPr>
                      <w:color w:val="auto"/>
                      <w:sz w:val="21"/>
                      <w:szCs w:val="21"/>
                      <w:u w:val="none" w:color="auto"/>
                    </w:rPr>
                  </w:pPr>
                  <w:r>
                    <w:rPr>
                      <w:color w:val="auto"/>
                      <w:sz w:val="21"/>
                      <w:szCs w:val="21"/>
                      <w:u w:val="none" w:color="auto"/>
                    </w:rPr>
                    <w:t>9</w:t>
                  </w:r>
                </w:p>
              </w:tc>
              <w:tc>
                <w:tcPr>
                  <w:tcW w:w="2635" w:type="dxa"/>
                  <w:noWrap w:val="0"/>
                  <w:vAlign w:val="center"/>
                </w:tcPr>
                <w:p w14:paraId="15EE0363">
                  <w:pPr>
                    <w:tabs>
                      <w:tab w:val="left" w:pos="1021"/>
                    </w:tabs>
                    <w:spacing w:line="240" w:lineRule="auto"/>
                    <w:ind w:firstLine="0" w:firstLineChars="0"/>
                    <w:jc w:val="center"/>
                    <w:rPr>
                      <w:color w:val="auto"/>
                      <w:sz w:val="21"/>
                      <w:szCs w:val="21"/>
                      <w:u w:val="none" w:color="auto"/>
                    </w:rPr>
                  </w:pPr>
                  <w:r>
                    <w:rPr>
                      <w:color w:val="auto"/>
                      <w:sz w:val="21"/>
                      <w:szCs w:val="21"/>
                      <w:u w:val="none" w:color="auto"/>
                    </w:rPr>
                    <w:t>事故应急救援关闭程序与恢复措施</w:t>
                  </w:r>
                </w:p>
              </w:tc>
              <w:tc>
                <w:tcPr>
                  <w:tcW w:w="5401" w:type="dxa"/>
                  <w:noWrap w:val="0"/>
                  <w:vAlign w:val="center"/>
                </w:tcPr>
                <w:p w14:paraId="1A377ED3">
                  <w:pPr>
                    <w:tabs>
                      <w:tab w:val="left" w:pos="1021"/>
                    </w:tabs>
                    <w:spacing w:line="240" w:lineRule="auto"/>
                    <w:ind w:firstLine="0" w:firstLineChars="0"/>
                    <w:jc w:val="center"/>
                    <w:rPr>
                      <w:color w:val="auto"/>
                      <w:sz w:val="21"/>
                      <w:szCs w:val="21"/>
                      <w:u w:val="none" w:color="auto"/>
                    </w:rPr>
                  </w:pPr>
                  <w:r>
                    <w:rPr>
                      <w:color w:val="auto"/>
                      <w:sz w:val="21"/>
                      <w:szCs w:val="21"/>
                      <w:u w:val="none" w:color="auto"/>
                    </w:rPr>
                    <w:t>规定应急状态终止程序</w:t>
                  </w:r>
                </w:p>
                <w:p w14:paraId="1844684E">
                  <w:pPr>
                    <w:tabs>
                      <w:tab w:val="left" w:pos="1021"/>
                    </w:tabs>
                    <w:spacing w:line="240" w:lineRule="auto"/>
                    <w:ind w:firstLine="0" w:firstLineChars="0"/>
                    <w:jc w:val="center"/>
                    <w:rPr>
                      <w:color w:val="auto"/>
                      <w:sz w:val="21"/>
                      <w:szCs w:val="21"/>
                      <w:u w:val="none" w:color="auto"/>
                    </w:rPr>
                  </w:pPr>
                  <w:r>
                    <w:rPr>
                      <w:color w:val="auto"/>
                      <w:sz w:val="21"/>
                      <w:szCs w:val="21"/>
                      <w:u w:val="none" w:color="auto"/>
                    </w:rPr>
                    <w:t>事故现场善后处理，恢复措施</w:t>
                  </w:r>
                </w:p>
                <w:p w14:paraId="0719A0C9">
                  <w:pPr>
                    <w:tabs>
                      <w:tab w:val="left" w:pos="1021"/>
                    </w:tabs>
                    <w:spacing w:line="240" w:lineRule="auto"/>
                    <w:ind w:firstLine="0" w:firstLineChars="0"/>
                    <w:jc w:val="center"/>
                    <w:rPr>
                      <w:color w:val="auto"/>
                      <w:sz w:val="21"/>
                      <w:szCs w:val="21"/>
                      <w:u w:val="none" w:color="auto"/>
                    </w:rPr>
                  </w:pPr>
                  <w:r>
                    <w:rPr>
                      <w:color w:val="auto"/>
                      <w:sz w:val="21"/>
                      <w:szCs w:val="21"/>
                      <w:u w:val="none" w:color="auto"/>
                    </w:rPr>
                    <w:t>邻近区域解除事故警戒及善后恢复措施</w:t>
                  </w:r>
                </w:p>
              </w:tc>
            </w:tr>
            <w:tr w14:paraId="279CD0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50465CBD">
                  <w:pPr>
                    <w:tabs>
                      <w:tab w:val="left" w:pos="1021"/>
                    </w:tabs>
                    <w:spacing w:line="240" w:lineRule="auto"/>
                    <w:ind w:firstLine="0" w:firstLineChars="0"/>
                    <w:jc w:val="center"/>
                    <w:rPr>
                      <w:color w:val="auto"/>
                      <w:sz w:val="21"/>
                      <w:szCs w:val="21"/>
                      <w:u w:val="none" w:color="auto"/>
                    </w:rPr>
                  </w:pPr>
                  <w:r>
                    <w:rPr>
                      <w:color w:val="auto"/>
                      <w:sz w:val="21"/>
                      <w:szCs w:val="21"/>
                      <w:u w:val="none" w:color="auto"/>
                    </w:rPr>
                    <w:t>10</w:t>
                  </w:r>
                </w:p>
              </w:tc>
              <w:tc>
                <w:tcPr>
                  <w:tcW w:w="2635" w:type="dxa"/>
                  <w:noWrap w:val="0"/>
                  <w:vAlign w:val="center"/>
                </w:tcPr>
                <w:p w14:paraId="2ADCBC9F">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应急培训计划</w:t>
                  </w:r>
                </w:p>
              </w:tc>
              <w:tc>
                <w:tcPr>
                  <w:tcW w:w="5401" w:type="dxa"/>
                  <w:noWrap w:val="0"/>
                  <w:vAlign w:val="center"/>
                </w:tcPr>
                <w:p w14:paraId="469C1339">
                  <w:pPr>
                    <w:tabs>
                      <w:tab w:val="left" w:pos="1021"/>
                    </w:tabs>
                    <w:spacing w:line="240" w:lineRule="auto"/>
                    <w:ind w:firstLine="0" w:firstLineChars="0"/>
                    <w:jc w:val="center"/>
                    <w:rPr>
                      <w:color w:val="auto"/>
                      <w:sz w:val="21"/>
                      <w:szCs w:val="21"/>
                      <w:u w:val="none" w:color="auto"/>
                    </w:rPr>
                  </w:pPr>
                  <w:r>
                    <w:rPr>
                      <w:color w:val="auto"/>
                      <w:sz w:val="21"/>
                      <w:szCs w:val="21"/>
                      <w:u w:val="none" w:color="auto"/>
                    </w:rPr>
                    <w:t>应急计划制定后，平时安排人员培训与演练</w:t>
                  </w:r>
                </w:p>
              </w:tc>
            </w:tr>
            <w:tr w14:paraId="7D1A0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835" w:type="dxa"/>
                  <w:noWrap w:val="0"/>
                  <w:vAlign w:val="center"/>
                </w:tcPr>
                <w:p w14:paraId="7706038E">
                  <w:pPr>
                    <w:tabs>
                      <w:tab w:val="left" w:pos="1021"/>
                    </w:tabs>
                    <w:spacing w:line="240" w:lineRule="auto"/>
                    <w:ind w:firstLine="0" w:firstLineChars="0"/>
                    <w:jc w:val="center"/>
                    <w:rPr>
                      <w:color w:val="auto"/>
                      <w:sz w:val="21"/>
                      <w:szCs w:val="21"/>
                      <w:u w:val="none" w:color="auto"/>
                    </w:rPr>
                  </w:pPr>
                  <w:r>
                    <w:rPr>
                      <w:color w:val="auto"/>
                      <w:sz w:val="21"/>
                      <w:szCs w:val="21"/>
                      <w:u w:val="none" w:color="auto"/>
                    </w:rPr>
                    <w:t>11</w:t>
                  </w:r>
                </w:p>
              </w:tc>
              <w:tc>
                <w:tcPr>
                  <w:tcW w:w="2635" w:type="dxa"/>
                  <w:noWrap w:val="0"/>
                  <w:vAlign w:val="center"/>
                </w:tcPr>
                <w:p w14:paraId="3C0EC60D">
                  <w:pPr>
                    <w:tabs>
                      <w:tab w:val="left" w:pos="1021"/>
                    </w:tabs>
                    <w:spacing w:line="240" w:lineRule="auto"/>
                    <w:ind w:firstLine="0" w:firstLineChars="0"/>
                    <w:jc w:val="center"/>
                    <w:rPr>
                      <w:color w:val="auto"/>
                      <w:sz w:val="21"/>
                      <w:szCs w:val="21"/>
                      <w:u w:val="none" w:color="auto"/>
                    </w:rPr>
                  </w:pPr>
                  <w:r>
                    <w:rPr>
                      <w:color w:val="auto"/>
                      <w:sz w:val="21"/>
                      <w:szCs w:val="21"/>
                      <w:u w:val="none" w:color="auto"/>
                    </w:rPr>
                    <w:t>公众教育和信息</w:t>
                  </w:r>
                </w:p>
              </w:tc>
              <w:tc>
                <w:tcPr>
                  <w:tcW w:w="5401" w:type="dxa"/>
                  <w:noWrap w:val="0"/>
                  <w:vAlign w:val="center"/>
                </w:tcPr>
                <w:p w14:paraId="2A4DDA93">
                  <w:pPr>
                    <w:tabs>
                      <w:tab w:val="left" w:pos="1021"/>
                    </w:tabs>
                    <w:spacing w:line="240" w:lineRule="auto"/>
                    <w:ind w:firstLine="0" w:firstLineChars="0"/>
                    <w:jc w:val="center"/>
                    <w:rPr>
                      <w:color w:val="auto"/>
                      <w:sz w:val="21"/>
                      <w:szCs w:val="21"/>
                      <w:u w:val="none" w:color="auto"/>
                    </w:rPr>
                  </w:pPr>
                  <w:r>
                    <w:rPr>
                      <w:color w:val="auto"/>
                      <w:sz w:val="21"/>
                      <w:szCs w:val="21"/>
                      <w:u w:val="none" w:color="auto"/>
                    </w:rPr>
                    <w:t>对工厂邻近地区开展公众教育，培训和发布有关信息</w:t>
                  </w:r>
                </w:p>
              </w:tc>
            </w:tr>
          </w:tbl>
          <w:p w14:paraId="242F6966">
            <w:pPr>
              <w:pStyle w:val="5"/>
              <w:bidi w:val="0"/>
              <w:rPr>
                <w:rFonts w:hint="eastAsia"/>
                <w:u w:val="none"/>
                <w:lang w:val="en-US" w:eastAsia="zh-CN"/>
              </w:rPr>
            </w:pPr>
            <w:r>
              <w:rPr>
                <w:rFonts w:hint="eastAsia"/>
                <w:u w:val="none"/>
                <w:lang w:val="en-US" w:eastAsia="zh-CN"/>
              </w:rPr>
              <w:t>4.7.6环境风险分析结论</w:t>
            </w:r>
          </w:p>
          <w:p w14:paraId="47C63E80">
            <w:pPr>
              <w:bidi w:val="0"/>
              <w:rPr>
                <w:rFonts w:hint="eastAsia"/>
                <w:lang w:val="en-US" w:eastAsia="zh-CN"/>
              </w:rPr>
            </w:pPr>
            <w:r>
              <w:rPr>
                <w:rFonts w:hint="eastAsia"/>
                <w:lang w:val="en-US" w:eastAsia="zh-CN"/>
              </w:rPr>
              <w:t>本项目环境风险潜势为Ⅰ，通过采取相应的风险防范措施，项目的环境风险可控。一日发生事故，建设单位应立即执行事故应急预案，采取合理的事故应急处理措施，将事故影响降到最低限度。经本次风险分析，项目存在一定潜在风险，但在落实风险防范措施、做好应急预案的前提下，可将项目风险值降到最低，其对周边环境的影响在可接受范围内。</w:t>
            </w:r>
          </w:p>
          <w:p w14:paraId="4101D3F8">
            <w:pPr>
              <w:pStyle w:val="44"/>
              <w:widowControl w:val="0"/>
              <w:bidi w:val="0"/>
              <w:rPr>
                <w:rFonts w:cs="宋体"/>
                <w:b/>
                <w:bCs/>
                <w:kern w:val="0"/>
                <w:sz w:val="21"/>
                <w:szCs w:val="21"/>
                <w:u w:val="none"/>
                <w:lang w:val="zh-CN" w:bidi="zh-CN"/>
              </w:rPr>
            </w:pPr>
            <w:r>
              <w:rPr>
                <w:rFonts w:cs="宋体"/>
                <w:b/>
                <w:bCs/>
                <w:kern w:val="0"/>
                <w:sz w:val="21"/>
                <w:szCs w:val="21"/>
                <w:u w:val="none"/>
                <w:lang w:val="zh-CN" w:bidi="zh-CN"/>
              </w:rPr>
              <w:t>表</w:t>
            </w:r>
            <w:r>
              <w:rPr>
                <w:rFonts w:hint="eastAsia" w:cs="宋体"/>
                <w:b/>
                <w:bCs/>
                <w:kern w:val="0"/>
                <w:sz w:val="21"/>
                <w:szCs w:val="21"/>
                <w:u w:val="none"/>
                <w:lang w:val="en-US" w:bidi="zh-CN"/>
              </w:rPr>
              <w:t>4.7-3</w:t>
            </w:r>
            <w:r>
              <w:rPr>
                <w:rFonts w:hint="eastAsia" w:cs="宋体"/>
                <w:b/>
                <w:bCs/>
                <w:kern w:val="0"/>
                <w:sz w:val="21"/>
                <w:szCs w:val="21"/>
                <w:u w:val="none"/>
                <w:lang w:val="zh-CN" w:bidi="zh-CN"/>
              </w:rPr>
              <w:t>：</w:t>
            </w:r>
            <w:r>
              <w:rPr>
                <w:rFonts w:cs="宋体"/>
                <w:b/>
                <w:bCs/>
                <w:kern w:val="0"/>
                <w:sz w:val="21"/>
                <w:szCs w:val="21"/>
                <w:u w:val="none"/>
                <w:lang w:val="zh-CN" w:bidi="zh-CN"/>
              </w:rPr>
              <w:t>建设项目环境风险简单分析内容表</w:t>
            </w:r>
          </w:p>
          <w:tbl>
            <w:tblPr>
              <w:tblStyle w:val="38"/>
              <w:tblW w:w="5000" w:type="pct"/>
              <w:jc w:val="center"/>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Layout w:type="autofit"/>
              <w:tblCellMar>
                <w:top w:w="0" w:type="dxa"/>
                <w:left w:w="108" w:type="dxa"/>
                <w:bottom w:w="0" w:type="dxa"/>
                <w:right w:w="108" w:type="dxa"/>
              </w:tblCellMar>
            </w:tblPr>
            <w:tblGrid>
              <w:gridCol w:w="1615"/>
              <w:gridCol w:w="1330"/>
              <w:gridCol w:w="2534"/>
              <w:gridCol w:w="864"/>
              <w:gridCol w:w="2562"/>
            </w:tblGrid>
            <w:tr w14:paraId="6DDD5D55">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907" w:type="pct"/>
                  <w:vAlign w:val="center"/>
                </w:tcPr>
                <w:p w14:paraId="35EA15FE">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建设项目名称</w:t>
                  </w:r>
                </w:p>
              </w:tc>
              <w:tc>
                <w:tcPr>
                  <w:tcW w:w="4092" w:type="pct"/>
                  <w:gridSpan w:val="4"/>
                  <w:vAlign w:val="center"/>
                </w:tcPr>
                <w:p w14:paraId="58931DDF">
                  <w:pPr>
                    <w:pStyle w:val="126"/>
                    <w:rPr>
                      <w:u w:val="none"/>
                      <w:lang w:bidi="zh-CN"/>
                    </w:rPr>
                  </w:pPr>
                  <w:r>
                    <w:rPr>
                      <w:rFonts w:hint="eastAsia"/>
                      <w:u w:val="none"/>
                      <w:lang w:bidi="zh-CN"/>
                    </w:rPr>
                    <w:t>洪江市建筑垃圾安江堆填场建设项目（一期）</w:t>
                  </w:r>
                </w:p>
              </w:tc>
            </w:tr>
            <w:tr w14:paraId="263A813E">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907" w:type="pct"/>
                  <w:vAlign w:val="center"/>
                </w:tcPr>
                <w:p w14:paraId="0BE70F1D">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建设地点</w:t>
                  </w:r>
                </w:p>
              </w:tc>
              <w:tc>
                <w:tcPr>
                  <w:tcW w:w="4092" w:type="pct"/>
                  <w:gridSpan w:val="4"/>
                  <w:vAlign w:val="center"/>
                </w:tcPr>
                <w:p w14:paraId="71D6D229">
                  <w:pPr>
                    <w:pStyle w:val="126"/>
                    <w:rPr>
                      <w:rFonts w:cs="宋体"/>
                      <w:kern w:val="0"/>
                      <w:sz w:val="21"/>
                      <w:szCs w:val="21"/>
                      <w:u w:val="none"/>
                      <w:lang w:bidi="zh-CN"/>
                    </w:rPr>
                  </w:pPr>
                  <w:r>
                    <w:rPr>
                      <w:rFonts w:hint="eastAsia"/>
                      <w:u w:val="none"/>
                      <w:lang w:bidi="zh-CN"/>
                    </w:rPr>
                    <w:t>湖南省怀化市洪江市安江镇龙田村</w:t>
                  </w:r>
                </w:p>
              </w:tc>
            </w:tr>
            <w:tr w14:paraId="6D2999E1">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44" w:hRule="atLeast"/>
                <w:jc w:val="center"/>
              </w:trPr>
              <w:tc>
                <w:tcPr>
                  <w:tcW w:w="907" w:type="pct"/>
                  <w:vAlign w:val="center"/>
                </w:tcPr>
                <w:p w14:paraId="6534C2A4">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地理坐标</w:t>
                  </w:r>
                </w:p>
              </w:tc>
              <w:tc>
                <w:tcPr>
                  <w:tcW w:w="747" w:type="pct"/>
                  <w:vAlign w:val="center"/>
                </w:tcPr>
                <w:p w14:paraId="2FF1A82F">
                  <w:pPr>
                    <w:tabs>
                      <w:tab w:val="left" w:pos="1021"/>
                    </w:tabs>
                    <w:spacing w:line="240" w:lineRule="auto"/>
                    <w:ind w:firstLine="0" w:firstLineChars="0"/>
                    <w:jc w:val="center"/>
                    <w:rPr>
                      <w:rFonts w:hint="eastAsia" w:ascii="Times New Roman" w:hAnsi="Times New Roman" w:eastAsia="宋体" w:cs="Times New Roman"/>
                      <w:color w:val="auto"/>
                      <w:sz w:val="21"/>
                      <w:szCs w:val="21"/>
                      <w:u w:val="none" w:color="auto"/>
                      <w:lang w:val="zh-CN"/>
                    </w:rPr>
                  </w:pPr>
                  <w:r>
                    <w:rPr>
                      <w:rFonts w:hint="eastAsia" w:ascii="Times New Roman" w:hAnsi="Times New Roman" w:eastAsia="宋体" w:cs="Times New Roman"/>
                      <w:color w:val="auto"/>
                      <w:sz w:val="21"/>
                      <w:szCs w:val="21"/>
                      <w:u w:val="none" w:color="auto"/>
                      <w:lang w:val="zh-CN"/>
                    </w:rPr>
                    <w:t>经度</w:t>
                  </w:r>
                </w:p>
              </w:tc>
              <w:tc>
                <w:tcPr>
                  <w:tcW w:w="1423" w:type="pct"/>
                  <w:vAlign w:val="center"/>
                </w:tcPr>
                <w:p w14:paraId="0BB50130">
                  <w:pPr>
                    <w:tabs>
                      <w:tab w:val="left" w:pos="1021"/>
                    </w:tabs>
                    <w:spacing w:line="240" w:lineRule="auto"/>
                    <w:ind w:firstLine="0" w:firstLineChars="0"/>
                    <w:jc w:val="center"/>
                    <w:rPr>
                      <w:rFonts w:hint="eastAsia" w:ascii="Times New Roman" w:hAnsi="Times New Roman" w:eastAsia="宋体" w:cs="Times New Roman"/>
                      <w:color w:val="auto"/>
                      <w:sz w:val="21"/>
                      <w:szCs w:val="21"/>
                      <w:u w:val="none" w:color="auto"/>
                      <w:lang w:val="zh-CN"/>
                    </w:rPr>
                  </w:pPr>
                  <w:r>
                    <w:rPr>
                      <w:rFonts w:hint="eastAsia" w:ascii="Times New Roman" w:hAnsi="Times New Roman" w:eastAsia="宋体" w:cs="Times New Roman"/>
                      <w:color w:val="auto"/>
                      <w:sz w:val="21"/>
                      <w:szCs w:val="21"/>
                      <w:u w:val="none" w:color="auto"/>
                      <w:lang w:val="en-US"/>
                    </w:rPr>
                    <w:t>E</w:t>
                  </w:r>
                  <w:r>
                    <w:rPr>
                      <w:rFonts w:hint="eastAsia" w:ascii="Times New Roman" w:hAnsi="Times New Roman" w:eastAsia="宋体" w:cs="Times New Roman"/>
                      <w:color w:val="auto"/>
                      <w:sz w:val="21"/>
                      <w:szCs w:val="21"/>
                      <w:u w:val="none" w:color="auto"/>
                    </w:rPr>
                    <w:t>110</w:t>
                  </w:r>
                  <w:r>
                    <w:rPr>
                      <w:rFonts w:hint="eastAsia" w:ascii="Times New Roman" w:hAnsi="Times New Roman" w:eastAsia="宋体" w:cs="Times New Roman"/>
                      <w:color w:val="auto"/>
                      <w:sz w:val="21"/>
                      <w:szCs w:val="21"/>
                      <w:u w:val="none" w:color="auto"/>
                      <w:lang w:val="en-US"/>
                    </w:rPr>
                    <w:t>°</w:t>
                  </w:r>
                  <w:r>
                    <w:rPr>
                      <w:rFonts w:hint="eastAsia" w:ascii="Times New Roman" w:hAnsi="Times New Roman" w:eastAsia="宋体" w:cs="Times New Roman"/>
                      <w:color w:val="auto"/>
                      <w:sz w:val="21"/>
                      <w:szCs w:val="21"/>
                      <w:u w:val="none" w:color="auto"/>
                    </w:rPr>
                    <w:t>4</w:t>
                  </w:r>
                  <w:r>
                    <w:rPr>
                      <w:rFonts w:hint="eastAsia" w:ascii="Times New Roman" w:hAnsi="Times New Roman" w:eastAsia="宋体" w:cs="Times New Roman"/>
                      <w:color w:val="auto"/>
                      <w:sz w:val="21"/>
                      <w:szCs w:val="21"/>
                      <w:u w:val="none" w:color="auto"/>
                      <w:lang w:val="en-US"/>
                    </w:rPr>
                    <w:t>′</w:t>
                  </w:r>
                  <w:r>
                    <w:rPr>
                      <w:rFonts w:hint="eastAsia" w:ascii="Times New Roman" w:hAnsi="Times New Roman" w:eastAsia="宋体" w:cs="Times New Roman"/>
                      <w:color w:val="auto"/>
                      <w:sz w:val="21"/>
                      <w:szCs w:val="21"/>
                      <w:u w:val="none" w:color="auto"/>
                    </w:rPr>
                    <w:t>40.995</w:t>
                  </w:r>
                  <w:r>
                    <w:rPr>
                      <w:rFonts w:hint="eastAsia" w:ascii="Times New Roman" w:hAnsi="Times New Roman" w:eastAsia="宋体" w:cs="Times New Roman"/>
                      <w:color w:val="auto"/>
                      <w:sz w:val="21"/>
                      <w:szCs w:val="21"/>
                      <w:u w:val="none" w:color="auto"/>
                      <w:lang w:val="en-US"/>
                    </w:rPr>
                    <w:t>″</w:t>
                  </w:r>
                </w:p>
              </w:tc>
              <w:tc>
                <w:tcPr>
                  <w:tcW w:w="485" w:type="pct"/>
                  <w:vAlign w:val="center"/>
                </w:tcPr>
                <w:p w14:paraId="12F14E96">
                  <w:pPr>
                    <w:tabs>
                      <w:tab w:val="left" w:pos="1021"/>
                    </w:tabs>
                    <w:spacing w:line="240" w:lineRule="auto"/>
                    <w:ind w:firstLine="0" w:firstLineChars="0"/>
                    <w:jc w:val="center"/>
                    <w:rPr>
                      <w:rFonts w:hint="eastAsia" w:ascii="Times New Roman" w:hAnsi="Times New Roman" w:eastAsia="宋体" w:cs="Times New Roman"/>
                      <w:color w:val="auto"/>
                      <w:sz w:val="21"/>
                      <w:szCs w:val="21"/>
                      <w:u w:val="none" w:color="auto"/>
                      <w:lang w:val="zh-CN"/>
                    </w:rPr>
                  </w:pPr>
                  <w:r>
                    <w:rPr>
                      <w:rFonts w:hint="eastAsia" w:ascii="Times New Roman" w:hAnsi="Times New Roman" w:eastAsia="宋体" w:cs="Times New Roman"/>
                      <w:color w:val="auto"/>
                      <w:sz w:val="21"/>
                      <w:szCs w:val="21"/>
                      <w:u w:val="none" w:color="auto"/>
                      <w:lang w:val="zh-CN"/>
                    </w:rPr>
                    <w:t>纬度</w:t>
                  </w:r>
                </w:p>
              </w:tc>
              <w:tc>
                <w:tcPr>
                  <w:tcW w:w="1436" w:type="pct"/>
                  <w:vAlign w:val="center"/>
                </w:tcPr>
                <w:p w14:paraId="1ABA0A52">
                  <w:pPr>
                    <w:tabs>
                      <w:tab w:val="left" w:pos="1021"/>
                    </w:tabs>
                    <w:spacing w:line="240" w:lineRule="auto"/>
                    <w:ind w:firstLine="0" w:firstLineChars="0"/>
                    <w:jc w:val="center"/>
                    <w:rPr>
                      <w:rFonts w:hint="eastAsia" w:ascii="Times New Roman" w:hAnsi="Times New Roman" w:eastAsia="宋体" w:cs="Times New Roman"/>
                      <w:color w:val="auto"/>
                      <w:sz w:val="21"/>
                      <w:szCs w:val="21"/>
                      <w:u w:val="none" w:color="auto"/>
                      <w:lang w:val="zh-CN"/>
                    </w:rPr>
                  </w:pPr>
                  <w:r>
                    <w:rPr>
                      <w:rFonts w:hint="eastAsia" w:ascii="Times New Roman" w:hAnsi="Times New Roman" w:eastAsia="宋体" w:cs="Times New Roman"/>
                      <w:color w:val="auto"/>
                      <w:sz w:val="21"/>
                      <w:szCs w:val="21"/>
                      <w:u w:val="none" w:color="auto"/>
                      <w:lang w:val="en-US"/>
                    </w:rPr>
                    <w:t>N</w:t>
                  </w:r>
                  <w:r>
                    <w:rPr>
                      <w:rFonts w:hint="eastAsia" w:ascii="Times New Roman" w:hAnsi="Times New Roman" w:eastAsia="宋体" w:cs="Times New Roman"/>
                      <w:color w:val="auto"/>
                      <w:sz w:val="21"/>
                      <w:szCs w:val="21"/>
                      <w:u w:val="none" w:color="auto"/>
                    </w:rPr>
                    <w:t>27</w:t>
                  </w:r>
                  <w:r>
                    <w:rPr>
                      <w:rFonts w:hint="eastAsia" w:ascii="Times New Roman" w:hAnsi="Times New Roman" w:eastAsia="宋体" w:cs="Times New Roman"/>
                      <w:color w:val="auto"/>
                      <w:sz w:val="21"/>
                      <w:szCs w:val="21"/>
                      <w:u w:val="none" w:color="auto"/>
                      <w:lang w:val="en-US"/>
                    </w:rPr>
                    <w:t>°</w:t>
                  </w:r>
                  <w:r>
                    <w:rPr>
                      <w:rFonts w:hint="eastAsia" w:ascii="Times New Roman" w:hAnsi="Times New Roman" w:eastAsia="宋体" w:cs="Times New Roman"/>
                      <w:color w:val="auto"/>
                      <w:sz w:val="21"/>
                      <w:szCs w:val="21"/>
                      <w:u w:val="none" w:color="auto"/>
                    </w:rPr>
                    <w:t xml:space="preserve">19 </w:t>
                  </w:r>
                  <w:r>
                    <w:rPr>
                      <w:rFonts w:hint="eastAsia" w:ascii="Times New Roman" w:hAnsi="Times New Roman" w:eastAsia="宋体" w:cs="Times New Roman"/>
                      <w:color w:val="auto"/>
                      <w:sz w:val="21"/>
                      <w:szCs w:val="21"/>
                      <w:u w:val="none" w:color="auto"/>
                      <w:lang w:val="en-US"/>
                    </w:rPr>
                    <w:t>′</w:t>
                  </w:r>
                  <w:r>
                    <w:rPr>
                      <w:rFonts w:hint="eastAsia" w:ascii="Times New Roman" w:hAnsi="Times New Roman" w:eastAsia="宋体" w:cs="Times New Roman"/>
                      <w:color w:val="auto"/>
                      <w:sz w:val="21"/>
                      <w:szCs w:val="21"/>
                      <w:u w:val="none" w:color="auto"/>
                    </w:rPr>
                    <w:t>14.674</w:t>
                  </w:r>
                  <w:r>
                    <w:rPr>
                      <w:rFonts w:hint="eastAsia" w:ascii="Times New Roman" w:hAnsi="Times New Roman" w:eastAsia="宋体" w:cs="Times New Roman"/>
                      <w:color w:val="auto"/>
                      <w:sz w:val="21"/>
                      <w:szCs w:val="21"/>
                      <w:u w:val="none" w:color="auto"/>
                      <w:lang w:val="en-US"/>
                    </w:rPr>
                    <w:t>″</w:t>
                  </w:r>
                </w:p>
              </w:tc>
            </w:tr>
            <w:tr w14:paraId="4E00BB31">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57" w:hRule="atLeast"/>
                <w:jc w:val="center"/>
              </w:trPr>
              <w:tc>
                <w:tcPr>
                  <w:tcW w:w="907" w:type="pct"/>
                  <w:vAlign w:val="center"/>
                </w:tcPr>
                <w:p w14:paraId="61F861CE">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主要危险物质及分布</w:t>
                  </w:r>
                </w:p>
              </w:tc>
              <w:tc>
                <w:tcPr>
                  <w:tcW w:w="4092" w:type="pct"/>
                  <w:gridSpan w:val="4"/>
                  <w:vAlign w:val="center"/>
                </w:tcPr>
                <w:p w14:paraId="721F989F">
                  <w:pPr>
                    <w:pStyle w:val="126"/>
                    <w:wordWrap w:val="0"/>
                    <w:topLinePunct/>
                    <w:autoSpaceDE w:val="0"/>
                    <w:autoSpaceDN w:val="0"/>
                    <w:adjustRightInd w:val="0"/>
                    <w:rPr>
                      <w:rFonts w:hint="default" w:cs="宋体"/>
                      <w:kern w:val="0"/>
                      <w:u w:val="none"/>
                      <w:lang w:val="en-US" w:bidi="zh-CN"/>
                    </w:rPr>
                  </w:pPr>
                  <w:r>
                    <w:rPr>
                      <w:rFonts w:hint="eastAsia" w:cs="宋体"/>
                      <w:b w:val="0"/>
                      <w:bCs/>
                      <w:kern w:val="0"/>
                      <w:u w:val="none"/>
                      <w:lang w:val="en-US" w:bidi="zh-CN"/>
                    </w:rPr>
                    <w:t>润滑油</w:t>
                  </w:r>
                  <w:r>
                    <w:rPr>
                      <w:rFonts w:hint="eastAsia" w:cs="宋体"/>
                      <w:b w:val="0"/>
                      <w:bCs/>
                      <w:kern w:val="0"/>
                      <w:u w:val="none"/>
                      <w:lang w:bidi="zh-CN"/>
                    </w:rPr>
                    <w:t>（</w:t>
                  </w:r>
                  <w:r>
                    <w:rPr>
                      <w:rFonts w:hint="eastAsia" w:cs="宋体"/>
                      <w:b w:val="0"/>
                      <w:bCs/>
                      <w:kern w:val="0"/>
                      <w:u w:val="none"/>
                      <w:lang w:val="en-US" w:bidi="zh-CN"/>
                    </w:rPr>
                    <w:t>管理用房</w:t>
                  </w:r>
                  <w:r>
                    <w:rPr>
                      <w:rFonts w:hint="eastAsia" w:cs="宋体"/>
                      <w:b w:val="0"/>
                      <w:bCs/>
                      <w:kern w:val="0"/>
                      <w:u w:val="none"/>
                      <w:lang w:bidi="zh-CN"/>
                    </w:rPr>
                    <w:t>）、危险废物（</w:t>
                  </w:r>
                  <w:r>
                    <w:rPr>
                      <w:rFonts w:hint="eastAsia" w:cs="宋体"/>
                      <w:b w:val="0"/>
                      <w:bCs/>
                      <w:kern w:val="0"/>
                      <w:u w:val="none"/>
                      <w:lang w:val="en-US" w:bidi="zh-CN"/>
                    </w:rPr>
                    <w:t>危险废物暂存间</w:t>
                  </w:r>
                  <w:r>
                    <w:rPr>
                      <w:rFonts w:hint="eastAsia" w:cs="宋体"/>
                      <w:b w:val="0"/>
                      <w:bCs/>
                      <w:kern w:val="0"/>
                      <w:u w:val="none"/>
                      <w:lang w:bidi="zh-CN"/>
                    </w:rPr>
                    <w:t>）</w:t>
                  </w:r>
                </w:p>
              </w:tc>
            </w:tr>
            <w:tr w14:paraId="33E7DC7B">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770" w:hRule="atLeast"/>
                <w:jc w:val="center"/>
              </w:trPr>
              <w:tc>
                <w:tcPr>
                  <w:tcW w:w="907" w:type="pct"/>
                  <w:vAlign w:val="center"/>
                </w:tcPr>
                <w:p w14:paraId="0B2C12B7">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环境影响途径及危害后果</w:t>
                  </w:r>
                </w:p>
              </w:tc>
              <w:tc>
                <w:tcPr>
                  <w:tcW w:w="4092" w:type="pct"/>
                  <w:gridSpan w:val="4"/>
                  <w:vAlign w:val="center"/>
                </w:tcPr>
                <w:p w14:paraId="4E7B1EEE">
                  <w:pPr>
                    <w:wordWrap w:val="0"/>
                    <w:topLinePunct/>
                    <w:spacing w:line="240" w:lineRule="auto"/>
                    <w:ind w:firstLine="0" w:firstLineChars="0"/>
                    <w:jc w:val="center"/>
                    <w:rPr>
                      <w:rFonts w:cs="宋体"/>
                      <w:kern w:val="0"/>
                      <w:sz w:val="21"/>
                      <w:szCs w:val="21"/>
                      <w:u w:val="none"/>
                      <w:lang w:val="zh-CN" w:bidi="zh-CN"/>
                    </w:rPr>
                  </w:pPr>
                  <w:r>
                    <w:rPr>
                      <w:rFonts w:hint="eastAsia"/>
                      <w:sz w:val="21"/>
                      <w:szCs w:val="21"/>
                      <w:u w:val="none"/>
                    </w:rPr>
                    <w:t>根据本项目产业定位、建筑结构的特点，可能存在的环境风险是火灾、爆炸、风险物质泄露泄漏、废水事故性排放、建筑垃圾消纳场主要的事故类型为填堆体滑移、滑坡、泄漏、抽排水设施失效、建筑垃圾外泄等。</w:t>
                  </w:r>
                </w:p>
              </w:tc>
            </w:tr>
            <w:tr w14:paraId="245E575F">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752" w:hRule="atLeast"/>
                <w:jc w:val="center"/>
              </w:trPr>
              <w:tc>
                <w:tcPr>
                  <w:tcW w:w="907" w:type="pct"/>
                  <w:vAlign w:val="center"/>
                </w:tcPr>
                <w:p w14:paraId="1DE17216">
                  <w:pPr>
                    <w:wordWrap w:val="0"/>
                    <w:topLinePunct/>
                    <w:spacing w:line="240" w:lineRule="auto"/>
                    <w:ind w:firstLine="0" w:firstLineChars="0"/>
                    <w:jc w:val="center"/>
                    <w:rPr>
                      <w:rFonts w:cs="宋体"/>
                      <w:b/>
                      <w:kern w:val="0"/>
                      <w:sz w:val="21"/>
                      <w:szCs w:val="21"/>
                      <w:u w:val="none"/>
                      <w:lang w:val="zh-CN" w:bidi="zh-CN"/>
                    </w:rPr>
                  </w:pPr>
                  <w:r>
                    <w:rPr>
                      <w:rFonts w:cs="宋体"/>
                      <w:b/>
                      <w:kern w:val="0"/>
                      <w:sz w:val="21"/>
                      <w:szCs w:val="21"/>
                      <w:u w:val="none"/>
                      <w:lang w:val="zh-CN" w:bidi="zh-CN"/>
                    </w:rPr>
                    <w:t>风险防范措施要求</w:t>
                  </w:r>
                </w:p>
              </w:tc>
              <w:tc>
                <w:tcPr>
                  <w:tcW w:w="4092" w:type="pct"/>
                  <w:gridSpan w:val="4"/>
                  <w:vAlign w:val="center"/>
                </w:tcPr>
                <w:p w14:paraId="5B03679E">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en-US" w:bidi="zh-CN"/>
                    </w:rPr>
                    <w:t>一、</w:t>
                  </w:r>
                  <w:r>
                    <w:rPr>
                      <w:rFonts w:hint="eastAsia" w:cs="宋体"/>
                      <w:kern w:val="0"/>
                      <w:sz w:val="21"/>
                      <w:szCs w:val="21"/>
                      <w:u w:val="none"/>
                      <w:lang w:val="zh-CN" w:bidi="zh-CN"/>
                    </w:rPr>
                    <w:t>泄漏事故防范措施</w:t>
                  </w:r>
                </w:p>
                <w:p w14:paraId="5E1DDC41">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防止跑冒滴漏，减少物料的逸出，对危废暂存间、库房地面采取防渗措施，避免泄漏的废润滑油、润滑油外溢污染土壤、当地水体。</w:t>
                  </w:r>
                </w:p>
                <w:p w14:paraId="3C3F4F8A">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en-US" w:bidi="zh-CN"/>
                    </w:rPr>
                    <w:t>二、</w:t>
                  </w:r>
                  <w:r>
                    <w:rPr>
                      <w:rFonts w:hint="eastAsia" w:cs="宋体"/>
                      <w:kern w:val="0"/>
                      <w:sz w:val="21"/>
                      <w:szCs w:val="21"/>
                      <w:u w:val="none"/>
                      <w:lang w:val="zh-CN" w:bidi="zh-CN"/>
                    </w:rPr>
                    <w:t>火灾事故防治措施</w:t>
                  </w:r>
                </w:p>
                <w:p w14:paraId="5D664ED7">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①建立健全并严格执行防火防爆的规章制度，严格遵守各项操作规章。</w:t>
                  </w:r>
                </w:p>
                <w:p w14:paraId="7B6AA5CA">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②润滑油、废润滑油应储存于阴凉干燥、通风处，远离高温、明火、避免阳光直射，远离热源、火种和容易起火的地方。</w:t>
                  </w:r>
                </w:p>
                <w:p w14:paraId="7978A260">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③建筑垃圾消纳场因配备灭火器，在库房、危废暂存间内设置严禁吸烟和使用明火标志标识。</w:t>
                  </w:r>
                </w:p>
                <w:p w14:paraId="0F5F0A01">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本项目废润滑油、润滑油发生火灾事故的概率较小，在消纳场设置灭火器能够满足消防需求。</w:t>
                  </w:r>
                </w:p>
                <w:p w14:paraId="06EF547B">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en-US" w:bidi="zh-CN"/>
                    </w:rPr>
                    <w:t>三、</w:t>
                  </w:r>
                  <w:r>
                    <w:rPr>
                      <w:rFonts w:hint="eastAsia" w:cs="宋体"/>
                      <w:kern w:val="0"/>
                      <w:sz w:val="21"/>
                      <w:szCs w:val="21"/>
                      <w:u w:val="none"/>
                      <w:lang w:val="zh-CN" w:bidi="zh-CN"/>
                    </w:rPr>
                    <w:t>废水事故外排防范措施</w:t>
                  </w:r>
                </w:p>
                <w:p w14:paraId="547A9810">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①加强废水沉淀池施工建设，确保各池体质量达标，防止因池体质量不达标导致的池体破损，废水外溢。</w:t>
                  </w:r>
                </w:p>
                <w:p w14:paraId="0C1B5971">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②加强人员管理，定期对生产废水处理系统的检修与维护，保障其正常运行，发现问题及时解决，预防风险事故的发生。</w:t>
                  </w:r>
                </w:p>
                <w:p w14:paraId="16869486">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③雨季期间，加强对自然天气状况的监控，发生暴雨等自然环境影响时，及时做好场区排水工程，防止因大量雨水进入到沉淀池内，导致沉淀池废水外溢情况发生。</w:t>
                  </w:r>
                </w:p>
                <w:p w14:paraId="1845BB19">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en-US" w:bidi="zh-CN"/>
                    </w:rPr>
                    <w:t>四、</w:t>
                  </w:r>
                  <w:r>
                    <w:rPr>
                      <w:rFonts w:hint="eastAsia" w:cs="宋体"/>
                      <w:kern w:val="0"/>
                      <w:sz w:val="21"/>
                      <w:szCs w:val="21"/>
                      <w:u w:val="none"/>
                      <w:lang w:val="zh-CN" w:bidi="zh-CN"/>
                    </w:rPr>
                    <w:t>建筑垃圾消纳场事故防范措施</w:t>
                  </w:r>
                </w:p>
                <w:p w14:paraId="49B22F10">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1、堆填体滑移（类似溃坝）风险防范措施</w:t>
                  </w:r>
                </w:p>
                <w:p w14:paraId="510872ED">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①分层压实堆填：建筑垃圾进场后按每层厚度≤2 m进行分层摊铺，采用推土机压实，必要时辅以振动压路机。压实度要求：基础压实度≥93%，边坡压实度≥90%（依据《建筑垃圾处理技术标准》CJJ/T134-2019第9.2.5条）。严禁一次性倾倒形成高陡坡面，控制堆填边坡坡度不大于1:2（垂直:水平），局部软弱地基处放缓至1:3。</w:t>
                  </w:r>
                </w:p>
                <w:p w14:paraId="6130C7D1">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②控制堆填速率：每日堆填量不超过设计值，且底部排水系统运行正常后方可逐层上升。遇连续降雨或矿坑内水位上升时，暂停堆填作业，待水位降至安全标高以下并稳定24小时后再复工。</w:t>
                  </w:r>
                </w:p>
                <w:p w14:paraId="487D7755">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③位移监测与预警：在堆填体表面及边坡关键部位设置沉降位移观测桩，每周监测一次，雨季加密至每日一次。当单日水平位移超过20 mm或出现贯通裂缝时，立即停止作业并采取坡脚压载、后缘卸载等应急措施。</w:t>
                  </w:r>
                </w:p>
                <w:p w14:paraId="67F880AB">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2、滑坡风险防范措施</w:t>
                  </w:r>
                </w:p>
                <w:p w14:paraId="47E43B57">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①边坡修整与防护：对矿坑原有边坡进行清坡处理，清除松动岩土体，坡顶设截水沟防止地表水冲刷。堆填体边坡坡面可采用土工格栅加筋或覆盖种植土、草皮护坡，减少雨水侵蚀。</w:t>
                  </w:r>
                </w:p>
                <w:p w14:paraId="4EFC82A8">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②禁止超载与不当开挖：严禁在坡顶边缘5 m范围内堆放重型设备或超量垃圾，避免局部加载。严禁在坡脚开挖取土，确需施工须经稳定性验算。</w:t>
                  </w:r>
                </w:p>
                <w:p w14:paraId="25A06A62">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③雨季专项管理：雨季前完成全场地排水系统检查，保证坡顶截水沟、坡脚排水沟畅通。遇暴雨预警时，对高陡边坡覆盖防水彩条布，并加密巡检频次。</w:t>
                  </w:r>
                </w:p>
                <w:p w14:paraId="7B42DDB7">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3、渗漏及地下水污染风险防范措施</w:t>
                  </w:r>
                </w:p>
                <w:p w14:paraId="5ECAB3F6">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在矿坑上游、下游各布设1个地下水监测井，每季度取样检测pH、COD、重金属等指标。底部抽排水设施排出的水应定期检测，若超标需经沉淀、絮凝等处理后排放或回用。</w:t>
                  </w:r>
                </w:p>
                <w:p w14:paraId="4FE5C245">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4、抽排水设施失效风险防范措施</w:t>
                  </w:r>
                </w:p>
                <w:p w14:paraId="6605D60D">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①设备冗余与备用电源：设置一用一备两台排水泵，单台能力满足24 h最大降雨径流量。配备柴油发电机或双回路供电，确保断电时排水不中断。</w:t>
                  </w:r>
                </w:p>
                <w:p w14:paraId="499B139C">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②定期维护：每周检查水泵、管道、阀门，清理矿坑废水沉淀池内的淤积物。</w:t>
                  </w:r>
                </w:p>
                <w:p w14:paraId="35FD7986">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③应急排水通道：在矿坑最低处预留应急排水口或DN100以上虹吸管。当主排水系统完全失效时，立即启用移动式潜水泵或虹吸管紧急抽排，将积水引至安全区域。</w:t>
                  </w:r>
                </w:p>
                <w:p w14:paraId="3093D177">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5、建筑垃圾外泄风险防范措施</w:t>
                  </w:r>
                </w:p>
                <w:p w14:paraId="73DDCEC4">
                  <w:pPr>
                    <w:tabs>
                      <w:tab w:val="left" w:pos="940"/>
                    </w:tabs>
                    <w:wordWrap w:val="0"/>
                    <w:snapToGrid w:val="0"/>
                    <w:spacing w:line="240" w:lineRule="auto"/>
                    <w:ind w:firstLine="0" w:firstLineChars="0"/>
                    <w:rPr>
                      <w:rFonts w:hint="eastAsia" w:cs="宋体"/>
                      <w:kern w:val="0"/>
                      <w:sz w:val="21"/>
                      <w:szCs w:val="21"/>
                      <w:u w:val="none"/>
                      <w:lang w:val="zh-CN" w:bidi="zh-CN"/>
                    </w:rPr>
                  </w:pPr>
                  <w:r>
                    <w:rPr>
                      <w:rFonts w:hint="eastAsia" w:cs="宋体"/>
                      <w:kern w:val="0"/>
                      <w:sz w:val="21"/>
                      <w:szCs w:val="21"/>
                      <w:u w:val="none"/>
                      <w:lang w:val="zh-CN" w:bidi="zh-CN"/>
                    </w:rPr>
                    <w:t>①日常巡查与清理：每日安排专人巡查堆填体边坡及矿坑周边，发现垃圾外泄立即清理并分析原因。雨季加密巡查，暴雨后24小时内必须完成一次全场地检查。</w:t>
                  </w:r>
                </w:p>
                <w:p w14:paraId="3D31F726">
                  <w:pPr>
                    <w:tabs>
                      <w:tab w:val="left" w:pos="940"/>
                    </w:tabs>
                    <w:wordWrap w:val="0"/>
                    <w:snapToGrid w:val="0"/>
                    <w:spacing w:line="240" w:lineRule="auto"/>
                    <w:ind w:firstLine="0" w:firstLineChars="0"/>
                    <w:rPr>
                      <w:rFonts w:cs="宋体"/>
                      <w:kern w:val="0"/>
                      <w:sz w:val="21"/>
                      <w:szCs w:val="21"/>
                      <w:u w:val="none"/>
                      <w:lang w:val="zh-CN" w:bidi="zh-CN"/>
                    </w:rPr>
                  </w:pPr>
                  <w:r>
                    <w:rPr>
                      <w:rFonts w:hint="eastAsia" w:cs="宋体"/>
                      <w:kern w:val="0"/>
                      <w:sz w:val="21"/>
                      <w:szCs w:val="21"/>
                      <w:u w:val="none"/>
                      <w:lang w:val="zh-CN" w:bidi="zh-CN"/>
                    </w:rPr>
                    <w:t>②物理拦挡：在矿坑下游方向及低洼处设置拦渣网（钢丝网+立柱）或简易土石拦渣埂（高≥1 m，顶宽≥1 m），防止垃圾在暴雨期间滚落外泄。定期检查拦挡设施完整性，损坏及时修复。</w:t>
                  </w:r>
                </w:p>
              </w:tc>
            </w:tr>
            <w:tr w14:paraId="4DFD3CC9">
              <w:tblPrEx>
                <w:tblBorders>
                  <w:top w:val="single" w:color="auto" w:sz="8" w:space="0"/>
                  <w:left w:val="single" w:color="auto" w:sz="4" w:space="0"/>
                  <w:bottom w:val="single" w:color="auto" w:sz="8"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383" w:hRule="atLeast"/>
                <w:jc w:val="center"/>
              </w:trPr>
              <w:tc>
                <w:tcPr>
                  <w:tcW w:w="5000" w:type="pct"/>
                  <w:gridSpan w:val="5"/>
                  <w:vAlign w:val="center"/>
                </w:tcPr>
                <w:p w14:paraId="6ABBE370">
                  <w:pPr>
                    <w:wordWrap w:val="0"/>
                    <w:topLinePunct/>
                    <w:spacing w:line="240" w:lineRule="auto"/>
                    <w:ind w:firstLine="0" w:firstLineChars="0"/>
                    <w:rPr>
                      <w:rFonts w:cs="宋体"/>
                      <w:kern w:val="0"/>
                      <w:sz w:val="21"/>
                      <w:szCs w:val="21"/>
                      <w:u w:val="none"/>
                      <w:lang w:val="zh-CN" w:bidi="zh-CN"/>
                    </w:rPr>
                  </w:pPr>
                  <w:r>
                    <w:rPr>
                      <w:rFonts w:cs="宋体"/>
                      <w:b/>
                      <w:kern w:val="0"/>
                      <w:sz w:val="21"/>
                      <w:szCs w:val="21"/>
                      <w:u w:val="none"/>
                      <w:lang w:val="zh-CN" w:bidi="zh-CN"/>
                    </w:rPr>
                    <w:t>填表说明（列出项目相关信息及评价说明）：</w:t>
                  </w:r>
                  <w:r>
                    <w:rPr>
                      <w:rFonts w:hint="eastAsia"/>
                      <w:color w:val="000000"/>
                      <w:sz w:val="21"/>
                      <w:szCs w:val="21"/>
                      <w:u w:val="none"/>
                    </w:rPr>
                    <w:t>本项目位于湖南省怀化市洪江市安江镇龙田村，项目总投资为：</w:t>
                  </w:r>
                  <w:r>
                    <w:rPr>
                      <w:rFonts w:hint="eastAsia"/>
                      <w:color w:val="000000"/>
                      <w:sz w:val="21"/>
                      <w:szCs w:val="21"/>
                      <w:u w:val="none"/>
                      <w:lang w:val="en-US" w:eastAsia="zh-CN"/>
                    </w:rPr>
                    <w:t>236</w:t>
                  </w:r>
                  <w:r>
                    <w:rPr>
                      <w:rFonts w:hint="eastAsia"/>
                      <w:color w:val="000000"/>
                      <w:sz w:val="21"/>
                      <w:szCs w:val="21"/>
                      <w:u w:val="none"/>
                    </w:rPr>
                    <w:t>万元，建设主要建筑物包括消纳场库区</w:t>
                  </w:r>
                  <w:r>
                    <w:rPr>
                      <w:rFonts w:hint="eastAsia"/>
                      <w:color w:val="000000"/>
                      <w:sz w:val="21"/>
                      <w:szCs w:val="21"/>
                      <w:u w:val="none"/>
                      <w:lang w:eastAsia="zh-CN"/>
                    </w:rPr>
                    <w:t>、</w:t>
                  </w:r>
                  <w:r>
                    <w:rPr>
                      <w:rFonts w:hint="eastAsia"/>
                      <w:color w:val="000000"/>
                      <w:sz w:val="21"/>
                      <w:szCs w:val="21"/>
                      <w:u w:val="none"/>
                    </w:rPr>
                    <w:t>进场道路</w:t>
                  </w:r>
                  <w:r>
                    <w:rPr>
                      <w:rFonts w:hint="eastAsia"/>
                      <w:color w:val="000000"/>
                      <w:sz w:val="21"/>
                      <w:szCs w:val="21"/>
                      <w:u w:val="none"/>
                      <w:lang w:eastAsia="zh-CN"/>
                    </w:rPr>
                    <w:t>、</w:t>
                  </w:r>
                  <w:r>
                    <w:rPr>
                      <w:rFonts w:hint="eastAsia"/>
                      <w:color w:val="000000"/>
                      <w:sz w:val="21"/>
                      <w:szCs w:val="21"/>
                      <w:u w:val="none"/>
                    </w:rPr>
                    <w:t>分拣平台等，建设单位需严格执行“三同时”制度，做到环保设施、设备与建设项同时设计，同时施工，同时投产使用，确保项目运行不会破坏区域环境质量，提高项目的环境效益。</w:t>
                  </w:r>
                </w:p>
              </w:tc>
            </w:tr>
          </w:tbl>
          <w:p w14:paraId="089B7B26">
            <w:pPr>
              <w:pStyle w:val="4"/>
              <w:bidi w:val="0"/>
              <w:rPr>
                <w:rFonts w:hint="eastAsia"/>
                <w:u w:val="single"/>
                <w:lang w:val="en-US" w:eastAsia="zh-CN"/>
              </w:rPr>
            </w:pPr>
            <w:bookmarkStart w:id="110" w:name="_Toc7836"/>
            <w:bookmarkStart w:id="111" w:name="_Toc20794"/>
            <w:bookmarkStart w:id="112" w:name="_Toc13180"/>
            <w:r>
              <w:rPr>
                <w:rFonts w:hint="eastAsia"/>
                <w:u w:val="single"/>
                <w:lang w:val="en-US" w:eastAsia="zh-CN"/>
              </w:rPr>
              <w:t>4.8生态环境影响分析</w:t>
            </w:r>
          </w:p>
          <w:p w14:paraId="36E25EDB">
            <w:pPr>
              <w:bidi w:val="0"/>
              <w:rPr>
                <w:rFonts w:hint="eastAsia"/>
                <w:u w:val="single"/>
              </w:rPr>
            </w:pPr>
            <w:r>
              <w:rPr>
                <w:rFonts w:hint="eastAsia"/>
                <w:u w:val="single"/>
              </w:rPr>
              <w:t xml:space="preserve">本项目占地7452.06 </w:t>
            </w:r>
            <w:r>
              <w:rPr>
                <w:rFonts w:hint="eastAsia"/>
                <w:u w:val="single"/>
                <w:lang w:val="en-US" w:eastAsia="zh-CN"/>
              </w:rPr>
              <w:t>m</w:t>
            </w:r>
            <w:r>
              <w:rPr>
                <w:rFonts w:hint="eastAsia"/>
                <w:u w:val="single"/>
                <w:vertAlign w:val="superscript"/>
                <w:lang w:val="en-US" w:eastAsia="zh-CN"/>
              </w:rPr>
              <w:t>2</w:t>
            </w:r>
            <w:r>
              <w:rPr>
                <w:rFonts w:hint="eastAsia"/>
                <w:u w:val="single"/>
              </w:rPr>
              <w:t>，现状为疏林地、荒地和</w:t>
            </w:r>
            <w:r>
              <w:rPr>
                <w:rFonts w:hint="eastAsia"/>
                <w:u w:val="single"/>
                <w:lang w:val="en-US" w:eastAsia="zh-CN"/>
              </w:rPr>
              <w:t>矿坑积水</w:t>
            </w:r>
            <w:r>
              <w:rPr>
                <w:rFonts w:hint="eastAsia"/>
                <w:u w:val="single"/>
              </w:rPr>
              <w:t>，填埋场建设及堆填作业短期内会扰动地表、破坏部分灌草丛植被，造成局部水土流失和扬尘增加，但区域内无珍稀植物，植被为常见物种，生态影响有限且可通过洒水降尘、覆盖防尘网、严格红线管控等措施有效控制。与此同时，项目利用现有矿坑进行堆填，可有效填平破损地形，现有矿坑通过底部防渗和抽排管理可维持水环境稳定，改善矿坑长期闲置造成的景观破碎问题，提升土地利用价值。综合来看，本项目以短期、可控的局部生态扰动，实现了废弃矿坑的有效修复，整体生态环境效益为正。</w:t>
            </w:r>
          </w:p>
          <w:p w14:paraId="332E39C9">
            <w:pPr>
              <w:pStyle w:val="5"/>
              <w:bidi w:val="0"/>
              <w:rPr>
                <w:rFonts w:hint="default"/>
                <w:u w:val="single"/>
                <w:lang w:val="en-US" w:eastAsia="zh-CN"/>
              </w:rPr>
            </w:pPr>
            <w:r>
              <w:rPr>
                <w:rFonts w:hint="eastAsia"/>
                <w:u w:val="single"/>
                <w:lang w:val="en-US" w:eastAsia="zh-CN"/>
              </w:rPr>
              <w:t>4.8.1</w:t>
            </w:r>
            <w:r>
              <w:rPr>
                <w:rFonts w:hint="eastAsia"/>
                <w:u w:val="single"/>
              </w:rPr>
              <w:t>建设单位生态环境责任范围</w:t>
            </w:r>
          </w:p>
          <w:p w14:paraId="77708919">
            <w:pPr>
              <w:bidi w:val="0"/>
              <w:rPr>
                <w:rFonts w:hint="eastAsia"/>
                <w:u w:val="single"/>
              </w:rPr>
            </w:pPr>
            <w:r>
              <w:rPr>
                <w:rFonts w:hint="eastAsia"/>
                <w:u w:val="single"/>
              </w:rPr>
              <w:t>建设单位生态环境责任范围包括以下两部分：</w:t>
            </w:r>
          </w:p>
          <w:p w14:paraId="15E20E7E">
            <w:pPr>
              <w:bidi w:val="0"/>
              <w:rPr>
                <w:rFonts w:hint="eastAsia"/>
                <w:u w:val="single"/>
              </w:rPr>
            </w:pPr>
            <w:r>
              <w:rPr>
                <w:rFonts w:hint="eastAsia"/>
                <w:u w:val="single"/>
              </w:rPr>
              <w:t>（一）工程直接影响区</w:t>
            </w:r>
          </w:p>
          <w:p w14:paraId="6BA5DF37">
            <w:pPr>
              <w:bidi w:val="0"/>
              <w:rPr>
                <w:rFonts w:hint="eastAsia"/>
                <w:u w:val="single"/>
              </w:rPr>
            </w:pPr>
            <w:r>
              <w:rPr>
                <w:rFonts w:hint="eastAsia"/>
                <w:u w:val="single"/>
              </w:rPr>
              <w:t>矿坑</w:t>
            </w:r>
            <w:r>
              <w:rPr>
                <w:rFonts w:hint="eastAsia"/>
                <w:u w:val="single"/>
                <w:lang w:val="en-US" w:eastAsia="zh-CN"/>
              </w:rPr>
              <w:t>堆填场</w:t>
            </w:r>
            <w:r>
              <w:rPr>
                <w:rFonts w:hint="eastAsia"/>
                <w:u w:val="single"/>
              </w:rPr>
              <w:t>堆填区：原砂石矿开采形成的矿坑及坑底区域，以及建筑垃圾堆填作业范围。</w:t>
            </w:r>
          </w:p>
          <w:p w14:paraId="0AD73AEB">
            <w:pPr>
              <w:bidi w:val="0"/>
              <w:rPr>
                <w:rFonts w:hint="eastAsia"/>
                <w:u w:val="single"/>
              </w:rPr>
            </w:pPr>
            <w:r>
              <w:rPr>
                <w:rFonts w:hint="eastAsia"/>
                <w:u w:val="single"/>
              </w:rPr>
              <w:t>作业管理区：包括进出场道路、</w:t>
            </w:r>
            <w:r>
              <w:rPr>
                <w:rFonts w:hint="eastAsia"/>
                <w:u w:val="single"/>
                <w:lang w:val="en-US" w:eastAsia="zh-CN"/>
              </w:rPr>
              <w:t>分拣平台</w:t>
            </w:r>
            <w:r>
              <w:rPr>
                <w:rFonts w:hint="eastAsia"/>
                <w:u w:val="single"/>
              </w:rPr>
              <w:t>、生活管理区、车辆冲洗平台等配套建设用地。</w:t>
            </w:r>
          </w:p>
          <w:p w14:paraId="21B3F3A3">
            <w:pPr>
              <w:bidi w:val="0"/>
              <w:rPr>
                <w:rFonts w:hint="eastAsia"/>
                <w:u w:val="single"/>
              </w:rPr>
            </w:pPr>
            <w:r>
              <w:rPr>
                <w:rFonts w:hint="eastAsia"/>
                <w:u w:val="single"/>
              </w:rPr>
              <w:t>排水系统及配套设施区：包括截排水沟、沉淀池、抽排水设施等附属设施占地范围。</w:t>
            </w:r>
          </w:p>
          <w:p w14:paraId="66C5BBE0">
            <w:pPr>
              <w:bidi w:val="0"/>
              <w:rPr>
                <w:rFonts w:hint="eastAsia"/>
                <w:u w:val="single"/>
              </w:rPr>
            </w:pPr>
            <w:r>
              <w:rPr>
                <w:rFonts w:hint="eastAsia"/>
                <w:u w:val="single"/>
              </w:rPr>
              <w:t>（二）生态间接影响区</w:t>
            </w:r>
          </w:p>
          <w:p w14:paraId="67510C8D">
            <w:pPr>
              <w:bidi w:val="0"/>
              <w:rPr>
                <w:rFonts w:hint="eastAsia"/>
                <w:u w:val="single"/>
              </w:rPr>
            </w:pPr>
            <w:r>
              <w:rPr>
                <w:rFonts w:hint="eastAsia"/>
                <w:u w:val="single"/>
              </w:rPr>
              <w:t>下游生态敏感区：沿矿坑下游延伸方向，影响范围为下游不少于500 m的区域</w:t>
            </w:r>
            <w:r>
              <w:rPr>
                <w:rFonts w:hint="eastAsia"/>
                <w:u w:val="single"/>
                <w:lang w:eastAsia="zh-CN"/>
              </w:rPr>
              <w:t>，</w:t>
            </w:r>
            <w:r>
              <w:rPr>
                <w:rFonts w:hint="eastAsia"/>
                <w:u w:val="single"/>
                <w:lang w:val="en-US" w:eastAsia="zh-CN"/>
              </w:rPr>
              <w:t>包括下游500m范围内的水域、居民点、农田等</w:t>
            </w:r>
            <w:r>
              <w:rPr>
                <w:rFonts w:hint="eastAsia"/>
                <w:u w:val="single"/>
              </w:rPr>
              <w:t>。建设单位应负责监控和管理该区域内因本工程引起的次生生态环境影响（包括废水漫溢污染、垃圾外泄掩埋等），并承担相应的生态补偿和修复责任。</w:t>
            </w:r>
          </w:p>
          <w:p w14:paraId="3D26AEB5">
            <w:pPr>
              <w:bidi w:val="0"/>
              <w:rPr>
                <w:rFonts w:hint="eastAsia"/>
                <w:u w:val="single"/>
              </w:rPr>
            </w:pPr>
            <w:r>
              <w:rPr>
                <w:rFonts w:hint="eastAsia"/>
                <w:u w:val="single"/>
              </w:rPr>
              <w:t>周边山体边坡影响区：矿坑两侧山体在外力条件改变时可能发生滑坡等不良地质作用，建设单位应对该区域进行稳定性监测，对因工程活动诱发的生态破坏负责修复。</w:t>
            </w:r>
          </w:p>
          <w:p w14:paraId="6F95E984">
            <w:pPr>
              <w:bidi w:val="0"/>
              <w:rPr>
                <w:rFonts w:hint="eastAsia"/>
                <w:u w:val="single"/>
              </w:rPr>
            </w:pPr>
            <w:r>
              <w:rPr>
                <w:rFonts w:hint="eastAsia"/>
                <w:u w:val="single"/>
              </w:rPr>
              <w:t>地下水影响区：建设单位须对矿坑上游及下游布设地下水监测井，负责监控和管理因本工程渗漏造成的地下水污染，并承担相应修复责任。</w:t>
            </w:r>
          </w:p>
          <w:p w14:paraId="0FD48114">
            <w:pPr>
              <w:numPr>
                <w:ilvl w:val="0"/>
                <w:numId w:val="0"/>
              </w:numPr>
              <w:bidi w:val="0"/>
              <w:ind w:firstLine="480" w:firstLineChars="200"/>
              <w:rPr>
                <w:rFonts w:hint="eastAsia"/>
                <w:u w:val="single"/>
              </w:rPr>
            </w:pP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三</w:t>
            </w:r>
            <w:r>
              <w:rPr>
                <w:rFonts w:hint="eastAsia" w:ascii="Times New Roman" w:hAnsi="Times New Roman" w:eastAsia="宋体" w:cs="Times New Roman"/>
                <w:kern w:val="2"/>
                <w:sz w:val="24"/>
                <w:szCs w:val="24"/>
                <w:lang w:val="en-US" w:eastAsia="zh-CN" w:bidi="ar-SA"/>
              </w:rPr>
              <w:t>）</w:t>
            </w:r>
            <w:r>
              <w:rPr>
                <w:rFonts w:hint="eastAsia"/>
                <w:u w:val="single"/>
              </w:rPr>
              <w:t>责任时限</w:t>
            </w:r>
          </w:p>
          <w:p w14:paraId="1A7BF9C9">
            <w:pPr>
              <w:numPr>
                <w:ilvl w:val="0"/>
                <w:numId w:val="0"/>
              </w:numPr>
              <w:bidi w:val="0"/>
              <w:ind w:firstLine="480" w:firstLineChars="200"/>
              <w:rPr>
                <w:rFonts w:hint="eastAsia"/>
                <w:u w:val="single"/>
              </w:rPr>
            </w:pPr>
            <w:r>
              <w:rPr>
                <w:rFonts w:hint="eastAsia" w:ascii="Times New Roman" w:hAnsi="Times New Roman" w:eastAsia="宋体" w:cs="Times New Roman"/>
                <w:kern w:val="2"/>
                <w:sz w:val="24"/>
                <w:szCs w:val="24"/>
                <w:lang w:val="en-US" w:eastAsia="zh-CN" w:bidi="ar-SA"/>
              </w:rPr>
              <w:t>（</w:t>
            </w:r>
            <w:r>
              <w:rPr>
                <w:rFonts w:hint="eastAsia"/>
                <w:u w:val="single"/>
              </w:rPr>
              <w:t>从施工准备开始至运营期结束（即停止堆填、移交二期工程时止）。一期运营期间建设单位须设立生态环保专项资金，并纳入工程总投资。</w:t>
            </w:r>
          </w:p>
          <w:p w14:paraId="5EBC7137">
            <w:pPr>
              <w:pStyle w:val="5"/>
              <w:bidi w:val="0"/>
              <w:rPr>
                <w:rFonts w:hint="default"/>
                <w:u w:val="single"/>
                <w:lang w:val="en-US" w:eastAsia="zh-CN"/>
              </w:rPr>
            </w:pPr>
            <w:r>
              <w:rPr>
                <w:rFonts w:hint="eastAsia"/>
                <w:u w:val="single"/>
                <w:lang w:val="en-US" w:eastAsia="zh-CN"/>
              </w:rPr>
              <w:t>4.8.3生态环境影响保护措施</w:t>
            </w:r>
          </w:p>
          <w:p w14:paraId="25A3700F">
            <w:pPr>
              <w:bidi w:val="0"/>
              <w:rPr>
                <w:rFonts w:hint="eastAsia"/>
                <w:u w:val="single"/>
              </w:rPr>
            </w:pPr>
            <w:r>
              <w:rPr>
                <w:rFonts w:hint="eastAsia"/>
                <w:u w:val="single"/>
              </w:rPr>
              <w:t>本</w:t>
            </w:r>
            <w:r>
              <w:rPr>
                <w:rFonts w:hint="eastAsia"/>
                <w:u w:val="single"/>
                <w:lang w:val="en-US" w:eastAsia="zh-CN"/>
              </w:rPr>
              <w:t>环评</w:t>
            </w:r>
            <w:r>
              <w:rPr>
                <w:rFonts w:hint="eastAsia"/>
                <w:u w:val="single"/>
              </w:rPr>
              <w:t>仅涵盖一期工程运营期（含施工准备期）的生态环保措施，封场期及二期工程不列入</w:t>
            </w:r>
            <w:r>
              <w:rPr>
                <w:rFonts w:hint="eastAsia"/>
                <w:u w:val="single"/>
                <w:lang w:val="en-US" w:eastAsia="zh-CN"/>
              </w:rPr>
              <w:t>本次评价内容，</w:t>
            </w:r>
            <w:r>
              <w:rPr>
                <w:rFonts w:hint="eastAsia"/>
                <w:u w:val="single"/>
              </w:rPr>
              <w:t>以下分为施工准备期和运营期（堆填期）两个阶段，每个措施均明确实施内容、进度安排、验收要求。</w:t>
            </w:r>
          </w:p>
          <w:p w14:paraId="2F3A17BA">
            <w:pPr>
              <w:pStyle w:val="44"/>
              <w:bidi w:val="0"/>
              <w:rPr>
                <w:rFonts w:hint="eastAsia"/>
                <w:u w:val="single"/>
                <w:lang w:val="en-US" w:eastAsia="zh-CN"/>
              </w:rPr>
            </w:pPr>
            <w:r>
              <w:rPr>
                <w:rFonts w:hint="eastAsia"/>
                <w:u w:val="single"/>
                <w:lang w:val="en-US" w:eastAsia="zh-CN"/>
              </w:rPr>
              <w:t>表4.8-1：施工准备期生态保护措施</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5"/>
              <w:gridCol w:w="3416"/>
              <w:gridCol w:w="1409"/>
              <w:gridCol w:w="2541"/>
            </w:tblGrid>
            <w:tr w14:paraId="5A97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5" w:type="dxa"/>
                  <w:vAlign w:val="center"/>
                </w:tcPr>
                <w:p w14:paraId="45DF39BE">
                  <w:pPr>
                    <w:pStyle w:val="115"/>
                    <w:bidi w:val="0"/>
                    <w:rPr>
                      <w:rFonts w:hint="eastAsia"/>
                      <w:b/>
                      <w:bCs/>
                      <w:u w:val="single"/>
                    </w:rPr>
                  </w:pPr>
                  <w:r>
                    <w:rPr>
                      <w:rFonts w:hint="eastAsia"/>
                      <w:b/>
                      <w:bCs/>
                      <w:u w:val="single"/>
                    </w:rPr>
                    <w:t>实施内容</w:t>
                  </w:r>
                </w:p>
              </w:tc>
              <w:tc>
                <w:tcPr>
                  <w:tcW w:w="3416" w:type="dxa"/>
                  <w:vAlign w:val="center"/>
                </w:tcPr>
                <w:p w14:paraId="6984D310">
                  <w:pPr>
                    <w:pStyle w:val="115"/>
                    <w:bidi w:val="0"/>
                    <w:rPr>
                      <w:rFonts w:hint="default"/>
                      <w:b/>
                      <w:bCs/>
                      <w:u w:val="single"/>
                      <w:lang w:val="en-US" w:eastAsia="zh-CN"/>
                    </w:rPr>
                  </w:pPr>
                  <w:r>
                    <w:rPr>
                      <w:rFonts w:hint="eastAsia"/>
                      <w:b/>
                      <w:bCs/>
                      <w:u w:val="single"/>
                      <w:lang w:val="en-US" w:eastAsia="zh-CN"/>
                    </w:rPr>
                    <w:t>具体措施</w:t>
                  </w:r>
                </w:p>
              </w:tc>
              <w:tc>
                <w:tcPr>
                  <w:tcW w:w="1409" w:type="dxa"/>
                  <w:vAlign w:val="center"/>
                </w:tcPr>
                <w:p w14:paraId="64B0CCB5">
                  <w:pPr>
                    <w:pStyle w:val="115"/>
                    <w:bidi w:val="0"/>
                    <w:rPr>
                      <w:rFonts w:hint="eastAsia"/>
                      <w:b/>
                      <w:bCs/>
                      <w:u w:val="single"/>
                    </w:rPr>
                  </w:pPr>
                  <w:r>
                    <w:rPr>
                      <w:rFonts w:hint="eastAsia"/>
                      <w:b/>
                      <w:bCs/>
                      <w:u w:val="single"/>
                    </w:rPr>
                    <w:t>进度安排</w:t>
                  </w:r>
                </w:p>
              </w:tc>
              <w:tc>
                <w:tcPr>
                  <w:tcW w:w="2541" w:type="dxa"/>
                  <w:vAlign w:val="center"/>
                </w:tcPr>
                <w:p w14:paraId="0D46E5D4">
                  <w:pPr>
                    <w:pStyle w:val="115"/>
                    <w:bidi w:val="0"/>
                    <w:rPr>
                      <w:rFonts w:hint="eastAsia"/>
                      <w:b/>
                      <w:bCs/>
                      <w:u w:val="single"/>
                    </w:rPr>
                  </w:pPr>
                  <w:r>
                    <w:rPr>
                      <w:rFonts w:hint="eastAsia"/>
                      <w:b/>
                      <w:bCs/>
                      <w:u w:val="single"/>
                    </w:rPr>
                    <w:t>验收要求</w:t>
                  </w:r>
                </w:p>
              </w:tc>
            </w:tr>
            <w:tr w14:paraId="36F4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5" w:type="dxa"/>
                  <w:vAlign w:val="center"/>
                </w:tcPr>
                <w:p w14:paraId="1F333E03">
                  <w:pPr>
                    <w:pStyle w:val="115"/>
                    <w:bidi w:val="0"/>
                    <w:rPr>
                      <w:rFonts w:hint="eastAsia"/>
                      <w:u w:val="single"/>
                    </w:rPr>
                  </w:pPr>
                  <w:r>
                    <w:rPr>
                      <w:rFonts w:hint="eastAsia"/>
                      <w:u w:val="single"/>
                      <w:lang w:val="en-US" w:eastAsia="zh-CN"/>
                    </w:rPr>
                    <w:t>施工围挡与场地清理</w:t>
                  </w:r>
                </w:p>
              </w:tc>
              <w:tc>
                <w:tcPr>
                  <w:tcW w:w="3416" w:type="dxa"/>
                  <w:vAlign w:val="center"/>
                </w:tcPr>
                <w:p w14:paraId="4B3294C5">
                  <w:pPr>
                    <w:pStyle w:val="115"/>
                    <w:bidi w:val="0"/>
                    <w:rPr>
                      <w:rFonts w:hint="eastAsia"/>
                      <w:u w:val="single"/>
                    </w:rPr>
                  </w:pPr>
                  <w:r>
                    <w:rPr>
                      <w:rFonts w:hint="eastAsia"/>
                      <w:u w:val="single"/>
                      <w:lang w:val="en-US" w:eastAsia="zh-CN"/>
                    </w:rPr>
                    <w:t>对施工范围边界设置硬质围挡，标明施工范围；清理矿坑内遗留的松散土石、杂物</w:t>
                  </w:r>
                </w:p>
              </w:tc>
              <w:tc>
                <w:tcPr>
                  <w:tcW w:w="1409" w:type="dxa"/>
                  <w:vAlign w:val="center"/>
                </w:tcPr>
                <w:p w14:paraId="5CCEE1CF">
                  <w:pPr>
                    <w:pStyle w:val="115"/>
                    <w:bidi w:val="0"/>
                    <w:rPr>
                      <w:rFonts w:hint="eastAsia"/>
                      <w:u w:val="single"/>
                    </w:rPr>
                  </w:pPr>
                  <w:r>
                    <w:rPr>
                      <w:rFonts w:hint="eastAsia"/>
                      <w:u w:val="single"/>
                      <w:lang w:val="en-US" w:eastAsia="zh-CN"/>
                    </w:rPr>
                    <w:t>开工前1个月内完成</w:t>
                  </w:r>
                </w:p>
              </w:tc>
              <w:tc>
                <w:tcPr>
                  <w:tcW w:w="2541" w:type="dxa"/>
                  <w:vAlign w:val="center"/>
                </w:tcPr>
                <w:p w14:paraId="1CAAB211">
                  <w:pPr>
                    <w:pStyle w:val="115"/>
                    <w:bidi w:val="0"/>
                    <w:rPr>
                      <w:rFonts w:hint="eastAsia"/>
                      <w:u w:val="single"/>
                    </w:rPr>
                  </w:pPr>
                  <w:r>
                    <w:rPr>
                      <w:rFonts w:hint="eastAsia"/>
                      <w:u w:val="single"/>
                      <w:lang w:val="en-US" w:eastAsia="zh-CN"/>
                    </w:rPr>
                    <w:t>围挡完整、标识清晰；场地清理干净，松散土石妥善处置</w:t>
                  </w:r>
                </w:p>
              </w:tc>
            </w:tr>
            <w:tr w14:paraId="62EA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5" w:type="dxa"/>
                  <w:vAlign w:val="center"/>
                </w:tcPr>
                <w:p w14:paraId="6EA43FD1">
                  <w:pPr>
                    <w:pStyle w:val="115"/>
                    <w:bidi w:val="0"/>
                    <w:rPr>
                      <w:rFonts w:hint="eastAsia"/>
                      <w:u w:val="single"/>
                    </w:rPr>
                  </w:pPr>
                  <w:r>
                    <w:rPr>
                      <w:rFonts w:hint="eastAsia"/>
                      <w:u w:val="single"/>
                      <w:lang w:val="en-US" w:eastAsia="zh-CN"/>
                    </w:rPr>
                    <w:t>表土剥离与保护</w:t>
                  </w:r>
                </w:p>
              </w:tc>
              <w:tc>
                <w:tcPr>
                  <w:tcW w:w="3416" w:type="dxa"/>
                  <w:vAlign w:val="center"/>
                </w:tcPr>
                <w:p w14:paraId="38A734B3">
                  <w:pPr>
                    <w:pStyle w:val="115"/>
                    <w:bidi w:val="0"/>
                    <w:rPr>
                      <w:rFonts w:hint="eastAsia"/>
                      <w:u w:val="single"/>
                    </w:rPr>
                  </w:pPr>
                  <w:r>
                    <w:rPr>
                      <w:rFonts w:hint="eastAsia"/>
                      <w:u w:val="single"/>
                      <w:lang w:val="en-US" w:eastAsia="zh-CN"/>
                    </w:rPr>
                    <w:t>将占地区域内的适宜耕作的表土层剥离，集中堆存于表土堆场，采用防尘网覆盖并播撒草籽固土</w:t>
                  </w:r>
                </w:p>
              </w:tc>
              <w:tc>
                <w:tcPr>
                  <w:tcW w:w="1409" w:type="dxa"/>
                  <w:vAlign w:val="center"/>
                </w:tcPr>
                <w:p w14:paraId="5C31655B">
                  <w:pPr>
                    <w:pStyle w:val="115"/>
                    <w:bidi w:val="0"/>
                    <w:rPr>
                      <w:rFonts w:hint="eastAsia"/>
                      <w:u w:val="single"/>
                    </w:rPr>
                  </w:pPr>
                  <w:r>
                    <w:rPr>
                      <w:rFonts w:hint="eastAsia"/>
                      <w:u w:val="single"/>
                      <w:lang w:val="en-US" w:eastAsia="zh-CN"/>
                    </w:rPr>
                    <w:t>施工放线后15日内完成</w:t>
                  </w:r>
                </w:p>
              </w:tc>
              <w:tc>
                <w:tcPr>
                  <w:tcW w:w="2541" w:type="dxa"/>
                  <w:vAlign w:val="center"/>
                </w:tcPr>
                <w:p w14:paraId="5DF7F89B">
                  <w:pPr>
                    <w:pStyle w:val="115"/>
                    <w:bidi w:val="0"/>
                    <w:rPr>
                      <w:rFonts w:hint="eastAsia"/>
                      <w:u w:val="single"/>
                    </w:rPr>
                  </w:pPr>
                  <w:r>
                    <w:rPr>
                      <w:rFonts w:hint="eastAsia"/>
                      <w:u w:val="single"/>
                      <w:lang w:val="en-US" w:eastAsia="zh-CN"/>
                    </w:rPr>
                    <w:t>表土堆存规范，防尘网覆盖严密，草籽播撒均匀</w:t>
                  </w:r>
                </w:p>
              </w:tc>
            </w:tr>
            <w:tr w14:paraId="3B00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5" w:type="dxa"/>
                  <w:vAlign w:val="center"/>
                </w:tcPr>
                <w:p w14:paraId="2FEBFC9D">
                  <w:pPr>
                    <w:pStyle w:val="115"/>
                    <w:bidi w:val="0"/>
                    <w:rPr>
                      <w:rFonts w:hint="eastAsia"/>
                      <w:u w:val="single"/>
                    </w:rPr>
                  </w:pPr>
                  <w:r>
                    <w:rPr>
                      <w:rFonts w:hint="eastAsia"/>
                      <w:u w:val="single"/>
                      <w:lang w:val="en-US" w:eastAsia="zh-CN"/>
                    </w:rPr>
                    <w:t>临时排水系统建设</w:t>
                  </w:r>
                </w:p>
              </w:tc>
              <w:tc>
                <w:tcPr>
                  <w:tcW w:w="3416" w:type="dxa"/>
                  <w:vAlign w:val="center"/>
                </w:tcPr>
                <w:p w14:paraId="7A79FCCE">
                  <w:pPr>
                    <w:pStyle w:val="115"/>
                    <w:bidi w:val="0"/>
                    <w:rPr>
                      <w:rFonts w:hint="eastAsia"/>
                      <w:u w:val="single"/>
                    </w:rPr>
                  </w:pPr>
                  <w:r>
                    <w:rPr>
                      <w:rFonts w:hint="eastAsia"/>
                      <w:u w:val="single"/>
                      <w:lang w:val="en-US" w:eastAsia="zh-CN"/>
                    </w:rPr>
                    <w:t>沿矿坑周边修筑临时截水沟，防止场外雨水汇入施工区域</w:t>
                  </w:r>
                </w:p>
              </w:tc>
              <w:tc>
                <w:tcPr>
                  <w:tcW w:w="1409" w:type="dxa"/>
                  <w:vAlign w:val="center"/>
                </w:tcPr>
                <w:p w14:paraId="22AFD7AF">
                  <w:pPr>
                    <w:pStyle w:val="115"/>
                    <w:bidi w:val="0"/>
                    <w:rPr>
                      <w:rFonts w:hint="eastAsia"/>
                      <w:u w:val="single"/>
                    </w:rPr>
                  </w:pPr>
                  <w:r>
                    <w:rPr>
                      <w:rFonts w:hint="eastAsia"/>
                      <w:u w:val="single"/>
                      <w:lang w:val="en-US" w:eastAsia="zh-CN"/>
                    </w:rPr>
                    <w:t>场地平整前完成</w:t>
                  </w:r>
                </w:p>
              </w:tc>
              <w:tc>
                <w:tcPr>
                  <w:tcW w:w="2541" w:type="dxa"/>
                  <w:vAlign w:val="center"/>
                </w:tcPr>
                <w:p w14:paraId="15E80D96">
                  <w:pPr>
                    <w:pStyle w:val="115"/>
                    <w:bidi w:val="0"/>
                    <w:rPr>
                      <w:rFonts w:hint="eastAsia"/>
                      <w:u w:val="single"/>
                    </w:rPr>
                  </w:pPr>
                  <w:r>
                    <w:rPr>
                      <w:rFonts w:hint="eastAsia"/>
                      <w:u w:val="single"/>
                      <w:lang w:val="en-US" w:eastAsia="zh-CN"/>
                    </w:rPr>
                    <w:t>临时截水沟畅通，排水顺畅</w:t>
                  </w:r>
                </w:p>
              </w:tc>
            </w:tr>
            <w:tr w14:paraId="038C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35" w:type="dxa"/>
                  <w:vAlign w:val="center"/>
                </w:tcPr>
                <w:p w14:paraId="087FE855">
                  <w:pPr>
                    <w:pStyle w:val="115"/>
                    <w:bidi w:val="0"/>
                    <w:rPr>
                      <w:rFonts w:hint="eastAsia"/>
                      <w:u w:val="single"/>
                    </w:rPr>
                  </w:pPr>
                  <w:r>
                    <w:rPr>
                      <w:rFonts w:hint="eastAsia"/>
                      <w:u w:val="single"/>
                      <w:lang w:val="en-US" w:eastAsia="zh-CN"/>
                    </w:rPr>
                    <w:t>施工便道生态管控</w:t>
                  </w:r>
                </w:p>
              </w:tc>
              <w:tc>
                <w:tcPr>
                  <w:tcW w:w="3416" w:type="dxa"/>
                  <w:vAlign w:val="center"/>
                </w:tcPr>
                <w:p w14:paraId="5CBF3EA5">
                  <w:pPr>
                    <w:pStyle w:val="115"/>
                    <w:bidi w:val="0"/>
                    <w:rPr>
                      <w:rFonts w:hint="eastAsia"/>
                      <w:u w:val="single"/>
                    </w:rPr>
                  </w:pPr>
                  <w:r>
                    <w:rPr>
                      <w:rFonts w:hint="eastAsia"/>
                      <w:u w:val="single"/>
                      <w:lang w:val="en-US" w:eastAsia="zh-CN"/>
                    </w:rPr>
                    <w:t>施工便道硬化处理，划定行驶路线，严禁随意碾压周边植被</w:t>
                  </w:r>
                </w:p>
              </w:tc>
              <w:tc>
                <w:tcPr>
                  <w:tcW w:w="1409" w:type="dxa"/>
                  <w:vAlign w:val="center"/>
                </w:tcPr>
                <w:p w14:paraId="02550FFC">
                  <w:pPr>
                    <w:pStyle w:val="115"/>
                    <w:bidi w:val="0"/>
                    <w:rPr>
                      <w:rFonts w:hint="eastAsia"/>
                      <w:u w:val="single"/>
                    </w:rPr>
                  </w:pPr>
                  <w:r>
                    <w:rPr>
                      <w:rFonts w:hint="eastAsia"/>
                      <w:u w:val="single"/>
                      <w:lang w:val="en-US" w:eastAsia="zh-CN"/>
                    </w:rPr>
                    <w:t>施工放线后同步完成</w:t>
                  </w:r>
                </w:p>
              </w:tc>
              <w:tc>
                <w:tcPr>
                  <w:tcW w:w="2541" w:type="dxa"/>
                  <w:vAlign w:val="center"/>
                </w:tcPr>
                <w:p w14:paraId="55A59CDE">
                  <w:pPr>
                    <w:pStyle w:val="115"/>
                    <w:bidi w:val="0"/>
                    <w:rPr>
                      <w:rFonts w:hint="eastAsia"/>
                      <w:u w:val="single"/>
                    </w:rPr>
                  </w:pPr>
                  <w:r>
                    <w:rPr>
                      <w:rFonts w:hint="eastAsia"/>
                      <w:u w:val="single"/>
                      <w:lang w:val="en-US" w:eastAsia="zh-CN"/>
                    </w:rPr>
                    <w:t>便道硬化达标，车辆规范行驶</w:t>
                  </w:r>
                </w:p>
              </w:tc>
            </w:tr>
          </w:tbl>
          <w:p w14:paraId="21C105E8">
            <w:pPr>
              <w:pStyle w:val="44"/>
              <w:bidi w:val="0"/>
              <w:rPr>
                <w:rFonts w:hint="default"/>
                <w:u w:val="single"/>
                <w:lang w:val="en-US" w:eastAsia="zh-CN"/>
              </w:rPr>
            </w:pPr>
            <w:r>
              <w:rPr>
                <w:rFonts w:hint="eastAsia"/>
                <w:u w:val="single"/>
                <w:lang w:val="en-US" w:eastAsia="zh-CN"/>
              </w:rPr>
              <w:t>表4.8-2：运营期（堆填期）生态保护措施</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9"/>
              <w:gridCol w:w="3289"/>
              <w:gridCol w:w="1319"/>
              <w:gridCol w:w="2324"/>
            </w:tblGrid>
            <w:tr w14:paraId="58D3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3293025F">
                  <w:pPr>
                    <w:pStyle w:val="115"/>
                    <w:bidi w:val="0"/>
                    <w:rPr>
                      <w:rFonts w:hint="eastAsia"/>
                      <w:u w:val="single"/>
                      <w:lang w:val="en-US" w:eastAsia="zh-CN"/>
                    </w:rPr>
                  </w:pPr>
                  <w:r>
                    <w:rPr>
                      <w:rFonts w:hint="eastAsia"/>
                      <w:u w:val="single"/>
                      <w:lang w:val="en-US" w:eastAsia="zh-CN"/>
                    </w:rPr>
                    <w:t>实施内容</w:t>
                  </w:r>
                </w:p>
              </w:tc>
              <w:tc>
                <w:tcPr>
                  <w:tcW w:w="3289" w:type="dxa"/>
                  <w:vAlign w:val="center"/>
                </w:tcPr>
                <w:p w14:paraId="5767D066">
                  <w:pPr>
                    <w:pStyle w:val="115"/>
                    <w:bidi w:val="0"/>
                    <w:rPr>
                      <w:rFonts w:hint="default"/>
                      <w:u w:val="single"/>
                      <w:lang w:val="en-US" w:eastAsia="zh-CN"/>
                    </w:rPr>
                  </w:pPr>
                  <w:r>
                    <w:rPr>
                      <w:rFonts w:hint="eastAsia"/>
                      <w:u w:val="single"/>
                      <w:lang w:val="en-US" w:eastAsia="zh-CN"/>
                    </w:rPr>
                    <w:t>具体措施</w:t>
                  </w:r>
                </w:p>
              </w:tc>
              <w:tc>
                <w:tcPr>
                  <w:tcW w:w="1319" w:type="dxa"/>
                  <w:vAlign w:val="center"/>
                </w:tcPr>
                <w:p w14:paraId="42A1F5A4">
                  <w:pPr>
                    <w:pStyle w:val="115"/>
                    <w:bidi w:val="0"/>
                    <w:rPr>
                      <w:rFonts w:hint="eastAsia"/>
                      <w:u w:val="single"/>
                      <w:lang w:val="en-US" w:eastAsia="zh-CN"/>
                    </w:rPr>
                  </w:pPr>
                  <w:r>
                    <w:rPr>
                      <w:rFonts w:hint="eastAsia"/>
                      <w:u w:val="single"/>
                      <w:lang w:val="en-US" w:eastAsia="zh-CN"/>
                    </w:rPr>
                    <w:t>进度安排</w:t>
                  </w:r>
                </w:p>
              </w:tc>
              <w:tc>
                <w:tcPr>
                  <w:tcW w:w="2324" w:type="dxa"/>
                  <w:vAlign w:val="center"/>
                </w:tcPr>
                <w:p w14:paraId="1F6472C5">
                  <w:pPr>
                    <w:pStyle w:val="115"/>
                    <w:bidi w:val="0"/>
                    <w:rPr>
                      <w:rFonts w:hint="eastAsia"/>
                      <w:u w:val="single"/>
                      <w:lang w:val="en-US" w:eastAsia="zh-CN"/>
                    </w:rPr>
                  </w:pPr>
                  <w:r>
                    <w:rPr>
                      <w:rFonts w:hint="eastAsia"/>
                      <w:u w:val="single"/>
                      <w:lang w:val="en-US" w:eastAsia="zh-CN"/>
                    </w:rPr>
                    <w:t>验收要求</w:t>
                  </w:r>
                </w:p>
              </w:tc>
            </w:tr>
            <w:tr w14:paraId="7C3E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4C95551F">
                  <w:pPr>
                    <w:pStyle w:val="115"/>
                    <w:bidi w:val="0"/>
                    <w:rPr>
                      <w:rFonts w:hint="eastAsia"/>
                      <w:u w:val="single"/>
                      <w:lang w:val="en-US" w:eastAsia="zh-CN"/>
                    </w:rPr>
                  </w:pPr>
                  <w:r>
                    <w:rPr>
                      <w:rFonts w:hint="eastAsia"/>
                      <w:u w:val="single"/>
                      <w:lang w:val="en-US" w:eastAsia="zh-CN"/>
                    </w:rPr>
                    <w:t>堆填作业面管控</w:t>
                  </w:r>
                </w:p>
              </w:tc>
              <w:tc>
                <w:tcPr>
                  <w:tcW w:w="3289" w:type="dxa"/>
                  <w:vAlign w:val="center"/>
                </w:tcPr>
                <w:p w14:paraId="18F4459F">
                  <w:pPr>
                    <w:pStyle w:val="115"/>
                    <w:bidi w:val="0"/>
                    <w:rPr>
                      <w:rFonts w:hint="eastAsia"/>
                      <w:u w:val="single"/>
                      <w:lang w:val="en-US" w:eastAsia="zh-CN"/>
                    </w:rPr>
                  </w:pPr>
                  <w:r>
                    <w:rPr>
                      <w:rFonts w:hint="eastAsia"/>
                      <w:u w:val="single"/>
                      <w:lang w:val="en-US" w:eastAsia="zh-CN"/>
                    </w:rPr>
                    <w:t>分单元、分层堆填，堆填完毕单元当日覆盖防尘网；</w:t>
                  </w:r>
                </w:p>
              </w:tc>
              <w:tc>
                <w:tcPr>
                  <w:tcW w:w="1319" w:type="dxa"/>
                  <w:vAlign w:val="center"/>
                </w:tcPr>
                <w:p w14:paraId="356F6CCE">
                  <w:pPr>
                    <w:pStyle w:val="115"/>
                    <w:bidi w:val="0"/>
                    <w:rPr>
                      <w:rFonts w:hint="eastAsia"/>
                      <w:u w:val="single"/>
                      <w:lang w:val="en-US" w:eastAsia="zh-CN"/>
                    </w:rPr>
                  </w:pPr>
                  <w:r>
                    <w:rPr>
                      <w:rFonts w:hint="eastAsia"/>
                      <w:u w:val="single"/>
                      <w:lang w:val="en-US" w:eastAsia="zh-CN"/>
                    </w:rPr>
                    <w:t>运营期全过程持续</w:t>
                  </w:r>
                </w:p>
              </w:tc>
              <w:tc>
                <w:tcPr>
                  <w:tcW w:w="2324" w:type="dxa"/>
                  <w:vAlign w:val="center"/>
                </w:tcPr>
                <w:p w14:paraId="55FE89E7">
                  <w:pPr>
                    <w:pStyle w:val="115"/>
                    <w:bidi w:val="0"/>
                    <w:rPr>
                      <w:rFonts w:hint="default"/>
                      <w:u w:val="single"/>
                      <w:lang w:val="en-US" w:eastAsia="zh-CN"/>
                    </w:rPr>
                  </w:pPr>
                  <w:r>
                    <w:rPr>
                      <w:rFonts w:hint="eastAsia"/>
                      <w:u w:val="single"/>
                      <w:lang w:val="en-US" w:eastAsia="zh-CN"/>
                    </w:rPr>
                    <w:t>分单元、分层填埋，定期巡查</w:t>
                  </w:r>
                </w:p>
              </w:tc>
            </w:tr>
            <w:tr w14:paraId="5C64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05433C34">
                  <w:pPr>
                    <w:pStyle w:val="115"/>
                    <w:bidi w:val="0"/>
                    <w:rPr>
                      <w:rFonts w:hint="eastAsia"/>
                      <w:u w:val="single"/>
                      <w:lang w:val="en-US" w:eastAsia="zh-CN"/>
                    </w:rPr>
                  </w:pPr>
                  <w:r>
                    <w:rPr>
                      <w:rFonts w:hint="eastAsia"/>
                      <w:u w:val="single"/>
                      <w:lang w:val="en-US" w:eastAsia="zh-CN"/>
                    </w:rPr>
                    <w:t>防尘降尘</w:t>
                  </w:r>
                </w:p>
              </w:tc>
              <w:tc>
                <w:tcPr>
                  <w:tcW w:w="3289" w:type="dxa"/>
                  <w:vAlign w:val="center"/>
                </w:tcPr>
                <w:p w14:paraId="33DCE412">
                  <w:pPr>
                    <w:pStyle w:val="115"/>
                    <w:bidi w:val="0"/>
                    <w:rPr>
                      <w:rFonts w:hint="eastAsia"/>
                      <w:u w:val="single"/>
                      <w:lang w:val="en-US" w:eastAsia="zh-CN"/>
                    </w:rPr>
                  </w:pPr>
                  <w:r>
                    <w:rPr>
                      <w:rFonts w:hint="eastAsia"/>
                      <w:u w:val="single"/>
                      <w:lang w:val="en-US" w:eastAsia="zh-CN"/>
                    </w:rPr>
                    <w:t>堆填作业面、运输道路每天洒水不少于4次；出场车辆经冲洗平台冲洗后方可驶离</w:t>
                  </w:r>
                </w:p>
              </w:tc>
              <w:tc>
                <w:tcPr>
                  <w:tcW w:w="1319" w:type="dxa"/>
                  <w:vAlign w:val="center"/>
                </w:tcPr>
                <w:p w14:paraId="78408A47">
                  <w:pPr>
                    <w:pStyle w:val="115"/>
                    <w:bidi w:val="0"/>
                    <w:rPr>
                      <w:rFonts w:hint="eastAsia"/>
                      <w:u w:val="single"/>
                      <w:lang w:val="en-US" w:eastAsia="zh-CN"/>
                    </w:rPr>
                  </w:pPr>
                  <w:r>
                    <w:rPr>
                      <w:rFonts w:hint="eastAsia"/>
                      <w:u w:val="single"/>
                      <w:lang w:val="en-US" w:eastAsia="zh-CN"/>
                    </w:rPr>
                    <w:t>运营期每日执行</w:t>
                  </w:r>
                </w:p>
              </w:tc>
              <w:tc>
                <w:tcPr>
                  <w:tcW w:w="2324" w:type="dxa"/>
                  <w:vAlign w:val="center"/>
                </w:tcPr>
                <w:p w14:paraId="2EE36BCE">
                  <w:pPr>
                    <w:pStyle w:val="115"/>
                    <w:bidi w:val="0"/>
                    <w:rPr>
                      <w:rFonts w:hint="eastAsia"/>
                      <w:u w:val="single"/>
                      <w:lang w:val="en-US" w:eastAsia="zh-CN"/>
                    </w:rPr>
                  </w:pPr>
                  <w:r>
                    <w:rPr>
                      <w:rFonts w:hint="eastAsia"/>
                      <w:u w:val="single"/>
                      <w:lang w:val="en-US" w:eastAsia="zh-CN"/>
                    </w:rPr>
                    <w:t>定期洒水，车辆冲洗设施正常运行</w:t>
                  </w:r>
                </w:p>
              </w:tc>
            </w:tr>
            <w:tr w14:paraId="0D28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6CC39BE9">
                  <w:pPr>
                    <w:pStyle w:val="115"/>
                    <w:bidi w:val="0"/>
                    <w:rPr>
                      <w:rFonts w:hint="eastAsia"/>
                      <w:u w:val="single"/>
                      <w:lang w:val="en-US" w:eastAsia="zh-CN"/>
                    </w:rPr>
                  </w:pPr>
                  <w:r>
                    <w:rPr>
                      <w:rFonts w:hint="eastAsia"/>
                      <w:u w:val="single"/>
                      <w:lang w:val="en-US" w:eastAsia="zh-CN"/>
                    </w:rPr>
                    <w:t>依托现有林地强化边界防护</w:t>
                  </w:r>
                </w:p>
              </w:tc>
              <w:tc>
                <w:tcPr>
                  <w:tcW w:w="3289" w:type="dxa"/>
                  <w:vAlign w:val="center"/>
                </w:tcPr>
                <w:p w14:paraId="34C10C8A">
                  <w:pPr>
                    <w:pStyle w:val="115"/>
                    <w:bidi w:val="0"/>
                    <w:rPr>
                      <w:rFonts w:hint="eastAsia"/>
                      <w:u w:val="single"/>
                      <w:lang w:val="en-US" w:eastAsia="zh-CN"/>
                    </w:rPr>
                  </w:pPr>
                  <w:r>
                    <w:rPr>
                      <w:rFonts w:hint="eastAsia"/>
                      <w:u w:val="single"/>
                      <w:lang w:val="en-US" w:eastAsia="zh-CN"/>
                    </w:rPr>
                    <w:t>严格控制在用地红线内作业，严禁砍伐周边林木、越界开辟便道，利用原有林地作为天然生态屏障</w:t>
                  </w:r>
                </w:p>
              </w:tc>
              <w:tc>
                <w:tcPr>
                  <w:tcW w:w="1319" w:type="dxa"/>
                  <w:vAlign w:val="center"/>
                </w:tcPr>
                <w:p w14:paraId="5CD8C4C4">
                  <w:pPr>
                    <w:pStyle w:val="115"/>
                    <w:bidi w:val="0"/>
                    <w:rPr>
                      <w:rFonts w:hint="eastAsia"/>
                      <w:u w:val="single"/>
                      <w:lang w:val="en-US" w:eastAsia="zh-CN"/>
                    </w:rPr>
                  </w:pPr>
                  <w:r>
                    <w:rPr>
                      <w:rFonts w:hint="eastAsia"/>
                      <w:u w:val="single"/>
                      <w:lang w:val="en-US" w:eastAsia="zh-CN"/>
                    </w:rPr>
                    <w:t>运营期全过程持续</w:t>
                  </w:r>
                </w:p>
              </w:tc>
              <w:tc>
                <w:tcPr>
                  <w:tcW w:w="2324" w:type="dxa"/>
                  <w:vAlign w:val="center"/>
                </w:tcPr>
                <w:p w14:paraId="1CE16AF5">
                  <w:pPr>
                    <w:pStyle w:val="115"/>
                    <w:bidi w:val="0"/>
                    <w:rPr>
                      <w:rFonts w:hint="eastAsia"/>
                      <w:u w:val="single"/>
                      <w:lang w:val="en-US" w:eastAsia="zh-CN"/>
                    </w:rPr>
                  </w:pPr>
                  <w:r>
                    <w:rPr>
                      <w:rFonts w:hint="eastAsia"/>
                      <w:u w:val="single"/>
                      <w:lang w:val="en-US" w:eastAsia="zh-CN"/>
                    </w:rPr>
                    <w:t>用地界线清晰，日常巡查无越界侵扰</w:t>
                  </w:r>
                </w:p>
              </w:tc>
            </w:tr>
            <w:tr w14:paraId="1680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4B0B13C3">
                  <w:pPr>
                    <w:pStyle w:val="115"/>
                    <w:bidi w:val="0"/>
                    <w:rPr>
                      <w:rFonts w:hint="eastAsia"/>
                      <w:u w:val="single"/>
                      <w:lang w:val="en-US" w:eastAsia="zh-CN"/>
                    </w:rPr>
                  </w:pPr>
                  <w:r>
                    <w:rPr>
                      <w:rFonts w:hint="eastAsia"/>
                      <w:u w:val="single"/>
                      <w:lang w:val="en-US" w:eastAsia="zh-CN"/>
                    </w:rPr>
                    <w:t>水土保持</w:t>
                  </w:r>
                </w:p>
              </w:tc>
              <w:tc>
                <w:tcPr>
                  <w:tcW w:w="3289" w:type="dxa"/>
                  <w:vAlign w:val="center"/>
                </w:tcPr>
                <w:p w14:paraId="6196FB2D">
                  <w:pPr>
                    <w:pStyle w:val="115"/>
                    <w:bidi w:val="0"/>
                    <w:rPr>
                      <w:rFonts w:hint="eastAsia"/>
                      <w:u w:val="single"/>
                      <w:lang w:val="en-US" w:eastAsia="zh-CN"/>
                    </w:rPr>
                  </w:pPr>
                  <w:r>
                    <w:rPr>
                      <w:rFonts w:hint="eastAsia"/>
                      <w:u w:val="single"/>
                      <w:lang w:val="en-US" w:eastAsia="zh-CN"/>
                    </w:rPr>
                    <w:t>配套建设截水沟、排水沟、沉淀池</w:t>
                  </w:r>
                </w:p>
              </w:tc>
              <w:tc>
                <w:tcPr>
                  <w:tcW w:w="1319" w:type="dxa"/>
                  <w:vAlign w:val="center"/>
                </w:tcPr>
                <w:p w14:paraId="6E7A9808">
                  <w:pPr>
                    <w:pStyle w:val="115"/>
                    <w:bidi w:val="0"/>
                    <w:rPr>
                      <w:rFonts w:hint="eastAsia"/>
                      <w:u w:val="single"/>
                      <w:lang w:val="en-US" w:eastAsia="zh-CN"/>
                    </w:rPr>
                  </w:pPr>
                  <w:r>
                    <w:rPr>
                      <w:rFonts w:hint="eastAsia"/>
                      <w:u w:val="single"/>
                      <w:lang w:val="en-US" w:eastAsia="zh-CN"/>
                    </w:rPr>
                    <w:t>运营期全过程持续</w:t>
                  </w:r>
                </w:p>
              </w:tc>
              <w:tc>
                <w:tcPr>
                  <w:tcW w:w="2324" w:type="dxa"/>
                  <w:vAlign w:val="center"/>
                </w:tcPr>
                <w:p w14:paraId="22221A99">
                  <w:pPr>
                    <w:pStyle w:val="115"/>
                    <w:bidi w:val="0"/>
                    <w:rPr>
                      <w:rFonts w:hint="eastAsia"/>
                      <w:u w:val="single"/>
                      <w:lang w:val="en-US" w:eastAsia="zh-CN"/>
                    </w:rPr>
                  </w:pPr>
                  <w:r>
                    <w:rPr>
                      <w:rFonts w:hint="eastAsia"/>
                      <w:u w:val="single"/>
                      <w:lang w:val="en-US" w:eastAsia="zh-CN"/>
                    </w:rPr>
                    <w:t>按水保方案实施；设施同步使用</w:t>
                  </w:r>
                </w:p>
              </w:tc>
            </w:tr>
            <w:tr w14:paraId="02B5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69" w:type="dxa"/>
                  <w:vAlign w:val="center"/>
                </w:tcPr>
                <w:p w14:paraId="1D779589">
                  <w:pPr>
                    <w:pStyle w:val="115"/>
                    <w:bidi w:val="0"/>
                    <w:rPr>
                      <w:rFonts w:hint="eastAsia"/>
                      <w:u w:val="single"/>
                      <w:lang w:val="en-US" w:eastAsia="zh-CN"/>
                    </w:rPr>
                  </w:pPr>
                  <w:r>
                    <w:rPr>
                      <w:rFonts w:hint="eastAsia"/>
                      <w:u w:val="single"/>
                      <w:lang w:val="en-US" w:eastAsia="zh-CN"/>
                    </w:rPr>
                    <w:t>环境管理</w:t>
                  </w:r>
                </w:p>
              </w:tc>
              <w:tc>
                <w:tcPr>
                  <w:tcW w:w="3289" w:type="dxa"/>
                  <w:vAlign w:val="center"/>
                </w:tcPr>
                <w:p w14:paraId="05ABAB91">
                  <w:pPr>
                    <w:pStyle w:val="115"/>
                    <w:bidi w:val="0"/>
                    <w:rPr>
                      <w:rFonts w:hint="eastAsia"/>
                      <w:u w:val="single"/>
                      <w:lang w:val="en-US" w:eastAsia="zh-CN"/>
                    </w:rPr>
                  </w:pPr>
                  <w:r>
                    <w:rPr>
                      <w:rFonts w:hint="eastAsia"/>
                      <w:u w:val="single"/>
                      <w:lang w:val="en-US" w:eastAsia="zh-CN"/>
                    </w:rPr>
                    <w:t>定期监测扬尘（TSP）、噪声、地表水、地下水</w:t>
                  </w:r>
                </w:p>
              </w:tc>
              <w:tc>
                <w:tcPr>
                  <w:tcW w:w="1319" w:type="dxa"/>
                  <w:vAlign w:val="center"/>
                </w:tcPr>
                <w:p w14:paraId="361BD5DE">
                  <w:pPr>
                    <w:pStyle w:val="115"/>
                    <w:bidi w:val="0"/>
                    <w:rPr>
                      <w:rFonts w:hint="eastAsia"/>
                      <w:u w:val="single"/>
                      <w:lang w:val="en-US" w:eastAsia="zh-CN"/>
                    </w:rPr>
                  </w:pPr>
                  <w:r>
                    <w:rPr>
                      <w:rFonts w:hint="eastAsia"/>
                      <w:u w:val="single"/>
                      <w:lang w:val="en-US" w:eastAsia="zh-CN"/>
                    </w:rPr>
                    <w:t>运营期全过程持续</w:t>
                  </w:r>
                </w:p>
              </w:tc>
              <w:tc>
                <w:tcPr>
                  <w:tcW w:w="2324" w:type="dxa"/>
                  <w:vAlign w:val="center"/>
                </w:tcPr>
                <w:p w14:paraId="59736398">
                  <w:pPr>
                    <w:pStyle w:val="115"/>
                    <w:bidi w:val="0"/>
                    <w:rPr>
                      <w:rFonts w:hint="eastAsia"/>
                      <w:u w:val="single"/>
                      <w:lang w:val="en-US" w:eastAsia="zh-CN"/>
                    </w:rPr>
                  </w:pPr>
                  <w:r>
                    <w:rPr>
                      <w:rFonts w:hint="eastAsia"/>
                      <w:u w:val="single"/>
                      <w:lang w:val="en-US" w:eastAsia="zh-CN"/>
                    </w:rPr>
                    <w:t>按环评频率执行；监测数据归档完整</w:t>
                  </w:r>
                </w:p>
              </w:tc>
            </w:tr>
          </w:tbl>
          <w:p w14:paraId="2338FD62">
            <w:pPr>
              <w:bidi w:val="0"/>
              <w:rPr>
                <w:rFonts w:hint="eastAsia"/>
                <w:u w:val="single"/>
                <w:lang w:val="en-US" w:eastAsia="zh-CN"/>
              </w:rPr>
            </w:pPr>
            <w:r>
              <w:rPr>
                <w:rFonts w:hint="eastAsia"/>
                <w:u w:val="single"/>
                <w:lang w:val="en-US" w:eastAsia="zh-CN"/>
              </w:rPr>
              <w:t>①具体水土保持措施以建设单位另行委托编制的《洪江市建筑垃圾安江堆填场建设项目（一期）水土保持方案报告书》执行。</w:t>
            </w:r>
          </w:p>
          <w:p w14:paraId="6F2E3CBD">
            <w:pPr>
              <w:bidi w:val="0"/>
              <w:rPr>
                <w:rFonts w:hint="eastAsia"/>
                <w:u w:val="single"/>
                <w:lang w:val="en-US" w:eastAsia="zh-CN"/>
              </w:rPr>
            </w:pPr>
            <w:r>
              <w:rPr>
                <w:rFonts w:hint="eastAsia"/>
                <w:u w:val="single"/>
                <w:lang w:val="en-US" w:eastAsia="zh-CN"/>
              </w:rPr>
              <w:t>②建筑垃圾堆填场防洪措施以建设单位另行委托编制的防洪报告执行，建设单位在运行过程中，严格按照防洪要求进行施工。</w:t>
            </w:r>
          </w:p>
          <w:p w14:paraId="63FD598A">
            <w:pPr>
              <w:pStyle w:val="4"/>
              <w:bidi w:val="0"/>
              <w:rPr>
                <w:rFonts w:hint="default"/>
                <w:lang w:val="en-US" w:eastAsia="zh-CN"/>
              </w:rPr>
            </w:pPr>
            <w:r>
              <w:rPr>
                <w:rFonts w:hint="eastAsia"/>
                <w:lang w:val="en-US" w:eastAsia="zh-CN"/>
              </w:rPr>
              <w:t>4.9其他环境影响分析</w:t>
            </w:r>
          </w:p>
          <w:p w14:paraId="68F9855B">
            <w:pPr>
              <w:pStyle w:val="5"/>
              <w:bidi w:val="0"/>
            </w:pPr>
            <w:r>
              <w:rPr>
                <w:rFonts w:hint="eastAsia"/>
                <w:lang w:val="en-US" w:eastAsia="zh-CN"/>
              </w:rPr>
              <w:t>4.9.1</w:t>
            </w:r>
            <w:r>
              <w:rPr>
                <w:rFonts w:hint="eastAsia"/>
              </w:rPr>
              <w:t>车辆运输对道路沿线影响分析</w:t>
            </w:r>
          </w:p>
          <w:p w14:paraId="55B2CECF">
            <w:pPr>
              <w:ind w:firstLine="480"/>
              <w:rPr>
                <w:rFonts w:hint="eastAsia"/>
                <w:color w:val="000000"/>
                <w:u w:val="none" w:color="auto"/>
              </w:rPr>
            </w:pPr>
            <w:r>
              <w:rPr>
                <w:rFonts w:hint="eastAsia"/>
                <w:color w:val="000000"/>
                <w:u w:val="none" w:color="auto"/>
              </w:rPr>
              <w:t>本项目营运期运输过程中将产生道路扬尘及交通噪声。</w:t>
            </w:r>
          </w:p>
          <w:p w14:paraId="619BE1CE">
            <w:pPr>
              <w:ind w:firstLine="480"/>
              <w:rPr>
                <w:rFonts w:hint="eastAsia"/>
                <w:color w:val="000000"/>
                <w:u w:val="none" w:color="auto"/>
              </w:rPr>
            </w:pPr>
            <w:r>
              <w:rPr>
                <w:rFonts w:hint="eastAsia"/>
                <w:color w:val="000000"/>
                <w:u w:val="none" w:color="auto"/>
              </w:rPr>
              <w:t>1、道路扬尘影响</w:t>
            </w:r>
          </w:p>
          <w:p w14:paraId="140E3EAE">
            <w:pPr>
              <w:ind w:firstLine="480"/>
              <w:rPr>
                <w:rFonts w:hint="eastAsia"/>
                <w:color w:val="000000"/>
                <w:u w:val="none" w:color="auto"/>
              </w:rPr>
            </w:pPr>
            <w:r>
              <w:rPr>
                <w:rFonts w:hint="eastAsia"/>
                <w:color w:val="000000"/>
                <w:u w:val="none" w:color="auto"/>
              </w:rPr>
              <w:t>道路扬尘的产生与路面情况、天气情况、风速、湿度等因素有关，与路面状况关系极大，根据现场勘查，根据现场勘察，项目场区道路及G</w:t>
            </w:r>
            <w:r>
              <w:rPr>
                <w:rFonts w:hint="eastAsia"/>
                <w:color w:val="000000"/>
                <w:u w:val="none" w:color="auto"/>
                <w:lang w:val="en-US" w:eastAsia="zh-CN"/>
              </w:rPr>
              <w:t>320</w:t>
            </w:r>
            <w:r>
              <w:rPr>
                <w:rFonts w:hint="eastAsia"/>
                <w:color w:val="000000"/>
                <w:u w:val="none" w:color="auto"/>
              </w:rPr>
              <w:t>国道均为水泥路面，不易起尘。本环评要求项目采取篷布密闭运输，物料洒落引起的粉尘极少；建议建设单位对场区道路定期洒水，减少路面扬尘，经采取措施后，车辆运输对周围大气环境影响不大。</w:t>
            </w:r>
          </w:p>
          <w:p w14:paraId="3143A9B4">
            <w:pPr>
              <w:ind w:firstLine="480"/>
              <w:rPr>
                <w:rFonts w:hint="eastAsia"/>
                <w:color w:val="000000"/>
                <w:u w:val="none" w:color="auto"/>
              </w:rPr>
            </w:pPr>
            <w:r>
              <w:rPr>
                <w:rFonts w:hint="eastAsia"/>
                <w:color w:val="000000"/>
                <w:u w:val="none" w:color="auto"/>
              </w:rPr>
              <w:t>本环评要求建设单位在场区出入口设置洗车台，对运输产品的车辆进行冲洗，可有效减少路面扬尘，对居民影响不大。</w:t>
            </w:r>
          </w:p>
          <w:p w14:paraId="2B9C2D8A">
            <w:pPr>
              <w:ind w:firstLine="480"/>
              <w:rPr>
                <w:rFonts w:hint="eastAsia"/>
                <w:color w:val="000000"/>
                <w:u w:val="none" w:color="auto"/>
              </w:rPr>
            </w:pPr>
            <w:r>
              <w:rPr>
                <w:rFonts w:hint="eastAsia"/>
                <w:color w:val="000000"/>
                <w:u w:val="none" w:color="auto"/>
              </w:rPr>
              <w:t>2、运输噪声</w:t>
            </w:r>
          </w:p>
          <w:p w14:paraId="52E703F5">
            <w:pPr>
              <w:ind w:firstLine="480"/>
              <w:rPr>
                <w:rFonts w:hint="eastAsia"/>
                <w:color w:val="000000"/>
                <w:u w:val="none" w:color="auto"/>
              </w:rPr>
            </w:pPr>
            <w:r>
              <w:rPr>
                <w:rFonts w:hint="eastAsia"/>
                <w:color w:val="000000"/>
                <w:u w:val="none" w:color="auto"/>
              </w:rPr>
              <w:t>本项目营运期渣土通过汽车进行运输，汽车运输噪声对沿线居民会产生一定的影响。本次环评要求：加强运输车辆管理，经过居民区时不得鸣笛并控制速度，可最大程度降低对沿线敏感点的影响。</w:t>
            </w:r>
          </w:p>
          <w:p w14:paraId="70270A87">
            <w:pPr>
              <w:ind w:firstLine="480"/>
              <w:rPr>
                <w:rFonts w:hint="eastAsia"/>
                <w:color w:val="000000"/>
                <w:u w:val="none" w:color="auto"/>
              </w:rPr>
            </w:pPr>
            <w:r>
              <w:rPr>
                <w:rFonts w:hint="eastAsia"/>
                <w:color w:val="000000"/>
                <w:u w:val="none" w:color="auto"/>
              </w:rPr>
              <w:t>综上，本项目在实施本次环评提出的措施后，项目交通运输对周围环境影响不大。</w:t>
            </w:r>
          </w:p>
          <w:p w14:paraId="616CBFC3">
            <w:pPr>
              <w:pStyle w:val="5"/>
              <w:bidi w:val="0"/>
              <w:rPr>
                <w:rFonts w:hint="default"/>
                <w:u w:val="single" w:color="auto"/>
                <w:lang w:val="en-US" w:eastAsia="zh-CN"/>
              </w:rPr>
            </w:pPr>
            <w:r>
              <w:rPr>
                <w:rFonts w:hint="eastAsia"/>
                <w:u w:val="single" w:color="auto"/>
                <w:lang w:val="en-US" w:eastAsia="zh-CN"/>
              </w:rPr>
              <w:t>4.9.2</w:t>
            </w:r>
            <w:r>
              <w:rPr>
                <w:rFonts w:hint="eastAsia"/>
                <w:u w:val="single" w:color="auto"/>
              </w:rPr>
              <w:t>服务期满后对环境的影响分析</w:t>
            </w:r>
          </w:p>
          <w:p w14:paraId="56EB32B4">
            <w:pPr>
              <w:bidi w:val="0"/>
              <w:rPr>
                <w:rFonts w:hint="eastAsia"/>
                <w:u w:val="single" w:color="auto"/>
                <w:lang w:val="en-US" w:eastAsia="zh-CN"/>
              </w:rPr>
            </w:pPr>
            <w:r>
              <w:rPr>
                <w:rFonts w:hint="eastAsia"/>
                <w:u w:val="single" w:color="auto"/>
                <w:lang w:val="en-US" w:eastAsia="zh-CN"/>
              </w:rPr>
              <w:t>建筑垃圾堆填场将结合洪江市规划分期实施，以保证最终恢复和覆盖面与周围自然环境相协调，一期工程主要实现对现有采石坑进行回填造地堆填区，二期工程库区由西向东发展顺序，通过对达到设计堆填标高的堆体及时封场覆盖，渐进地采用植被恢复实施生态修复，与绿化隔离带共同形成绿色屏障，从而最大程度的实现与周边环境相互协调。</w:t>
            </w:r>
          </w:p>
          <w:p w14:paraId="44DA1B80">
            <w:pPr>
              <w:bidi w:val="0"/>
              <w:rPr>
                <w:u w:val="single" w:color="auto"/>
              </w:rPr>
            </w:pPr>
            <w:r>
              <w:rPr>
                <w:rFonts w:hint="eastAsia"/>
                <w:color w:val="000000"/>
                <w:u w:val="single" w:color="auto"/>
              </w:rPr>
              <w:t>本次仅进行一期工程评价，封场工程二期工程</w:t>
            </w:r>
            <w:r>
              <w:rPr>
                <w:rFonts w:hint="eastAsia"/>
                <w:color w:val="000000"/>
                <w:u w:val="single" w:color="auto"/>
                <w:lang w:val="en-US" w:eastAsia="zh-CN"/>
              </w:rPr>
              <w:t>另行</w:t>
            </w:r>
            <w:r>
              <w:rPr>
                <w:rFonts w:hint="eastAsia"/>
                <w:color w:val="000000"/>
                <w:u w:val="single" w:color="auto"/>
              </w:rPr>
              <w:t>评价。</w:t>
            </w:r>
          </w:p>
          <w:bookmarkEnd w:id="110"/>
          <w:bookmarkEnd w:id="111"/>
          <w:bookmarkEnd w:id="112"/>
          <w:p w14:paraId="26129F2C">
            <w:pPr>
              <w:pStyle w:val="4"/>
              <w:bidi w:val="0"/>
              <w:rPr>
                <w:rFonts w:hint="eastAsia"/>
                <w:lang w:val="en-US" w:eastAsia="zh-CN"/>
              </w:rPr>
            </w:pPr>
            <w:bookmarkStart w:id="113" w:name="_Toc30974"/>
            <w:bookmarkStart w:id="114" w:name="_Toc12094"/>
            <w:bookmarkStart w:id="115" w:name="_Toc19610"/>
            <w:r>
              <w:rPr>
                <w:rFonts w:hint="eastAsia"/>
                <w:lang w:val="en-US" w:eastAsia="zh-CN"/>
              </w:rPr>
              <w:t>4.10项目环保投资计划</w:t>
            </w:r>
            <w:bookmarkEnd w:id="113"/>
            <w:bookmarkEnd w:id="114"/>
            <w:bookmarkEnd w:id="115"/>
          </w:p>
          <w:p w14:paraId="629A0625">
            <w:pPr>
              <w:ind w:firstLine="480"/>
              <w:rPr>
                <w:bCs/>
                <w:color w:val="auto"/>
                <w:u w:val="single" w:color="auto"/>
              </w:rPr>
            </w:pPr>
            <w:r>
              <w:rPr>
                <w:bCs/>
                <w:color w:val="auto"/>
                <w:u w:val="single" w:color="auto"/>
              </w:rPr>
              <w:t>项目总投资</w:t>
            </w:r>
            <w:r>
              <w:rPr>
                <w:rFonts w:hint="eastAsia"/>
                <w:color w:val="auto"/>
                <w:u w:val="single" w:color="auto"/>
                <w:lang w:val="en-US" w:eastAsia="zh-CN"/>
              </w:rPr>
              <w:t>236</w:t>
            </w:r>
            <w:r>
              <w:rPr>
                <w:bCs/>
                <w:color w:val="auto"/>
                <w:u w:val="single" w:color="auto"/>
              </w:rPr>
              <w:t>万元，环保投资</w:t>
            </w:r>
            <w:r>
              <w:rPr>
                <w:rFonts w:hint="eastAsia"/>
                <w:color w:val="auto"/>
                <w:u w:val="single" w:color="auto"/>
                <w:lang w:val="en-US" w:eastAsia="zh-CN"/>
              </w:rPr>
              <w:t>89.1</w:t>
            </w:r>
            <w:r>
              <w:rPr>
                <w:bCs/>
                <w:color w:val="auto"/>
                <w:u w:val="single" w:color="auto"/>
              </w:rPr>
              <w:t>万元，占总投资的</w:t>
            </w:r>
            <w:r>
              <w:rPr>
                <w:rFonts w:hint="eastAsia"/>
                <w:bCs/>
                <w:color w:val="auto"/>
                <w:u w:val="single" w:color="auto"/>
                <w:lang w:val="en-US" w:eastAsia="zh-CN"/>
              </w:rPr>
              <w:t>37.75</w:t>
            </w:r>
            <w:r>
              <w:rPr>
                <w:bCs/>
                <w:color w:val="auto"/>
                <w:u w:val="single" w:color="auto"/>
              </w:rPr>
              <w:t>%</w:t>
            </w:r>
            <w:r>
              <w:rPr>
                <w:rFonts w:hint="eastAsia"/>
                <w:bCs/>
                <w:color w:val="auto"/>
                <w:u w:val="single" w:color="auto"/>
              </w:rPr>
              <w:t>。</w:t>
            </w:r>
            <w:r>
              <w:rPr>
                <w:bCs/>
                <w:color w:val="auto"/>
                <w:u w:val="single" w:color="auto"/>
              </w:rPr>
              <w:t>环保投资</w:t>
            </w:r>
            <w:r>
              <w:rPr>
                <w:rFonts w:hint="eastAsia"/>
                <w:bCs/>
                <w:color w:val="auto"/>
                <w:u w:val="single" w:color="auto"/>
              </w:rPr>
              <w:t>一览表</w:t>
            </w:r>
            <w:r>
              <w:rPr>
                <w:bCs/>
                <w:color w:val="auto"/>
                <w:u w:val="single" w:color="auto"/>
              </w:rPr>
              <w:t>如下：</w:t>
            </w:r>
          </w:p>
          <w:p w14:paraId="3AFB0A71">
            <w:pPr>
              <w:pStyle w:val="44"/>
              <w:bidi w:val="0"/>
              <w:rPr>
                <w:rFonts w:hint="eastAsia"/>
                <w:u w:val="single" w:color="auto"/>
              </w:rPr>
            </w:pPr>
            <w:r>
              <w:rPr>
                <w:u w:val="single" w:color="auto"/>
              </w:rPr>
              <w:t>表</w:t>
            </w:r>
            <w:r>
              <w:rPr>
                <w:rFonts w:hint="eastAsia"/>
                <w:u w:val="single" w:color="auto"/>
                <w:lang w:val="en-US" w:eastAsia="zh-CN"/>
              </w:rPr>
              <w:t>4.10-1：</w:t>
            </w:r>
            <w:r>
              <w:rPr>
                <w:rFonts w:hint="eastAsia"/>
                <w:u w:val="single" w:color="auto"/>
              </w:rPr>
              <w:t>环境保护投资估算表</w:t>
            </w:r>
          </w:p>
          <w:tbl>
            <w:tblPr>
              <w:tblStyle w:val="38"/>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51" w:type="dxa"/>
                <w:bottom w:w="0" w:type="dxa"/>
                <w:right w:w="51" w:type="dxa"/>
              </w:tblCellMar>
            </w:tblPr>
            <w:tblGrid>
              <w:gridCol w:w="1121"/>
              <w:gridCol w:w="918"/>
              <w:gridCol w:w="2195"/>
              <w:gridCol w:w="3345"/>
              <w:gridCol w:w="1311"/>
            </w:tblGrid>
            <w:tr w14:paraId="2B66D0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noWrap w:val="0"/>
                  <w:vAlign w:val="center"/>
                </w:tcPr>
                <w:p w14:paraId="18F66D13">
                  <w:pPr>
                    <w:pStyle w:val="115"/>
                    <w:bidi w:val="0"/>
                    <w:rPr>
                      <w:rFonts w:hint="default"/>
                      <w:b/>
                      <w:bCs/>
                      <w:u w:val="single" w:color="auto"/>
                    </w:rPr>
                  </w:pPr>
                  <w:r>
                    <w:rPr>
                      <w:rFonts w:hint="default"/>
                      <w:b/>
                      <w:bCs/>
                      <w:u w:val="single" w:color="auto"/>
                    </w:rPr>
                    <w:t>治理项目</w:t>
                  </w:r>
                </w:p>
              </w:tc>
              <w:tc>
                <w:tcPr>
                  <w:tcW w:w="516" w:type="pct"/>
                  <w:noWrap w:val="0"/>
                  <w:vAlign w:val="center"/>
                </w:tcPr>
                <w:p w14:paraId="5707930E">
                  <w:pPr>
                    <w:pStyle w:val="115"/>
                    <w:bidi w:val="0"/>
                    <w:rPr>
                      <w:rFonts w:hint="default"/>
                      <w:b/>
                      <w:bCs/>
                      <w:u w:val="single" w:color="auto"/>
                      <w:lang w:val="en-US" w:eastAsia="zh-CN"/>
                    </w:rPr>
                  </w:pPr>
                  <w:r>
                    <w:rPr>
                      <w:rFonts w:hint="default"/>
                      <w:b/>
                      <w:bCs/>
                      <w:u w:val="single" w:color="auto"/>
                      <w:lang w:val="en-US" w:eastAsia="zh-CN"/>
                    </w:rPr>
                    <w:t>时期</w:t>
                  </w:r>
                </w:p>
              </w:tc>
              <w:tc>
                <w:tcPr>
                  <w:tcW w:w="1234" w:type="pct"/>
                  <w:noWrap w:val="0"/>
                  <w:vAlign w:val="center"/>
                </w:tcPr>
                <w:p w14:paraId="5DE5CC78">
                  <w:pPr>
                    <w:pStyle w:val="115"/>
                    <w:bidi w:val="0"/>
                    <w:rPr>
                      <w:rFonts w:hint="default"/>
                      <w:b/>
                      <w:bCs/>
                      <w:u w:val="single" w:color="auto"/>
                    </w:rPr>
                  </w:pPr>
                  <w:r>
                    <w:rPr>
                      <w:rFonts w:hint="default"/>
                      <w:b/>
                      <w:bCs/>
                      <w:u w:val="single" w:color="auto"/>
                    </w:rPr>
                    <w:t>种类</w:t>
                  </w:r>
                </w:p>
              </w:tc>
              <w:tc>
                <w:tcPr>
                  <w:tcW w:w="1880" w:type="pct"/>
                  <w:noWrap w:val="0"/>
                  <w:vAlign w:val="center"/>
                </w:tcPr>
                <w:p w14:paraId="5A80EC0C">
                  <w:pPr>
                    <w:pStyle w:val="115"/>
                    <w:bidi w:val="0"/>
                    <w:rPr>
                      <w:rFonts w:hint="default"/>
                      <w:b/>
                      <w:bCs/>
                      <w:u w:val="single" w:color="auto"/>
                    </w:rPr>
                  </w:pPr>
                  <w:r>
                    <w:rPr>
                      <w:rFonts w:hint="default"/>
                      <w:b/>
                      <w:bCs/>
                      <w:u w:val="single" w:color="auto"/>
                    </w:rPr>
                    <w:t>环境保护措施/设施</w:t>
                  </w:r>
                </w:p>
              </w:tc>
              <w:tc>
                <w:tcPr>
                  <w:tcW w:w="737" w:type="pct"/>
                  <w:noWrap w:val="0"/>
                  <w:vAlign w:val="center"/>
                </w:tcPr>
                <w:p w14:paraId="2CF7688B">
                  <w:pPr>
                    <w:pStyle w:val="115"/>
                    <w:bidi w:val="0"/>
                    <w:rPr>
                      <w:rFonts w:hint="default"/>
                      <w:b/>
                      <w:bCs/>
                      <w:u w:val="single" w:color="auto"/>
                    </w:rPr>
                  </w:pPr>
                  <w:r>
                    <w:rPr>
                      <w:rFonts w:hint="default"/>
                      <w:b/>
                      <w:bCs/>
                      <w:u w:val="single" w:color="auto"/>
                    </w:rPr>
                    <w:t>投资估算</w:t>
                  </w:r>
                </w:p>
                <w:p w14:paraId="2DF5C4E1">
                  <w:pPr>
                    <w:pStyle w:val="115"/>
                    <w:bidi w:val="0"/>
                    <w:rPr>
                      <w:rFonts w:hint="default"/>
                      <w:b/>
                      <w:bCs/>
                      <w:u w:val="single" w:color="auto"/>
                    </w:rPr>
                  </w:pPr>
                  <w:r>
                    <w:rPr>
                      <w:rFonts w:hint="default"/>
                      <w:b/>
                      <w:bCs/>
                      <w:u w:val="single" w:color="auto"/>
                    </w:rPr>
                    <w:t>（万元）</w:t>
                  </w:r>
                </w:p>
              </w:tc>
            </w:tr>
            <w:tr w14:paraId="3CE4F8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restart"/>
                  <w:noWrap w:val="0"/>
                  <w:vAlign w:val="center"/>
                </w:tcPr>
                <w:p w14:paraId="793843B0">
                  <w:pPr>
                    <w:pStyle w:val="115"/>
                    <w:bidi w:val="0"/>
                    <w:rPr>
                      <w:rFonts w:hint="default"/>
                      <w:u w:val="single" w:color="auto"/>
                    </w:rPr>
                  </w:pPr>
                  <w:r>
                    <w:rPr>
                      <w:rFonts w:hint="default"/>
                      <w:u w:val="single" w:color="auto"/>
                    </w:rPr>
                    <w:t>废气治理</w:t>
                  </w:r>
                </w:p>
              </w:tc>
              <w:tc>
                <w:tcPr>
                  <w:tcW w:w="516" w:type="pct"/>
                  <w:vMerge w:val="restart"/>
                  <w:noWrap w:val="0"/>
                  <w:vAlign w:val="center"/>
                </w:tcPr>
                <w:p w14:paraId="2852CB35">
                  <w:pPr>
                    <w:pStyle w:val="115"/>
                    <w:bidi w:val="0"/>
                    <w:rPr>
                      <w:rFonts w:hint="default"/>
                      <w:u w:val="single" w:color="auto"/>
                      <w:lang w:val="en-US" w:eastAsia="zh-CN"/>
                    </w:rPr>
                  </w:pPr>
                  <w:r>
                    <w:rPr>
                      <w:rFonts w:hint="default"/>
                      <w:u w:val="single" w:color="auto"/>
                      <w:lang w:val="en-US" w:eastAsia="zh-CN"/>
                    </w:rPr>
                    <w:t>施工期</w:t>
                  </w:r>
                </w:p>
              </w:tc>
              <w:tc>
                <w:tcPr>
                  <w:tcW w:w="1234" w:type="pct"/>
                  <w:noWrap w:val="0"/>
                  <w:vAlign w:val="center"/>
                </w:tcPr>
                <w:p w14:paraId="0F3DA6B7">
                  <w:pPr>
                    <w:pStyle w:val="115"/>
                    <w:bidi w:val="0"/>
                    <w:rPr>
                      <w:rFonts w:hint="default"/>
                      <w:u w:val="single" w:color="auto"/>
                      <w:lang w:val="en-US" w:eastAsia="zh-CN"/>
                    </w:rPr>
                  </w:pPr>
                  <w:r>
                    <w:rPr>
                      <w:rFonts w:hint="default"/>
                      <w:u w:val="single" w:color="auto"/>
                    </w:rPr>
                    <w:t>场地扬尘</w:t>
                  </w:r>
                </w:p>
              </w:tc>
              <w:tc>
                <w:tcPr>
                  <w:tcW w:w="1880" w:type="pct"/>
                  <w:noWrap w:val="0"/>
                  <w:vAlign w:val="center"/>
                </w:tcPr>
                <w:p w14:paraId="5C207917">
                  <w:pPr>
                    <w:pStyle w:val="115"/>
                    <w:bidi w:val="0"/>
                    <w:rPr>
                      <w:rFonts w:hint="default"/>
                      <w:u w:val="single" w:color="auto"/>
                      <w:lang w:eastAsia="zh-CN"/>
                    </w:rPr>
                  </w:pPr>
                  <w:r>
                    <w:rPr>
                      <w:rFonts w:hint="default"/>
                      <w:u w:val="single" w:color="auto"/>
                    </w:rPr>
                    <w:t>洒水抑尘</w:t>
                  </w:r>
                </w:p>
              </w:tc>
              <w:tc>
                <w:tcPr>
                  <w:tcW w:w="737" w:type="pct"/>
                  <w:noWrap w:val="0"/>
                  <w:vAlign w:val="center"/>
                </w:tcPr>
                <w:p w14:paraId="12C31813">
                  <w:pPr>
                    <w:pStyle w:val="115"/>
                    <w:bidi w:val="0"/>
                    <w:rPr>
                      <w:rFonts w:hint="default"/>
                      <w:u w:val="single" w:color="auto"/>
                      <w:lang w:val="en-US"/>
                    </w:rPr>
                  </w:pPr>
                  <w:r>
                    <w:rPr>
                      <w:rFonts w:hint="default"/>
                      <w:u w:val="single" w:color="auto"/>
                      <w:lang w:val="en-US"/>
                    </w:rPr>
                    <w:t>5</w:t>
                  </w:r>
                </w:p>
              </w:tc>
            </w:tr>
            <w:tr w14:paraId="27F399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5DD815CF">
                  <w:pPr>
                    <w:pStyle w:val="115"/>
                    <w:bidi w:val="0"/>
                    <w:rPr>
                      <w:rFonts w:hint="default"/>
                      <w:u w:val="single" w:color="auto"/>
                    </w:rPr>
                  </w:pPr>
                </w:p>
              </w:tc>
              <w:tc>
                <w:tcPr>
                  <w:tcW w:w="516" w:type="pct"/>
                  <w:vMerge w:val="continue"/>
                  <w:noWrap w:val="0"/>
                  <w:vAlign w:val="center"/>
                </w:tcPr>
                <w:p w14:paraId="7CE107BA">
                  <w:pPr>
                    <w:pStyle w:val="115"/>
                    <w:bidi w:val="0"/>
                    <w:rPr>
                      <w:rFonts w:hint="default"/>
                      <w:u w:val="single" w:color="auto"/>
                      <w:lang w:val="en-US" w:eastAsia="zh-CN"/>
                    </w:rPr>
                  </w:pPr>
                </w:p>
              </w:tc>
              <w:tc>
                <w:tcPr>
                  <w:tcW w:w="1234" w:type="pct"/>
                  <w:noWrap w:val="0"/>
                  <w:vAlign w:val="center"/>
                </w:tcPr>
                <w:p w14:paraId="012C18C3">
                  <w:pPr>
                    <w:pStyle w:val="115"/>
                    <w:bidi w:val="0"/>
                    <w:rPr>
                      <w:rFonts w:hint="default"/>
                      <w:u w:val="single" w:color="auto"/>
                      <w:lang w:val="en-US" w:eastAsia="zh-CN"/>
                    </w:rPr>
                  </w:pPr>
                  <w:r>
                    <w:rPr>
                      <w:rFonts w:hint="default"/>
                      <w:u w:val="single" w:color="auto"/>
                    </w:rPr>
                    <w:t>机动车尾气</w:t>
                  </w:r>
                </w:p>
              </w:tc>
              <w:tc>
                <w:tcPr>
                  <w:tcW w:w="1880" w:type="pct"/>
                  <w:noWrap w:val="0"/>
                  <w:vAlign w:val="center"/>
                </w:tcPr>
                <w:p w14:paraId="6C009C03">
                  <w:pPr>
                    <w:pStyle w:val="115"/>
                    <w:bidi w:val="0"/>
                    <w:rPr>
                      <w:rFonts w:hint="default"/>
                      <w:u w:val="single" w:color="auto"/>
                      <w:lang w:eastAsia="zh-CN"/>
                    </w:rPr>
                  </w:pPr>
                  <w:r>
                    <w:rPr>
                      <w:rFonts w:hint="default"/>
                      <w:u w:val="single" w:color="auto"/>
                      <w:lang w:val="en-US" w:eastAsia="zh-CN"/>
                    </w:rPr>
                    <w:t>定期</w:t>
                  </w:r>
                  <w:r>
                    <w:rPr>
                      <w:rFonts w:hint="default"/>
                      <w:u w:val="single" w:color="auto"/>
                    </w:rPr>
                    <w:t>维护保养</w:t>
                  </w:r>
                </w:p>
              </w:tc>
              <w:tc>
                <w:tcPr>
                  <w:tcW w:w="737" w:type="pct"/>
                  <w:noWrap w:val="0"/>
                  <w:vAlign w:val="center"/>
                </w:tcPr>
                <w:p w14:paraId="72167277">
                  <w:pPr>
                    <w:pStyle w:val="115"/>
                    <w:bidi w:val="0"/>
                    <w:rPr>
                      <w:rFonts w:hint="default"/>
                      <w:u w:val="single" w:color="auto"/>
                      <w:lang w:val="en-US"/>
                    </w:rPr>
                  </w:pPr>
                  <w:r>
                    <w:rPr>
                      <w:rFonts w:hint="default"/>
                      <w:u w:val="single" w:color="auto"/>
                      <w:lang w:val="en-US"/>
                    </w:rPr>
                    <w:t>2</w:t>
                  </w:r>
                </w:p>
              </w:tc>
            </w:tr>
            <w:tr w14:paraId="572AB4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5C2A2259">
                  <w:pPr>
                    <w:pStyle w:val="115"/>
                    <w:bidi w:val="0"/>
                    <w:rPr>
                      <w:rFonts w:hint="default"/>
                      <w:u w:val="single" w:color="auto"/>
                    </w:rPr>
                  </w:pPr>
                </w:p>
              </w:tc>
              <w:tc>
                <w:tcPr>
                  <w:tcW w:w="516" w:type="pct"/>
                  <w:vMerge w:val="continue"/>
                  <w:noWrap w:val="0"/>
                  <w:vAlign w:val="center"/>
                </w:tcPr>
                <w:p w14:paraId="01AE7B7B">
                  <w:pPr>
                    <w:pStyle w:val="115"/>
                    <w:bidi w:val="0"/>
                    <w:rPr>
                      <w:rFonts w:hint="default"/>
                      <w:u w:val="single" w:color="auto"/>
                      <w:lang w:val="en-US" w:eastAsia="zh-CN"/>
                    </w:rPr>
                  </w:pPr>
                </w:p>
              </w:tc>
              <w:tc>
                <w:tcPr>
                  <w:tcW w:w="1234" w:type="pct"/>
                  <w:noWrap w:val="0"/>
                  <w:vAlign w:val="center"/>
                </w:tcPr>
                <w:p w14:paraId="264D65BB">
                  <w:pPr>
                    <w:pStyle w:val="115"/>
                    <w:bidi w:val="0"/>
                    <w:rPr>
                      <w:rFonts w:hint="default"/>
                      <w:u w:val="single" w:color="auto"/>
                      <w:lang w:val="en-US" w:eastAsia="zh-CN"/>
                    </w:rPr>
                  </w:pPr>
                  <w:r>
                    <w:rPr>
                      <w:rFonts w:hint="default"/>
                      <w:u w:val="single" w:color="auto"/>
                    </w:rPr>
                    <w:t>车辆清洗</w:t>
                  </w:r>
                </w:p>
              </w:tc>
              <w:tc>
                <w:tcPr>
                  <w:tcW w:w="1880" w:type="pct"/>
                  <w:noWrap w:val="0"/>
                  <w:vAlign w:val="center"/>
                </w:tcPr>
                <w:p w14:paraId="4BDE24D1">
                  <w:pPr>
                    <w:pStyle w:val="115"/>
                    <w:bidi w:val="0"/>
                    <w:rPr>
                      <w:rFonts w:hint="default"/>
                      <w:u w:val="single" w:color="auto"/>
                      <w:lang w:eastAsia="zh-CN"/>
                    </w:rPr>
                  </w:pPr>
                  <w:r>
                    <w:rPr>
                      <w:rFonts w:hint="default"/>
                      <w:u w:val="single" w:color="auto"/>
                    </w:rPr>
                    <w:t>洗车</w:t>
                  </w:r>
                  <w:r>
                    <w:rPr>
                      <w:rFonts w:hint="default"/>
                      <w:u w:val="single" w:color="auto"/>
                      <w:lang w:val="en-US" w:eastAsia="zh-CN"/>
                    </w:rPr>
                    <w:t>冲洗平台+洗车池</w:t>
                  </w:r>
                </w:p>
              </w:tc>
              <w:tc>
                <w:tcPr>
                  <w:tcW w:w="737" w:type="pct"/>
                  <w:noWrap w:val="0"/>
                  <w:vAlign w:val="center"/>
                </w:tcPr>
                <w:p w14:paraId="2560B382">
                  <w:pPr>
                    <w:pStyle w:val="115"/>
                    <w:bidi w:val="0"/>
                    <w:rPr>
                      <w:rFonts w:hint="default"/>
                      <w:u w:val="single" w:color="auto"/>
                      <w:lang w:val="en-US"/>
                    </w:rPr>
                  </w:pPr>
                  <w:r>
                    <w:rPr>
                      <w:rFonts w:hint="eastAsia"/>
                      <w:u w:val="single" w:color="auto"/>
                      <w:lang w:val="en-US"/>
                    </w:rPr>
                    <w:t>2</w:t>
                  </w:r>
                </w:p>
              </w:tc>
            </w:tr>
            <w:tr w14:paraId="59BD58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471761AF">
                  <w:pPr>
                    <w:pStyle w:val="115"/>
                    <w:bidi w:val="0"/>
                    <w:rPr>
                      <w:rFonts w:hint="default"/>
                      <w:u w:val="single" w:color="auto"/>
                    </w:rPr>
                  </w:pPr>
                </w:p>
              </w:tc>
              <w:tc>
                <w:tcPr>
                  <w:tcW w:w="516" w:type="pct"/>
                  <w:vMerge w:val="restart"/>
                  <w:noWrap w:val="0"/>
                  <w:vAlign w:val="center"/>
                </w:tcPr>
                <w:p w14:paraId="09468F56">
                  <w:pPr>
                    <w:pStyle w:val="115"/>
                    <w:bidi w:val="0"/>
                    <w:rPr>
                      <w:rFonts w:hint="default"/>
                      <w:u w:val="single" w:color="auto"/>
                      <w:lang w:val="en-US" w:eastAsia="zh-CN"/>
                    </w:rPr>
                  </w:pPr>
                  <w:r>
                    <w:rPr>
                      <w:rFonts w:hint="default"/>
                      <w:u w:val="single" w:color="auto"/>
                      <w:lang w:val="en-US" w:eastAsia="zh-CN"/>
                    </w:rPr>
                    <w:t>营运期</w:t>
                  </w:r>
                </w:p>
              </w:tc>
              <w:tc>
                <w:tcPr>
                  <w:tcW w:w="1234" w:type="pct"/>
                  <w:noWrap w:val="0"/>
                  <w:vAlign w:val="center"/>
                </w:tcPr>
                <w:p w14:paraId="6930B7F9">
                  <w:pPr>
                    <w:pStyle w:val="115"/>
                    <w:bidi w:val="0"/>
                    <w:rPr>
                      <w:rFonts w:hint="default"/>
                      <w:u w:val="single" w:color="auto"/>
                    </w:rPr>
                  </w:pPr>
                  <w:r>
                    <w:rPr>
                      <w:rFonts w:hint="default"/>
                      <w:u w:val="single" w:color="auto"/>
                    </w:rPr>
                    <w:t>车辆运输扬尘</w:t>
                  </w:r>
                </w:p>
              </w:tc>
              <w:tc>
                <w:tcPr>
                  <w:tcW w:w="1880" w:type="pct"/>
                  <w:noWrap w:val="0"/>
                  <w:vAlign w:val="center"/>
                </w:tcPr>
                <w:p w14:paraId="47CB7FB5">
                  <w:pPr>
                    <w:pStyle w:val="115"/>
                    <w:bidi w:val="0"/>
                    <w:rPr>
                      <w:rFonts w:hint="default"/>
                      <w:u w:val="single" w:color="auto"/>
                      <w:lang w:val="en-US"/>
                    </w:rPr>
                  </w:pPr>
                  <w:r>
                    <w:rPr>
                      <w:rFonts w:hint="default"/>
                      <w:u w:val="single" w:color="auto"/>
                      <w:lang w:eastAsia="zh-CN"/>
                    </w:rPr>
                    <w:t>洒水降尘</w:t>
                  </w:r>
                  <w:r>
                    <w:rPr>
                      <w:rFonts w:hint="eastAsia"/>
                      <w:u w:val="single" w:color="auto"/>
                      <w:lang w:eastAsia="zh-CN"/>
                    </w:rPr>
                    <w:t>、洗车冲洗平台+洗车池</w:t>
                  </w:r>
                </w:p>
              </w:tc>
              <w:tc>
                <w:tcPr>
                  <w:tcW w:w="737" w:type="pct"/>
                  <w:vMerge w:val="restart"/>
                  <w:noWrap w:val="0"/>
                  <w:vAlign w:val="center"/>
                </w:tcPr>
                <w:p w14:paraId="13F84F99">
                  <w:pPr>
                    <w:pStyle w:val="115"/>
                    <w:bidi w:val="0"/>
                    <w:rPr>
                      <w:rFonts w:hint="default"/>
                      <w:u w:val="single" w:color="auto"/>
                      <w:lang w:val="en-US"/>
                    </w:rPr>
                  </w:pPr>
                  <w:r>
                    <w:rPr>
                      <w:rFonts w:hint="default"/>
                      <w:u w:val="single" w:color="auto"/>
                      <w:lang w:val="en-US"/>
                    </w:rPr>
                    <w:t>10</w:t>
                  </w:r>
                </w:p>
              </w:tc>
            </w:tr>
            <w:tr w14:paraId="35620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70252E3B">
                  <w:pPr>
                    <w:pStyle w:val="115"/>
                    <w:bidi w:val="0"/>
                    <w:rPr>
                      <w:rFonts w:hint="default"/>
                      <w:u w:val="single" w:color="auto"/>
                    </w:rPr>
                  </w:pPr>
                </w:p>
              </w:tc>
              <w:tc>
                <w:tcPr>
                  <w:tcW w:w="516" w:type="pct"/>
                  <w:vMerge w:val="continue"/>
                  <w:noWrap w:val="0"/>
                  <w:vAlign w:val="center"/>
                </w:tcPr>
                <w:p w14:paraId="1513AA32">
                  <w:pPr>
                    <w:pStyle w:val="115"/>
                    <w:bidi w:val="0"/>
                    <w:rPr>
                      <w:rFonts w:hint="default"/>
                      <w:u w:val="single" w:color="auto"/>
                      <w:lang w:eastAsia="zh-CN"/>
                    </w:rPr>
                  </w:pPr>
                </w:p>
              </w:tc>
              <w:tc>
                <w:tcPr>
                  <w:tcW w:w="1234" w:type="pct"/>
                  <w:noWrap w:val="0"/>
                  <w:vAlign w:val="center"/>
                </w:tcPr>
                <w:p w14:paraId="207EC254">
                  <w:pPr>
                    <w:pStyle w:val="115"/>
                    <w:bidi w:val="0"/>
                    <w:rPr>
                      <w:rFonts w:hint="default"/>
                      <w:u w:val="single" w:color="auto"/>
                    </w:rPr>
                  </w:pPr>
                  <w:r>
                    <w:rPr>
                      <w:rFonts w:hint="default"/>
                      <w:u w:val="single" w:color="auto"/>
                    </w:rPr>
                    <w:t>碾压扬尘</w:t>
                  </w:r>
                </w:p>
              </w:tc>
              <w:tc>
                <w:tcPr>
                  <w:tcW w:w="1880" w:type="pct"/>
                  <w:noWrap w:val="0"/>
                  <w:vAlign w:val="center"/>
                </w:tcPr>
                <w:p w14:paraId="08433ECC">
                  <w:pPr>
                    <w:pStyle w:val="115"/>
                    <w:bidi w:val="0"/>
                    <w:rPr>
                      <w:rFonts w:hint="default"/>
                      <w:u w:val="single" w:color="auto"/>
                      <w:lang w:val="en-US" w:eastAsia="zh-CN"/>
                    </w:rPr>
                  </w:pPr>
                  <w:r>
                    <w:rPr>
                      <w:rFonts w:hint="default"/>
                      <w:u w:val="single" w:color="auto"/>
                    </w:rPr>
                    <w:t>洒水抑尘</w:t>
                  </w:r>
                </w:p>
              </w:tc>
              <w:tc>
                <w:tcPr>
                  <w:tcW w:w="737" w:type="pct"/>
                  <w:vMerge w:val="continue"/>
                  <w:noWrap w:val="0"/>
                  <w:vAlign w:val="center"/>
                </w:tcPr>
                <w:p w14:paraId="70A4073A">
                  <w:pPr>
                    <w:pStyle w:val="115"/>
                    <w:bidi w:val="0"/>
                    <w:rPr>
                      <w:rFonts w:hint="default"/>
                      <w:u w:val="single" w:color="auto"/>
                      <w:lang w:val="en-US"/>
                    </w:rPr>
                  </w:pPr>
                </w:p>
              </w:tc>
            </w:tr>
            <w:tr w14:paraId="455BCD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2C1B07B3">
                  <w:pPr>
                    <w:pStyle w:val="115"/>
                    <w:bidi w:val="0"/>
                    <w:rPr>
                      <w:rFonts w:hint="default"/>
                      <w:u w:val="single" w:color="auto"/>
                    </w:rPr>
                  </w:pPr>
                </w:p>
              </w:tc>
              <w:tc>
                <w:tcPr>
                  <w:tcW w:w="516" w:type="pct"/>
                  <w:vMerge w:val="continue"/>
                  <w:noWrap w:val="0"/>
                  <w:vAlign w:val="center"/>
                </w:tcPr>
                <w:p w14:paraId="1513D8C7">
                  <w:pPr>
                    <w:pStyle w:val="115"/>
                    <w:bidi w:val="0"/>
                    <w:rPr>
                      <w:rFonts w:hint="default"/>
                      <w:u w:val="single" w:color="auto"/>
                      <w:lang w:eastAsia="zh-CN"/>
                    </w:rPr>
                  </w:pPr>
                </w:p>
              </w:tc>
              <w:tc>
                <w:tcPr>
                  <w:tcW w:w="1234" w:type="pct"/>
                  <w:noWrap w:val="0"/>
                  <w:vAlign w:val="center"/>
                </w:tcPr>
                <w:p w14:paraId="35E99475">
                  <w:pPr>
                    <w:pStyle w:val="115"/>
                    <w:bidi w:val="0"/>
                    <w:rPr>
                      <w:rFonts w:hint="default" w:eastAsia="宋体"/>
                      <w:u w:val="single" w:color="auto"/>
                      <w:lang w:val="en-US" w:eastAsia="zh-CN"/>
                    </w:rPr>
                  </w:pPr>
                  <w:r>
                    <w:rPr>
                      <w:rFonts w:hint="eastAsia"/>
                      <w:u w:val="single" w:color="auto"/>
                      <w:lang w:val="en-US" w:eastAsia="zh-CN"/>
                    </w:rPr>
                    <w:t>堆填场扬尘</w:t>
                  </w:r>
                </w:p>
              </w:tc>
              <w:tc>
                <w:tcPr>
                  <w:tcW w:w="1880" w:type="pct"/>
                  <w:noWrap w:val="0"/>
                  <w:vAlign w:val="center"/>
                </w:tcPr>
                <w:p w14:paraId="268885BE">
                  <w:pPr>
                    <w:pStyle w:val="115"/>
                    <w:bidi w:val="0"/>
                    <w:rPr>
                      <w:rFonts w:hint="default"/>
                      <w:u w:val="single" w:color="auto"/>
                    </w:rPr>
                  </w:pPr>
                  <w:r>
                    <w:rPr>
                      <w:rFonts w:hint="default"/>
                      <w:u w:val="single" w:color="auto"/>
                    </w:rPr>
                    <w:t>洒水抑尘</w:t>
                  </w:r>
                </w:p>
              </w:tc>
              <w:tc>
                <w:tcPr>
                  <w:tcW w:w="737" w:type="pct"/>
                  <w:vMerge w:val="continue"/>
                  <w:noWrap w:val="0"/>
                  <w:vAlign w:val="center"/>
                </w:tcPr>
                <w:p w14:paraId="7AAB6A72">
                  <w:pPr>
                    <w:pStyle w:val="115"/>
                    <w:bidi w:val="0"/>
                    <w:rPr>
                      <w:rFonts w:hint="default"/>
                      <w:u w:val="single" w:color="auto"/>
                      <w:lang w:val="en-US"/>
                    </w:rPr>
                  </w:pPr>
                </w:p>
              </w:tc>
            </w:tr>
            <w:tr w14:paraId="34484C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43F3C0E5">
                  <w:pPr>
                    <w:pStyle w:val="115"/>
                    <w:bidi w:val="0"/>
                    <w:rPr>
                      <w:rFonts w:hint="default"/>
                      <w:u w:val="single" w:color="auto"/>
                    </w:rPr>
                  </w:pPr>
                </w:p>
              </w:tc>
              <w:tc>
                <w:tcPr>
                  <w:tcW w:w="516" w:type="pct"/>
                  <w:vMerge w:val="continue"/>
                  <w:noWrap w:val="0"/>
                  <w:vAlign w:val="center"/>
                </w:tcPr>
                <w:p w14:paraId="641E681E">
                  <w:pPr>
                    <w:pStyle w:val="115"/>
                    <w:bidi w:val="0"/>
                    <w:rPr>
                      <w:rFonts w:hint="default"/>
                      <w:u w:val="single" w:color="auto"/>
                      <w:lang w:val="en-US" w:eastAsia="zh-CN"/>
                    </w:rPr>
                  </w:pPr>
                </w:p>
              </w:tc>
              <w:tc>
                <w:tcPr>
                  <w:tcW w:w="1234" w:type="pct"/>
                  <w:noWrap w:val="0"/>
                  <w:vAlign w:val="center"/>
                </w:tcPr>
                <w:p w14:paraId="3C16E46C">
                  <w:pPr>
                    <w:pStyle w:val="115"/>
                    <w:bidi w:val="0"/>
                    <w:rPr>
                      <w:rFonts w:hint="default"/>
                      <w:u w:val="single" w:color="auto"/>
                    </w:rPr>
                  </w:pPr>
                  <w:r>
                    <w:rPr>
                      <w:rFonts w:hint="default"/>
                      <w:u w:val="single" w:color="auto"/>
                    </w:rPr>
                    <w:t>运输车辆装卸粉尘</w:t>
                  </w:r>
                </w:p>
              </w:tc>
              <w:tc>
                <w:tcPr>
                  <w:tcW w:w="1880" w:type="pct"/>
                  <w:noWrap w:val="0"/>
                  <w:vAlign w:val="center"/>
                </w:tcPr>
                <w:p w14:paraId="53B12EB5">
                  <w:pPr>
                    <w:pStyle w:val="115"/>
                    <w:bidi w:val="0"/>
                    <w:rPr>
                      <w:rFonts w:hint="default"/>
                      <w:u w:val="single" w:color="auto"/>
                      <w:lang w:val="en-US"/>
                    </w:rPr>
                  </w:pPr>
                  <w:r>
                    <w:rPr>
                      <w:rFonts w:hint="default"/>
                      <w:u w:val="single" w:color="auto"/>
                    </w:rPr>
                    <w:t>洒水抑尘</w:t>
                  </w:r>
                  <w:r>
                    <w:rPr>
                      <w:rFonts w:hint="default"/>
                      <w:u w:val="single" w:color="auto"/>
                      <w:lang w:val="en-US" w:eastAsia="zh-CN"/>
                    </w:rPr>
                    <w:t>+围挡</w:t>
                  </w:r>
                </w:p>
              </w:tc>
              <w:tc>
                <w:tcPr>
                  <w:tcW w:w="737" w:type="pct"/>
                  <w:vMerge w:val="continue"/>
                  <w:noWrap w:val="0"/>
                  <w:vAlign w:val="center"/>
                </w:tcPr>
                <w:p w14:paraId="0104F492">
                  <w:pPr>
                    <w:pStyle w:val="115"/>
                    <w:bidi w:val="0"/>
                    <w:rPr>
                      <w:rFonts w:hint="default"/>
                      <w:u w:val="single" w:color="auto"/>
                      <w:lang w:val="en-US"/>
                    </w:rPr>
                  </w:pPr>
                </w:p>
              </w:tc>
            </w:tr>
            <w:tr w14:paraId="015206A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restart"/>
                  <w:noWrap w:val="0"/>
                  <w:vAlign w:val="center"/>
                </w:tcPr>
                <w:p w14:paraId="574A527A">
                  <w:pPr>
                    <w:pStyle w:val="115"/>
                    <w:bidi w:val="0"/>
                    <w:rPr>
                      <w:rFonts w:hint="default"/>
                      <w:u w:val="single" w:color="auto"/>
                    </w:rPr>
                  </w:pPr>
                  <w:r>
                    <w:rPr>
                      <w:rFonts w:hint="default"/>
                      <w:u w:val="single" w:color="auto"/>
                    </w:rPr>
                    <w:t>废水治理</w:t>
                  </w:r>
                </w:p>
              </w:tc>
              <w:tc>
                <w:tcPr>
                  <w:tcW w:w="516" w:type="pct"/>
                  <w:noWrap w:val="0"/>
                  <w:vAlign w:val="center"/>
                </w:tcPr>
                <w:p w14:paraId="05D47E16">
                  <w:pPr>
                    <w:pStyle w:val="115"/>
                    <w:bidi w:val="0"/>
                    <w:rPr>
                      <w:rFonts w:hint="default"/>
                      <w:u w:val="single" w:color="auto"/>
                      <w:lang w:val="en-US"/>
                    </w:rPr>
                  </w:pPr>
                  <w:r>
                    <w:rPr>
                      <w:rFonts w:hint="default"/>
                      <w:u w:val="single" w:color="auto"/>
                      <w:lang w:val="en-US"/>
                    </w:rPr>
                    <w:t>施工期</w:t>
                  </w:r>
                </w:p>
              </w:tc>
              <w:tc>
                <w:tcPr>
                  <w:tcW w:w="1234" w:type="pct"/>
                  <w:noWrap w:val="0"/>
                  <w:vAlign w:val="center"/>
                </w:tcPr>
                <w:p w14:paraId="0B2A8B95">
                  <w:pPr>
                    <w:pStyle w:val="115"/>
                    <w:bidi w:val="0"/>
                    <w:rPr>
                      <w:rFonts w:hint="default"/>
                      <w:u w:val="single" w:color="auto"/>
                      <w:lang w:val="en-US"/>
                    </w:rPr>
                  </w:pPr>
                  <w:r>
                    <w:rPr>
                      <w:rFonts w:hint="default"/>
                      <w:u w:val="single" w:color="auto"/>
                    </w:rPr>
                    <w:t>生活污水</w:t>
                  </w:r>
                </w:p>
              </w:tc>
              <w:tc>
                <w:tcPr>
                  <w:tcW w:w="1880" w:type="pct"/>
                  <w:noWrap w:val="0"/>
                  <w:vAlign w:val="center"/>
                </w:tcPr>
                <w:p w14:paraId="005EE2FF">
                  <w:pPr>
                    <w:pStyle w:val="115"/>
                    <w:bidi w:val="0"/>
                    <w:rPr>
                      <w:rFonts w:hint="default"/>
                      <w:u w:val="single" w:color="auto"/>
                    </w:rPr>
                  </w:pPr>
                  <w:r>
                    <w:rPr>
                      <w:rFonts w:hint="default"/>
                      <w:u w:val="single" w:color="auto"/>
                      <w:lang w:val="en-US" w:eastAsia="zh-CN"/>
                    </w:rPr>
                    <w:t>化粪池</w:t>
                  </w:r>
                  <w:r>
                    <w:rPr>
                      <w:rFonts w:hint="default"/>
                      <w:u w:val="single" w:color="auto"/>
                    </w:rPr>
                    <w:t>预处理后</w:t>
                  </w:r>
                  <w:r>
                    <w:rPr>
                      <w:rFonts w:hint="default"/>
                      <w:u w:val="single" w:color="auto"/>
                      <w:lang w:val="en-US"/>
                    </w:rPr>
                    <w:t>作为农肥</w:t>
                  </w:r>
                </w:p>
              </w:tc>
              <w:tc>
                <w:tcPr>
                  <w:tcW w:w="737" w:type="pct"/>
                  <w:noWrap w:val="0"/>
                  <w:vAlign w:val="center"/>
                </w:tcPr>
                <w:p w14:paraId="7B2BBF2A">
                  <w:pPr>
                    <w:pStyle w:val="115"/>
                    <w:bidi w:val="0"/>
                    <w:rPr>
                      <w:rFonts w:hint="default"/>
                      <w:u w:val="single" w:color="auto"/>
                      <w:lang w:val="en-US"/>
                    </w:rPr>
                  </w:pPr>
                  <w:r>
                    <w:rPr>
                      <w:rFonts w:hint="eastAsia"/>
                      <w:u w:val="single" w:color="auto"/>
                      <w:lang w:val="en-US"/>
                    </w:rPr>
                    <w:t>0</w:t>
                  </w:r>
                </w:p>
              </w:tc>
            </w:tr>
            <w:tr w14:paraId="07732E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2889A4A6">
                  <w:pPr>
                    <w:pStyle w:val="115"/>
                    <w:bidi w:val="0"/>
                    <w:rPr>
                      <w:rFonts w:hint="default"/>
                      <w:u w:val="single" w:color="auto"/>
                    </w:rPr>
                  </w:pPr>
                </w:p>
              </w:tc>
              <w:tc>
                <w:tcPr>
                  <w:tcW w:w="516" w:type="pct"/>
                  <w:vMerge w:val="restart"/>
                  <w:noWrap w:val="0"/>
                  <w:vAlign w:val="center"/>
                </w:tcPr>
                <w:p w14:paraId="0FC9F0C5">
                  <w:pPr>
                    <w:pStyle w:val="115"/>
                    <w:bidi w:val="0"/>
                    <w:rPr>
                      <w:rFonts w:hint="default"/>
                      <w:u w:val="single" w:color="auto"/>
                      <w:lang w:val="en-US" w:eastAsia="zh-CN"/>
                    </w:rPr>
                  </w:pPr>
                  <w:r>
                    <w:rPr>
                      <w:rFonts w:hint="default"/>
                      <w:u w:val="single" w:color="auto"/>
                      <w:lang w:val="en-US" w:eastAsia="zh-CN"/>
                    </w:rPr>
                    <w:t>营运期</w:t>
                  </w:r>
                </w:p>
              </w:tc>
              <w:tc>
                <w:tcPr>
                  <w:tcW w:w="1234" w:type="pct"/>
                  <w:noWrap w:val="0"/>
                  <w:vAlign w:val="center"/>
                </w:tcPr>
                <w:p w14:paraId="51E994BC">
                  <w:pPr>
                    <w:pStyle w:val="115"/>
                    <w:bidi w:val="0"/>
                    <w:rPr>
                      <w:rFonts w:hint="default"/>
                      <w:u w:val="single" w:color="auto"/>
                    </w:rPr>
                  </w:pPr>
                  <w:r>
                    <w:rPr>
                      <w:rFonts w:hint="default"/>
                      <w:u w:val="single" w:color="auto"/>
                    </w:rPr>
                    <w:t>生活污水</w:t>
                  </w:r>
                </w:p>
              </w:tc>
              <w:tc>
                <w:tcPr>
                  <w:tcW w:w="1880" w:type="pct"/>
                  <w:noWrap w:val="0"/>
                  <w:vAlign w:val="center"/>
                </w:tcPr>
                <w:p w14:paraId="567DC8A4">
                  <w:pPr>
                    <w:pStyle w:val="115"/>
                    <w:bidi w:val="0"/>
                    <w:rPr>
                      <w:rFonts w:hint="default"/>
                      <w:u w:val="single" w:color="auto"/>
                      <w:lang w:val="en-US"/>
                    </w:rPr>
                  </w:pPr>
                  <w:r>
                    <w:rPr>
                      <w:rFonts w:hint="default"/>
                      <w:u w:val="single" w:color="auto"/>
                      <w:lang w:val="en-US" w:eastAsia="zh-CN"/>
                    </w:rPr>
                    <w:t>化粪池</w:t>
                  </w:r>
                  <w:r>
                    <w:rPr>
                      <w:rFonts w:hint="default"/>
                      <w:u w:val="single" w:color="auto"/>
                    </w:rPr>
                    <w:t>预处理后</w:t>
                  </w:r>
                  <w:r>
                    <w:rPr>
                      <w:rFonts w:hint="default"/>
                      <w:u w:val="single" w:color="auto"/>
                      <w:lang w:val="en-US"/>
                    </w:rPr>
                    <w:t>作为农肥</w:t>
                  </w:r>
                </w:p>
              </w:tc>
              <w:tc>
                <w:tcPr>
                  <w:tcW w:w="737" w:type="pct"/>
                  <w:noWrap w:val="0"/>
                  <w:vAlign w:val="center"/>
                </w:tcPr>
                <w:p w14:paraId="159EEB50">
                  <w:pPr>
                    <w:pStyle w:val="115"/>
                    <w:bidi w:val="0"/>
                    <w:rPr>
                      <w:rFonts w:hint="default"/>
                      <w:u w:val="single" w:color="auto"/>
                      <w:lang w:val="en-US"/>
                    </w:rPr>
                  </w:pPr>
                  <w:r>
                    <w:rPr>
                      <w:rFonts w:hint="eastAsia"/>
                      <w:u w:val="single" w:color="auto"/>
                      <w:lang w:val="en-US"/>
                    </w:rPr>
                    <w:t>2</w:t>
                  </w:r>
                </w:p>
              </w:tc>
            </w:tr>
            <w:tr w14:paraId="736EF3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24B20C0B">
                  <w:pPr>
                    <w:pStyle w:val="115"/>
                    <w:bidi w:val="0"/>
                    <w:rPr>
                      <w:rFonts w:hint="default"/>
                      <w:u w:val="single" w:color="auto"/>
                    </w:rPr>
                  </w:pPr>
                </w:p>
              </w:tc>
              <w:tc>
                <w:tcPr>
                  <w:tcW w:w="516" w:type="pct"/>
                  <w:vMerge w:val="continue"/>
                  <w:noWrap w:val="0"/>
                  <w:vAlign w:val="center"/>
                </w:tcPr>
                <w:p w14:paraId="05347851">
                  <w:pPr>
                    <w:pStyle w:val="115"/>
                    <w:bidi w:val="0"/>
                    <w:rPr>
                      <w:rFonts w:hint="default"/>
                      <w:u w:val="single" w:color="auto"/>
                      <w:lang w:val="en-US" w:eastAsia="zh-CN"/>
                    </w:rPr>
                  </w:pPr>
                </w:p>
              </w:tc>
              <w:tc>
                <w:tcPr>
                  <w:tcW w:w="1234" w:type="pct"/>
                  <w:noWrap w:val="0"/>
                  <w:vAlign w:val="center"/>
                </w:tcPr>
                <w:p w14:paraId="782784F1">
                  <w:pPr>
                    <w:pStyle w:val="115"/>
                    <w:bidi w:val="0"/>
                    <w:rPr>
                      <w:rFonts w:hint="default"/>
                      <w:u w:val="single" w:color="auto"/>
                      <w:lang w:val="en-US" w:eastAsia="zh-CN"/>
                    </w:rPr>
                  </w:pPr>
                  <w:r>
                    <w:rPr>
                      <w:rFonts w:hint="default"/>
                      <w:u w:val="single" w:color="auto"/>
                    </w:rPr>
                    <w:t>车辆冲洗</w:t>
                  </w:r>
                  <w:r>
                    <w:rPr>
                      <w:rFonts w:hint="default"/>
                      <w:u w:val="single" w:color="auto"/>
                      <w:lang w:val="en-US" w:eastAsia="zh-CN"/>
                    </w:rPr>
                    <w:t>废</w:t>
                  </w:r>
                  <w:r>
                    <w:rPr>
                      <w:rFonts w:hint="default"/>
                      <w:u w:val="single" w:color="auto"/>
                      <w:lang w:eastAsia="zh-CN"/>
                    </w:rPr>
                    <w:t>水</w:t>
                  </w:r>
                </w:p>
              </w:tc>
              <w:tc>
                <w:tcPr>
                  <w:tcW w:w="1880" w:type="pct"/>
                  <w:noWrap w:val="0"/>
                  <w:vAlign w:val="center"/>
                </w:tcPr>
                <w:p w14:paraId="6EA7CB37">
                  <w:pPr>
                    <w:pStyle w:val="115"/>
                    <w:bidi w:val="0"/>
                    <w:rPr>
                      <w:rFonts w:hint="default"/>
                      <w:u w:val="single" w:color="auto"/>
                      <w:lang w:val="en-US" w:eastAsia="zh-CN"/>
                    </w:rPr>
                  </w:pPr>
                  <w:r>
                    <w:rPr>
                      <w:rFonts w:hint="eastAsia"/>
                      <w:u w:val="single" w:color="auto"/>
                      <w:lang w:val="en-US" w:eastAsia="zh-CN"/>
                    </w:rPr>
                    <w:t>洗车平台、洗车废水沉淀池（</w:t>
                  </w:r>
                  <w:r>
                    <w:rPr>
                      <w:rFonts w:hint="eastAsia"/>
                      <w:u w:val="single"/>
                      <w:lang w:val="en-US" w:eastAsia="zh-CN"/>
                    </w:rPr>
                    <w:t>二级沉淀池，容积10m</w:t>
                  </w:r>
                  <w:r>
                    <w:rPr>
                      <w:rFonts w:hint="eastAsia"/>
                      <w:u w:val="single"/>
                      <w:vertAlign w:val="superscript"/>
                      <w:lang w:val="en-US" w:eastAsia="zh-CN"/>
                    </w:rPr>
                    <w:t>3</w:t>
                  </w:r>
                  <w:r>
                    <w:rPr>
                      <w:rFonts w:hint="eastAsia"/>
                      <w:u w:val="single" w:color="auto"/>
                      <w:lang w:val="en-US" w:eastAsia="zh-CN"/>
                    </w:rPr>
                    <w:t>）</w:t>
                  </w:r>
                </w:p>
              </w:tc>
              <w:tc>
                <w:tcPr>
                  <w:tcW w:w="737" w:type="pct"/>
                  <w:noWrap w:val="0"/>
                  <w:vAlign w:val="center"/>
                </w:tcPr>
                <w:p w14:paraId="4001C2A0">
                  <w:pPr>
                    <w:pStyle w:val="115"/>
                    <w:bidi w:val="0"/>
                    <w:rPr>
                      <w:rFonts w:hint="default"/>
                      <w:u w:val="single" w:color="auto"/>
                      <w:lang w:val="en-US" w:eastAsia="zh-CN"/>
                    </w:rPr>
                  </w:pPr>
                  <w:r>
                    <w:rPr>
                      <w:rFonts w:hint="eastAsia"/>
                      <w:u w:val="single" w:color="auto"/>
                      <w:lang w:val="en-US"/>
                    </w:rPr>
                    <w:t>2</w:t>
                  </w:r>
                </w:p>
              </w:tc>
            </w:tr>
            <w:tr w14:paraId="17945D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02C86478">
                  <w:pPr>
                    <w:pStyle w:val="115"/>
                    <w:bidi w:val="0"/>
                    <w:rPr>
                      <w:rFonts w:hint="default"/>
                      <w:u w:val="single" w:color="auto"/>
                    </w:rPr>
                  </w:pPr>
                </w:p>
              </w:tc>
              <w:tc>
                <w:tcPr>
                  <w:tcW w:w="516" w:type="pct"/>
                  <w:vMerge w:val="continue"/>
                  <w:noWrap w:val="0"/>
                  <w:vAlign w:val="center"/>
                </w:tcPr>
                <w:p w14:paraId="68FD0725">
                  <w:pPr>
                    <w:pStyle w:val="115"/>
                    <w:bidi w:val="0"/>
                    <w:rPr>
                      <w:rFonts w:hint="default"/>
                      <w:u w:val="single" w:color="auto"/>
                      <w:lang w:val="en-US" w:eastAsia="zh-CN"/>
                    </w:rPr>
                  </w:pPr>
                </w:p>
              </w:tc>
              <w:tc>
                <w:tcPr>
                  <w:tcW w:w="1234" w:type="pct"/>
                  <w:noWrap w:val="0"/>
                  <w:vAlign w:val="center"/>
                </w:tcPr>
                <w:p w14:paraId="4BFF6227">
                  <w:pPr>
                    <w:pStyle w:val="115"/>
                    <w:bidi w:val="0"/>
                    <w:rPr>
                      <w:rFonts w:hint="default"/>
                      <w:u w:val="single" w:color="auto"/>
                    </w:rPr>
                  </w:pPr>
                  <w:r>
                    <w:rPr>
                      <w:rFonts w:hint="eastAsia"/>
                      <w:u w:val="single" w:color="auto"/>
                      <w:lang w:val="en-US" w:eastAsia="zh-CN"/>
                    </w:rPr>
                    <w:t>矿坑积水（</w:t>
                  </w:r>
                  <w:r>
                    <w:rPr>
                      <w:rFonts w:hint="default"/>
                      <w:u w:val="single" w:color="auto"/>
                    </w:rPr>
                    <w:t>淋滤水</w:t>
                  </w:r>
                  <w:r>
                    <w:rPr>
                      <w:rFonts w:hint="eastAsia"/>
                      <w:u w:val="single" w:color="auto"/>
                      <w:lang w:val="en-US" w:eastAsia="zh-CN"/>
                    </w:rPr>
                    <w:t>）</w:t>
                  </w:r>
                </w:p>
              </w:tc>
              <w:tc>
                <w:tcPr>
                  <w:tcW w:w="1880" w:type="pct"/>
                  <w:noWrap w:val="0"/>
                  <w:vAlign w:val="center"/>
                </w:tcPr>
                <w:p w14:paraId="214B1F45">
                  <w:pPr>
                    <w:pStyle w:val="115"/>
                    <w:bidi w:val="0"/>
                    <w:rPr>
                      <w:rFonts w:hint="default"/>
                      <w:u w:val="single" w:color="auto"/>
                      <w:lang w:val="en-US"/>
                    </w:rPr>
                  </w:pPr>
                  <w:r>
                    <w:rPr>
                      <w:rFonts w:hint="default"/>
                      <w:u w:val="single" w:color="auto"/>
                    </w:rPr>
                    <w:t>截排水沟、</w:t>
                  </w:r>
                  <w:r>
                    <w:rPr>
                      <w:rFonts w:hint="eastAsia"/>
                      <w:u w:val="single" w:color="auto"/>
                      <w:lang w:val="en-US" w:eastAsia="zh-CN"/>
                    </w:rPr>
                    <w:t>淋滤水</w:t>
                  </w:r>
                  <w:r>
                    <w:rPr>
                      <w:rFonts w:hint="default"/>
                      <w:u w:val="single" w:color="auto"/>
                      <w:lang w:val="en-US" w:eastAsia="zh-CN"/>
                    </w:rPr>
                    <w:t>沉淀池</w:t>
                  </w:r>
                  <w:r>
                    <w:rPr>
                      <w:rFonts w:hint="eastAsia"/>
                      <w:u w:val="single" w:color="auto"/>
                      <w:lang w:val="en-US" w:eastAsia="zh-CN"/>
                    </w:rPr>
                    <w:t>（</w:t>
                  </w:r>
                  <w:r>
                    <w:rPr>
                      <w:rFonts w:hint="eastAsia"/>
                      <w:u w:val="single"/>
                      <w:lang w:val="en-US" w:eastAsia="zh-CN"/>
                    </w:rPr>
                    <w:t>二级沉淀池，容积30m</w:t>
                  </w:r>
                  <w:r>
                    <w:rPr>
                      <w:rFonts w:hint="eastAsia"/>
                      <w:u w:val="single"/>
                      <w:vertAlign w:val="superscript"/>
                      <w:lang w:val="en-US" w:eastAsia="zh-CN"/>
                    </w:rPr>
                    <w:t>3</w:t>
                  </w:r>
                  <w:r>
                    <w:rPr>
                      <w:rFonts w:hint="eastAsia"/>
                      <w:u w:val="single" w:color="auto"/>
                      <w:lang w:val="en-US" w:eastAsia="zh-CN"/>
                    </w:rPr>
                    <w:t>）、抽水泵及排水管道</w:t>
                  </w:r>
                </w:p>
              </w:tc>
              <w:tc>
                <w:tcPr>
                  <w:tcW w:w="737" w:type="pct"/>
                  <w:noWrap w:val="0"/>
                  <w:vAlign w:val="center"/>
                </w:tcPr>
                <w:p w14:paraId="3463B6E1">
                  <w:pPr>
                    <w:pStyle w:val="115"/>
                    <w:bidi w:val="0"/>
                    <w:rPr>
                      <w:rFonts w:hint="default"/>
                      <w:u w:val="single" w:color="auto"/>
                      <w:lang w:val="en-US"/>
                    </w:rPr>
                  </w:pPr>
                  <w:r>
                    <w:rPr>
                      <w:rFonts w:hint="default"/>
                      <w:u w:val="single" w:color="auto"/>
                      <w:lang w:val="en-US" w:eastAsia="zh-CN"/>
                    </w:rPr>
                    <w:t>30</w:t>
                  </w:r>
                </w:p>
              </w:tc>
            </w:tr>
            <w:tr w14:paraId="62D680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restart"/>
                  <w:noWrap w:val="0"/>
                  <w:vAlign w:val="center"/>
                </w:tcPr>
                <w:p w14:paraId="7A4D79DB">
                  <w:pPr>
                    <w:pStyle w:val="115"/>
                    <w:bidi w:val="0"/>
                    <w:rPr>
                      <w:rFonts w:hint="default"/>
                      <w:u w:val="single" w:color="auto"/>
                    </w:rPr>
                  </w:pPr>
                  <w:r>
                    <w:rPr>
                      <w:rFonts w:hint="default"/>
                      <w:u w:val="single" w:color="auto"/>
                    </w:rPr>
                    <w:t>噪声治理</w:t>
                  </w:r>
                </w:p>
              </w:tc>
              <w:tc>
                <w:tcPr>
                  <w:tcW w:w="516" w:type="pct"/>
                  <w:noWrap w:val="0"/>
                  <w:vAlign w:val="center"/>
                </w:tcPr>
                <w:p w14:paraId="47D98312">
                  <w:pPr>
                    <w:pStyle w:val="115"/>
                    <w:bidi w:val="0"/>
                    <w:rPr>
                      <w:rFonts w:hint="default"/>
                      <w:u w:val="single" w:color="auto"/>
                      <w:lang w:val="en-US"/>
                    </w:rPr>
                  </w:pPr>
                  <w:r>
                    <w:rPr>
                      <w:rFonts w:hint="default"/>
                      <w:u w:val="single" w:color="auto"/>
                      <w:lang w:val="en-US"/>
                    </w:rPr>
                    <w:t>施工期</w:t>
                  </w:r>
                </w:p>
              </w:tc>
              <w:tc>
                <w:tcPr>
                  <w:tcW w:w="1234" w:type="pct"/>
                  <w:noWrap w:val="0"/>
                  <w:vAlign w:val="center"/>
                </w:tcPr>
                <w:p w14:paraId="5A08AC88">
                  <w:pPr>
                    <w:pStyle w:val="115"/>
                    <w:bidi w:val="0"/>
                    <w:rPr>
                      <w:rFonts w:hint="default"/>
                      <w:u w:val="single" w:color="auto"/>
                    </w:rPr>
                  </w:pPr>
                  <w:r>
                    <w:rPr>
                      <w:rFonts w:hint="default"/>
                      <w:u w:val="single" w:color="auto"/>
                    </w:rPr>
                    <w:t>机械噪声</w:t>
                  </w:r>
                </w:p>
              </w:tc>
              <w:tc>
                <w:tcPr>
                  <w:tcW w:w="1880" w:type="pct"/>
                  <w:noWrap w:val="0"/>
                  <w:vAlign w:val="center"/>
                </w:tcPr>
                <w:p w14:paraId="37EA5709">
                  <w:pPr>
                    <w:pStyle w:val="115"/>
                    <w:bidi w:val="0"/>
                    <w:rPr>
                      <w:rFonts w:hint="default"/>
                      <w:u w:val="single" w:color="auto"/>
                      <w:lang w:val="en-US"/>
                    </w:rPr>
                  </w:pPr>
                  <w:r>
                    <w:rPr>
                      <w:rFonts w:hint="default"/>
                      <w:u w:val="single" w:color="auto"/>
                    </w:rPr>
                    <w:t>选用低噪声设备，加强管理</w:t>
                  </w:r>
                </w:p>
              </w:tc>
              <w:tc>
                <w:tcPr>
                  <w:tcW w:w="737" w:type="pct"/>
                  <w:noWrap w:val="0"/>
                  <w:vAlign w:val="center"/>
                </w:tcPr>
                <w:p w14:paraId="4C194D1C">
                  <w:pPr>
                    <w:pStyle w:val="115"/>
                    <w:bidi w:val="0"/>
                    <w:rPr>
                      <w:rFonts w:hint="default"/>
                      <w:u w:val="single" w:color="auto"/>
                      <w:lang w:val="en-US"/>
                    </w:rPr>
                  </w:pPr>
                  <w:r>
                    <w:rPr>
                      <w:rFonts w:hint="default"/>
                      <w:u w:val="single" w:color="auto"/>
                      <w:lang w:val="en-US" w:eastAsia="zh-CN"/>
                    </w:rPr>
                    <w:t>3</w:t>
                  </w:r>
                </w:p>
              </w:tc>
            </w:tr>
            <w:tr w14:paraId="52A407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7F7204C8">
                  <w:pPr>
                    <w:pStyle w:val="115"/>
                    <w:bidi w:val="0"/>
                    <w:rPr>
                      <w:rFonts w:hint="default"/>
                      <w:u w:val="single" w:color="auto"/>
                    </w:rPr>
                  </w:pPr>
                </w:p>
              </w:tc>
              <w:tc>
                <w:tcPr>
                  <w:tcW w:w="516" w:type="pct"/>
                  <w:noWrap w:val="0"/>
                  <w:vAlign w:val="center"/>
                </w:tcPr>
                <w:p w14:paraId="1A8D04D1">
                  <w:pPr>
                    <w:pStyle w:val="115"/>
                    <w:bidi w:val="0"/>
                    <w:rPr>
                      <w:rFonts w:hint="default"/>
                      <w:u w:val="single" w:color="auto"/>
                      <w:lang w:val="en-US"/>
                    </w:rPr>
                  </w:pPr>
                  <w:r>
                    <w:rPr>
                      <w:rFonts w:hint="default"/>
                      <w:u w:val="single" w:color="auto"/>
                      <w:lang w:val="en-US"/>
                    </w:rPr>
                    <w:t>营运期</w:t>
                  </w:r>
                </w:p>
              </w:tc>
              <w:tc>
                <w:tcPr>
                  <w:tcW w:w="1234" w:type="pct"/>
                  <w:noWrap w:val="0"/>
                  <w:vAlign w:val="center"/>
                </w:tcPr>
                <w:p w14:paraId="2BFEDCBA">
                  <w:pPr>
                    <w:pStyle w:val="115"/>
                    <w:bidi w:val="0"/>
                    <w:rPr>
                      <w:rFonts w:hint="default"/>
                      <w:u w:val="single" w:color="auto"/>
                    </w:rPr>
                  </w:pPr>
                  <w:r>
                    <w:rPr>
                      <w:rFonts w:hint="default"/>
                      <w:u w:val="single" w:color="auto"/>
                    </w:rPr>
                    <w:t>机械噪声</w:t>
                  </w:r>
                </w:p>
              </w:tc>
              <w:tc>
                <w:tcPr>
                  <w:tcW w:w="1880" w:type="pct"/>
                  <w:noWrap w:val="0"/>
                  <w:vAlign w:val="center"/>
                </w:tcPr>
                <w:p w14:paraId="2AAF14E6">
                  <w:pPr>
                    <w:pStyle w:val="115"/>
                    <w:bidi w:val="0"/>
                    <w:rPr>
                      <w:rFonts w:hint="default"/>
                      <w:u w:val="single" w:color="auto"/>
                    </w:rPr>
                  </w:pPr>
                  <w:r>
                    <w:rPr>
                      <w:rFonts w:hint="default"/>
                      <w:u w:val="single" w:color="auto"/>
                    </w:rPr>
                    <w:t>选用低噪声设备，加强管理</w:t>
                  </w:r>
                </w:p>
              </w:tc>
              <w:tc>
                <w:tcPr>
                  <w:tcW w:w="737" w:type="pct"/>
                  <w:noWrap w:val="0"/>
                  <w:vAlign w:val="center"/>
                </w:tcPr>
                <w:p w14:paraId="789402E2">
                  <w:pPr>
                    <w:pStyle w:val="115"/>
                    <w:bidi w:val="0"/>
                    <w:rPr>
                      <w:rFonts w:hint="default"/>
                      <w:u w:val="single" w:color="auto"/>
                      <w:lang w:val="en-US"/>
                    </w:rPr>
                  </w:pPr>
                  <w:r>
                    <w:rPr>
                      <w:rFonts w:hint="default"/>
                      <w:u w:val="single" w:color="auto"/>
                    </w:rPr>
                    <w:t>5</w:t>
                  </w:r>
                </w:p>
              </w:tc>
            </w:tr>
            <w:tr w14:paraId="0176CA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restart"/>
                  <w:noWrap w:val="0"/>
                  <w:vAlign w:val="center"/>
                </w:tcPr>
                <w:p w14:paraId="0919C726">
                  <w:pPr>
                    <w:pStyle w:val="115"/>
                    <w:bidi w:val="0"/>
                    <w:rPr>
                      <w:rFonts w:hint="default"/>
                      <w:u w:val="single" w:color="auto"/>
                    </w:rPr>
                  </w:pPr>
                  <w:r>
                    <w:rPr>
                      <w:rFonts w:hint="default"/>
                      <w:u w:val="single" w:color="auto"/>
                    </w:rPr>
                    <w:t>固废处置</w:t>
                  </w:r>
                </w:p>
              </w:tc>
              <w:tc>
                <w:tcPr>
                  <w:tcW w:w="516" w:type="pct"/>
                  <w:noWrap w:val="0"/>
                  <w:vAlign w:val="center"/>
                </w:tcPr>
                <w:p w14:paraId="0D5AAC36">
                  <w:pPr>
                    <w:pStyle w:val="115"/>
                    <w:bidi w:val="0"/>
                    <w:rPr>
                      <w:rFonts w:hint="default"/>
                      <w:u w:val="single" w:color="auto"/>
                      <w:lang w:val="en-US" w:eastAsia="zh-CN"/>
                    </w:rPr>
                  </w:pPr>
                  <w:r>
                    <w:rPr>
                      <w:rFonts w:hint="default"/>
                      <w:u w:val="single" w:color="auto"/>
                      <w:lang w:val="en-US" w:eastAsia="zh-CN"/>
                    </w:rPr>
                    <w:t>施工期</w:t>
                  </w:r>
                </w:p>
              </w:tc>
              <w:tc>
                <w:tcPr>
                  <w:tcW w:w="1234" w:type="pct"/>
                  <w:noWrap w:val="0"/>
                  <w:vAlign w:val="center"/>
                </w:tcPr>
                <w:p w14:paraId="349FCC27">
                  <w:pPr>
                    <w:pStyle w:val="115"/>
                    <w:bidi w:val="0"/>
                    <w:rPr>
                      <w:rFonts w:hint="default"/>
                      <w:u w:val="single" w:color="auto"/>
                    </w:rPr>
                  </w:pPr>
                  <w:r>
                    <w:rPr>
                      <w:rFonts w:hint="default"/>
                      <w:u w:val="single" w:color="auto"/>
                    </w:rPr>
                    <w:t>生活垃圾</w:t>
                  </w:r>
                </w:p>
              </w:tc>
              <w:tc>
                <w:tcPr>
                  <w:tcW w:w="1880" w:type="pct"/>
                  <w:noWrap w:val="0"/>
                  <w:vAlign w:val="center"/>
                </w:tcPr>
                <w:p w14:paraId="707BE056">
                  <w:pPr>
                    <w:pStyle w:val="115"/>
                    <w:bidi w:val="0"/>
                    <w:rPr>
                      <w:rFonts w:hint="default"/>
                      <w:u w:val="single" w:color="auto"/>
                      <w:lang w:val="en-US" w:eastAsia="zh-CN"/>
                    </w:rPr>
                  </w:pPr>
                  <w:r>
                    <w:rPr>
                      <w:rFonts w:hint="default"/>
                      <w:u w:val="single" w:color="auto"/>
                    </w:rPr>
                    <w:t>环卫部门统一清运</w:t>
                  </w:r>
                </w:p>
              </w:tc>
              <w:tc>
                <w:tcPr>
                  <w:tcW w:w="737" w:type="pct"/>
                  <w:noWrap w:val="0"/>
                  <w:vAlign w:val="center"/>
                </w:tcPr>
                <w:p w14:paraId="2A861166">
                  <w:pPr>
                    <w:pStyle w:val="115"/>
                    <w:bidi w:val="0"/>
                    <w:rPr>
                      <w:rFonts w:hint="default"/>
                      <w:u w:val="single" w:color="auto"/>
                      <w:lang w:val="en-US" w:eastAsia="zh-CN"/>
                    </w:rPr>
                  </w:pPr>
                  <w:r>
                    <w:rPr>
                      <w:rFonts w:hint="default"/>
                      <w:u w:val="single" w:color="auto"/>
                      <w:lang w:val="en-US" w:eastAsia="zh-CN"/>
                    </w:rPr>
                    <w:t>0.05</w:t>
                  </w:r>
                </w:p>
              </w:tc>
            </w:tr>
            <w:tr w14:paraId="76A03E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5A64E111">
                  <w:pPr>
                    <w:pStyle w:val="115"/>
                    <w:bidi w:val="0"/>
                    <w:rPr>
                      <w:rFonts w:hint="default"/>
                      <w:u w:val="single" w:color="auto"/>
                    </w:rPr>
                  </w:pPr>
                </w:p>
              </w:tc>
              <w:tc>
                <w:tcPr>
                  <w:tcW w:w="516" w:type="pct"/>
                  <w:vMerge w:val="restart"/>
                  <w:noWrap w:val="0"/>
                  <w:vAlign w:val="center"/>
                </w:tcPr>
                <w:p w14:paraId="7D933182">
                  <w:pPr>
                    <w:pStyle w:val="115"/>
                    <w:bidi w:val="0"/>
                    <w:rPr>
                      <w:rFonts w:hint="default"/>
                      <w:u w:val="single" w:color="auto"/>
                      <w:lang w:val="en-US" w:eastAsia="zh-CN"/>
                    </w:rPr>
                  </w:pPr>
                  <w:r>
                    <w:rPr>
                      <w:rFonts w:hint="default"/>
                      <w:u w:val="single" w:color="auto"/>
                      <w:lang w:val="en-US" w:eastAsia="zh-CN"/>
                    </w:rPr>
                    <w:t>营运期</w:t>
                  </w:r>
                </w:p>
              </w:tc>
              <w:tc>
                <w:tcPr>
                  <w:tcW w:w="1234" w:type="pct"/>
                  <w:noWrap w:val="0"/>
                  <w:vAlign w:val="center"/>
                </w:tcPr>
                <w:p w14:paraId="3878C3A6">
                  <w:pPr>
                    <w:pStyle w:val="115"/>
                    <w:bidi w:val="0"/>
                    <w:rPr>
                      <w:rFonts w:hint="default"/>
                      <w:u w:val="single" w:color="auto"/>
                    </w:rPr>
                  </w:pPr>
                  <w:r>
                    <w:rPr>
                      <w:rFonts w:hint="default"/>
                      <w:u w:val="single" w:color="auto"/>
                    </w:rPr>
                    <w:t>生活垃圾</w:t>
                  </w:r>
                </w:p>
              </w:tc>
              <w:tc>
                <w:tcPr>
                  <w:tcW w:w="1880" w:type="pct"/>
                  <w:noWrap w:val="0"/>
                  <w:vAlign w:val="center"/>
                </w:tcPr>
                <w:p w14:paraId="61C33293">
                  <w:pPr>
                    <w:pStyle w:val="115"/>
                    <w:bidi w:val="0"/>
                    <w:rPr>
                      <w:rFonts w:hint="default"/>
                      <w:u w:val="single" w:color="auto"/>
                      <w:lang w:val="en-US" w:eastAsia="zh-CN"/>
                    </w:rPr>
                  </w:pPr>
                  <w:r>
                    <w:rPr>
                      <w:rFonts w:hint="default"/>
                      <w:u w:val="single" w:color="auto"/>
                    </w:rPr>
                    <w:t>环卫部门统一清运</w:t>
                  </w:r>
                </w:p>
              </w:tc>
              <w:tc>
                <w:tcPr>
                  <w:tcW w:w="737" w:type="pct"/>
                  <w:noWrap w:val="0"/>
                  <w:vAlign w:val="center"/>
                </w:tcPr>
                <w:p w14:paraId="1BFD43CC">
                  <w:pPr>
                    <w:pStyle w:val="115"/>
                    <w:bidi w:val="0"/>
                    <w:rPr>
                      <w:rFonts w:hint="default"/>
                      <w:u w:val="single" w:color="auto"/>
                      <w:lang w:val="en-US" w:eastAsia="zh-CN"/>
                    </w:rPr>
                  </w:pPr>
                  <w:r>
                    <w:rPr>
                      <w:rFonts w:hint="default"/>
                      <w:u w:val="single" w:color="auto"/>
                      <w:lang w:val="en-US" w:eastAsia="zh-CN"/>
                    </w:rPr>
                    <w:t>0.05</w:t>
                  </w:r>
                </w:p>
              </w:tc>
            </w:tr>
            <w:tr w14:paraId="6AE9C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71B74112">
                  <w:pPr>
                    <w:pStyle w:val="115"/>
                    <w:bidi w:val="0"/>
                    <w:rPr>
                      <w:rFonts w:hint="default"/>
                      <w:u w:val="single" w:color="auto"/>
                    </w:rPr>
                  </w:pPr>
                </w:p>
              </w:tc>
              <w:tc>
                <w:tcPr>
                  <w:tcW w:w="516" w:type="pct"/>
                  <w:vMerge w:val="continue"/>
                  <w:noWrap w:val="0"/>
                  <w:vAlign w:val="center"/>
                </w:tcPr>
                <w:p w14:paraId="7C801CB7">
                  <w:pPr>
                    <w:pStyle w:val="115"/>
                    <w:bidi w:val="0"/>
                    <w:rPr>
                      <w:rFonts w:hint="default"/>
                      <w:u w:val="single" w:color="auto"/>
                      <w:lang w:val="en-US" w:eastAsia="zh-CN"/>
                    </w:rPr>
                  </w:pPr>
                </w:p>
              </w:tc>
              <w:tc>
                <w:tcPr>
                  <w:tcW w:w="1234" w:type="pct"/>
                  <w:shd w:val="clear" w:color="auto" w:fill="auto"/>
                  <w:noWrap w:val="0"/>
                  <w:vAlign w:val="center"/>
                </w:tcPr>
                <w:p w14:paraId="4BC9417A">
                  <w:pPr>
                    <w:pStyle w:val="115"/>
                    <w:bidi w:val="0"/>
                    <w:rPr>
                      <w:rFonts w:hint="default"/>
                      <w:u w:val="single" w:color="auto"/>
                      <w:lang w:val="en-US" w:eastAsia="zh-CN"/>
                    </w:rPr>
                  </w:pPr>
                  <w:r>
                    <w:rPr>
                      <w:rFonts w:hint="eastAsia"/>
                      <w:u w:val="single" w:color="auto"/>
                      <w:lang w:val="en-US" w:eastAsia="zh-CN"/>
                    </w:rPr>
                    <w:t>废塑料、废木块</w:t>
                  </w:r>
                </w:p>
              </w:tc>
              <w:tc>
                <w:tcPr>
                  <w:tcW w:w="1880" w:type="pct"/>
                  <w:vMerge w:val="restart"/>
                  <w:shd w:val="clear" w:color="auto" w:fill="auto"/>
                  <w:noWrap w:val="0"/>
                  <w:vAlign w:val="center"/>
                </w:tcPr>
                <w:p w14:paraId="368598DF">
                  <w:pPr>
                    <w:pStyle w:val="115"/>
                    <w:bidi w:val="0"/>
                    <w:rPr>
                      <w:rFonts w:hint="default"/>
                      <w:u w:val="single" w:color="auto"/>
                      <w:lang w:val="en-US" w:eastAsia="zh-CN"/>
                    </w:rPr>
                  </w:pPr>
                  <w:r>
                    <w:rPr>
                      <w:rFonts w:hint="eastAsia"/>
                      <w:u w:val="single" w:color="auto"/>
                      <w:lang w:val="en-US" w:eastAsia="zh-CN"/>
                    </w:rPr>
                    <w:t>一般固废暂存间暂存，外售综合利用</w:t>
                  </w:r>
                </w:p>
              </w:tc>
              <w:tc>
                <w:tcPr>
                  <w:tcW w:w="737" w:type="pct"/>
                  <w:vMerge w:val="restart"/>
                  <w:noWrap w:val="0"/>
                  <w:vAlign w:val="center"/>
                </w:tcPr>
                <w:p w14:paraId="44B4A287">
                  <w:pPr>
                    <w:pStyle w:val="115"/>
                    <w:bidi w:val="0"/>
                    <w:rPr>
                      <w:rFonts w:hint="default"/>
                      <w:u w:val="single" w:color="auto"/>
                      <w:lang w:val="en-US" w:eastAsia="zh-CN"/>
                    </w:rPr>
                  </w:pPr>
                  <w:r>
                    <w:rPr>
                      <w:rFonts w:hint="eastAsia"/>
                      <w:u w:val="single" w:color="auto"/>
                      <w:lang w:val="en-US" w:eastAsia="zh-CN"/>
                    </w:rPr>
                    <w:t>2</w:t>
                  </w:r>
                </w:p>
              </w:tc>
            </w:tr>
            <w:tr w14:paraId="47D06D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064308D7">
                  <w:pPr>
                    <w:pStyle w:val="115"/>
                    <w:bidi w:val="0"/>
                    <w:rPr>
                      <w:rFonts w:hint="default"/>
                      <w:u w:val="single" w:color="auto"/>
                    </w:rPr>
                  </w:pPr>
                </w:p>
                <w:p w14:paraId="1C76CDDD">
                  <w:pPr>
                    <w:pStyle w:val="115"/>
                    <w:bidi w:val="0"/>
                    <w:rPr>
                      <w:rFonts w:hint="default"/>
                      <w:u w:val="single" w:color="auto"/>
                    </w:rPr>
                  </w:pPr>
                </w:p>
              </w:tc>
              <w:tc>
                <w:tcPr>
                  <w:tcW w:w="516" w:type="pct"/>
                  <w:vMerge w:val="continue"/>
                  <w:noWrap w:val="0"/>
                  <w:vAlign w:val="center"/>
                </w:tcPr>
                <w:p w14:paraId="7931ED7D">
                  <w:pPr>
                    <w:pStyle w:val="115"/>
                    <w:bidi w:val="0"/>
                    <w:rPr>
                      <w:rFonts w:hint="default"/>
                      <w:u w:val="single" w:color="auto"/>
                      <w:lang w:val="en-US" w:eastAsia="zh-CN"/>
                    </w:rPr>
                  </w:pPr>
                </w:p>
              </w:tc>
              <w:tc>
                <w:tcPr>
                  <w:tcW w:w="1234" w:type="pct"/>
                  <w:shd w:val="clear" w:color="auto" w:fill="auto"/>
                  <w:noWrap w:val="0"/>
                  <w:vAlign w:val="center"/>
                </w:tcPr>
                <w:p w14:paraId="517F6C48">
                  <w:pPr>
                    <w:pStyle w:val="115"/>
                    <w:bidi w:val="0"/>
                    <w:rPr>
                      <w:rFonts w:hint="default"/>
                      <w:u w:val="single" w:color="auto"/>
                      <w:lang w:val="en-US" w:eastAsia="zh-CN"/>
                    </w:rPr>
                  </w:pPr>
                  <w:r>
                    <w:rPr>
                      <w:rFonts w:hint="eastAsia"/>
                      <w:u w:val="single" w:color="auto"/>
                      <w:lang w:val="en-US" w:eastAsia="zh-CN"/>
                    </w:rPr>
                    <w:t>废金属</w:t>
                  </w:r>
                </w:p>
              </w:tc>
              <w:tc>
                <w:tcPr>
                  <w:tcW w:w="1880" w:type="pct"/>
                  <w:vMerge w:val="continue"/>
                  <w:shd w:val="clear" w:color="auto" w:fill="auto"/>
                  <w:noWrap w:val="0"/>
                  <w:vAlign w:val="center"/>
                </w:tcPr>
                <w:p w14:paraId="28100817">
                  <w:pPr>
                    <w:pStyle w:val="115"/>
                    <w:bidi w:val="0"/>
                    <w:rPr>
                      <w:rFonts w:hint="default"/>
                      <w:u w:val="single" w:color="auto"/>
                      <w:lang w:val="en-US" w:eastAsia="zh-CN"/>
                    </w:rPr>
                  </w:pPr>
                </w:p>
              </w:tc>
              <w:tc>
                <w:tcPr>
                  <w:tcW w:w="737" w:type="pct"/>
                  <w:vMerge w:val="continue"/>
                  <w:noWrap w:val="0"/>
                  <w:vAlign w:val="center"/>
                </w:tcPr>
                <w:p w14:paraId="2F484807">
                  <w:pPr>
                    <w:pStyle w:val="115"/>
                    <w:bidi w:val="0"/>
                    <w:rPr>
                      <w:rFonts w:hint="default"/>
                      <w:u w:val="single" w:color="auto"/>
                      <w:lang w:val="en-US" w:eastAsia="zh-CN"/>
                    </w:rPr>
                  </w:pPr>
                </w:p>
              </w:tc>
            </w:tr>
            <w:tr w14:paraId="69C50F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68BC4059">
                  <w:pPr>
                    <w:pStyle w:val="115"/>
                    <w:bidi w:val="0"/>
                    <w:rPr>
                      <w:rFonts w:hint="default"/>
                      <w:u w:val="single" w:color="auto"/>
                    </w:rPr>
                  </w:pPr>
                </w:p>
              </w:tc>
              <w:tc>
                <w:tcPr>
                  <w:tcW w:w="516" w:type="pct"/>
                  <w:vMerge w:val="continue"/>
                  <w:noWrap w:val="0"/>
                  <w:vAlign w:val="center"/>
                </w:tcPr>
                <w:p w14:paraId="7199E1A4">
                  <w:pPr>
                    <w:pStyle w:val="115"/>
                    <w:bidi w:val="0"/>
                    <w:rPr>
                      <w:rFonts w:hint="default"/>
                      <w:u w:val="single" w:color="auto"/>
                      <w:lang w:val="en-US" w:eastAsia="zh-CN"/>
                    </w:rPr>
                  </w:pPr>
                </w:p>
              </w:tc>
              <w:tc>
                <w:tcPr>
                  <w:tcW w:w="1234" w:type="pct"/>
                  <w:shd w:val="clear" w:color="auto" w:fill="auto"/>
                  <w:noWrap w:val="0"/>
                  <w:vAlign w:val="center"/>
                </w:tcPr>
                <w:p w14:paraId="5C454F0B">
                  <w:pPr>
                    <w:pStyle w:val="115"/>
                    <w:bidi w:val="0"/>
                    <w:rPr>
                      <w:rFonts w:hint="default"/>
                      <w:u w:val="single" w:color="auto"/>
                      <w:lang w:val="en-US" w:eastAsia="zh-CN"/>
                    </w:rPr>
                  </w:pPr>
                  <w:r>
                    <w:rPr>
                      <w:rFonts w:hint="eastAsia"/>
                      <w:u w:val="single" w:color="auto"/>
                      <w:lang w:val="en-US" w:eastAsia="zh-CN"/>
                    </w:rPr>
                    <w:t>洗车废水沉淀池泥渣、淋滤水沉淀池泥渣</w:t>
                  </w:r>
                </w:p>
              </w:tc>
              <w:tc>
                <w:tcPr>
                  <w:tcW w:w="1880" w:type="pct"/>
                  <w:shd w:val="clear" w:color="auto" w:fill="auto"/>
                  <w:noWrap w:val="0"/>
                  <w:vAlign w:val="center"/>
                </w:tcPr>
                <w:p w14:paraId="577AF16E">
                  <w:pPr>
                    <w:pStyle w:val="115"/>
                    <w:bidi w:val="0"/>
                    <w:rPr>
                      <w:rFonts w:hint="default"/>
                      <w:u w:val="single" w:color="auto"/>
                      <w:lang w:val="en-US" w:eastAsia="zh-CN"/>
                    </w:rPr>
                  </w:pPr>
                  <w:r>
                    <w:rPr>
                      <w:rFonts w:hint="eastAsia"/>
                      <w:u w:val="single" w:color="auto"/>
                      <w:lang w:val="en-US" w:eastAsia="zh-CN"/>
                    </w:rPr>
                    <w:t>建筑垃圾堆填场堆填处理</w:t>
                  </w:r>
                </w:p>
              </w:tc>
              <w:tc>
                <w:tcPr>
                  <w:tcW w:w="737" w:type="pct"/>
                  <w:noWrap w:val="0"/>
                  <w:vAlign w:val="center"/>
                </w:tcPr>
                <w:p w14:paraId="578165CB">
                  <w:pPr>
                    <w:pStyle w:val="115"/>
                    <w:bidi w:val="0"/>
                    <w:rPr>
                      <w:rFonts w:hint="default"/>
                      <w:u w:val="single" w:color="auto"/>
                      <w:lang w:val="en-US" w:eastAsia="zh-CN"/>
                    </w:rPr>
                  </w:pPr>
                  <w:r>
                    <w:rPr>
                      <w:rFonts w:hint="eastAsia"/>
                      <w:u w:val="single" w:color="auto"/>
                      <w:lang w:val="en-US" w:eastAsia="zh-CN"/>
                    </w:rPr>
                    <w:t>/</w:t>
                  </w:r>
                </w:p>
              </w:tc>
            </w:tr>
            <w:tr w14:paraId="24D968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72D9E2D0">
                  <w:pPr>
                    <w:pStyle w:val="115"/>
                    <w:bidi w:val="0"/>
                    <w:rPr>
                      <w:rFonts w:hint="default"/>
                      <w:u w:val="single" w:color="auto"/>
                    </w:rPr>
                  </w:pPr>
                </w:p>
              </w:tc>
              <w:tc>
                <w:tcPr>
                  <w:tcW w:w="516" w:type="pct"/>
                  <w:vMerge w:val="continue"/>
                  <w:noWrap w:val="0"/>
                  <w:vAlign w:val="center"/>
                </w:tcPr>
                <w:p w14:paraId="54E7669D">
                  <w:pPr>
                    <w:pStyle w:val="115"/>
                    <w:bidi w:val="0"/>
                    <w:rPr>
                      <w:rFonts w:hint="default"/>
                      <w:u w:val="single" w:color="auto"/>
                      <w:lang w:val="en-US" w:eastAsia="zh-CN"/>
                    </w:rPr>
                  </w:pPr>
                </w:p>
              </w:tc>
              <w:tc>
                <w:tcPr>
                  <w:tcW w:w="1234" w:type="pct"/>
                  <w:shd w:val="clear" w:color="auto" w:fill="auto"/>
                  <w:noWrap w:val="0"/>
                  <w:vAlign w:val="center"/>
                </w:tcPr>
                <w:p w14:paraId="43B348CA">
                  <w:pPr>
                    <w:pStyle w:val="115"/>
                    <w:bidi w:val="0"/>
                    <w:rPr>
                      <w:rFonts w:hint="default"/>
                      <w:u w:val="single" w:color="auto"/>
                      <w:lang w:val="en-US" w:eastAsia="zh-CN"/>
                    </w:rPr>
                  </w:pPr>
                  <w:r>
                    <w:rPr>
                      <w:rFonts w:hint="default"/>
                      <w:u w:val="single" w:color="auto"/>
                      <w:lang w:val="en-US" w:eastAsia="zh-CN"/>
                    </w:rPr>
                    <w:t>废润滑油</w:t>
                  </w:r>
                </w:p>
              </w:tc>
              <w:tc>
                <w:tcPr>
                  <w:tcW w:w="1880" w:type="pct"/>
                  <w:vMerge w:val="restart"/>
                  <w:shd w:val="clear" w:color="auto" w:fill="auto"/>
                  <w:noWrap w:val="0"/>
                  <w:vAlign w:val="center"/>
                </w:tcPr>
                <w:p w14:paraId="33D52D28">
                  <w:pPr>
                    <w:pStyle w:val="115"/>
                    <w:bidi w:val="0"/>
                    <w:rPr>
                      <w:rFonts w:hint="default"/>
                      <w:u w:val="single" w:color="auto"/>
                      <w:lang w:val="en-US" w:eastAsia="zh-CN"/>
                    </w:rPr>
                  </w:pPr>
                  <w:r>
                    <w:rPr>
                      <w:rFonts w:hint="eastAsia"/>
                      <w:u w:val="single" w:color="auto"/>
                      <w:lang w:val="en-US" w:eastAsia="zh-CN"/>
                    </w:rPr>
                    <w:t>危废暂存间分类暂存，交有资质单位处置</w:t>
                  </w:r>
                </w:p>
              </w:tc>
              <w:tc>
                <w:tcPr>
                  <w:tcW w:w="737" w:type="pct"/>
                  <w:vMerge w:val="restart"/>
                  <w:noWrap w:val="0"/>
                  <w:vAlign w:val="center"/>
                </w:tcPr>
                <w:p w14:paraId="5D1D5B64">
                  <w:pPr>
                    <w:pStyle w:val="115"/>
                    <w:bidi w:val="0"/>
                    <w:rPr>
                      <w:rFonts w:hint="default"/>
                      <w:u w:val="single" w:color="auto"/>
                      <w:lang w:val="en-US" w:eastAsia="zh-CN"/>
                    </w:rPr>
                  </w:pPr>
                  <w:r>
                    <w:rPr>
                      <w:rFonts w:hint="eastAsia"/>
                      <w:u w:val="single" w:color="auto"/>
                      <w:lang w:val="en-US" w:eastAsia="zh-CN"/>
                    </w:rPr>
                    <w:t>2</w:t>
                  </w:r>
                </w:p>
              </w:tc>
            </w:tr>
            <w:tr w14:paraId="5A7A88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2EE827FA">
                  <w:pPr>
                    <w:pStyle w:val="115"/>
                    <w:bidi w:val="0"/>
                    <w:rPr>
                      <w:rFonts w:hint="default"/>
                      <w:u w:val="single" w:color="auto"/>
                    </w:rPr>
                  </w:pPr>
                </w:p>
              </w:tc>
              <w:tc>
                <w:tcPr>
                  <w:tcW w:w="516" w:type="pct"/>
                  <w:vMerge w:val="continue"/>
                  <w:noWrap w:val="0"/>
                  <w:vAlign w:val="center"/>
                </w:tcPr>
                <w:p w14:paraId="612C3317">
                  <w:pPr>
                    <w:pStyle w:val="115"/>
                    <w:bidi w:val="0"/>
                    <w:rPr>
                      <w:rFonts w:hint="default"/>
                      <w:u w:val="single" w:color="auto"/>
                      <w:lang w:val="en-US" w:eastAsia="zh-CN"/>
                    </w:rPr>
                  </w:pPr>
                </w:p>
              </w:tc>
              <w:tc>
                <w:tcPr>
                  <w:tcW w:w="1234" w:type="pct"/>
                  <w:shd w:val="clear" w:color="auto" w:fill="auto"/>
                  <w:noWrap w:val="0"/>
                  <w:vAlign w:val="center"/>
                </w:tcPr>
                <w:p w14:paraId="1C1E4A77">
                  <w:pPr>
                    <w:pStyle w:val="115"/>
                    <w:bidi w:val="0"/>
                    <w:rPr>
                      <w:rFonts w:hint="default"/>
                      <w:u w:val="single" w:color="auto"/>
                      <w:lang w:val="en-US" w:eastAsia="zh-CN"/>
                    </w:rPr>
                  </w:pPr>
                  <w:r>
                    <w:rPr>
                      <w:rFonts w:hint="default"/>
                      <w:u w:val="single" w:color="auto"/>
                      <w:lang w:val="en-US" w:eastAsia="zh-CN"/>
                    </w:rPr>
                    <w:t>含油废抹布、手套</w:t>
                  </w:r>
                </w:p>
              </w:tc>
              <w:tc>
                <w:tcPr>
                  <w:tcW w:w="1880" w:type="pct"/>
                  <w:vMerge w:val="continue"/>
                  <w:noWrap w:val="0"/>
                  <w:vAlign w:val="center"/>
                </w:tcPr>
                <w:p w14:paraId="274C7A8D">
                  <w:pPr>
                    <w:pStyle w:val="115"/>
                    <w:bidi w:val="0"/>
                    <w:rPr>
                      <w:rFonts w:hint="default"/>
                      <w:u w:val="single" w:color="auto"/>
                    </w:rPr>
                  </w:pPr>
                </w:p>
              </w:tc>
              <w:tc>
                <w:tcPr>
                  <w:tcW w:w="737" w:type="pct"/>
                  <w:vMerge w:val="continue"/>
                  <w:noWrap w:val="0"/>
                  <w:vAlign w:val="center"/>
                </w:tcPr>
                <w:p w14:paraId="6C20ABD7">
                  <w:pPr>
                    <w:pStyle w:val="115"/>
                    <w:bidi w:val="0"/>
                    <w:rPr>
                      <w:rFonts w:hint="default"/>
                      <w:u w:val="single" w:color="auto"/>
                      <w:lang w:val="en-US" w:eastAsia="zh-CN"/>
                    </w:rPr>
                  </w:pPr>
                </w:p>
              </w:tc>
            </w:tr>
            <w:tr w14:paraId="0626E2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47D9ECCB">
                  <w:pPr>
                    <w:pStyle w:val="115"/>
                    <w:bidi w:val="0"/>
                    <w:rPr>
                      <w:rFonts w:hint="default"/>
                      <w:u w:val="single" w:color="auto"/>
                    </w:rPr>
                  </w:pPr>
                </w:p>
              </w:tc>
              <w:tc>
                <w:tcPr>
                  <w:tcW w:w="516" w:type="pct"/>
                  <w:vMerge w:val="continue"/>
                  <w:noWrap w:val="0"/>
                  <w:vAlign w:val="center"/>
                </w:tcPr>
                <w:p w14:paraId="06793F5A">
                  <w:pPr>
                    <w:pStyle w:val="115"/>
                    <w:bidi w:val="0"/>
                    <w:rPr>
                      <w:rFonts w:hint="default"/>
                      <w:u w:val="single" w:color="auto"/>
                    </w:rPr>
                  </w:pPr>
                </w:p>
              </w:tc>
              <w:tc>
                <w:tcPr>
                  <w:tcW w:w="1234" w:type="pct"/>
                  <w:shd w:val="clear" w:color="auto" w:fill="auto"/>
                  <w:noWrap w:val="0"/>
                  <w:vAlign w:val="center"/>
                </w:tcPr>
                <w:p w14:paraId="0163FF2C">
                  <w:pPr>
                    <w:pStyle w:val="115"/>
                    <w:bidi w:val="0"/>
                    <w:rPr>
                      <w:rFonts w:hint="default"/>
                      <w:u w:val="single" w:color="auto"/>
                      <w:lang w:val="en-US" w:eastAsia="zh-CN"/>
                    </w:rPr>
                  </w:pPr>
                  <w:r>
                    <w:rPr>
                      <w:rFonts w:hint="eastAsia"/>
                      <w:u w:val="single" w:color="auto"/>
                      <w:lang w:val="en-US" w:eastAsia="zh-CN"/>
                    </w:rPr>
                    <w:t>分选危险废物</w:t>
                  </w:r>
                </w:p>
              </w:tc>
              <w:tc>
                <w:tcPr>
                  <w:tcW w:w="1880" w:type="pct"/>
                  <w:vMerge w:val="continue"/>
                  <w:noWrap w:val="0"/>
                  <w:vAlign w:val="center"/>
                </w:tcPr>
                <w:p w14:paraId="2FA9EDC0">
                  <w:pPr>
                    <w:pStyle w:val="115"/>
                    <w:bidi w:val="0"/>
                    <w:rPr>
                      <w:rFonts w:hint="default"/>
                      <w:u w:val="single" w:color="auto"/>
                      <w:lang w:val="en-US" w:eastAsia="zh-CN"/>
                    </w:rPr>
                  </w:pPr>
                </w:p>
              </w:tc>
              <w:tc>
                <w:tcPr>
                  <w:tcW w:w="737" w:type="pct"/>
                  <w:vMerge w:val="continue"/>
                  <w:noWrap w:val="0"/>
                  <w:vAlign w:val="center"/>
                </w:tcPr>
                <w:p w14:paraId="358D6C83">
                  <w:pPr>
                    <w:pStyle w:val="115"/>
                    <w:bidi w:val="0"/>
                    <w:rPr>
                      <w:rFonts w:hint="default"/>
                      <w:u w:val="single" w:color="auto"/>
                      <w:lang w:val="en-US" w:eastAsia="zh-CN"/>
                    </w:rPr>
                  </w:pPr>
                </w:p>
              </w:tc>
            </w:tr>
            <w:tr w14:paraId="030653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restart"/>
                  <w:noWrap w:val="0"/>
                  <w:vAlign w:val="center"/>
                </w:tcPr>
                <w:p w14:paraId="65C514B0">
                  <w:pPr>
                    <w:pStyle w:val="115"/>
                    <w:bidi w:val="0"/>
                    <w:rPr>
                      <w:rFonts w:hint="default"/>
                      <w:u w:val="single" w:color="auto"/>
                      <w:lang w:val="en-US" w:eastAsia="zh-CN"/>
                    </w:rPr>
                  </w:pPr>
                  <w:r>
                    <w:rPr>
                      <w:rFonts w:hint="default"/>
                      <w:u w:val="single" w:color="auto"/>
                      <w:lang w:val="en-US" w:eastAsia="zh-CN"/>
                    </w:rPr>
                    <w:t>风险</w:t>
                  </w:r>
                </w:p>
              </w:tc>
              <w:tc>
                <w:tcPr>
                  <w:tcW w:w="516" w:type="pct"/>
                  <w:vMerge w:val="restart"/>
                  <w:noWrap w:val="0"/>
                  <w:vAlign w:val="center"/>
                </w:tcPr>
                <w:p w14:paraId="43EC51AC">
                  <w:pPr>
                    <w:pStyle w:val="115"/>
                    <w:bidi w:val="0"/>
                    <w:rPr>
                      <w:rFonts w:hint="default"/>
                      <w:u w:val="single" w:color="auto"/>
                      <w:lang w:val="en-US" w:eastAsia="zh-CN"/>
                    </w:rPr>
                  </w:pPr>
                  <w:r>
                    <w:rPr>
                      <w:rFonts w:hint="default"/>
                      <w:u w:val="single" w:color="auto"/>
                      <w:lang w:val="en-US" w:eastAsia="zh-CN"/>
                    </w:rPr>
                    <w:t>营运期</w:t>
                  </w:r>
                </w:p>
              </w:tc>
              <w:tc>
                <w:tcPr>
                  <w:tcW w:w="1234" w:type="pct"/>
                  <w:noWrap w:val="0"/>
                  <w:vAlign w:val="center"/>
                </w:tcPr>
                <w:p w14:paraId="046F4850">
                  <w:pPr>
                    <w:pStyle w:val="115"/>
                    <w:bidi w:val="0"/>
                    <w:rPr>
                      <w:rFonts w:hint="default"/>
                      <w:u w:val="single" w:color="auto"/>
                      <w:lang w:val="en-US" w:eastAsia="zh-CN"/>
                    </w:rPr>
                  </w:pPr>
                  <w:r>
                    <w:rPr>
                      <w:rFonts w:hint="default"/>
                      <w:u w:val="single" w:color="auto"/>
                      <w:lang w:val="en-US" w:eastAsia="zh-CN"/>
                    </w:rPr>
                    <w:t>分区防渗</w:t>
                  </w:r>
                </w:p>
              </w:tc>
              <w:tc>
                <w:tcPr>
                  <w:tcW w:w="1880" w:type="pct"/>
                  <w:noWrap w:val="0"/>
                  <w:vAlign w:val="center"/>
                </w:tcPr>
                <w:p w14:paraId="62C58192">
                  <w:pPr>
                    <w:pStyle w:val="115"/>
                    <w:bidi w:val="0"/>
                    <w:rPr>
                      <w:rFonts w:hint="default"/>
                      <w:u w:val="single" w:color="auto"/>
                      <w:lang w:val="en-US" w:eastAsia="zh-CN"/>
                    </w:rPr>
                  </w:pPr>
                  <w:r>
                    <w:rPr>
                      <w:rFonts w:hint="default"/>
                      <w:u w:val="single" w:color="auto"/>
                      <w:lang w:val="en-US" w:eastAsia="zh-CN"/>
                    </w:rPr>
                    <w:t>沉淀池为一般防渗区；进场道路为简单防渗区</w:t>
                  </w:r>
                </w:p>
              </w:tc>
              <w:tc>
                <w:tcPr>
                  <w:tcW w:w="737" w:type="pct"/>
                  <w:noWrap w:val="0"/>
                  <w:vAlign w:val="center"/>
                </w:tcPr>
                <w:p w14:paraId="7F0B64CA">
                  <w:pPr>
                    <w:pStyle w:val="115"/>
                    <w:bidi w:val="0"/>
                    <w:rPr>
                      <w:rFonts w:hint="default"/>
                      <w:u w:val="single" w:color="auto"/>
                      <w:lang w:val="en-US" w:eastAsia="zh-CN"/>
                    </w:rPr>
                  </w:pPr>
                  <w:r>
                    <w:rPr>
                      <w:rFonts w:hint="eastAsia"/>
                      <w:u w:val="single" w:color="auto"/>
                      <w:lang w:val="en-US" w:eastAsia="zh-CN"/>
                    </w:rPr>
                    <w:t>5</w:t>
                  </w:r>
                </w:p>
              </w:tc>
            </w:tr>
            <w:tr w14:paraId="36C255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631" w:type="pct"/>
                  <w:vMerge w:val="continue"/>
                  <w:noWrap w:val="0"/>
                  <w:vAlign w:val="center"/>
                </w:tcPr>
                <w:p w14:paraId="318700B2">
                  <w:pPr>
                    <w:pStyle w:val="115"/>
                    <w:bidi w:val="0"/>
                    <w:rPr>
                      <w:rFonts w:hint="default"/>
                      <w:u w:val="single" w:color="auto"/>
                      <w:lang w:val="en-US" w:eastAsia="zh-CN"/>
                    </w:rPr>
                  </w:pPr>
                </w:p>
              </w:tc>
              <w:tc>
                <w:tcPr>
                  <w:tcW w:w="516" w:type="pct"/>
                  <w:vMerge w:val="continue"/>
                  <w:noWrap w:val="0"/>
                  <w:vAlign w:val="center"/>
                </w:tcPr>
                <w:p w14:paraId="2A7BE736">
                  <w:pPr>
                    <w:pStyle w:val="115"/>
                    <w:bidi w:val="0"/>
                    <w:rPr>
                      <w:rFonts w:hint="default"/>
                      <w:u w:val="single" w:color="auto"/>
                      <w:lang w:val="en-US" w:eastAsia="zh-CN"/>
                    </w:rPr>
                  </w:pPr>
                </w:p>
              </w:tc>
              <w:tc>
                <w:tcPr>
                  <w:tcW w:w="1234" w:type="pct"/>
                  <w:noWrap w:val="0"/>
                  <w:vAlign w:val="center"/>
                </w:tcPr>
                <w:p w14:paraId="5A6E37DA">
                  <w:pPr>
                    <w:pStyle w:val="115"/>
                    <w:bidi w:val="0"/>
                    <w:rPr>
                      <w:rFonts w:hint="default"/>
                      <w:u w:val="single" w:color="auto"/>
                      <w:lang w:val="en-US" w:eastAsia="zh-CN"/>
                    </w:rPr>
                  </w:pPr>
                  <w:r>
                    <w:rPr>
                      <w:rFonts w:hint="default"/>
                      <w:u w:val="single" w:color="auto"/>
                      <w:lang w:val="en-US" w:eastAsia="zh-CN"/>
                    </w:rPr>
                    <w:t>环境监测</w:t>
                  </w:r>
                </w:p>
              </w:tc>
              <w:tc>
                <w:tcPr>
                  <w:tcW w:w="1880" w:type="pct"/>
                  <w:noWrap w:val="0"/>
                  <w:vAlign w:val="center"/>
                </w:tcPr>
                <w:p w14:paraId="6469C5FD">
                  <w:pPr>
                    <w:pStyle w:val="115"/>
                    <w:bidi w:val="0"/>
                    <w:rPr>
                      <w:rFonts w:hint="default"/>
                      <w:u w:val="single" w:color="auto"/>
                      <w:lang w:val="en-US" w:eastAsia="zh-CN"/>
                    </w:rPr>
                  </w:pPr>
                  <w:r>
                    <w:rPr>
                      <w:rFonts w:hint="default"/>
                      <w:u w:val="single" w:color="auto"/>
                      <w:lang w:val="en-US" w:eastAsia="zh-CN"/>
                    </w:rPr>
                    <w:t>对监测井定期检测</w:t>
                  </w:r>
                </w:p>
              </w:tc>
              <w:tc>
                <w:tcPr>
                  <w:tcW w:w="737" w:type="pct"/>
                  <w:noWrap w:val="0"/>
                  <w:vAlign w:val="center"/>
                </w:tcPr>
                <w:p w14:paraId="510A928A">
                  <w:pPr>
                    <w:pStyle w:val="115"/>
                    <w:bidi w:val="0"/>
                    <w:rPr>
                      <w:rFonts w:hint="default"/>
                      <w:u w:val="single" w:color="auto"/>
                      <w:lang w:val="en-US" w:eastAsia="zh-CN"/>
                    </w:rPr>
                  </w:pPr>
                  <w:r>
                    <w:rPr>
                      <w:rFonts w:hint="eastAsia"/>
                      <w:u w:val="single" w:color="auto"/>
                      <w:lang w:val="en-US" w:eastAsia="zh-CN"/>
                    </w:rPr>
                    <w:t>4</w:t>
                  </w:r>
                </w:p>
              </w:tc>
            </w:tr>
            <w:tr w14:paraId="3F83F4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1147" w:type="pct"/>
                  <w:gridSpan w:val="2"/>
                  <w:vMerge w:val="restart"/>
                  <w:shd w:val="clear" w:color="auto" w:fill="auto"/>
                  <w:noWrap w:val="0"/>
                  <w:vAlign w:val="center"/>
                </w:tcPr>
                <w:p w14:paraId="5EB44661">
                  <w:pPr>
                    <w:pStyle w:val="115"/>
                    <w:bidi w:val="0"/>
                    <w:rPr>
                      <w:rFonts w:hint="default"/>
                      <w:u w:val="single" w:color="auto"/>
                      <w:lang w:val="en-US" w:eastAsia="zh-CN"/>
                    </w:rPr>
                  </w:pPr>
                  <w:r>
                    <w:rPr>
                      <w:rFonts w:hint="eastAsia"/>
                      <w:u w:val="single" w:color="auto"/>
                      <w:lang w:val="en-US" w:eastAsia="zh-CN"/>
                    </w:rPr>
                    <w:t>生态保护</w:t>
                  </w:r>
                </w:p>
              </w:tc>
              <w:tc>
                <w:tcPr>
                  <w:tcW w:w="1234" w:type="pct"/>
                  <w:shd w:val="clear" w:color="auto" w:fill="auto"/>
                  <w:noWrap w:val="0"/>
                  <w:vAlign w:val="center"/>
                </w:tcPr>
                <w:p w14:paraId="754CE2ED">
                  <w:pPr>
                    <w:pStyle w:val="115"/>
                    <w:bidi w:val="0"/>
                    <w:rPr>
                      <w:rFonts w:hint="default"/>
                      <w:u w:val="single" w:color="auto"/>
                      <w:lang w:val="en-US" w:eastAsia="zh-CN"/>
                    </w:rPr>
                  </w:pPr>
                  <w:r>
                    <w:rPr>
                      <w:rFonts w:hint="default"/>
                      <w:u w:val="single" w:color="auto"/>
                      <w:lang w:val="en-US" w:eastAsia="zh-CN"/>
                    </w:rPr>
                    <w:t>生态恢复措施</w:t>
                  </w:r>
                </w:p>
              </w:tc>
              <w:tc>
                <w:tcPr>
                  <w:tcW w:w="1880" w:type="pct"/>
                  <w:shd w:val="clear" w:color="auto" w:fill="auto"/>
                  <w:noWrap w:val="0"/>
                  <w:vAlign w:val="center"/>
                </w:tcPr>
                <w:p w14:paraId="6B4C1EE9">
                  <w:pPr>
                    <w:pStyle w:val="115"/>
                    <w:bidi w:val="0"/>
                    <w:rPr>
                      <w:rFonts w:hint="default"/>
                      <w:u w:val="single" w:color="auto"/>
                      <w:lang w:val="en-US" w:eastAsia="zh-CN"/>
                    </w:rPr>
                  </w:pPr>
                  <w:r>
                    <w:rPr>
                      <w:rFonts w:hint="eastAsia"/>
                      <w:u w:val="single" w:color="auto"/>
                      <w:lang w:val="en-US" w:eastAsia="zh-CN"/>
                    </w:rPr>
                    <w:t>水土保持、植被恢复、绿化养护等</w:t>
                  </w:r>
                </w:p>
              </w:tc>
              <w:tc>
                <w:tcPr>
                  <w:tcW w:w="737" w:type="pct"/>
                  <w:noWrap w:val="0"/>
                  <w:vAlign w:val="center"/>
                </w:tcPr>
                <w:p w14:paraId="2FE487B0">
                  <w:pPr>
                    <w:pStyle w:val="115"/>
                    <w:bidi w:val="0"/>
                    <w:rPr>
                      <w:rFonts w:hint="eastAsia"/>
                      <w:u w:val="single" w:color="auto"/>
                      <w:lang w:val="en-US" w:eastAsia="zh-CN"/>
                    </w:rPr>
                  </w:pPr>
                  <w:r>
                    <w:rPr>
                      <w:rFonts w:hint="eastAsia"/>
                      <w:u w:val="single" w:color="auto"/>
                      <w:lang w:val="en-US" w:eastAsia="zh-CN"/>
                    </w:rPr>
                    <w:t>5</w:t>
                  </w:r>
                </w:p>
              </w:tc>
            </w:tr>
            <w:tr w14:paraId="18DB99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1147" w:type="pct"/>
                  <w:gridSpan w:val="2"/>
                  <w:vMerge w:val="continue"/>
                  <w:noWrap w:val="0"/>
                  <w:vAlign w:val="center"/>
                </w:tcPr>
                <w:p w14:paraId="04CA7EFA">
                  <w:pPr>
                    <w:pStyle w:val="115"/>
                    <w:bidi w:val="0"/>
                    <w:rPr>
                      <w:rFonts w:hint="default"/>
                      <w:u w:val="single" w:color="auto"/>
                      <w:lang w:val="en-US" w:eastAsia="zh-CN"/>
                    </w:rPr>
                  </w:pPr>
                </w:p>
              </w:tc>
              <w:tc>
                <w:tcPr>
                  <w:tcW w:w="1234" w:type="pct"/>
                  <w:shd w:val="clear" w:color="auto" w:fill="auto"/>
                  <w:noWrap w:val="0"/>
                  <w:vAlign w:val="center"/>
                </w:tcPr>
                <w:p w14:paraId="2092A8D6">
                  <w:pPr>
                    <w:pStyle w:val="115"/>
                    <w:bidi w:val="0"/>
                    <w:rPr>
                      <w:rFonts w:hint="default"/>
                      <w:u w:val="single" w:color="auto"/>
                      <w:lang w:val="en-US" w:eastAsia="zh-CN"/>
                    </w:rPr>
                  </w:pPr>
                  <w:r>
                    <w:rPr>
                      <w:rFonts w:hint="default"/>
                      <w:u w:val="single" w:color="auto"/>
                      <w:lang w:val="en-US" w:eastAsia="zh-CN"/>
                    </w:rPr>
                    <w:t>生态</w:t>
                  </w:r>
                  <w:r>
                    <w:rPr>
                      <w:rFonts w:hint="eastAsia"/>
                      <w:u w:val="single" w:color="auto"/>
                      <w:lang w:val="en-US" w:eastAsia="zh-CN"/>
                    </w:rPr>
                    <w:t>环境监测</w:t>
                  </w:r>
                </w:p>
              </w:tc>
              <w:tc>
                <w:tcPr>
                  <w:tcW w:w="1880" w:type="pct"/>
                  <w:shd w:val="clear" w:color="auto" w:fill="auto"/>
                  <w:noWrap w:val="0"/>
                  <w:vAlign w:val="center"/>
                </w:tcPr>
                <w:p w14:paraId="7AAFBC7D">
                  <w:pPr>
                    <w:pStyle w:val="115"/>
                    <w:bidi w:val="0"/>
                    <w:rPr>
                      <w:rFonts w:hint="default"/>
                      <w:u w:val="single" w:color="auto"/>
                      <w:lang w:val="en-US" w:eastAsia="zh-CN"/>
                    </w:rPr>
                  </w:pPr>
                  <w:r>
                    <w:rPr>
                      <w:rFonts w:hint="eastAsia"/>
                      <w:u w:val="single" w:color="auto"/>
                      <w:lang w:val="en-US" w:eastAsia="zh-CN"/>
                    </w:rPr>
                    <w:t>对场界噪声、场区大气、地下水监控井、地表水、土壤、堆体稳定性以及植被恢复情况定期检测</w:t>
                  </w:r>
                </w:p>
              </w:tc>
              <w:tc>
                <w:tcPr>
                  <w:tcW w:w="737" w:type="pct"/>
                  <w:noWrap w:val="0"/>
                  <w:vAlign w:val="center"/>
                </w:tcPr>
                <w:p w14:paraId="4CEDDB77">
                  <w:pPr>
                    <w:pStyle w:val="115"/>
                    <w:bidi w:val="0"/>
                    <w:rPr>
                      <w:rFonts w:hint="default"/>
                      <w:u w:val="single" w:color="auto"/>
                      <w:lang w:val="en-US" w:eastAsia="zh-CN"/>
                    </w:rPr>
                  </w:pPr>
                  <w:r>
                    <w:rPr>
                      <w:rFonts w:hint="eastAsia"/>
                      <w:u w:val="single" w:color="auto"/>
                      <w:lang w:val="en-US" w:eastAsia="zh-CN"/>
                    </w:rPr>
                    <w:t>10</w:t>
                  </w:r>
                </w:p>
              </w:tc>
            </w:tr>
            <w:tr w14:paraId="5DF831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1" w:type="dxa"/>
                  <w:bottom w:w="0" w:type="dxa"/>
                  <w:right w:w="51" w:type="dxa"/>
                </w:tblCellMar>
              </w:tblPrEx>
              <w:trPr>
                <w:trHeight w:val="454" w:hRule="atLeast"/>
                <w:jc w:val="center"/>
              </w:trPr>
              <w:tc>
                <w:tcPr>
                  <w:tcW w:w="4262" w:type="pct"/>
                  <w:gridSpan w:val="4"/>
                  <w:noWrap w:val="0"/>
                  <w:vAlign w:val="center"/>
                </w:tcPr>
                <w:p w14:paraId="1EAA62F8">
                  <w:pPr>
                    <w:pStyle w:val="115"/>
                    <w:bidi w:val="0"/>
                    <w:rPr>
                      <w:rFonts w:hint="default"/>
                      <w:u w:val="single" w:color="auto"/>
                      <w:lang w:val="en-US" w:eastAsia="zh-CN"/>
                    </w:rPr>
                  </w:pPr>
                  <w:r>
                    <w:rPr>
                      <w:rFonts w:hint="default"/>
                      <w:u w:val="single" w:color="auto"/>
                      <w:lang w:val="en-US" w:eastAsia="zh-CN"/>
                    </w:rPr>
                    <w:t>小</w:t>
                  </w:r>
                  <w:r>
                    <w:rPr>
                      <w:rFonts w:hint="default"/>
                      <w:u w:val="single" w:color="auto"/>
                    </w:rPr>
                    <w:t>计</w:t>
                  </w:r>
                </w:p>
              </w:tc>
              <w:tc>
                <w:tcPr>
                  <w:tcW w:w="737" w:type="pct"/>
                  <w:noWrap w:val="0"/>
                  <w:vAlign w:val="center"/>
                </w:tcPr>
                <w:p w14:paraId="3C618888">
                  <w:pPr>
                    <w:pStyle w:val="115"/>
                    <w:bidi w:val="0"/>
                    <w:rPr>
                      <w:rFonts w:hint="default"/>
                      <w:u w:val="single" w:color="auto"/>
                      <w:lang w:val="en-US" w:eastAsia="zh-CN"/>
                    </w:rPr>
                  </w:pPr>
                  <w:r>
                    <w:rPr>
                      <w:rFonts w:hint="eastAsia"/>
                      <w:u w:val="single" w:color="auto"/>
                      <w:lang w:val="en-US" w:eastAsia="zh-CN"/>
                    </w:rPr>
                    <w:t>89.1</w:t>
                  </w:r>
                </w:p>
              </w:tc>
            </w:tr>
          </w:tbl>
          <w:p w14:paraId="7C3D648E">
            <w:pPr>
              <w:pStyle w:val="35"/>
              <w:rPr>
                <w:vertAlign w:val="baseline"/>
              </w:rPr>
            </w:pPr>
          </w:p>
        </w:tc>
      </w:tr>
    </w:tbl>
    <w:p w14:paraId="0C80EE39">
      <w:pPr>
        <w:pStyle w:val="35"/>
        <w:sectPr>
          <w:pgSz w:w="11906" w:h="16838"/>
          <w:pgMar w:top="1440" w:right="1080" w:bottom="1440" w:left="1080" w:header="851" w:footer="680" w:gutter="0"/>
          <w:cols w:space="720" w:num="1"/>
          <w:docGrid w:type="lines" w:linePitch="312" w:charSpace="0"/>
        </w:sectPr>
      </w:pPr>
    </w:p>
    <w:p w14:paraId="2B341301">
      <w:pPr>
        <w:pStyle w:val="3"/>
        <w:numPr>
          <w:ilvl w:val="0"/>
          <w:numId w:val="0"/>
        </w:numPr>
        <w:ind w:firstLine="0" w:firstLineChars="0"/>
        <w:rPr>
          <w:rFonts w:hint="eastAsia"/>
          <w:u w:val="none"/>
        </w:rPr>
      </w:pPr>
      <w:bookmarkStart w:id="116" w:name="_Toc69978399"/>
      <w:bookmarkStart w:id="117" w:name="_Toc16658"/>
      <w:bookmarkStart w:id="118" w:name="_Toc69978190"/>
      <w:bookmarkStart w:id="119" w:name="_Toc30262"/>
      <w:bookmarkStart w:id="120" w:name="_Toc69978267"/>
      <w:bookmarkStart w:id="121" w:name="_Toc18293"/>
      <w:bookmarkStart w:id="122" w:name="_Toc69979336"/>
      <w:bookmarkStart w:id="123" w:name="_Toc69979313"/>
      <w:bookmarkStart w:id="124" w:name="_Toc16222"/>
      <w:r>
        <w:rPr>
          <w:rFonts w:hint="eastAsia" w:ascii="Times New Roman" w:hAnsi="Times New Roman" w:eastAsia="宋体" w:cs="Times New Roman"/>
          <w:b/>
          <w:kern w:val="44"/>
          <w:sz w:val="30"/>
          <w:szCs w:val="24"/>
          <w:u w:val="none"/>
          <w:lang w:val="en-US" w:eastAsia="zh-CN" w:bidi="ar-SA"/>
        </w:rPr>
        <w:t>五、</w:t>
      </w:r>
      <w:r>
        <w:rPr>
          <w:rFonts w:hint="eastAsia"/>
          <w:u w:val="none"/>
        </w:rPr>
        <w:t>环境保护措施监督检查清单</w:t>
      </w:r>
      <w:bookmarkEnd w:id="116"/>
      <w:bookmarkEnd w:id="117"/>
      <w:bookmarkEnd w:id="118"/>
      <w:bookmarkEnd w:id="119"/>
      <w:bookmarkEnd w:id="120"/>
      <w:bookmarkEnd w:id="121"/>
      <w:bookmarkEnd w:id="122"/>
      <w:bookmarkEnd w:id="123"/>
      <w:bookmarkEnd w:id="124"/>
    </w:p>
    <w:tbl>
      <w:tblPr>
        <w:tblStyle w:val="38"/>
        <w:tblW w:w="49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400"/>
        <w:gridCol w:w="1327"/>
        <w:gridCol w:w="1828"/>
        <w:gridCol w:w="2189"/>
        <w:gridCol w:w="2159"/>
      </w:tblGrid>
      <w:tr w14:paraId="5B555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tcBorders>
              <w:tl2br w:val="single" w:color="auto" w:sz="4" w:space="0"/>
            </w:tcBorders>
            <w:noWrap w:val="0"/>
            <w:vAlign w:val="top"/>
          </w:tcPr>
          <w:p w14:paraId="1E964E0F">
            <w:pPr>
              <w:spacing w:line="240" w:lineRule="auto"/>
              <w:ind w:firstLine="0" w:firstLineChars="0"/>
              <w:jc w:val="right"/>
              <w:rPr>
                <w:rFonts w:hint="eastAsia"/>
                <w:b/>
                <w:sz w:val="21"/>
                <w:szCs w:val="21"/>
                <w:u w:val="none"/>
                <w:lang w:val="en-US" w:eastAsia="zh-CN"/>
              </w:rPr>
            </w:pPr>
            <w:r>
              <w:rPr>
                <w:rFonts w:hint="eastAsia"/>
                <w:b/>
                <w:sz w:val="21"/>
                <w:szCs w:val="21"/>
                <w:u w:val="none"/>
                <w:lang w:val="en-US" w:eastAsia="zh-CN"/>
              </w:rPr>
              <w:t>内容</w:t>
            </w:r>
          </w:p>
          <w:p w14:paraId="113E6E95">
            <w:pPr>
              <w:spacing w:line="240" w:lineRule="auto"/>
              <w:ind w:firstLine="0" w:firstLineChars="0"/>
              <w:jc w:val="left"/>
              <w:rPr>
                <w:rFonts w:hint="eastAsia"/>
                <w:b/>
                <w:sz w:val="21"/>
                <w:szCs w:val="21"/>
                <w:u w:val="none"/>
                <w:lang w:val="en-US" w:eastAsia="zh-CN"/>
              </w:rPr>
            </w:pPr>
            <w:r>
              <w:rPr>
                <w:rFonts w:hint="eastAsia"/>
                <w:b/>
                <w:sz w:val="21"/>
                <w:szCs w:val="21"/>
                <w:u w:val="none"/>
                <w:lang w:val="en-US" w:eastAsia="zh-CN"/>
              </w:rPr>
              <w:t>要素</w:t>
            </w:r>
          </w:p>
        </w:tc>
        <w:tc>
          <w:tcPr>
            <w:tcW w:w="1371" w:type="pct"/>
            <w:gridSpan w:val="2"/>
            <w:noWrap w:val="0"/>
            <w:vAlign w:val="center"/>
          </w:tcPr>
          <w:p w14:paraId="1E5D54EC">
            <w:pPr>
              <w:spacing w:line="240" w:lineRule="auto"/>
              <w:ind w:firstLine="0" w:firstLineChars="0"/>
              <w:jc w:val="center"/>
              <w:rPr>
                <w:rFonts w:hint="eastAsia"/>
                <w:b/>
                <w:sz w:val="21"/>
                <w:szCs w:val="21"/>
                <w:u w:val="none"/>
                <w:lang w:val="en-US" w:eastAsia="zh-CN"/>
              </w:rPr>
            </w:pPr>
            <w:r>
              <w:rPr>
                <w:rFonts w:hint="eastAsia"/>
                <w:b/>
                <w:sz w:val="21"/>
                <w:szCs w:val="21"/>
                <w:u w:val="none"/>
                <w:lang w:val="en-US" w:eastAsia="zh-CN"/>
              </w:rPr>
              <w:t>排放口（编号、名称）/污染源</w:t>
            </w:r>
          </w:p>
        </w:tc>
        <w:tc>
          <w:tcPr>
            <w:tcW w:w="919" w:type="pct"/>
            <w:noWrap w:val="0"/>
            <w:vAlign w:val="center"/>
          </w:tcPr>
          <w:p w14:paraId="76FF0DC7">
            <w:pPr>
              <w:spacing w:line="240" w:lineRule="auto"/>
              <w:ind w:firstLine="0" w:firstLineChars="0"/>
              <w:jc w:val="center"/>
              <w:rPr>
                <w:rFonts w:hint="eastAsia"/>
                <w:b/>
                <w:sz w:val="21"/>
                <w:szCs w:val="21"/>
                <w:u w:val="none"/>
                <w:lang w:val="en-US" w:eastAsia="zh-CN"/>
              </w:rPr>
            </w:pPr>
            <w:r>
              <w:rPr>
                <w:rFonts w:hint="eastAsia"/>
                <w:b/>
                <w:sz w:val="21"/>
                <w:szCs w:val="21"/>
                <w:u w:val="none"/>
                <w:lang w:val="en-US" w:eastAsia="zh-CN"/>
              </w:rPr>
              <w:t>污染物项目</w:t>
            </w:r>
          </w:p>
        </w:tc>
        <w:tc>
          <w:tcPr>
            <w:tcW w:w="1101" w:type="pct"/>
            <w:noWrap w:val="0"/>
            <w:vAlign w:val="center"/>
          </w:tcPr>
          <w:p w14:paraId="63AE6AB9">
            <w:pPr>
              <w:spacing w:line="240" w:lineRule="auto"/>
              <w:ind w:firstLine="0" w:firstLineChars="0"/>
              <w:jc w:val="center"/>
              <w:rPr>
                <w:rFonts w:hint="eastAsia"/>
                <w:b/>
                <w:sz w:val="21"/>
                <w:szCs w:val="21"/>
                <w:u w:val="none"/>
                <w:lang w:val="en-US" w:eastAsia="zh-CN"/>
              </w:rPr>
            </w:pPr>
            <w:r>
              <w:rPr>
                <w:rFonts w:hint="eastAsia"/>
                <w:b/>
                <w:sz w:val="21"/>
                <w:szCs w:val="21"/>
                <w:u w:val="none"/>
                <w:lang w:val="en-US" w:eastAsia="zh-CN"/>
              </w:rPr>
              <w:t>环境保护措施</w:t>
            </w:r>
          </w:p>
        </w:tc>
        <w:tc>
          <w:tcPr>
            <w:tcW w:w="1086" w:type="pct"/>
            <w:noWrap w:val="0"/>
            <w:vAlign w:val="center"/>
          </w:tcPr>
          <w:p w14:paraId="0B9C6628">
            <w:pPr>
              <w:spacing w:line="240" w:lineRule="auto"/>
              <w:ind w:firstLine="0" w:firstLineChars="0"/>
              <w:jc w:val="center"/>
              <w:rPr>
                <w:rFonts w:hint="eastAsia"/>
                <w:b/>
                <w:sz w:val="21"/>
                <w:szCs w:val="21"/>
                <w:u w:val="none"/>
                <w:lang w:val="en-US" w:eastAsia="zh-CN"/>
              </w:rPr>
            </w:pPr>
            <w:r>
              <w:rPr>
                <w:rFonts w:hint="eastAsia"/>
                <w:b/>
                <w:sz w:val="21"/>
                <w:szCs w:val="21"/>
                <w:u w:val="none"/>
                <w:lang w:val="en-US" w:eastAsia="zh-CN"/>
              </w:rPr>
              <w:t>执行标准</w:t>
            </w:r>
          </w:p>
        </w:tc>
      </w:tr>
      <w:tr w14:paraId="63468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restart"/>
            <w:noWrap w:val="0"/>
            <w:vAlign w:val="center"/>
          </w:tcPr>
          <w:p w14:paraId="1B2E8CF7">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大气环境</w:t>
            </w:r>
          </w:p>
        </w:tc>
        <w:tc>
          <w:tcPr>
            <w:tcW w:w="704" w:type="pct"/>
            <w:shd w:val="clear" w:color="auto" w:fill="auto"/>
            <w:noWrap w:val="0"/>
            <w:vAlign w:val="center"/>
          </w:tcPr>
          <w:p w14:paraId="554C7409">
            <w:pPr>
              <w:pStyle w:val="115"/>
              <w:bidi w:val="0"/>
              <w:ind w:firstLine="0" w:firstLineChars="0"/>
              <w:rPr>
                <w:rFonts w:hint="default" w:ascii="Times New Roman" w:hAnsi="Times New Roman" w:eastAsia="宋体" w:cs="Times New Roman"/>
                <w:color w:val="auto"/>
                <w:kern w:val="0"/>
                <w:sz w:val="21"/>
                <w:szCs w:val="21"/>
                <w:u w:val="single" w:color="auto"/>
                <w:lang w:val="en-US" w:eastAsia="zh-CN" w:bidi="ar-SA"/>
              </w:rPr>
            </w:pPr>
            <w:r>
              <w:rPr>
                <w:rFonts w:hint="eastAsia" w:cs="Times New Roman"/>
                <w:color w:val="auto"/>
                <w:kern w:val="0"/>
                <w:sz w:val="21"/>
                <w:szCs w:val="21"/>
                <w:u w:val="single" w:color="auto"/>
                <w:lang w:val="en-US" w:eastAsia="zh-CN" w:bidi="ar-SA"/>
              </w:rPr>
              <w:t>无组织废气</w:t>
            </w:r>
          </w:p>
        </w:tc>
        <w:tc>
          <w:tcPr>
            <w:tcW w:w="667" w:type="pct"/>
            <w:shd w:val="clear" w:color="auto" w:fill="auto"/>
            <w:noWrap w:val="0"/>
            <w:vAlign w:val="center"/>
          </w:tcPr>
          <w:p w14:paraId="712C6DE0">
            <w:pPr>
              <w:pStyle w:val="115"/>
              <w:bidi w:val="0"/>
              <w:ind w:firstLine="0" w:firstLineChars="0"/>
              <w:rPr>
                <w:rFonts w:hint="default"/>
                <w:u w:val="single" w:color="auto"/>
              </w:rPr>
            </w:pPr>
            <w:r>
              <w:rPr>
                <w:rFonts w:hint="default"/>
                <w:u w:val="single" w:color="auto"/>
              </w:rPr>
              <w:t>车辆运输扬尘</w:t>
            </w:r>
          </w:p>
        </w:tc>
        <w:tc>
          <w:tcPr>
            <w:tcW w:w="919" w:type="pct"/>
            <w:shd w:val="clear" w:color="auto" w:fill="auto"/>
            <w:noWrap w:val="0"/>
            <w:vAlign w:val="center"/>
          </w:tcPr>
          <w:p w14:paraId="2D28F969">
            <w:pPr>
              <w:pStyle w:val="76"/>
              <w:ind w:firstLine="0" w:firstLineChars="0"/>
              <w:rPr>
                <w:rFonts w:hint="default" w:ascii="Times New Roman" w:hAnsi="Times New Roman" w:eastAsia="宋体" w:cs="Times New Roman"/>
                <w:color w:val="auto"/>
                <w:kern w:val="2"/>
                <w:sz w:val="21"/>
                <w:szCs w:val="21"/>
                <w:u w:val="single" w:color="auto"/>
                <w:lang w:val="en-US" w:eastAsia="zh-CN" w:bidi="zh-CN"/>
              </w:rPr>
            </w:pPr>
            <w:r>
              <w:rPr>
                <w:rFonts w:hint="eastAsia" w:cs="Times New Roman"/>
                <w:color w:val="auto"/>
                <w:szCs w:val="21"/>
                <w:u w:val="single" w:color="auto"/>
                <w:lang w:val="en-US" w:bidi="zh-CN"/>
              </w:rPr>
              <w:t>颗粒物</w:t>
            </w:r>
          </w:p>
        </w:tc>
        <w:tc>
          <w:tcPr>
            <w:tcW w:w="1101" w:type="pct"/>
            <w:shd w:val="clear" w:color="auto" w:fill="auto"/>
            <w:noWrap w:val="0"/>
            <w:vAlign w:val="center"/>
          </w:tcPr>
          <w:p w14:paraId="02A407C9">
            <w:pPr>
              <w:pStyle w:val="115"/>
              <w:bidi w:val="0"/>
              <w:ind w:firstLine="0" w:firstLineChars="0"/>
              <w:rPr>
                <w:rFonts w:hint="default" w:ascii="Times New Roman" w:hAnsi="Times New Roman" w:eastAsia="宋体" w:cs="Times New Roman"/>
                <w:color w:val="auto"/>
                <w:kern w:val="0"/>
                <w:sz w:val="21"/>
                <w:szCs w:val="21"/>
                <w:u w:val="single" w:color="auto"/>
                <w:lang w:val="en-US" w:eastAsia="zh-CN" w:bidi="zh-CN"/>
              </w:rPr>
            </w:pPr>
            <w:r>
              <w:rPr>
                <w:rFonts w:hint="default"/>
                <w:u w:val="single" w:color="auto"/>
                <w:lang w:eastAsia="zh-CN"/>
              </w:rPr>
              <w:t>洒水降尘</w:t>
            </w:r>
            <w:r>
              <w:rPr>
                <w:rFonts w:hint="eastAsia"/>
                <w:u w:val="single" w:color="auto"/>
                <w:lang w:eastAsia="zh-CN"/>
              </w:rPr>
              <w:t>、洗车冲洗平台+洗车池</w:t>
            </w:r>
          </w:p>
        </w:tc>
        <w:tc>
          <w:tcPr>
            <w:tcW w:w="1086" w:type="pct"/>
            <w:vMerge w:val="restart"/>
            <w:noWrap w:val="0"/>
            <w:vAlign w:val="center"/>
          </w:tcPr>
          <w:p w14:paraId="58924EEB">
            <w:pPr>
              <w:pStyle w:val="115"/>
              <w:bidi w:val="0"/>
              <w:ind w:firstLine="0" w:firstLineChars="0"/>
              <w:jc w:val="center"/>
              <w:rPr>
                <w:rFonts w:hint="default" w:ascii="Times New Roman" w:hAnsi="Times New Roman" w:eastAsia="宋体" w:cs="Times New Roman"/>
                <w:sz w:val="21"/>
                <w:szCs w:val="21"/>
                <w:u w:val="single" w:color="auto"/>
                <w:lang w:val="en-US" w:eastAsia="zh-CN"/>
              </w:rPr>
            </w:pPr>
            <w:r>
              <w:rPr>
                <w:rFonts w:hint="default" w:ascii="Times New Roman" w:hAnsi="Times New Roman" w:eastAsia="宋体" w:cs="Times New Roman"/>
                <w:sz w:val="21"/>
                <w:szCs w:val="21"/>
                <w:u w:val="single" w:color="auto"/>
                <w:lang w:val="en-US" w:eastAsia="zh-CN"/>
              </w:rPr>
              <w:t>《大气污染物综合排放标准》（GB16297-1996）中表2新污染源大气污染物排放限值中无组织排放监控浓度限值</w:t>
            </w:r>
          </w:p>
        </w:tc>
      </w:tr>
      <w:tr w14:paraId="64BC5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0F65B53C">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704" w:type="pct"/>
            <w:shd w:val="clear" w:color="auto" w:fill="auto"/>
            <w:noWrap w:val="0"/>
            <w:vAlign w:val="center"/>
          </w:tcPr>
          <w:p w14:paraId="4A04D091">
            <w:pPr>
              <w:pStyle w:val="115"/>
              <w:bidi w:val="0"/>
              <w:ind w:firstLine="0" w:firstLineChars="0"/>
              <w:jc w:val="center"/>
              <w:rPr>
                <w:rFonts w:hint="default"/>
                <w:u w:val="single" w:color="auto"/>
              </w:rPr>
            </w:pPr>
            <w:r>
              <w:rPr>
                <w:rFonts w:hint="eastAsia" w:cs="Times New Roman"/>
                <w:color w:val="auto"/>
                <w:kern w:val="0"/>
                <w:sz w:val="21"/>
                <w:szCs w:val="21"/>
                <w:u w:val="single" w:color="auto"/>
                <w:lang w:val="en-US" w:eastAsia="zh-CN" w:bidi="ar-SA"/>
              </w:rPr>
              <w:t>无组织废气</w:t>
            </w:r>
          </w:p>
        </w:tc>
        <w:tc>
          <w:tcPr>
            <w:tcW w:w="667" w:type="pct"/>
            <w:shd w:val="clear" w:color="auto" w:fill="auto"/>
            <w:noWrap w:val="0"/>
            <w:vAlign w:val="center"/>
          </w:tcPr>
          <w:p w14:paraId="794D82A6">
            <w:pPr>
              <w:pStyle w:val="115"/>
              <w:bidi w:val="0"/>
              <w:ind w:firstLine="0" w:firstLineChars="0"/>
              <w:rPr>
                <w:rFonts w:hint="eastAsia" w:cs="Times New Roman"/>
                <w:color w:val="auto"/>
                <w:szCs w:val="21"/>
                <w:u w:val="single" w:color="auto"/>
                <w:lang w:val="en-US" w:bidi="zh-CN"/>
              </w:rPr>
            </w:pPr>
            <w:r>
              <w:rPr>
                <w:rFonts w:hint="eastAsia" w:cs="Times New Roman"/>
                <w:color w:val="auto"/>
                <w:szCs w:val="21"/>
                <w:u w:val="single" w:color="auto"/>
                <w:lang w:val="en-US" w:bidi="zh-CN"/>
              </w:rPr>
              <w:t>汽车尾气</w:t>
            </w:r>
          </w:p>
        </w:tc>
        <w:tc>
          <w:tcPr>
            <w:tcW w:w="919" w:type="pct"/>
            <w:shd w:val="clear" w:color="auto" w:fill="auto"/>
            <w:noWrap w:val="0"/>
            <w:vAlign w:val="center"/>
          </w:tcPr>
          <w:p w14:paraId="2DB243C2">
            <w:pPr>
              <w:pStyle w:val="76"/>
              <w:ind w:firstLine="0" w:firstLineChars="0"/>
              <w:jc w:val="both"/>
              <w:rPr>
                <w:rFonts w:hint="default" w:cs="Times New Roman"/>
                <w:color w:val="auto"/>
                <w:szCs w:val="21"/>
                <w:u w:val="single" w:color="auto"/>
                <w:lang w:bidi="zh-CN"/>
              </w:rPr>
            </w:pPr>
            <w:r>
              <w:rPr>
                <w:rFonts w:hint="default" w:cs="Times New Roman"/>
                <w:color w:val="auto"/>
                <w:szCs w:val="21"/>
                <w:u w:val="single" w:color="auto"/>
                <w:lang w:bidi="zh-CN"/>
              </w:rPr>
              <w:t>CO</w:t>
            </w:r>
            <w:r>
              <w:rPr>
                <w:rFonts w:hint="eastAsia" w:cs="Times New Roman"/>
                <w:color w:val="auto"/>
                <w:szCs w:val="21"/>
                <w:u w:val="single" w:color="auto"/>
                <w:lang w:bidi="zh-CN"/>
              </w:rPr>
              <w:t>、</w:t>
            </w:r>
            <w:r>
              <w:rPr>
                <w:rFonts w:hint="default" w:cs="Times New Roman"/>
                <w:color w:val="auto"/>
                <w:szCs w:val="21"/>
                <w:u w:val="single" w:color="auto"/>
                <w:lang w:bidi="zh-CN"/>
              </w:rPr>
              <w:t>THC</w:t>
            </w:r>
            <w:r>
              <w:rPr>
                <w:rFonts w:hint="eastAsia" w:cs="Times New Roman"/>
                <w:color w:val="auto"/>
                <w:szCs w:val="21"/>
                <w:u w:val="single" w:color="auto"/>
                <w:lang w:bidi="zh-CN"/>
              </w:rPr>
              <w:t>、</w:t>
            </w:r>
            <w:r>
              <w:rPr>
                <w:rFonts w:hint="default" w:cs="Times New Roman"/>
                <w:color w:val="auto"/>
                <w:szCs w:val="21"/>
                <w:u w:val="single" w:color="auto"/>
                <w:lang w:bidi="zh-CN"/>
              </w:rPr>
              <w:t>NOx</w:t>
            </w:r>
          </w:p>
        </w:tc>
        <w:tc>
          <w:tcPr>
            <w:tcW w:w="1101" w:type="pct"/>
            <w:shd w:val="clear" w:color="auto" w:fill="auto"/>
            <w:noWrap w:val="0"/>
            <w:vAlign w:val="center"/>
          </w:tcPr>
          <w:p w14:paraId="27ED9010">
            <w:pPr>
              <w:pStyle w:val="115"/>
              <w:bidi w:val="0"/>
              <w:ind w:firstLine="0" w:firstLineChars="0"/>
              <w:rPr>
                <w:rFonts w:hint="default"/>
                <w:u w:val="single" w:color="auto"/>
                <w:lang w:val="en-US" w:eastAsia="zh-CN"/>
              </w:rPr>
            </w:pPr>
            <w:r>
              <w:rPr>
                <w:rFonts w:hint="default"/>
                <w:u w:val="single" w:color="auto"/>
                <w:lang w:val="en-US" w:eastAsia="zh-CN"/>
              </w:rPr>
              <w:t>定期</w:t>
            </w:r>
            <w:r>
              <w:rPr>
                <w:rFonts w:hint="default"/>
                <w:u w:val="single" w:color="auto"/>
              </w:rPr>
              <w:t>维护保养</w:t>
            </w:r>
          </w:p>
        </w:tc>
        <w:tc>
          <w:tcPr>
            <w:tcW w:w="1086" w:type="pct"/>
            <w:vMerge w:val="continue"/>
            <w:noWrap w:val="0"/>
            <w:vAlign w:val="center"/>
          </w:tcPr>
          <w:p w14:paraId="217424AE">
            <w:pPr>
              <w:pStyle w:val="115"/>
              <w:bidi w:val="0"/>
              <w:ind w:firstLine="0" w:firstLineChars="0"/>
              <w:jc w:val="center"/>
              <w:rPr>
                <w:rFonts w:hint="default" w:ascii="Times New Roman" w:hAnsi="Times New Roman" w:eastAsia="宋体" w:cs="Times New Roman"/>
                <w:sz w:val="21"/>
                <w:szCs w:val="21"/>
                <w:u w:val="single" w:color="auto"/>
                <w:lang w:val="en-US" w:eastAsia="zh-CN"/>
              </w:rPr>
            </w:pPr>
          </w:p>
        </w:tc>
      </w:tr>
      <w:tr w14:paraId="724D4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5000D4F6">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704" w:type="pct"/>
            <w:shd w:val="clear" w:color="auto" w:fill="auto"/>
            <w:noWrap w:val="0"/>
            <w:vAlign w:val="center"/>
          </w:tcPr>
          <w:p w14:paraId="5F773F5B">
            <w:pPr>
              <w:pStyle w:val="115"/>
              <w:bidi w:val="0"/>
              <w:ind w:firstLine="0" w:firstLineChars="0"/>
              <w:rPr>
                <w:rFonts w:hint="eastAsia" w:ascii="宋体" w:hAnsi="宋体" w:eastAsia="宋体" w:cs="宋体"/>
                <w:color w:val="auto"/>
                <w:kern w:val="0"/>
                <w:sz w:val="21"/>
                <w:szCs w:val="21"/>
                <w:u w:val="single" w:color="auto"/>
                <w:lang w:val="en-US" w:eastAsia="zh-CN" w:bidi="ar-SA"/>
              </w:rPr>
            </w:pPr>
            <w:r>
              <w:rPr>
                <w:rFonts w:hint="eastAsia" w:cs="Times New Roman"/>
                <w:color w:val="auto"/>
                <w:kern w:val="0"/>
                <w:sz w:val="21"/>
                <w:szCs w:val="21"/>
                <w:u w:val="single" w:color="auto"/>
                <w:lang w:val="en-US" w:eastAsia="zh-CN" w:bidi="ar-SA"/>
              </w:rPr>
              <w:t>无组织废气</w:t>
            </w:r>
          </w:p>
        </w:tc>
        <w:tc>
          <w:tcPr>
            <w:tcW w:w="667" w:type="pct"/>
            <w:shd w:val="clear" w:color="auto" w:fill="auto"/>
            <w:noWrap w:val="0"/>
            <w:vAlign w:val="center"/>
          </w:tcPr>
          <w:p w14:paraId="3EF64078">
            <w:pPr>
              <w:pStyle w:val="115"/>
              <w:bidi w:val="0"/>
              <w:ind w:firstLine="0" w:firstLineChars="0"/>
              <w:rPr>
                <w:rFonts w:hint="eastAsia" w:ascii="宋体" w:hAnsi="宋体" w:eastAsia="宋体" w:cs="宋体"/>
                <w:color w:val="auto"/>
                <w:kern w:val="0"/>
                <w:sz w:val="21"/>
                <w:szCs w:val="21"/>
                <w:u w:val="single" w:color="auto"/>
                <w:lang w:val="en-US" w:eastAsia="zh-CN" w:bidi="ar-SA"/>
              </w:rPr>
            </w:pPr>
            <w:r>
              <w:rPr>
                <w:rFonts w:hint="eastAsia" w:ascii="宋体" w:hAnsi="宋体" w:eastAsia="宋体" w:cs="宋体"/>
                <w:color w:val="auto"/>
                <w:kern w:val="0"/>
                <w:sz w:val="21"/>
                <w:szCs w:val="21"/>
                <w:u w:val="single" w:color="auto"/>
                <w:lang w:val="en-US" w:eastAsia="zh-CN" w:bidi="ar-SA"/>
              </w:rPr>
              <w:t>碾压扬尘</w:t>
            </w:r>
          </w:p>
        </w:tc>
        <w:tc>
          <w:tcPr>
            <w:tcW w:w="919" w:type="pct"/>
            <w:shd w:val="clear" w:color="auto" w:fill="auto"/>
            <w:noWrap w:val="0"/>
            <w:vAlign w:val="center"/>
          </w:tcPr>
          <w:p w14:paraId="6D256BC4">
            <w:pPr>
              <w:pStyle w:val="76"/>
              <w:ind w:firstLine="0" w:firstLineChars="0"/>
              <w:rPr>
                <w:rFonts w:hint="eastAsia" w:ascii="Times New Roman" w:hAnsi="Times New Roman" w:eastAsia="宋体" w:cs="Times New Roman"/>
                <w:color w:val="auto"/>
                <w:kern w:val="2"/>
                <w:sz w:val="21"/>
                <w:szCs w:val="21"/>
                <w:u w:val="single" w:color="auto"/>
                <w:lang w:val="en-US" w:eastAsia="zh-CN" w:bidi="ar-SA"/>
              </w:rPr>
            </w:pPr>
            <w:r>
              <w:rPr>
                <w:rFonts w:hint="eastAsia" w:cs="Times New Roman"/>
                <w:color w:val="auto"/>
                <w:szCs w:val="21"/>
                <w:u w:val="single" w:color="auto"/>
                <w:lang w:val="en-US" w:bidi="zh-CN"/>
              </w:rPr>
              <w:t>颗粒物</w:t>
            </w:r>
          </w:p>
        </w:tc>
        <w:tc>
          <w:tcPr>
            <w:tcW w:w="1101" w:type="pct"/>
            <w:shd w:val="clear" w:color="auto" w:fill="auto"/>
            <w:noWrap w:val="0"/>
            <w:vAlign w:val="center"/>
          </w:tcPr>
          <w:p w14:paraId="09EAA0C4">
            <w:pPr>
              <w:pStyle w:val="115"/>
              <w:bidi w:val="0"/>
              <w:ind w:firstLine="0" w:firstLineChars="0"/>
              <w:rPr>
                <w:rFonts w:hint="eastAsia" w:ascii="宋体" w:hAnsi="宋体" w:eastAsia="宋体" w:cs="宋体"/>
                <w:color w:val="auto"/>
                <w:kern w:val="0"/>
                <w:sz w:val="21"/>
                <w:szCs w:val="21"/>
                <w:u w:val="single" w:color="auto"/>
                <w:lang w:val="en-US" w:eastAsia="zh-CN" w:bidi="ar-SA"/>
              </w:rPr>
            </w:pPr>
            <w:r>
              <w:rPr>
                <w:rFonts w:hint="default"/>
                <w:u w:val="single" w:color="auto"/>
              </w:rPr>
              <w:t>洒水抑尘</w:t>
            </w:r>
          </w:p>
        </w:tc>
        <w:tc>
          <w:tcPr>
            <w:tcW w:w="1086" w:type="pct"/>
            <w:vMerge w:val="continue"/>
            <w:noWrap w:val="0"/>
            <w:vAlign w:val="center"/>
          </w:tcPr>
          <w:p w14:paraId="1E3D8AEA">
            <w:pPr>
              <w:pStyle w:val="115"/>
              <w:bidi w:val="0"/>
              <w:ind w:firstLine="0" w:firstLineChars="0"/>
              <w:jc w:val="center"/>
              <w:rPr>
                <w:rFonts w:hint="default" w:ascii="Times New Roman" w:hAnsi="Times New Roman" w:eastAsia="宋体" w:cs="Times New Roman"/>
                <w:sz w:val="21"/>
                <w:szCs w:val="21"/>
                <w:u w:val="none"/>
                <w:lang w:val="en-US" w:eastAsia="zh-CN"/>
              </w:rPr>
            </w:pPr>
          </w:p>
        </w:tc>
      </w:tr>
      <w:tr w14:paraId="6BDA4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1376984D">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704" w:type="pct"/>
            <w:shd w:val="clear" w:color="auto" w:fill="auto"/>
            <w:noWrap w:val="0"/>
            <w:vAlign w:val="center"/>
          </w:tcPr>
          <w:p w14:paraId="6810B6C2">
            <w:pPr>
              <w:pStyle w:val="115"/>
              <w:bidi w:val="0"/>
              <w:ind w:firstLine="0" w:firstLineChars="0"/>
              <w:rPr>
                <w:rFonts w:hint="eastAsia" w:ascii="宋体" w:hAnsi="宋体" w:eastAsia="宋体" w:cs="宋体"/>
                <w:color w:val="auto"/>
                <w:kern w:val="0"/>
                <w:sz w:val="21"/>
                <w:szCs w:val="21"/>
                <w:u w:val="single" w:color="auto"/>
                <w:lang w:val="en-US" w:eastAsia="zh-CN" w:bidi="ar-SA"/>
              </w:rPr>
            </w:pPr>
            <w:r>
              <w:rPr>
                <w:rFonts w:hint="eastAsia" w:cs="Times New Roman"/>
                <w:color w:val="auto"/>
                <w:kern w:val="0"/>
                <w:sz w:val="21"/>
                <w:szCs w:val="21"/>
                <w:u w:val="single" w:color="auto"/>
                <w:lang w:val="en-US" w:eastAsia="zh-CN" w:bidi="ar-SA"/>
              </w:rPr>
              <w:t>无组织废气</w:t>
            </w:r>
          </w:p>
        </w:tc>
        <w:tc>
          <w:tcPr>
            <w:tcW w:w="667" w:type="pct"/>
            <w:shd w:val="clear" w:color="auto" w:fill="auto"/>
            <w:noWrap w:val="0"/>
            <w:vAlign w:val="center"/>
          </w:tcPr>
          <w:p w14:paraId="43B8E984">
            <w:pPr>
              <w:pStyle w:val="115"/>
              <w:bidi w:val="0"/>
              <w:ind w:firstLine="0" w:firstLineChars="0"/>
              <w:rPr>
                <w:rFonts w:hint="eastAsia"/>
                <w:u w:val="single" w:color="auto"/>
                <w:lang w:val="en-US" w:eastAsia="zh-CN"/>
              </w:rPr>
            </w:pPr>
            <w:r>
              <w:rPr>
                <w:rFonts w:hint="eastAsia"/>
                <w:u w:val="single" w:color="auto"/>
                <w:lang w:val="en-US" w:eastAsia="zh-CN"/>
              </w:rPr>
              <w:t>堆填场扬尘</w:t>
            </w:r>
          </w:p>
        </w:tc>
        <w:tc>
          <w:tcPr>
            <w:tcW w:w="919" w:type="pct"/>
            <w:shd w:val="clear" w:color="auto" w:fill="auto"/>
            <w:noWrap w:val="0"/>
            <w:vAlign w:val="center"/>
          </w:tcPr>
          <w:p w14:paraId="39F59F2F">
            <w:pPr>
              <w:pStyle w:val="76"/>
              <w:ind w:firstLine="0" w:firstLineChars="0"/>
              <w:rPr>
                <w:rFonts w:hint="eastAsia" w:ascii="Times New Roman" w:hAnsi="Times New Roman" w:eastAsia="宋体" w:cs="Times New Roman"/>
                <w:color w:val="auto"/>
                <w:kern w:val="2"/>
                <w:sz w:val="21"/>
                <w:szCs w:val="21"/>
                <w:u w:val="single" w:color="auto"/>
                <w:lang w:val="en-US" w:eastAsia="zh-CN" w:bidi="ar-SA"/>
              </w:rPr>
            </w:pPr>
            <w:r>
              <w:rPr>
                <w:rFonts w:hint="eastAsia" w:cs="Times New Roman"/>
                <w:color w:val="auto"/>
                <w:szCs w:val="21"/>
                <w:u w:val="single" w:color="auto"/>
                <w:lang w:val="en-US" w:bidi="zh-CN"/>
              </w:rPr>
              <w:t>颗粒物</w:t>
            </w:r>
          </w:p>
        </w:tc>
        <w:tc>
          <w:tcPr>
            <w:tcW w:w="1101" w:type="pct"/>
            <w:shd w:val="clear" w:color="auto" w:fill="auto"/>
            <w:noWrap w:val="0"/>
            <w:vAlign w:val="center"/>
          </w:tcPr>
          <w:p w14:paraId="59B9AB8A">
            <w:pPr>
              <w:pStyle w:val="115"/>
              <w:bidi w:val="0"/>
              <w:ind w:firstLine="0" w:firstLineChars="0"/>
              <w:rPr>
                <w:rFonts w:hint="eastAsia" w:ascii="宋体" w:hAnsi="宋体" w:eastAsia="宋体" w:cs="宋体"/>
                <w:color w:val="auto"/>
                <w:kern w:val="0"/>
                <w:sz w:val="21"/>
                <w:szCs w:val="21"/>
                <w:u w:val="single" w:color="auto"/>
                <w:lang w:val="en-US" w:eastAsia="zh-CN" w:bidi="ar-SA"/>
              </w:rPr>
            </w:pPr>
            <w:r>
              <w:rPr>
                <w:rFonts w:hint="default"/>
                <w:u w:val="single" w:color="auto"/>
              </w:rPr>
              <w:t>洒水抑尘</w:t>
            </w:r>
          </w:p>
        </w:tc>
        <w:tc>
          <w:tcPr>
            <w:tcW w:w="1086" w:type="pct"/>
            <w:vMerge w:val="continue"/>
            <w:noWrap w:val="0"/>
            <w:vAlign w:val="center"/>
          </w:tcPr>
          <w:p w14:paraId="5A56FCD6">
            <w:pPr>
              <w:pStyle w:val="115"/>
              <w:bidi w:val="0"/>
              <w:ind w:firstLine="0" w:firstLineChars="0"/>
              <w:jc w:val="center"/>
              <w:rPr>
                <w:rFonts w:hint="default" w:ascii="Times New Roman" w:hAnsi="Times New Roman" w:eastAsia="宋体" w:cs="Times New Roman"/>
                <w:sz w:val="21"/>
                <w:szCs w:val="21"/>
                <w:u w:val="none"/>
                <w:lang w:val="en-US" w:eastAsia="zh-CN"/>
              </w:rPr>
            </w:pPr>
          </w:p>
        </w:tc>
      </w:tr>
      <w:tr w14:paraId="631EA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55F1A804">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704" w:type="pct"/>
            <w:shd w:val="clear" w:color="auto" w:fill="auto"/>
            <w:noWrap w:val="0"/>
            <w:vAlign w:val="center"/>
          </w:tcPr>
          <w:p w14:paraId="6CFA9935">
            <w:pPr>
              <w:pStyle w:val="115"/>
              <w:bidi w:val="0"/>
              <w:ind w:firstLine="0" w:firstLineChars="0"/>
              <w:rPr>
                <w:rFonts w:hint="default" w:ascii="Times New Roman" w:hAnsi="Times New Roman" w:cs="Times New Roman"/>
                <w:spacing w:val="-6"/>
                <w:sz w:val="21"/>
                <w:szCs w:val="21"/>
                <w:u w:val="single" w:color="auto"/>
              </w:rPr>
            </w:pPr>
            <w:r>
              <w:rPr>
                <w:rFonts w:hint="eastAsia" w:cs="Times New Roman"/>
                <w:color w:val="auto"/>
                <w:kern w:val="0"/>
                <w:sz w:val="21"/>
                <w:szCs w:val="21"/>
                <w:u w:val="single" w:color="auto"/>
                <w:lang w:val="en-US" w:eastAsia="zh-CN" w:bidi="ar-SA"/>
              </w:rPr>
              <w:t>无组织废气</w:t>
            </w:r>
          </w:p>
        </w:tc>
        <w:tc>
          <w:tcPr>
            <w:tcW w:w="667" w:type="pct"/>
            <w:shd w:val="clear" w:color="auto" w:fill="auto"/>
            <w:noWrap w:val="0"/>
            <w:vAlign w:val="center"/>
          </w:tcPr>
          <w:p w14:paraId="120242E7">
            <w:pPr>
              <w:pStyle w:val="115"/>
              <w:bidi w:val="0"/>
              <w:ind w:firstLine="0" w:firstLineChars="0"/>
              <w:rPr>
                <w:rFonts w:hint="default"/>
                <w:u w:val="single" w:color="auto"/>
              </w:rPr>
            </w:pPr>
            <w:r>
              <w:rPr>
                <w:rFonts w:hint="default"/>
                <w:u w:val="single" w:color="auto"/>
              </w:rPr>
              <w:t>运输车辆装卸粉尘</w:t>
            </w:r>
          </w:p>
        </w:tc>
        <w:tc>
          <w:tcPr>
            <w:tcW w:w="919" w:type="pct"/>
            <w:shd w:val="clear" w:color="auto" w:fill="auto"/>
            <w:noWrap w:val="0"/>
            <w:vAlign w:val="center"/>
          </w:tcPr>
          <w:p w14:paraId="7770CE1F">
            <w:pPr>
              <w:pStyle w:val="76"/>
              <w:ind w:firstLine="0" w:firstLineChars="0"/>
              <w:rPr>
                <w:rFonts w:hint="default" w:cs="Times New Roman"/>
                <w:color w:val="auto"/>
                <w:szCs w:val="21"/>
                <w:u w:val="single" w:color="auto"/>
                <w:lang w:bidi="zh-CN"/>
              </w:rPr>
            </w:pPr>
            <w:r>
              <w:rPr>
                <w:rFonts w:hint="eastAsia" w:cs="Times New Roman"/>
                <w:color w:val="auto"/>
                <w:szCs w:val="21"/>
                <w:u w:val="single" w:color="auto"/>
                <w:lang w:val="en-US" w:bidi="zh-CN"/>
              </w:rPr>
              <w:t>颗粒物</w:t>
            </w:r>
          </w:p>
        </w:tc>
        <w:tc>
          <w:tcPr>
            <w:tcW w:w="1101" w:type="pct"/>
            <w:shd w:val="clear" w:color="auto" w:fill="auto"/>
            <w:noWrap w:val="0"/>
            <w:vAlign w:val="center"/>
          </w:tcPr>
          <w:p w14:paraId="76B493CA">
            <w:pPr>
              <w:pStyle w:val="115"/>
              <w:bidi w:val="0"/>
              <w:ind w:firstLine="0" w:firstLineChars="0"/>
              <w:rPr>
                <w:rFonts w:hint="default" w:ascii="Times New Roman" w:hAnsi="Times New Roman" w:cs="Times New Roman"/>
                <w:spacing w:val="-1"/>
                <w:sz w:val="21"/>
                <w:szCs w:val="21"/>
                <w:u w:val="single" w:color="auto"/>
              </w:rPr>
            </w:pPr>
            <w:r>
              <w:rPr>
                <w:rFonts w:hint="default"/>
                <w:u w:val="single" w:color="auto"/>
              </w:rPr>
              <w:t>洒水抑尘</w:t>
            </w:r>
            <w:r>
              <w:rPr>
                <w:rFonts w:hint="default"/>
                <w:u w:val="single" w:color="auto"/>
                <w:lang w:val="en-US" w:eastAsia="zh-CN"/>
              </w:rPr>
              <w:t>+围挡</w:t>
            </w:r>
          </w:p>
        </w:tc>
        <w:tc>
          <w:tcPr>
            <w:tcW w:w="1086" w:type="pct"/>
            <w:vMerge w:val="continue"/>
            <w:noWrap w:val="0"/>
            <w:vAlign w:val="center"/>
          </w:tcPr>
          <w:p w14:paraId="5D329DE0">
            <w:pPr>
              <w:pStyle w:val="115"/>
              <w:bidi w:val="0"/>
              <w:ind w:firstLine="0" w:firstLineChars="0"/>
              <w:jc w:val="center"/>
              <w:rPr>
                <w:rFonts w:hint="default" w:ascii="Times New Roman" w:hAnsi="Times New Roman" w:eastAsia="宋体" w:cs="Times New Roman"/>
                <w:sz w:val="21"/>
                <w:szCs w:val="21"/>
                <w:u w:val="none"/>
                <w:lang w:val="en-US" w:eastAsia="zh-CN"/>
              </w:rPr>
            </w:pPr>
          </w:p>
        </w:tc>
      </w:tr>
      <w:tr w14:paraId="41E5B5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restart"/>
            <w:noWrap w:val="0"/>
            <w:vAlign w:val="center"/>
          </w:tcPr>
          <w:p w14:paraId="089B4D9A">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地表水环境</w:t>
            </w:r>
          </w:p>
        </w:tc>
        <w:tc>
          <w:tcPr>
            <w:tcW w:w="1371" w:type="pct"/>
            <w:gridSpan w:val="2"/>
            <w:noWrap w:val="0"/>
            <w:vAlign w:val="center"/>
          </w:tcPr>
          <w:p w14:paraId="61CCE69A">
            <w:pPr>
              <w:pStyle w:val="49"/>
              <w:wordWrap w:val="0"/>
              <w:topLinePunct/>
              <w:snapToGrid w:val="0"/>
              <w:spacing w:line="240" w:lineRule="auto"/>
              <w:ind w:firstLine="0" w:firstLineChars="0"/>
              <w:jc w:val="center"/>
              <w:rPr>
                <w:rFonts w:hint="default" w:ascii="Times New Roman" w:hAnsi="Times New Roman" w:eastAsia="宋体" w:cs="Times New Roman"/>
                <w:sz w:val="21"/>
                <w:szCs w:val="21"/>
                <w:u w:val="single" w:color="auto"/>
                <w:lang w:val="en-US" w:eastAsia="zh-CN"/>
              </w:rPr>
            </w:pPr>
            <w:r>
              <w:rPr>
                <w:rFonts w:hint="default" w:ascii="Times New Roman" w:hAnsi="Times New Roman" w:cs="Times New Roman"/>
                <w:color w:val="auto"/>
                <w:sz w:val="21"/>
                <w:szCs w:val="21"/>
                <w:highlight w:val="none"/>
                <w:u w:val="single" w:color="auto"/>
                <w:lang w:bidi="zh-CN"/>
              </w:rPr>
              <w:t>生活污水</w:t>
            </w:r>
          </w:p>
        </w:tc>
        <w:tc>
          <w:tcPr>
            <w:tcW w:w="919" w:type="pct"/>
            <w:noWrap w:val="0"/>
            <w:vAlign w:val="center"/>
          </w:tcPr>
          <w:p w14:paraId="77F64A02">
            <w:pPr>
              <w:pStyle w:val="76"/>
              <w:ind w:firstLine="0" w:firstLineChars="0"/>
              <w:rPr>
                <w:rFonts w:hint="eastAsia" w:ascii="Times New Roman" w:hAnsi="Times New Roman" w:eastAsia="宋体" w:cs="Times New Roman"/>
                <w:sz w:val="21"/>
                <w:szCs w:val="21"/>
                <w:u w:val="single" w:color="auto"/>
                <w:lang w:val="en-US" w:eastAsia="zh-CN"/>
              </w:rPr>
            </w:pPr>
            <w:r>
              <w:rPr>
                <w:rFonts w:cs="Times New Roman"/>
                <w:color w:val="auto"/>
                <w:szCs w:val="21"/>
                <w:u w:val="single" w:color="auto"/>
              </w:rPr>
              <w:t>COD、BOD</w:t>
            </w:r>
            <w:r>
              <w:rPr>
                <w:rFonts w:cs="Times New Roman"/>
                <w:color w:val="auto"/>
                <w:szCs w:val="21"/>
                <w:u w:val="single" w:color="auto"/>
                <w:vertAlign w:val="subscript"/>
              </w:rPr>
              <w:t>5</w:t>
            </w:r>
            <w:r>
              <w:rPr>
                <w:rFonts w:cs="Times New Roman"/>
                <w:color w:val="auto"/>
                <w:szCs w:val="21"/>
                <w:u w:val="single" w:color="auto"/>
              </w:rPr>
              <w:t>、SS、氨氮</w:t>
            </w:r>
          </w:p>
        </w:tc>
        <w:tc>
          <w:tcPr>
            <w:tcW w:w="1101" w:type="pct"/>
            <w:noWrap w:val="0"/>
            <w:vAlign w:val="center"/>
          </w:tcPr>
          <w:p w14:paraId="5DD33E33">
            <w:pPr>
              <w:pStyle w:val="76"/>
              <w:ind w:firstLine="0" w:firstLineChars="0"/>
              <w:rPr>
                <w:rFonts w:hint="default" w:ascii="Times New Roman" w:hAnsi="Times New Roman" w:eastAsia="宋体" w:cs="Times New Roman"/>
                <w:sz w:val="21"/>
                <w:szCs w:val="21"/>
                <w:u w:val="single" w:color="auto"/>
                <w:lang w:val="en-US" w:eastAsia="zh-CN"/>
              </w:rPr>
            </w:pPr>
            <w:r>
              <w:rPr>
                <w:rFonts w:hint="default" w:ascii="Times New Roman" w:hAnsi="Times New Roman" w:cs="Times New Roman"/>
                <w:color w:val="auto"/>
                <w:sz w:val="21"/>
                <w:szCs w:val="21"/>
                <w:u w:val="single" w:color="auto"/>
                <w:lang w:val="en-US" w:eastAsia="zh-CN" w:bidi="zh-CN"/>
              </w:rPr>
              <w:t>化粪池</w:t>
            </w:r>
            <w:r>
              <w:rPr>
                <w:rFonts w:hint="eastAsia"/>
                <w:u w:val="single"/>
                <w:lang w:eastAsia="zh-CN"/>
              </w:rPr>
              <w:t>（</w:t>
            </w:r>
            <w:r>
              <w:rPr>
                <w:rFonts w:hint="eastAsia"/>
                <w:u w:val="single"/>
                <w:lang w:val="en-US" w:eastAsia="zh-CN"/>
              </w:rPr>
              <w:t>容积10m</w:t>
            </w:r>
            <w:r>
              <w:rPr>
                <w:rFonts w:hint="eastAsia"/>
                <w:u w:val="single"/>
                <w:vertAlign w:val="superscript"/>
                <w:lang w:val="en-US" w:eastAsia="zh-CN"/>
              </w:rPr>
              <w:t>3</w:t>
            </w:r>
            <w:r>
              <w:rPr>
                <w:rFonts w:hint="eastAsia"/>
                <w:u w:val="single"/>
                <w:lang w:eastAsia="zh-CN"/>
              </w:rPr>
              <w:t>）</w:t>
            </w:r>
            <w:r>
              <w:rPr>
                <w:rFonts w:hint="default" w:ascii="Times New Roman" w:hAnsi="Times New Roman" w:cs="Times New Roman"/>
                <w:color w:val="auto"/>
                <w:sz w:val="21"/>
                <w:szCs w:val="21"/>
                <w:u w:val="single" w:color="auto"/>
                <w:lang w:bidi="zh-CN"/>
              </w:rPr>
              <w:t>处理后</w:t>
            </w:r>
            <w:r>
              <w:rPr>
                <w:rFonts w:hint="default" w:ascii="Times New Roman" w:hAnsi="Times New Roman" w:cs="Times New Roman"/>
                <w:color w:val="auto"/>
                <w:sz w:val="21"/>
                <w:szCs w:val="21"/>
                <w:u w:val="single" w:color="auto"/>
                <w:lang w:val="en-US" w:bidi="zh-CN"/>
              </w:rPr>
              <w:t>外运作为农肥</w:t>
            </w:r>
          </w:p>
        </w:tc>
        <w:tc>
          <w:tcPr>
            <w:tcW w:w="1086" w:type="pct"/>
            <w:vMerge w:val="restart"/>
            <w:noWrap w:val="0"/>
            <w:vAlign w:val="center"/>
          </w:tcPr>
          <w:p w14:paraId="602F4050">
            <w:pPr>
              <w:pStyle w:val="76"/>
              <w:ind w:firstLine="0" w:firstLineChars="0"/>
              <w:rPr>
                <w:rFonts w:hint="default" w:ascii="Times New Roman" w:hAnsi="Times New Roman" w:eastAsia="宋体" w:cs="Times New Roman"/>
                <w:sz w:val="21"/>
                <w:szCs w:val="21"/>
                <w:u w:val="single" w:color="auto"/>
                <w:lang w:val="en-US" w:eastAsia="zh-CN"/>
              </w:rPr>
            </w:pPr>
            <w:r>
              <w:rPr>
                <w:rFonts w:hint="default" w:cs="Times New Roman"/>
                <w:color w:val="auto"/>
                <w:szCs w:val="21"/>
                <w:u w:val="single" w:color="auto"/>
                <w:lang w:val="en-US" w:eastAsia="zh-CN"/>
              </w:rPr>
              <w:t>无废水外排</w:t>
            </w:r>
          </w:p>
        </w:tc>
      </w:tr>
      <w:tr w14:paraId="3BF08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7EE040C6">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1371" w:type="pct"/>
            <w:gridSpan w:val="2"/>
            <w:noWrap w:val="0"/>
            <w:vAlign w:val="center"/>
          </w:tcPr>
          <w:p w14:paraId="3C556C7A">
            <w:pPr>
              <w:pStyle w:val="49"/>
              <w:wordWrap w:val="0"/>
              <w:topLinePunct/>
              <w:snapToGrid w:val="0"/>
              <w:spacing w:line="240" w:lineRule="auto"/>
              <w:ind w:firstLine="0" w:firstLineChars="0"/>
              <w:jc w:val="center"/>
              <w:rPr>
                <w:rFonts w:hint="eastAsia" w:cs="Times New Roman"/>
                <w:sz w:val="21"/>
                <w:szCs w:val="21"/>
                <w:u w:val="single" w:color="auto"/>
                <w:lang w:val="en-US" w:eastAsia="zh-CN"/>
              </w:rPr>
            </w:pPr>
            <w:r>
              <w:rPr>
                <w:rFonts w:hint="default" w:ascii="Times New Roman" w:hAnsi="Times New Roman" w:cs="Times New Roman"/>
                <w:color w:val="auto"/>
                <w:kern w:val="0"/>
                <w:sz w:val="21"/>
                <w:szCs w:val="21"/>
                <w:u w:val="single" w:color="auto"/>
              </w:rPr>
              <w:t>车辆冲洗</w:t>
            </w:r>
            <w:r>
              <w:rPr>
                <w:rFonts w:hint="default" w:ascii="Times New Roman" w:hAnsi="Times New Roman" w:cs="Times New Roman"/>
                <w:color w:val="auto"/>
                <w:kern w:val="0"/>
                <w:sz w:val="21"/>
                <w:szCs w:val="21"/>
                <w:u w:val="single" w:color="auto"/>
                <w:lang w:val="en-US" w:eastAsia="zh-CN"/>
              </w:rPr>
              <w:t>废</w:t>
            </w:r>
            <w:r>
              <w:rPr>
                <w:rFonts w:hint="default" w:ascii="Times New Roman" w:hAnsi="Times New Roman" w:cs="Times New Roman"/>
                <w:color w:val="auto"/>
                <w:kern w:val="0"/>
                <w:sz w:val="21"/>
                <w:szCs w:val="21"/>
                <w:u w:val="single" w:color="auto"/>
                <w:lang w:eastAsia="zh-CN"/>
              </w:rPr>
              <w:t>水</w:t>
            </w:r>
          </w:p>
        </w:tc>
        <w:tc>
          <w:tcPr>
            <w:tcW w:w="919" w:type="pct"/>
            <w:noWrap w:val="0"/>
            <w:vAlign w:val="center"/>
          </w:tcPr>
          <w:p w14:paraId="5A427EEB">
            <w:pPr>
              <w:pStyle w:val="76"/>
              <w:ind w:firstLine="0" w:firstLineChars="0"/>
              <w:rPr>
                <w:rFonts w:hint="eastAsia" w:ascii="Times New Roman" w:hAnsi="Times New Roman" w:eastAsia="宋体" w:cs="Times New Roman"/>
                <w:sz w:val="21"/>
                <w:szCs w:val="21"/>
                <w:u w:val="single" w:color="auto"/>
                <w:lang w:val="en-US" w:eastAsia="zh-CN"/>
              </w:rPr>
            </w:pPr>
            <w:r>
              <w:rPr>
                <w:rFonts w:cs="Times New Roman"/>
                <w:color w:val="auto"/>
                <w:szCs w:val="21"/>
                <w:u w:val="single" w:color="auto"/>
              </w:rPr>
              <w:t>SS</w:t>
            </w:r>
            <w:r>
              <w:rPr>
                <w:rFonts w:hint="default" w:cs="Times New Roman"/>
                <w:color w:val="auto"/>
                <w:szCs w:val="21"/>
                <w:u w:val="single" w:color="auto"/>
                <w:lang w:eastAsia="zh-CN"/>
              </w:rPr>
              <w:t>、</w:t>
            </w:r>
            <w:r>
              <w:rPr>
                <w:rFonts w:hint="default" w:cs="Times New Roman"/>
                <w:color w:val="auto"/>
                <w:szCs w:val="21"/>
                <w:u w:val="single" w:color="auto"/>
                <w:lang w:val="en-US" w:eastAsia="zh-CN"/>
              </w:rPr>
              <w:t>石油类</w:t>
            </w:r>
          </w:p>
        </w:tc>
        <w:tc>
          <w:tcPr>
            <w:tcW w:w="1101" w:type="pct"/>
            <w:noWrap w:val="0"/>
            <w:vAlign w:val="center"/>
          </w:tcPr>
          <w:p w14:paraId="72493E48">
            <w:pPr>
              <w:pStyle w:val="76"/>
              <w:ind w:firstLine="0" w:firstLineChars="0"/>
              <w:rPr>
                <w:rFonts w:hint="eastAsia"/>
                <w:u w:val="single" w:color="auto"/>
                <w:lang w:val="en-US" w:eastAsia="zh-CN"/>
              </w:rPr>
            </w:pPr>
            <w:r>
              <w:rPr>
                <w:rFonts w:hint="eastAsia" w:cs="Times New Roman"/>
                <w:color w:val="auto"/>
                <w:sz w:val="21"/>
                <w:szCs w:val="21"/>
                <w:u w:val="single" w:color="auto"/>
                <w:lang w:val="en-US" w:eastAsia="zh-CN"/>
              </w:rPr>
              <w:t>洗车废水沉淀池（</w:t>
            </w:r>
            <w:r>
              <w:rPr>
                <w:rFonts w:hint="eastAsia"/>
                <w:u w:val="single" w:color="auto"/>
                <w:lang w:val="en-US" w:eastAsia="zh-CN"/>
              </w:rPr>
              <w:t>二级沉淀池，容积10m</w:t>
            </w:r>
            <w:r>
              <w:rPr>
                <w:rFonts w:hint="eastAsia"/>
                <w:u w:val="single" w:color="auto"/>
                <w:vertAlign w:val="superscript"/>
                <w:lang w:val="en-US" w:eastAsia="zh-CN"/>
              </w:rPr>
              <w:t>3</w:t>
            </w:r>
            <w:r>
              <w:rPr>
                <w:rFonts w:hint="eastAsia" w:cs="Times New Roman"/>
                <w:color w:val="auto"/>
                <w:sz w:val="21"/>
                <w:szCs w:val="21"/>
                <w:u w:val="single" w:color="auto"/>
                <w:lang w:val="en-US" w:eastAsia="zh-CN"/>
              </w:rPr>
              <w:t>）</w:t>
            </w:r>
            <w:r>
              <w:rPr>
                <w:rFonts w:hint="default" w:cs="Times New Roman"/>
                <w:color w:val="auto"/>
                <w:sz w:val="21"/>
                <w:szCs w:val="21"/>
                <w:u w:val="single" w:color="auto"/>
                <w:lang w:val="en-US" w:eastAsia="zh-CN"/>
              </w:rPr>
              <w:t>沉淀后回用</w:t>
            </w:r>
          </w:p>
        </w:tc>
        <w:tc>
          <w:tcPr>
            <w:tcW w:w="1086" w:type="pct"/>
            <w:vMerge w:val="continue"/>
            <w:noWrap w:val="0"/>
            <w:vAlign w:val="center"/>
          </w:tcPr>
          <w:p w14:paraId="599B2063">
            <w:pPr>
              <w:pStyle w:val="115"/>
              <w:bidi w:val="0"/>
              <w:ind w:firstLine="0" w:firstLineChars="0"/>
              <w:jc w:val="center"/>
              <w:rPr>
                <w:rFonts w:hint="default"/>
                <w:u w:val="single" w:color="auto"/>
                <w:lang w:val="en-US" w:eastAsia="zh-CN"/>
              </w:rPr>
            </w:pPr>
          </w:p>
        </w:tc>
      </w:tr>
      <w:tr w14:paraId="0FB9E9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vMerge w:val="continue"/>
            <w:noWrap w:val="0"/>
            <w:vAlign w:val="center"/>
          </w:tcPr>
          <w:p w14:paraId="3D07C953">
            <w:pPr>
              <w:spacing w:line="240" w:lineRule="auto"/>
              <w:ind w:firstLine="0" w:firstLineChars="0"/>
              <w:jc w:val="center"/>
              <w:rPr>
                <w:rFonts w:hint="eastAsia" w:ascii="Times New Roman" w:hAnsi="Times New Roman" w:eastAsia="宋体" w:cs="Times New Roman"/>
                <w:sz w:val="21"/>
                <w:szCs w:val="21"/>
                <w:u w:val="none"/>
                <w:lang w:val="en-US" w:eastAsia="zh-CN"/>
              </w:rPr>
            </w:pPr>
          </w:p>
        </w:tc>
        <w:tc>
          <w:tcPr>
            <w:tcW w:w="1371" w:type="pct"/>
            <w:gridSpan w:val="2"/>
            <w:noWrap w:val="0"/>
            <w:vAlign w:val="center"/>
          </w:tcPr>
          <w:p w14:paraId="19D4066E">
            <w:pPr>
              <w:widowControl/>
              <w:wordWrap/>
              <w:adjustRightInd w:val="0"/>
              <w:spacing w:line="240" w:lineRule="auto"/>
              <w:ind w:firstLine="0" w:firstLineChars="0"/>
              <w:jc w:val="center"/>
              <w:rPr>
                <w:rFonts w:hint="eastAsia" w:cs="Times New Roman"/>
                <w:color w:val="000000"/>
                <w:sz w:val="21"/>
                <w:szCs w:val="21"/>
                <w:u w:val="single" w:color="auto"/>
                <w:lang w:val="en-US" w:eastAsia="zh-CN"/>
              </w:rPr>
            </w:pPr>
            <w:r>
              <w:rPr>
                <w:rFonts w:hint="eastAsia" w:cs="Times New Roman"/>
                <w:color w:val="000000"/>
                <w:sz w:val="21"/>
                <w:szCs w:val="21"/>
                <w:u w:val="single" w:color="auto"/>
                <w:lang w:val="en-US" w:eastAsia="zh-CN"/>
              </w:rPr>
              <w:t>矿坑废水</w:t>
            </w:r>
          </w:p>
          <w:p w14:paraId="0A7ECCF3">
            <w:pPr>
              <w:widowControl/>
              <w:wordWrap/>
              <w:adjustRightInd w:val="0"/>
              <w:spacing w:line="240" w:lineRule="auto"/>
              <w:ind w:firstLine="0" w:firstLineChars="0"/>
              <w:jc w:val="center"/>
              <w:rPr>
                <w:rFonts w:hint="eastAsia" w:cs="Times New Roman"/>
                <w:sz w:val="21"/>
                <w:szCs w:val="21"/>
                <w:u w:val="single" w:color="auto"/>
                <w:lang w:val="en-US" w:eastAsia="zh-CN"/>
              </w:rPr>
            </w:pPr>
            <w:r>
              <w:rPr>
                <w:rFonts w:hint="eastAsia" w:cs="Times New Roman"/>
                <w:color w:val="000000"/>
                <w:sz w:val="21"/>
                <w:szCs w:val="21"/>
                <w:u w:val="single" w:color="auto"/>
                <w:lang w:val="en-US" w:eastAsia="zh-CN"/>
              </w:rPr>
              <w:t>（</w:t>
            </w:r>
            <w:r>
              <w:rPr>
                <w:rFonts w:hint="default" w:ascii="Times New Roman" w:hAnsi="Times New Roman" w:cs="Times New Roman"/>
                <w:color w:val="000000"/>
                <w:sz w:val="21"/>
                <w:szCs w:val="21"/>
                <w:u w:val="single" w:color="auto"/>
              </w:rPr>
              <w:t>淋滤水</w:t>
            </w:r>
            <w:r>
              <w:rPr>
                <w:rFonts w:hint="eastAsia" w:cs="Times New Roman"/>
                <w:color w:val="000000"/>
                <w:sz w:val="21"/>
                <w:szCs w:val="21"/>
                <w:u w:val="single" w:color="auto"/>
                <w:lang w:val="en-US" w:eastAsia="zh-CN"/>
              </w:rPr>
              <w:t>）</w:t>
            </w:r>
          </w:p>
        </w:tc>
        <w:tc>
          <w:tcPr>
            <w:tcW w:w="919" w:type="pct"/>
            <w:noWrap w:val="0"/>
            <w:vAlign w:val="center"/>
          </w:tcPr>
          <w:p w14:paraId="1C7E8A91">
            <w:pPr>
              <w:pStyle w:val="76"/>
              <w:ind w:firstLine="0" w:firstLineChars="0"/>
              <w:rPr>
                <w:rFonts w:hint="eastAsia" w:ascii="Times New Roman" w:hAnsi="Times New Roman" w:eastAsia="宋体" w:cs="Times New Roman"/>
                <w:sz w:val="21"/>
                <w:szCs w:val="21"/>
                <w:u w:val="single" w:color="auto"/>
                <w:lang w:val="en-US" w:eastAsia="zh-CN"/>
              </w:rPr>
            </w:pPr>
            <w:r>
              <w:rPr>
                <w:rFonts w:hint="default" w:cs="Times New Roman"/>
                <w:color w:val="auto"/>
                <w:szCs w:val="21"/>
                <w:u w:val="single" w:color="auto"/>
                <w:lang w:val="en-US" w:eastAsia="zh-CN"/>
              </w:rPr>
              <w:t>SS</w:t>
            </w:r>
            <w:r>
              <w:rPr>
                <w:rFonts w:hint="eastAsia" w:cs="Times New Roman"/>
                <w:color w:val="auto"/>
                <w:szCs w:val="21"/>
                <w:u w:val="single" w:color="auto"/>
                <w:lang w:val="en-US" w:eastAsia="zh-CN"/>
              </w:rPr>
              <w:t>、COD</w:t>
            </w:r>
          </w:p>
        </w:tc>
        <w:tc>
          <w:tcPr>
            <w:tcW w:w="1101" w:type="pct"/>
            <w:noWrap w:val="0"/>
            <w:vAlign w:val="center"/>
          </w:tcPr>
          <w:p w14:paraId="418D0A0C">
            <w:pPr>
              <w:pStyle w:val="76"/>
              <w:ind w:firstLine="0" w:firstLineChars="0"/>
              <w:rPr>
                <w:rFonts w:hint="eastAsia"/>
                <w:u w:val="single" w:color="auto"/>
                <w:lang w:val="en-US" w:eastAsia="zh-CN"/>
              </w:rPr>
            </w:pPr>
            <w:r>
              <w:rPr>
                <w:rFonts w:hint="eastAsia" w:cs="Times New Roman"/>
                <w:color w:val="auto"/>
                <w:sz w:val="21"/>
                <w:szCs w:val="21"/>
                <w:u w:val="single" w:color="auto"/>
                <w:lang w:val="en-US" w:bidi="zh-CN"/>
              </w:rPr>
              <w:t>淋滤水</w:t>
            </w:r>
            <w:r>
              <w:rPr>
                <w:rFonts w:hint="default" w:cs="Times New Roman"/>
                <w:color w:val="auto"/>
                <w:sz w:val="21"/>
                <w:szCs w:val="21"/>
                <w:u w:val="single" w:color="auto"/>
                <w:lang w:val="en-US" w:bidi="zh-CN"/>
              </w:rPr>
              <w:t>沉淀池</w:t>
            </w:r>
            <w:r>
              <w:rPr>
                <w:rFonts w:hint="eastAsia" w:cs="Times New Roman"/>
                <w:color w:val="auto"/>
                <w:sz w:val="21"/>
                <w:szCs w:val="21"/>
                <w:u w:val="single" w:color="auto"/>
                <w:lang w:val="en-US" w:bidi="zh-CN"/>
              </w:rPr>
              <w:t>（</w:t>
            </w:r>
            <w:r>
              <w:rPr>
                <w:rFonts w:hint="eastAsia"/>
                <w:u w:val="single" w:color="auto"/>
                <w:lang w:val="en-US" w:eastAsia="zh-CN"/>
              </w:rPr>
              <w:t>二级沉淀池，容积30m</w:t>
            </w:r>
            <w:r>
              <w:rPr>
                <w:rFonts w:hint="eastAsia"/>
                <w:u w:val="single" w:color="auto"/>
                <w:vertAlign w:val="superscript"/>
                <w:lang w:val="en-US" w:eastAsia="zh-CN"/>
              </w:rPr>
              <w:t>3</w:t>
            </w:r>
            <w:r>
              <w:rPr>
                <w:rFonts w:hint="eastAsia" w:cs="Times New Roman"/>
                <w:color w:val="auto"/>
                <w:sz w:val="21"/>
                <w:szCs w:val="21"/>
                <w:u w:val="single" w:color="auto"/>
                <w:lang w:val="en-US" w:bidi="zh-CN"/>
              </w:rPr>
              <w:t>）</w:t>
            </w:r>
            <w:r>
              <w:rPr>
                <w:rFonts w:hint="default" w:cs="Times New Roman"/>
                <w:color w:val="auto"/>
                <w:sz w:val="21"/>
                <w:szCs w:val="21"/>
                <w:u w:val="single" w:color="auto"/>
                <w:lang w:val="en-US" w:bidi="zh-CN"/>
              </w:rPr>
              <w:t>收集后排放</w:t>
            </w:r>
          </w:p>
        </w:tc>
        <w:tc>
          <w:tcPr>
            <w:tcW w:w="1086" w:type="pct"/>
            <w:noWrap w:val="0"/>
            <w:vAlign w:val="center"/>
          </w:tcPr>
          <w:p w14:paraId="32B15CFF">
            <w:pPr>
              <w:pStyle w:val="76"/>
              <w:ind w:firstLine="0" w:firstLineChars="0"/>
              <w:rPr>
                <w:rFonts w:hint="default"/>
                <w:u w:val="single" w:color="auto"/>
                <w:lang w:val="en-US" w:eastAsia="zh-CN"/>
              </w:rPr>
            </w:pPr>
            <w:r>
              <w:rPr>
                <w:rFonts w:hint="default"/>
                <w:u w:val="single" w:color="auto"/>
                <w:lang w:val="en-US" w:eastAsia="zh-CN"/>
              </w:rPr>
              <w:t>《污水综合排放标准》（GB8978-1996）一级标准</w:t>
            </w:r>
          </w:p>
        </w:tc>
      </w:tr>
      <w:tr w14:paraId="2B543D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4468C0C9">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声环境</w:t>
            </w:r>
          </w:p>
        </w:tc>
        <w:tc>
          <w:tcPr>
            <w:tcW w:w="1371" w:type="pct"/>
            <w:gridSpan w:val="2"/>
            <w:noWrap w:val="0"/>
            <w:vAlign w:val="center"/>
          </w:tcPr>
          <w:p w14:paraId="76FFC2AD">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生产设备、活动噪声</w:t>
            </w:r>
          </w:p>
        </w:tc>
        <w:tc>
          <w:tcPr>
            <w:tcW w:w="2020" w:type="pct"/>
            <w:gridSpan w:val="2"/>
            <w:noWrap w:val="0"/>
            <w:vAlign w:val="center"/>
          </w:tcPr>
          <w:p w14:paraId="1725D402">
            <w:pPr>
              <w:spacing w:line="240" w:lineRule="auto"/>
              <w:ind w:firstLine="0" w:firstLineChars="0"/>
              <w:jc w:val="center"/>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sz w:val="21"/>
                <w:szCs w:val="21"/>
                <w:u w:val="none"/>
                <w:lang w:val="en-US" w:eastAsia="zh-CN"/>
              </w:rPr>
              <w:t>基础减震、</w:t>
            </w:r>
            <w:r>
              <w:rPr>
                <w:rFonts w:hint="eastAsia" w:cs="Times New Roman"/>
                <w:sz w:val="21"/>
                <w:szCs w:val="21"/>
                <w:u w:val="none"/>
                <w:lang w:val="en-US" w:eastAsia="zh-CN"/>
              </w:rPr>
              <w:t>选用低噪声设备</w:t>
            </w:r>
            <w:r>
              <w:rPr>
                <w:rFonts w:hint="default" w:ascii="Times New Roman" w:hAnsi="Times New Roman" w:eastAsia="宋体" w:cs="Times New Roman"/>
                <w:sz w:val="21"/>
                <w:szCs w:val="21"/>
                <w:u w:val="none"/>
                <w:lang w:val="en-US" w:eastAsia="zh-CN"/>
              </w:rPr>
              <w:t>、绿化、加强管理</w:t>
            </w:r>
          </w:p>
        </w:tc>
        <w:tc>
          <w:tcPr>
            <w:tcW w:w="1086" w:type="pct"/>
            <w:noWrap w:val="0"/>
            <w:vAlign w:val="center"/>
          </w:tcPr>
          <w:p w14:paraId="2230764E">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sz w:val="21"/>
                <w:szCs w:val="21"/>
                <w:u w:val="none"/>
                <w:lang w:val="en-US" w:eastAsia="zh-CN"/>
              </w:rPr>
              <w:t>《工业企业厂界环境噪声排放标准》（GB12348-2008）2类标准、4类标准</w:t>
            </w:r>
          </w:p>
        </w:tc>
      </w:tr>
      <w:tr w14:paraId="03FAD2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5E41F79A">
            <w:pPr>
              <w:spacing w:line="240" w:lineRule="auto"/>
              <w:ind w:firstLine="0" w:firstLineChars="0"/>
              <w:jc w:val="center"/>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固体废物</w:t>
            </w:r>
          </w:p>
        </w:tc>
        <w:tc>
          <w:tcPr>
            <w:tcW w:w="4478" w:type="pct"/>
            <w:gridSpan w:val="5"/>
            <w:noWrap w:val="0"/>
            <w:vAlign w:val="center"/>
          </w:tcPr>
          <w:p w14:paraId="2F7546A9">
            <w:pPr>
              <w:spacing w:line="240" w:lineRule="auto"/>
              <w:ind w:firstLine="0" w:firstLineChars="0"/>
              <w:jc w:val="left"/>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一般工业固体废物：</w:t>
            </w:r>
            <w:r>
              <w:rPr>
                <w:rFonts w:hint="eastAsia" w:cs="Times New Roman"/>
                <w:sz w:val="21"/>
                <w:szCs w:val="21"/>
                <w:u w:val="single"/>
                <w:lang w:val="en-US" w:eastAsia="zh-CN"/>
              </w:rPr>
              <w:t>沉淀池</w:t>
            </w:r>
            <w:r>
              <w:rPr>
                <w:rFonts w:hint="default" w:ascii="Times New Roman" w:hAnsi="Times New Roman" w:eastAsia="宋体" w:cs="Times New Roman"/>
                <w:sz w:val="21"/>
                <w:szCs w:val="21"/>
                <w:u w:val="single"/>
                <w:lang w:val="en-US" w:eastAsia="zh-CN"/>
              </w:rPr>
              <w:t>泥渣沉渣定期清理直接运往建筑垃圾</w:t>
            </w:r>
            <w:r>
              <w:rPr>
                <w:rFonts w:hint="eastAsia" w:cs="Times New Roman"/>
                <w:sz w:val="21"/>
                <w:szCs w:val="21"/>
                <w:u w:val="single"/>
                <w:lang w:val="en-US" w:eastAsia="zh-CN"/>
              </w:rPr>
              <w:t>堆填场</w:t>
            </w:r>
            <w:r>
              <w:rPr>
                <w:rFonts w:hint="default" w:ascii="Times New Roman" w:hAnsi="Times New Roman" w:eastAsia="宋体" w:cs="Times New Roman"/>
                <w:sz w:val="21"/>
                <w:szCs w:val="21"/>
                <w:u w:val="single"/>
                <w:lang w:val="en-US" w:eastAsia="zh-CN"/>
              </w:rPr>
              <w:t>进行堆填处理，不在厂内暂存；废金属</w:t>
            </w:r>
            <w:r>
              <w:rPr>
                <w:rFonts w:hint="eastAsia" w:cs="Times New Roman"/>
                <w:sz w:val="21"/>
                <w:szCs w:val="21"/>
                <w:u w:val="single"/>
                <w:lang w:val="en-US" w:eastAsia="zh-CN"/>
              </w:rPr>
              <w:t>、废塑料、废木块</w:t>
            </w:r>
            <w:r>
              <w:rPr>
                <w:rFonts w:hint="default" w:ascii="Times New Roman" w:hAnsi="Times New Roman" w:eastAsia="宋体" w:cs="Times New Roman"/>
                <w:sz w:val="21"/>
                <w:szCs w:val="21"/>
                <w:u w:val="single"/>
                <w:lang w:val="en-US" w:eastAsia="zh-CN"/>
              </w:rPr>
              <w:t>等一般工业固体废物不含有毒有害物质，无腐蚀性，单独收集、单独贮存，定时收集起来用包装工具（罐、桶、包装袋等）密封贮存，统一贮存于厂区内的一般工业固体废物暂存间</w:t>
            </w:r>
            <w:r>
              <w:rPr>
                <w:rFonts w:hint="eastAsia" w:cs="Times New Roman"/>
                <w:sz w:val="21"/>
                <w:szCs w:val="21"/>
                <w:u w:val="single"/>
                <w:lang w:val="en-US" w:eastAsia="zh-CN"/>
              </w:rPr>
              <w:t>，定期外售综合处理</w:t>
            </w:r>
            <w:r>
              <w:rPr>
                <w:rFonts w:hint="default" w:ascii="Times New Roman" w:hAnsi="Times New Roman" w:eastAsia="宋体" w:cs="Times New Roman"/>
                <w:sz w:val="21"/>
                <w:szCs w:val="21"/>
                <w:u w:val="single"/>
                <w:lang w:val="en-US" w:eastAsia="zh-CN"/>
              </w:rPr>
              <w:t>。</w:t>
            </w:r>
          </w:p>
          <w:p w14:paraId="34E48D7B">
            <w:pPr>
              <w:spacing w:line="240" w:lineRule="auto"/>
              <w:ind w:firstLine="0" w:firstLineChars="0"/>
              <w:jc w:val="left"/>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危险废物：设备维护保养、生产过程中产生的危废</w:t>
            </w:r>
            <w:r>
              <w:rPr>
                <w:rFonts w:hint="eastAsia" w:cs="Times New Roman"/>
                <w:sz w:val="21"/>
                <w:szCs w:val="21"/>
                <w:u w:val="single"/>
                <w:lang w:val="en-US" w:eastAsia="zh-CN"/>
              </w:rPr>
              <w:t>、分选过程中产生的危险废物应按照类比、危险特性、相容性严格分类、分容器</w:t>
            </w:r>
            <w:r>
              <w:rPr>
                <w:rFonts w:hint="default" w:ascii="Times New Roman" w:hAnsi="Times New Roman" w:eastAsia="宋体" w:cs="Times New Roman"/>
                <w:sz w:val="21"/>
                <w:szCs w:val="21"/>
                <w:u w:val="single"/>
                <w:lang w:val="en-US" w:eastAsia="zh-CN"/>
              </w:rPr>
              <w:t>在</w:t>
            </w:r>
            <w:r>
              <w:rPr>
                <w:rFonts w:hint="eastAsia" w:cs="Times New Roman"/>
                <w:sz w:val="21"/>
                <w:szCs w:val="21"/>
                <w:u w:val="single"/>
                <w:lang w:val="en-US" w:eastAsia="zh-CN"/>
              </w:rPr>
              <w:t>危废暂存间暂存</w:t>
            </w:r>
            <w:r>
              <w:rPr>
                <w:rFonts w:hint="default" w:ascii="Times New Roman" w:hAnsi="Times New Roman" w:eastAsia="宋体" w:cs="Times New Roman"/>
                <w:sz w:val="21"/>
                <w:szCs w:val="21"/>
                <w:u w:val="single"/>
                <w:lang w:val="en-US" w:eastAsia="zh-CN"/>
              </w:rPr>
              <w:t>，</w:t>
            </w:r>
            <w:r>
              <w:rPr>
                <w:rFonts w:hint="eastAsia" w:cs="Times New Roman"/>
                <w:sz w:val="21"/>
                <w:szCs w:val="21"/>
                <w:u w:val="single"/>
                <w:lang w:val="en-US" w:eastAsia="zh-CN"/>
              </w:rPr>
              <w:t>危废暂存间</w:t>
            </w:r>
            <w:r>
              <w:rPr>
                <w:rFonts w:hint="default" w:ascii="Times New Roman" w:hAnsi="Times New Roman" w:eastAsia="宋体" w:cs="Times New Roman"/>
                <w:sz w:val="21"/>
                <w:szCs w:val="21"/>
                <w:u w:val="single"/>
                <w:lang w:val="en-US" w:eastAsia="zh-CN"/>
              </w:rPr>
              <w:t>按《危险废物贮存污染控制标准》（GB18597-2023）的要求设置：危废间地面及裙脚做防渗处理，渗透系数≤1.0×10</w:t>
            </w:r>
            <w:r>
              <w:rPr>
                <w:rFonts w:hint="default" w:ascii="Times New Roman" w:hAnsi="Times New Roman" w:eastAsia="宋体" w:cs="Times New Roman"/>
                <w:sz w:val="21"/>
                <w:szCs w:val="21"/>
                <w:u w:val="single"/>
                <w:vertAlign w:val="superscript"/>
                <w:lang w:val="en-US" w:eastAsia="zh-CN"/>
              </w:rPr>
              <w:t>-7c</w:t>
            </w:r>
            <w:r>
              <w:rPr>
                <w:rFonts w:hint="default" w:ascii="Times New Roman" w:hAnsi="Times New Roman" w:eastAsia="宋体" w:cs="Times New Roman"/>
                <w:sz w:val="21"/>
                <w:szCs w:val="21"/>
                <w:u w:val="single"/>
                <w:lang w:val="en-US" w:eastAsia="zh-CN"/>
              </w:rPr>
              <w:t>m/s；设置泄漏液体收集渠/托盘；粘贴危废标识；建立出入库台账，并委托具有处理资质的单位处置。</w:t>
            </w:r>
          </w:p>
          <w:p w14:paraId="7B337DC9">
            <w:pPr>
              <w:spacing w:line="240" w:lineRule="auto"/>
              <w:ind w:firstLine="0" w:firstLineChars="0"/>
              <w:jc w:val="left"/>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生活垃圾：分类收集后交由环卫部门收运处置。</w:t>
            </w:r>
          </w:p>
        </w:tc>
      </w:tr>
      <w:tr w14:paraId="33F61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746A9DCE">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土壤及地下水污染防治措施</w:t>
            </w:r>
          </w:p>
        </w:tc>
        <w:tc>
          <w:tcPr>
            <w:tcW w:w="4478" w:type="pct"/>
            <w:gridSpan w:val="5"/>
            <w:noWrap w:val="0"/>
            <w:vAlign w:val="center"/>
          </w:tcPr>
          <w:p w14:paraId="1C415884">
            <w:pPr>
              <w:spacing w:line="240" w:lineRule="auto"/>
              <w:ind w:firstLine="0" w:firstLineChars="0"/>
              <w:jc w:val="left"/>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重点防渗区：主要包括重点防渗区主要包括危险废物贮存间，重点污染防治区防渗层的防渗性能</w:t>
            </w:r>
            <w:r>
              <w:rPr>
                <w:rFonts w:hint="eastAsia" w:cs="Times New Roman"/>
                <w:sz w:val="21"/>
                <w:szCs w:val="21"/>
                <w:u w:val="single"/>
                <w:lang w:val="en-US" w:eastAsia="zh-CN"/>
              </w:rPr>
              <w:t>≥</w:t>
            </w:r>
            <w:r>
              <w:rPr>
                <w:rFonts w:hint="default" w:ascii="Times New Roman" w:hAnsi="Times New Roman" w:eastAsia="宋体" w:cs="Times New Roman"/>
                <w:sz w:val="21"/>
                <w:szCs w:val="21"/>
                <w:u w:val="single"/>
                <w:lang w:val="en-US" w:eastAsia="zh-CN"/>
              </w:rPr>
              <w:t>6.0m</w:t>
            </w:r>
            <w:r>
              <w:rPr>
                <w:rFonts w:hint="eastAsia" w:cs="Times New Roman"/>
                <w:sz w:val="21"/>
                <w:szCs w:val="21"/>
                <w:u w:val="single"/>
                <w:lang w:val="en-US" w:eastAsia="zh-CN"/>
              </w:rPr>
              <w:t>，</w:t>
            </w:r>
            <w:r>
              <w:rPr>
                <w:rFonts w:hint="default" w:ascii="Times New Roman" w:hAnsi="Times New Roman" w:eastAsia="宋体" w:cs="Times New Roman"/>
                <w:sz w:val="21"/>
                <w:szCs w:val="21"/>
                <w:u w:val="single"/>
                <w:lang w:val="en-US" w:eastAsia="zh-CN"/>
              </w:rPr>
              <w:t>渗透系数为1.0×10</w:t>
            </w:r>
            <w:r>
              <w:rPr>
                <w:rFonts w:hint="default" w:ascii="Times New Roman" w:hAnsi="Times New Roman" w:eastAsia="宋体" w:cs="Times New Roman"/>
                <w:sz w:val="21"/>
                <w:szCs w:val="21"/>
                <w:u w:val="single"/>
                <w:vertAlign w:val="superscript"/>
                <w:lang w:val="en-US" w:eastAsia="zh-CN"/>
              </w:rPr>
              <w:t>-7</w:t>
            </w:r>
            <w:r>
              <w:rPr>
                <w:rFonts w:hint="default" w:ascii="Times New Roman" w:hAnsi="Times New Roman" w:eastAsia="宋体" w:cs="Times New Roman"/>
                <w:sz w:val="21"/>
                <w:szCs w:val="21"/>
                <w:u w:val="single"/>
                <w:lang w:val="en-US" w:eastAsia="zh-CN"/>
              </w:rPr>
              <w:t>cm/s的黏土层的防渗性能；</w:t>
            </w:r>
          </w:p>
          <w:p w14:paraId="12A2B587">
            <w:pPr>
              <w:spacing w:line="240" w:lineRule="auto"/>
              <w:ind w:firstLine="0" w:firstLineChars="0"/>
              <w:jc w:val="left"/>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一般防渗区：沉淀池列为一般防渗区；化粪池、一般固废</w:t>
            </w:r>
            <w:r>
              <w:rPr>
                <w:rFonts w:hint="eastAsia" w:ascii="Times New Roman" w:hAnsi="Times New Roman" w:eastAsia="宋体" w:cs="Times New Roman"/>
                <w:sz w:val="21"/>
                <w:szCs w:val="21"/>
                <w:u w:val="single"/>
                <w:lang w:val="en-US" w:eastAsia="zh-CN"/>
              </w:rPr>
              <w:t>暂存间、分选平台</w:t>
            </w:r>
            <w:r>
              <w:rPr>
                <w:rFonts w:hint="default" w:ascii="Times New Roman" w:hAnsi="Times New Roman" w:eastAsia="宋体" w:cs="Times New Roman"/>
                <w:sz w:val="21"/>
                <w:szCs w:val="21"/>
                <w:u w:val="single"/>
                <w:lang w:val="en-US" w:eastAsia="zh-CN"/>
              </w:rPr>
              <w:t>、</w:t>
            </w:r>
            <w:r>
              <w:rPr>
                <w:rFonts w:hint="eastAsia" w:ascii="Times New Roman" w:hAnsi="Times New Roman" w:eastAsia="宋体" w:cs="Times New Roman"/>
                <w:sz w:val="21"/>
                <w:szCs w:val="21"/>
                <w:u w:val="single"/>
                <w:lang w:val="en-US" w:eastAsia="zh-CN"/>
              </w:rPr>
              <w:t>洗车废水沉淀池、矿坑废水（淋滤水）沉淀池</w:t>
            </w:r>
            <w:r>
              <w:rPr>
                <w:rFonts w:hint="default" w:ascii="Times New Roman" w:hAnsi="Times New Roman" w:eastAsia="宋体" w:cs="Times New Roman"/>
                <w:sz w:val="21"/>
                <w:szCs w:val="21"/>
                <w:u w:val="single"/>
                <w:lang w:val="en-US" w:eastAsia="zh-CN"/>
              </w:rPr>
              <w:t>等为一般防渗区；一般防渗区进行水泥化防渗处理进行防渗，防渗技术要求达到等效黏土防渗层Mb≥1.5m，K≤1×10</w:t>
            </w:r>
            <w:r>
              <w:rPr>
                <w:rFonts w:hint="default" w:ascii="Times New Roman" w:hAnsi="Times New Roman" w:eastAsia="宋体" w:cs="Times New Roman"/>
                <w:sz w:val="21"/>
                <w:szCs w:val="21"/>
                <w:u w:val="single"/>
                <w:vertAlign w:val="superscript"/>
                <w:lang w:val="en-US" w:eastAsia="zh-CN"/>
              </w:rPr>
              <w:t>-7</w:t>
            </w:r>
            <w:r>
              <w:rPr>
                <w:rFonts w:hint="default" w:ascii="Times New Roman" w:hAnsi="Times New Roman" w:eastAsia="宋体" w:cs="Times New Roman"/>
                <w:sz w:val="21"/>
                <w:szCs w:val="21"/>
                <w:u w:val="single"/>
                <w:lang w:val="en-US" w:eastAsia="zh-CN"/>
              </w:rPr>
              <w:t>cm/s进行防渗设计。</w:t>
            </w:r>
          </w:p>
          <w:p w14:paraId="06C1E4F0">
            <w:pPr>
              <w:spacing w:line="240" w:lineRule="auto"/>
              <w:ind w:firstLine="0" w:firstLineChars="0"/>
              <w:jc w:val="left"/>
              <w:rPr>
                <w:rFonts w:hint="default"/>
                <w:lang w:val="en-US" w:eastAsia="zh-CN"/>
              </w:rPr>
            </w:pPr>
            <w:r>
              <w:rPr>
                <w:rFonts w:hint="default" w:ascii="Times New Roman" w:hAnsi="Times New Roman" w:eastAsia="宋体" w:cs="Times New Roman"/>
                <w:sz w:val="21"/>
                <w:szCs w:val="21"/>
                <w:u w:val="single"/>
                <w:lang w:val="en-US" w:eastAsia="zh-CN"/>
              </w:rPr>
              <w:t>简单防渗区：主要包括进场道路、</w:t>
            </w:r>
            <w:r>
              <w:rPr>
                <w:rFonts w:hint="eastAsia" w:ascii="Times New Roman" w:hAnsi="Times New Roman" w:eastAsia="宋体" w:cs="Times New Roman"/>
                <w:sz w:val="21"/>
                <w:szCs w:val="21"/>
                <w:u w:val="single"/>
                <w:lang w:val="en-US" w:eastAsia="zh-CN"/>
              </w:rPr>
              <w:t>管理用房</w:t>
            </w:r>
            <w:r>
              <w:rPr>
                <w:rFonts w:hint="default" w:ascii="Times New Roman" w:hAnsi="Times New Roman" w:eastAsia="宋体" w:cs="Times New Roman"/>
                <w:sz w:val="21"/>
                <w:szCs w:val="21"/>
                <w:u w:val="single"/>
                <w:lang w:val="en-US" w:eastAsia="zh-CN"/>
              </w:rPr>
              <w:t>、周边道路路面等，简单防渗区采取一般地面硬化。</w:t>
            </w:r>
          </w:p>
        </w:tc>
      </w:tr>
      <w:tr w14:paraId="5F9C77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5B4F83D7">
            <w:pPr>
              <w:spacing w:line="240" w:lineRule="auto"/>
              <w:ind w:firstLine="0" w:firstLineChars="0"/>
              <w:jc w:val="center"/>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生态保护措施</w:t>
            </w:r>
          </w:p>
        </w:tc>
        <w:tc>
          <w:tcPr>
            <w:tcW w:w="4478" w:type="pct"/>
            <w:gridSpan w:val="5"/>
            <w:noWrap w:val="0"/>
            <w:vAlign w:val="center"/>
          </w:tcPr>
          <w:p w14:paraId="5EA5BA57">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1、建筑垃圾</w:t>
            </w:r>
            <w:r>
              <w:rPr>
                <w:rFonts w:hint="eastAsia" w:cs="Times New Roman"/>
                <w:sz w:val="21"/>
                <w:szCs w:val="21"/>
                <w:u w:val="single"/>
                <w:lang w:val="en-US" w:eastAsia="zh-CN"/>
              </w:rPr>
              <w:t>堆填场</w:t>
            </w:r>
            <w:r>
              <w:rPr>
                <w:rFonts w:hint="eastAsia" w:ascii="Times New Roman" w:hAnsi="Times New Roman" w:eastAsia="宋体" w:cs="Times New Roman"/>
                <w:sz w:val="21"/>
                <w:szCs w:val="21"/>
                <w:u w:val="single"/>
                <w:lang w:val="en-US" w:eastAsia="zh-CN"/>
              </w:rPr>
              <w:t>施工期、营运期生态恢复措施：做好水土保持工作、植被恢复、绿化养护等；</w:t>
            </w:r>
          </w:p>
          <w:p w14:paraId="0B14DA63">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cs="Times New Roman"/>
                <w:sz w:val="21"/>
                <w:szCs w:val="21"/>
                <w:u w:val="single"/>
                <w:lang w:val="en-US" w:eastAsia="zh-CN"/>
              </w:rPr>
              <w:t>2</w:t>
            </w:r>
            <w:r>
              <w:rPr>
                <w:rFonts w:hint="eastAsia" w:ascii="Times New Roman" w:hAnsi="Times New Roman" w:eastAsia="宋体" w:cs="Times New Roman"/>
                <w:sz w:val="21"/>
                <w:szCs w:val="21"/>
                <w:u w:val="single"/>
                <w:lang w:val="en-US" w:eastAsia="zh-CN"/>
              </w:rPr>
              <w:t>、建筑垃圾</w:t>
            </w:r>
            <w:r>
              <w:rPr>
                <w:rFonts w:hint="eastAsia" w:cs="Times New Roman"/>
                <w:sz w:val="21"/>
                <w:szCs w:val="21"/>
                <w:u w:val="single"/>
                <w:lang w:val="en-US" w:eastAsia="zh-CN"/>
              </w:rPr>
              <w:t>堆填场</w:t>
            </w:r>
            <w:r>
              <w:rPr>
                <w:rFonts w:hint="eastAsia" w:ascii="Times New Roman" w:hAnsi="Times New Roman" w:eastAsia="宋体" w:cs="Times New Roman"/>
                <w:sz w:val="21"/>
                <w:szCs w:val="21"/>
                <w:u w:val="single"/>
                <w:lang w:val="en-US" w:eastAsia="zh-CN"/>
              </w:rPr>
              <w:t>施工期、营运期生态环境监测：对场界噪声、场区大气、地下水监控井、地表水、土壤、堆体稳定性以及植被恢复情况进行定期检测。</w:t>
            </w:r>
          </w:p>
          <w:p w14:paraId="186FE685">
            <w:pPr>
              <w:spacing w:line="240" w:lineRule="auto"/>
              <w:ind w:firstLine="0" w:firstLineChars="0"/>
              <w:jc w:val="left"/>
              <w:rPr>
                <w:rFonts w:hint="default"/>
                <w:u w:val="single"/>
                <w:lang w:val="en-US" w:eastAsia="zh-CN"/>
              </w:rPr>
            </w:pPr>
            <w:r>
              <w:rPr>
                <w:rFonts w:hint="eastAsia" w:ascii="Times New Roman" w:hAnsi="Times New Roman" w:eastAsia="宋体" w:cs="Times New Roman"/>
                <w:sz w:val="21"/>
                <w:szCs w:val="21"/>
                <w:u w:val="single"/>
                <w:lang w:val="en-US" w:eastAsia="zh-CN"/>
              </w:rPr>
              <w:t>本项目在规划用地范围内施工，不在红线范围外施工。</w:t>
            </w:r>
          </w:p>
        </w:tc>
      </w:tr>
      <w:tr w14:paraId="22401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1CC9B528">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环境风险防范措施</w:t>
            </w:r>
          </w:p>
        </w:tc>
        <w:tc>
          <w:tcPr>
            <w:tcW w:w="4478" w:type="pct"/>
            <w:gridSpan w:val="5"/>
            <w:noWrap w:val="0"/>
            <w:vAlign w:val="center"/>
          </w:tcPr>
          <w:p w14:paraId="37760CCB">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一、泄漏事故防范措施</w:t>
            </w:r>
          </w:p>
          <w:p w14:paraId="5F839E57">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防止跑冒滴漏，减少物料的逸出，对危废暂存间、库房地面采取防渗措施，避免泄漏的废润滑油、润滑油外溢污染土壤、当地水体。</w:t>
            </w:r>
          </w:p>
          <w:p w14:paraId="2AC33144">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二、火灾事故防治措施</w:t>
            </w:r>
          </w:p>
          <w:p w14:paraId="7FBA77E0">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①建立健全并严格执行防火防爆的规章制度，严格遵守各项操作规章。</w:t>
            </w:r>
          </w:p>
          <w:p w14:paraId="3A86361A">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②润滑油、废润滑油应储存于阴凉干燥、通风处，远离高温、明火、避免阳光直射，远离热源、火种和容易起火的地方。</w:t>
            </w:r>
          </w:p>
          <w:p w14:paraId="7BBB889E">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③建筑垃圾消纳场因配备灭火器，在库房、危废暂存间内设置严禁吸烟和使用明火标志标识。</w:t>
            </w:r>
          </w:p>
          <w:p w14:paraId="38AA3C66">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本项目废润滑油、润滑油发生火灾事故的概率较小，在消纳场设置灭火器能够满足消防需求。</w:t>
            </w:r>
          </w:p>
          <w:p w14:paraId="33AD7C3F">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三、废水事故外排防范措施</w:t>
            </w:r>
          </w:p>
          <w:p w14:paraId="02DD10D6">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①加强废水沉淀池施工建设，确保各池体质量达标，防止因池体质量不达标导致的池体破损，废水外溢。</w:t>
            </w:r>
          </w:p>
          <w:p w14:paraId="7187F038">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②加强人员管理，定期对生产废水处理系统的检修与维护，保障其正常运行，发现问题及时解决，预防风险事故的发生。</w:t>
            </w:r>
          </w:p>
          <w:p w14:paraId="6A9D50D6">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③雨季期间，加强对自然天气状况的监控，发生暴雨等自然环境影响时，及时做好场区排水工程，防止因大量雨水进入到沉淀池内，导致沉淀池废水外溢情况发生。</w:t>
            </w:r>
          </w:p>
          <w:p w14:paraId="58101862">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四、建筑垃圾</w:t>
            </w:r>
            <w:r>
              <w:rPr>
                <w:rFonts w:hint="eastAsia" w:cs="Times New Roman"/>
                <w:sz w:val="21"/>
                <w:szCs w:val="21"/>
                <w:u w:val="single"/>
                <w:lang w:val="en-US" w:eastAsia="zh-CN"/>
              </w:rPr>
              <w:t>堆填场</w:t>
            </w:r>
            <w:r>
              <w:rPr>
                <w:rFonts w:hint="eastAsia" w:ascii="Times New Roman" w:hAnsi="Times New Roman" w:eastAsia="宋体" w:cs="Times New Roman"/>
                <w:sz w:val="21"/>
                <w:szCs w:val="21"/>
                <w:u w:val="single"/>
                <w:lang w:val="en-US" w:eastAsia="zh-CN"/>
              </w:rPr>
              <w:t>事故防范措施</w:t>
            </w:r>
          </w:p>
          <w:p w14:paraId="5B8BE180">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1、堆填体滑移（类似溃坝）风险防范措施</w:t>
            </w:r>
          </w:p>
          <w:p w14:paraId="4648E5D5">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①分层压实堆填：建筑垃圾进场后按每层厚度≤2 m进行分层摊铺，采用推土机压实，必要时辅以振动压路机。压实度要求：基础压实度≥93%，边坡压实度≥90%（依据《建筑垃圾处理技术标准》CJJ/T134-2019第9.2.5条）。严禁一次性倾倒形成高陡坡面，控制堆填边坡坡度不大于1:2（垂直:水平），局部软弱地基处放缓至1:3。</w:t>
            </w:r>
          </w:p>
          <w:p w14:paraId="4026C023">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②控制堆填速率：每日堆填量不超过设计值，且底部排水系统运行正常后方可逐层上升。遇连续降雨或矿坑内水位上升时，暂停堆填作业，待水位降至安全标高以下并稳定24小时后再复工。</w:t>
            </w:r>
          </w:p>
          <w:p w14:paraId="41FF1412">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③位移监测与预警：在堆填体表面及边坡关键部位设置沉降位移观测桩，每周监测一次，雨季加密至每日一次。当单日水平位移超过20 mm或出现贯通裂缝时，立即停止作业并采取坡脚压载、后缘卸载等应急措施。</w:t>
            </w:r>
          </w:p>
          <w:p w14:paraId="589C0878">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2、滑坡风险防范措施</w:t>
            </w:r>
          </w:p>
          <w:p w14:paraId="45AEF753">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①边坡修整与防护：对矿坑原有边坡进行清坡处理，清除松动岩土体，坡顶设截水沟防止地表水冲刷。堆填体边坡坡面可采用土工格栅加筋或覆盖种植土、草皮护坡，减少雨水侵蚀。</w:t>
            </w:r>
          </w:p>
          <w:p w14:paraId="0562EC8A">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②禁止超载与不当开挖：严禁在坡顶边缘5 m范围内堆放重型设备或超量垃圾，避免局部加载。严禁在坡脚开挖取土，确需施工须经稳定性验算。</w:t>
            </w:r>
          </w:p>
          <w:p w14:paraId="1600F8AB">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③雨季专项管理：雨季前完成全场地排水系统检查，保证坡顶截水沟、坡脚排水沟畅通。遇暴雨预警时，对高陡边坡覆盖防水彩条布，并加密巡检频次。</w:t>
            </w:r>
          </w:p>
          <w:p w14:paraId="1733BBBC">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3、渗漏及地下水污染风险防范措施</w:t>
            </w:r>
          </w:p>
          <w:p w14:paraId="44B8C436">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在矿坑上游、下游各布设1个地下水监测井，每季度取样检测pH、COD、重金属等指标。底部抽排水设施排出的水应定期检测，若超标需经沉淀、絮凝等处理后排放或回用。</w:t>
            </w:r>
          </w:p>
          <w:p w14:paraId="20E5F02A">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4、抽排水设施失效风险防范措施</w:t>
            </w:r>
          </w:p>
          <w:p w14:paraId="67D8A6D6">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①设备冗余与备用电源：设置一用一备两台排水泵，单台能力满足24 h最大降雨径流量。配备柴油发电机或双回路供电，确保断电时排水不中断。</w:t>
            </w:r>
          </w:p>
          <w:p w14:paraId="1EAE2DEF">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②定期维护：每周检查水泵、管道、阀门，清理矿坑废水沉淀池内的淤积物。</w:t>
            </w:r>
          </w:p>
          <w:p w14:paraId="2CFAA22F">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③应急排水通道：在矿坑最低处预留应急排水口或DN100以上虹吸管。当主排水系统完全失效时，立即启用移动式潜水泵或虹吸管紧急抽排，将积水引至安全区域。</w:t>
            </w:r>
          </w:p>
          <w:p w14:paraId="67F6456D">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5、建筑垃圾外泄风险防范措施</w:t>
            </w:r>
          </w:p>
          <w:p w14:paraId="498A7DAF">
            <w:pPr>
              <w:spacing w:line="240" w:lineRule="auto"/>
              <w:ind w:firstLine="0" w:firstLineChars="0"/>
              <w:jc w:val="left"/>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①日常巡查与清理：每日安排专人巡查堆填体边坡及矿坑周边，发现垃圾外泄立即清理并分析原因。雨季加密巡查，暴雨后24小时内必须完成一次全场地检查。</w:t>
            </w:r>
          </w:p>
          <w:p w14:paraId="627DE898">
            <w:pPr>
              <w:spacing w:line="240" w:lineRule="auto"/>
              <w:ind w:firstLine="0" w:firstLineChars="0"/>
              <w:jc w:val="left"/>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single"/>
                <w:lang w:val="en-US" w:eastAsia="zh-CN"/>
              </w:rPr>
              <w:t>②物理拦挡：在矿坑下游方向及低洼处设置拦渣网（钢丝网+立柱）或简易土石拦渣埂（高≥1 m，顶宽≥1 m），防止垃圾在暴雨期间滚落外泄。定期检查拦挡设施完整性，损坏及时修复。</w:t>
            </w:r>
          </w:p>
        </w:tc>
      </w:tr>
      <w:tr w14:paraId="11817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pct"/>
            <w:noWrap w:val="0"/>
            <w:vAlign w:val="center"/>
          </w:tcPr>
          <w:p w14:paraId="295D40B5">
            <w:pPr>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其他环境管理要求</w:t>
            </w:r>
          </w:p>
        </w:tc>
        <w:tc>
          <w:tcPr>
            <w:tcW w:w="4478" w:type="pct"/>
            <w:gridSpan w:val="5"/>
            <w:noWrap w:val="0"/>
            <w:vAlign w:val="center"/>
          </w:tcPr>
          <w:p w14:paraId="168CDDD8">
            <w:pPr>
              <w:keepNext w:val="0"/>
              <w:keepLines w:val="0"/>
              <w:pageBreakBefore w:val="0"/>
              <w:widowControl w:val="0"/>
              <w:kinsoku/>
              <w:wordWrap/>
              <w:overflowPunct/>
              <w:topLinePunct w:val="0"/>
              <w:autoSpaceDE/>
              <w:autoSpaceDN/>
              <w:bidi w:val="0"/>
              <w:adjustRightInd/>
              <w:spacing w:line="360" w:lineRule="auto"/>
              <w:ind w:firstLine="0" w:firstLineChars="0"/>
              <w:jc w:val="left"/>
              <w:textAlignment w:val="auto"/>
              <w:rPr>
                <w:rFonts w:hint="eastAsia" w:ascii="Times New Roman" w:hAnsi="Times New Roman" w:eastAsia="宋体" w:cs="Times New Roman"/>
                <w:b/>
                <w:bCs/>
                <w:sz w:val="21"/>
                <w:szCs w:val="21"/>
                <w:u w:val="none"/>
                <w:lang w:val="en-US" w:eastAsia="zh-CN"/>
              </w:rPr>
            </w:pPr>
            <w:r>
              <w:rPr>
                <w:rFonts w:hint="eastAsia" w:ascii="Times New Roman" w:hAnsi="Times New Roman" w:eastAsia="宋体" w:cs="Times New Roman"/>
                <w:b/>
                <w:bCs/>
                <w:sz w:val="21"/>
                <w:szCs w:val="21"/>
                <w:u w:val="none"/>
                <w:lang w:val="en-US" w:eastAsia="zh-CN"/>
              </w:rPr>
              <w:t>1、竣工环境保护验收</w:t>
            </w:r>
          </w:p>
          <w:p w14:paraId="05AC007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根据《中华人民共和国环境影响评价法》、《建设项目环境保护管理条例》（2017年10月1日起施行）和环保部2017年11月20日发布《建设项目竣工环境保护验收暂行办法》的公告“国环规环评（2017）4号”，建设单位作为项目竣工环保验收的责任主体，应当按照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项目配套建设的环保设施经验收合格，方可投入生产或使用。</w:t>
            </w:r>
          </w:p>
          <w:p w14:paraId="74A0F9E1">
            <w:pPr>
              <w:pStyle w:val="76"/>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b/>
                <w:bCs/>
                <w:color w:val="auto"/>
                <w:u w:val="none" w:color="auto"/>
              </w:rPr>
            </w:pPr>
            <w:r>
              <w:rPr>
                <w:rFonts w:hint="eastAsia"/>
                <w:b/>
                <w:bCs/>
                <w:color w:val="auto"/>
                <w:u w:val="none" w:color="auto"/>
              </w:rPr>
              <w:t>2、排污许可</w:t>
            </w:r>
          </w:p>
          <w:p w14:paraId="17F940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sz w:val="21"/>
                <w:szCs w:val="21"/>
                <w:u w:val="none"/>
                <w:lang w:val="en-US" w:eastAsia="zh-CN"/>
              </w:rPr>
              <w:t>根据《固定污染源排污许可分类管理名录》（2019年版）“四十五、生态保护和环境治理业 77”中的内容要求，“专门从事危险废物贮存、利用、处理、处置（含焚烧发电）的，专业从事一般工业固体废物贮存、处置（含焚烧发电）的”项目需纳入排污许可重点管理，本项目消纳场主要用于消纳周边城镇城市道路建设、各类建筑物、构筑物修建等城市开发建设过程中产生的弃土</w:t>
            </w:r>
            <w:r>
              <w:rPr>
                <w:rFonts w:hint="eastAsia" w:ascii="Times New Roman" w:hAnsi="Times New Roman" w:eastAsia="宋体" w:cs="Times New Roman"/>
                <w:sz w:val="21"/>
                <w:szCs w:val="21"/>
                <w:u w:val="none"/>
                <w:lang w:val="en-US" w:eastAsia="zh-CN"/>
              </w:rPr>
              <w:t>、建筑垃圾</w:t>
            </w:r>
            <w:r>
              <w:rPr>
                <w:rFonts w:hint="default" w:ascii="Times New Roman" w:hAnsi="Times New Roman" w:eastAsia="宋体" w:cs="Times New Roman"/>
                <w:sz w:val="21"/>
                <w:szCs w:val="21"/>
                <w:u w:val="none"/>
                <w:lang w:val="en-US" w:eastAsia="zh-CN"/>
              </w:rPr>
              <w:t>，不包括从事过有色金属冶炼、石油加工、化工、焦化、电镀、制革等行业生产经营活动、以及从事过危险废物贮存、利用、处置活动的用地等疑似地块在开发建设过程中产生的工程渣土，本项目服务对象建筑垃圾不属于工业固体废物范畴，因此不按一般工业固体废物管理，故未纳入排污许可管理。</w:t>
            </w:r>
          </w:p>
          <w:p w14:paraId="31409206">
            <w:pPr>
              <w:pStyle w:val="76"/>
              <w:jc w:val="both"/>
              <w:rPr>
                <w:rFonts w:hint="eastAsia" w:ascii="Times New Roman" w:hAnsi="Times New Roman" w:eastAsia="宋体" w:cs="Times New Roman"/>
                <w:b/>
                <w:bCs/>
                <w:color w:val="auto"/>
                <w:u w:val="single" w:color="auto"/>
              </w:rPr>
            </w:pPr>
            <w:r>
              <w:rPr>
                <w:rFonts w:hint="eastAsia" w:ascii="Times New Roman" w:hAnsi="Times New Roman" w:eastAsia="宋体" w:cs="Times New Roman"/>
                <w:b/>
                <w:bCs/>
                <w:color w:val="auto"/>
                <w:u w:val="single" w:color="auto"/>
              </w:rPr>
              <w:t>3、雨洪排口管理</w:t>
            </w:r>
          </w:p>
          <w:p w14:paraId="51E4421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本项目淋滤水排放口属于雨洪排口，按照《入河排污口监督管理办法》（生态环境部令第35号）第二十二条要求，设置本办法第十一条规定以外的入河排污口，应当在入河排污口设置前，向所在的设区的市级生态环境主管部门提交入河排污口登记表。对符合要求的，生态环境主管部门应当在十个工作日内予以确认并登记。已登记的入河排污口，责任主体所属行业以及排放特征发生变动，符合本办法第十一条规定情形的，应当按照本办法的规定办理入河排污口设置审批。</w:t>
            </w:r>
          </w:p>
          <w:p w14:paraId="60B9AF3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sz w:val="21"/>
                <w:szCs w:val="21"/>
                <w:u w:val="single"/>
                <w:lang w:val="en-US" w:eastAsia="zh-CN"/>
              </w:rPr>
            </w:pPr>
            <w:r>
              <w:rPr>
                <w:rFonts w:hint="eastAsia" w:ascii="Times New Roman" w:hAnsi="Times New Roman" w:eastAsia="宋体" w:cs="Times New Roman"/>
                <w:sz w:val="21"/>
                <w:szCs w:val="21"/>
                <w:u w:val="single"/>
                <w:lang w:val="en-US" w:eastAsia="zh-CN"/>
              </w:rPr>
              <w:t>按照《湖南省入河排污口监督管理办法》（湘政办发〔2026〕18号）第六条  入河排污口按照分级管理原则，分为重点管理、简化管理和一般管理。规模以上工矿企业排污口、省级及以上产业园区污水处理厂排污口、县级及以上城镇污水处理厂排污口、规模化畜禽养殖排污口、规模化水产养殖排污口等实行重点管理；原则上工业排污口、城镇污水处理厂排污口中未纳入重点管理的入河排污口实行简化管理；对实行重点管理和简化管理之外的入河排污口实行一般管理；市州生态环境主管部门可结合管理需求科学细化管理分类分级要求。分类分级管理的入河排污口应当实行精细化、差异化、规范化管理，强化监测监管，提升管理效能。</w:t>
            </w:r>
          </w:p>
          <w:p w14:paraId="16A5A2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ascii="Times New Roman" w:hAnsi="Times New Roman" w:eastAsia="宋体" w:cs="Times New Roman"/>
                <w:sz w:val="21"/>
                <w:szCs w:val="21"/>
                <w:u w:val="single"/>
                <w:lang w:val="en-US" w:eastAsia="zh-CN"/>
              </w:rPr>
              <w:t>本项目属于雨洪排口，</w:t>
            </w:r>
            <w:r>
              <w:rPr>
                <w:rFonts w:hint="eastAsia" w:cs="Times New Roman"/>
                <w:sz w:val="21"/>
                <w:szCs w:val="21"/>
                <w:u w:val="single"/>
                <w:lang w:val="en-US" w:eastAsia="zh-CN"/>
              </w:rPr>
              <w:t>属于一般管理，在投运前向生态环主管部门提交入河排污口登记表。</w:t>
            </w:r>
            <w:r>
              <w:rPr>
                <w:rFonts w:hint="eastAsia" w:ascii="Times New Roman" w:hAnsi="Times New Roman" w:eastAsia="宋体" w:cs="Times New Roman"/>
                <w:sz w:val="21"/>
                <w:szCs w:val="21"/>
                <w:u w:val="single"/>
                <w:lang w:val="en-US" w:eastAsia="zh-CN"/>
              </w:rPr>
              <w:t>排口按《入河排污口监督管理技术指南 规范化建设》（HJ 1309-2023）设置标识牌、采样监测井、视频监控设施，并建立管理台账。建设单位承诺严格实行雨污分流，确保生活污水、洗车废水不进入雨洪排口。</w:t>
            </w:r>
          </w:p>
          <w:p w14:paraId="21A6F889">
            <w:pPr>
              <w:pStyle w:val="76"/>
              <w:numPr>
                <w:ilvl w:val="0"/>
                <w:numId w:val="0"/>
              </w:numPr>
              <w:ind w:firstLine="0" w:firstLineChars="0"/>
              <w:jc w:val="both"/>
              <w:rPr>
                <w:rFonts w:hint="eastAsia" w:ascii="Times New Roman" w:hAnsi="Times New Roman" w:eastAsia="宋体" w:cs="Times New Roman"/>
                <w:b/>
                <w:bCs/>
                <w:color w:val="auto"/>
                <w:u w:val="single" w:color="auto"/>
                <w:lang w:val="en-US" w:eastAsia="zh-CN"/>
              </w:rPr>
            </w:pPr>
            <w:r>
              <w:rPr>
                <w:rFonts w:hint="eastAsia" w:ascii="Times New Roman" w:hAnsi="Times New Roman" w:eastAsia="宋体" w:cs="Times New Roman"/>
                <w:b/>
                <w:bCs/>
                <w:color w:val="auto"/>
                <w:kern w:val="2"/>
                <w:sz w:val="21"/>
                <w:szCs w:val="20"/>
                <w:u w:val="single" w:color="auto"/>
                <w:lang w:val="en-US" w:eastAsia="zh-CN" w:bidi="ar-SA"/>
              </w:rPr>
              <w:t>4、</w:t>
            </w:r>
            <w:r>
              <w:rPr>
                <w:rFonts w:hint="eastAsia" w:ascii="Times New Roman" w:hAnsi="Times New Roman" w:eastAsia="宋体" w:cs="Times New Roman"/>
                <w:b/>
                <w:bCs/>
                <w:color w:val="auto"/>
                <w:u w:val="single" w:color="auto"/>
                <w:lang w:val="en-US" w:eastAsia="zh-CN"/>
              </w:rPr>
              <w:t>自行监测要求</w:t>
            </w:r>
          </w:p>
          <w:p w14:paraId="25A98B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sz w:val="21"/>
                <w:szCs w:val="21"/>
                <w:u w:val="single" w:color="auto"/>
                <w:lang w:val="en-US" w:eastAsia="zh-CN"/>
              </w:rPr>
            </w:pPr>
            <w:r>
              <w:rPr>
                <w:rFonts w:hint="eastAsia" w:ascii="Times New Roman" w:hAnsi="Times New Roman" w:eastAsia="宋体" w:cs="Times New Roman"/>
                <w:sz w:val="21"/>
                <w:szCs w:val="21"/>
                <w:u w:val="single" w:color="auto"/>
                <w:lang w:val="en-US" w:eastAsia="zh-CN"/>
              </w:rPr>
              <w:t>堆填场自行监测要求详见下表。</w:t>
            </w:r>
          </w:p>
          <w:p w14:paraId="751499F8">
            <w:pPr>
              <w:pStyle w:val="44"/>
              <w:bidi w:val="0"/>
              <w:rPr>
                <w:rFonts w:hint="default" w:ascii="Times New Roman" w:hAnsi="Times New Roman" w:eastAsia="宋体" w:cs="Times New Roman"/>
                <w:b/>
                <w:bCs/>
                <w:color w:val="auto"/>
                <w:u w:val="single" w:color="auto"/>
                <w:lang w:val="en-US" w:eastAsia="zh-CN"/>
              </w:rPr>
            </w:pPr>
            <w:r>
              <w:rPr>
                <w:rFonts w:hint="eastAsia" w:cs="Times New Roman"/>
                <w:b/>
                <w:bCs/>
                <w:color w:val="auto"/>
                <w:u w:val="single" w:color="auto"/>
                <w:lang w:val="en-US" w:eastAsia="zh-CN"/>
              </w:rPr>
              <w:t>表1：</w:t>
            </w:r>
            <w:r>
              <w:rPr>
                <w:rFonts w:hint="eastAsia"/>
                <w:u w:val="single" w:color="auto"/>
                <w:lang w:val="en-US" w:eastAsia="zh-CN"/>
              </w:rPr>
              <w:t>堆填场自行监测一拉表</w:t>
            </w:r>
          </w:p>
          <w:tbl>
            <w:tblPr>
              <w:tblStyle w:val="38"/>
              <w:tblW w:w="0" w:type="auto"/>
              <w:tblInd w:w="0" w:type="dxa"/>
              <w:tblLayout w:type="fixed"/>
              <w:tblCellMar>
                <w:top w:w="0" w:type="dxa"/>
                <w:left w:w="0" w:type="dxa"/>
                <w:bottom w:w="0" w:type="dxa"/>
                <w:right w:w="0" w:type="dxa"/>
              </w:tblCellMar>
            </w:tblPr>
            <w:tblGrid>
              <w:gridCol w:w="1421"/>
              <w:gridCol w:w="1608"/>
              <w:gridCol w:w="1880"/>
              <w:gridCol w:w="1301"/>
              <w:gridCol w:w="2396"/>
            </w:tblGrid>
            <w:tr w14:paraId="103FEEE0">
              <w:tblPrEx>
                <w:tblCellMar>
                  <w:top w:w="0" w:type="dxa"/>
                  <w:left w:w="0" w:type="dxa"/>
                  <w:bottom w:w="0" w:type="dxa"/>
                  <w:right w:w="0" w:type="dxa"/>
                </w:tblCellMar>
              </w:tblPrEx>
              <w:trPr>
                <w:trHeight w:val="340"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0B106FCA">
                  <w:pPr>
                    <w:pStyle w:val="115"/>
                    <w:bidi w:val="0"/>
                    <w:rPr>
                      <w:rFonts w:hint="eastAsia"/>
                      <w:b/>
                      <w:bCs/>
                      <w:u w:val="single" w:color="auto"/>
                      <w:lang w:val="en-US" w:eastAsia="zh-CN"/>
                    </w:rPr>
                  </w:pPr>
                  <w:r>
                    <w:rPr>
                      <w:rFonts w:hint="eastAsia"/>
                      <w:b/>
                      <w:bCs/>
                      <w:u w:val="single" w:color="auto"/>
                      <w:lang w:val="en-US" w:eastAsia="zh-CN"/>
                    </w:rPr>
                    <w:t>监测类别</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069CDEB">
                  <w:pPr>
                    <w:pStyle w:val="115"/>
                    <w:bidi w:val="0"/>
                    <w:rPr>
                      <w:rFonts w:hint="eastAsia"/>
                      <w:b/>
                      <w:bCs/>
                      <w:u w:val="single" w:color="auto"/>
                      <w:lang w:val="en-US" w:eastAsia="zh-CN"/>
                    </w:rPr>
                  </w:pPr>
                  <w:r>
                    <w:rPr>
                      <w:rFonts w:hint="eastAsia"/>
                      <w:b/>
                      <w:bCs/>
                      <w:u w:val="single" w:color="auto"/>
                      <w:lang w:val="en-US" w:eastAsia="zh-CN"/>
                    </w:rPr>
                    <w:t>监测点位</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432A5CE">
                  <w:pPr>
                    <w:pStyle w:val="115"/>
                    <w:bidi w:val="0"/>
                    <w:rPr>
                      <w:rFonts w:hint="eastAsia"/>
                      <w:b/>
                      <w:bCs/>
                      <w:u w:val="single" w:color="auto"/>
                      <w:lang w:val="en-US" w:eastAsia="zh-CN"/>
                    </w:rPr>
                  </w:pPr>
                  <w:r>
                    <w:rPr>
                      <w:rFonts w:hint="eastAsia"/>
                      <w:b/>
                      <w:bCs/>
                      <w:u w:val="single" w:color="auto"/>
                      <w:lang w:val="en-US" w:eastAsia="zh-CN"/>
                    </w:rPr>
                    <w:t>监测指标</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5EF5EC6D">
                  <w:pPr>
                    <w:pStyle w:val="115"/>
                    <w:bidi w:val="0"/>
                    <w:rPr>
                      <w:rFonts w:hint="eastAsia"/>
                      <w:b/>
                      <w:bCs/>
                      <w:u w:val="single" w:color="auto"/>
                      <w:lang w:val="en-US" w:eastAsia="zh-CN"/>
                    </w:rPr>
                  </w:pPr>
                  <w:r>
                    <w:rPr>
                      <w:rFonts w:hint="eastAsia"/>
                      <w:b/>
                      <w:bCs/>
                      <w:u w:val="single" w:color="auto"/>
                      <w:lang w:val="en-US" w:eastAsia="zh-CN"/>
                    </w:rPr>
                    <w:t>监测频次</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D83BC12">
                  <w:pPr>
                    <w:pStyle w:val="115"/>
                    <w:bidi w:val="0"/>
                    <w:rPr>
                      <w:rFonts w:hint="eastAsia"/>
                      <w:b/>
                      <w:bCs/>
                      <w:u w:val="single" w:color="auto"/>
                      <w:lang w:val="en-US" w:eastAsia="zh-CN"/>
                    </w:rPr>
                  </w:pPr>
                  <w:r>
                    <w:rPr>
                      <w:rFonts w:hint="eastAsia"/>
                      <w:b/>
                      <w:bCs/>
                      <w:u w:val="single" w:color="auto"/>
                      <w:lang w:val="en-US" w:eastAsia="zh-CN"/>
                    </w:rPr>
                    <w:t>执行标准</w:t>
                  </w:r>
                </w:p>
              </w:tc>
            </w:tr>
            <w:tr w14:paraId="7F65F932">
              <w:tblPrEx>
                <w:tblCellMar>
                  <w:top w:w="0" w:type="dxa"/>
                  <w:left w:w="0" w:type="dxa"/>
                  <w:bottom w:w="0" w:type="dxa"/>
                  <w:right w:w="0" w:type="dxa"/>
                </w:tblCellMar>
              </w:tblPrEx>
              <w:trPr>
                <w:trHeight w:val="340"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0D1DC78">
                  <w:pPr>
                    <w:pStyle w:val="115"/>
                    <w:bidi w:val="0"/>
                    <w:rPr>
                      <w:rFonts w:hint="eastAsia"/>
                      <w:u w:val="single" w:color="auto"/>
                      <w:lang w:val="en-US" w:eastAsia="zh-CN"/>
                    </w:rPr>
                  </w:pPr>
                  <w:r>
                    <w:rPr>
                      <w:rFonts w:hint="eastAsia"/>
                      <w:u w:val="single" w:color="auto"/>
                      <w:lang w:val="en-US" w:eastAsia="zh-CN"/>
                    </w:rPr>
                    <w:t>噪声</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0E323565">
                  <w:pPr>
                    <w:pStyle w:val="115"/>
                    <w:bidi w:val="0"/>
                    <w:rPr>
                      <w:rFonts w:hint="eastAsia"/>
                      <w:u w:val="single" w:color="auto"/>
                      <w:lang w:val="en-US" w:eastAsia="zh-CN"/>
                    </w:rPr>
                  </w:pPr>
                  <w:r>
                    <w:rPr>
                      <w:rFonts w:hint="eastAsia"/>
                      <w:u w:val="single" w:color="auto"/>
                      <w:lang w:val="en-US" w:eastAsia="zh-CN"/>
                    </w:rPr>
                    <w:t>厂界</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7C52C1B2">
                  <w:pPr>
                    <w:pStyle w:val="115"/>
                    <w:bidi w:val="0"/>
                    <w:rPr>
                      <w:rFonts w:hint="eastAsia"/>
                      <w:u w:val="single" w:color="auto"/>
                      <w:lang w:val="en-US" w:eastAsia="zh-CN"/>
                    </w:rPr>
                  </w:pPr>
                  <w:r>
                    <w:rPr>
                      <w:rFonts w:hint="eastAsia"/>
                      <w:u w:val="single" w:color="auto"/>
                      <w:lang w:val="en-US" w:eastAsia="zh-CN"/>
                    </w:rPr>
                    <w:t>等效连续A声级</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674B9A77">
                  <w:pPr>
                    <w:pStyle w:val="115"/>
                    <w:bidi w:val="0"/>
                    <w:rPr>
                      <w:rFonts w:hint="eastAsia"/>
                      <w:u w:val="single" w:color="auto"/>
                      <w:lang w:val="en-US" w:eastAsia="zh-CN"/>
                    </w:rPr>
                  </w:pPr>
                  <w:r>
                    <w:rPr>
                      <w:rFonts w:hint="eastAsia"/>
                      <w:u w:val="single" w:color="auto"/>
                      <w:lang w:val="en-US" w:eastAsia="zh-CN"/>
                    </w:rPr>
                    <w:t>1次/季</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D0959E1">
                  <w:pPr>
                    <w:pStyle w:val="115"/>
                    <w:bidi w:val="0"/>
                    <w:rPr>
                      <w:rFonts w:hint="eastAsia"/>
                      <w:u w:val="single" w:color="auto"/>
                      <w:lang w:val="en-US" w:eastAsia="zh-CN"/>
                    </w:rPr>
                  </w:pPr>
                  <w:r>
                    <w:rPr>
                      <w:rFonts w:hint="eastAsia"/>
                      <w:u w:val="single" w:color="auto"/>
                      <w:lang w:val="en-US" w:eastAsia="zh-CN"/>
                    </w:rPr>
                    <w:t>《工业企业厂界环境噪声排放标准》（GB12348-2008）2类标准</w:t>
                  </w:r>
                </w:p>
              </w:tc>
            </w:tr>
            <w:tr w14:paraId="2BF5B0AF">
              <w:tblPrEx>
                <w:tblCellMar>
                  <w:top w:w="0" w:type="dxa"/>
                  <w:left w:w="0" w:type="dxa"/>
                  <w:bottom w:w="0" w:type="dxa"/>
                  <w:right w:w="0" w:type="dxa"/>
                </w:tblCellMar>
              </w:tblPrEx>
              <w:trPr>
                <w:trHeight w:val="1584"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7DC74DC">
                  <w:pPr>
                    <w:pStyle w:val="115"/>
                    <w:bidi w:val="0"/>
                    <w:rPr>
                      <w:rFonts w:hint="eastAsia"/>
                      <w:u w:val="single" w:color="auto"/>
                      <w:lang w:val="en-US" w:eastAsia="zh-CN"/>
                    </w:rPr>
                  </w:pPr>
                  <w:r>
                    <w:rPr>
                      <w:rFonts w:hint="eastAsia"/>
                      <w:u w:val="single" w:color="auto"/>
                      <w:lang w:val="en-US" w:eastAsia="zh-CN"/>
                    </w:rPr>
                    <w:t>废水（场区淋滤水）</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22B29691">
                  <w:pPr>
                    <w:pStyle w:val="115"/>
                    <w:bidi w:val="0"/>
                    <w:rPr>
                      <w:rFonts w:hint="eastAsia"/>
                      <w:u w:val="single" w:color="auto"/>
                      <w:lang w:val="en-US" w:eastAsia="zh-CN"/>
                    </w:rPr>
                  </w:pPr>
                  <w:r>
                    <w:rPr>
                      <w:rFonts w:hint="eastAsia"/>
                      <w:u w:val="single" w:color="auto"/>
                      <w:lang w:val="en-US" w:eastAsia="zh-CN"/>
                    </w:rPr>
                    <w:t>矿坑废水沉淀池出口（排放前）</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02090A63">
                  <w:pPr>
                    <w:pStyle w:val="115"/>
                    <w:bidi w:val="0"/>
                    <w:rPr>
                      <w:rFonts w:hint="eastAsia"/>
                      <w:u w:val="single" w:color="auto"/>
                      <w:lang w:val="en-US" w:eastAsia="zh-CN"/>
                    </w:rPr>
                  </w:pPr>
                  <w:r>
                    <w:rPr>
                      <w:rFonts w:hint="eastAsia"/>
                      <w:u w:val="single" w:color="auto"/>
                      <w:lang w:val="en-US" w:eastAsia="zh-CN"/>
                    </w:rPr>
                    <w:t>pH、化学需氧量、悬浮物、总铜、总镉、总铬、总镍、总砷、总铅、氨氮、总磷、石油类</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7D6D9DDF">
                  <w:pPr>
                    <w:pStyle w:val="115"/>
                    <w:bidi w:val="0"/>
                    <w:rPr>
                      <w:rFonts w:hint="eastAsia"/>
                      <w:u w:val="single" w:color="auto"/>
                      <w:lang w:val="en-US" w:eastAsia="zh-CN"/>
                    </w:rPr>
                  </w:pPr>
                  <w:r>
                    <w:rPr>
                      <w:rFonts w:hint="eastAsia"/>
                      <w:u w:val="single" w:color="auto"/>
                      <w:lang w:val="en-US" w:eastAsia="zh-CN"/>
                    </w:rPr>
                    <w:t>1次/季</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E75C543">
                  <w:pPr>
                    <w:pStyle w:val="115"/>
                    <w:bidi w:val="0"/>
                    <w:rPr>
                      <w:rFonts w:hint="eastAsia"/>
                      <w:u w:val="single" w:color="auto"/>
                      <w:lang w:val="en-US" w:eastAsia="zh-CN"/>
                    </w:rPr>
                  </w:pPr>
                  <w:r>
                    <w:rPr>
                      <w:rFonts w:hint="eastAsia"/>
                      <w:u w:val="single" w:color="auto"/>
                      <w:lang w:val="en-US" w:eastAsia="zh-CN"/>
                    </w:rPr>
                    <w:t>《污水综合排放标准》（GB8978-1996）一级标准</w:t>
                  </w:r>
                </w:p>
              </w:tc>
            </w:tr>
            <w:tr w14:paraId="07A3D028">
              <w:tblPrEx>
                <w:tblCellMar>
                  <w:top w:w="0" w:type="dxa"/>
                  <w:left w:w="0" w:type="dxa"/>
                  <w:bottom w:w="0" w:type="dxa"/>
                  <w:right w:w="0" w:type="dxa"/>
                </w:tblCellMar>
              </w:tblPrEx>
              <w:trPr>
                <w:trHeight w:val="340"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2C04B307">
                  <w:pPr>
                    <w:pStyle w:val="115"/>
                    <w:bidi w:val="0"/>
                    <w:rPr>
                      <w:rFonts w:hint="eastAsia"/>
                      <w:u w:val="single" w:color="auto"/>
                      <w:lang w:val="en-US" w:eastAsia="zh-CN"/>
                    </w:rPr>
                  </w:pPr>
                  <w:r>
                    <w:rPr>
                      <w:rFonts w:hint="eastAsia"/>
                      <w:u w:val="single" w:color="auto"/>
                      <w:lang w:val="en-US" w:eastAsia="zh-CN"/>
                    </w:rPr>
                    <w:t>废气（无组织）</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79325E11">
                  <w:pPr>
                    <w:pStyle w:val="115"/>
                    <w:bidi w:val="0"/>
                    <w:rPr>
                      <w:rFonts w:hint="eastAsia"/>
                      <w:u w:val="single" w:color="auto"/>
                      <w:lang w:val="en-US" w:eastAsia="zh-CN"/>
                    </w:rPr>
                  </w:pPr>
                  <w:r>
                    <w:rPr>
                      <w:rFonts w:hint="eastAsia"/>
                      <w:u w:val="single" w:color="auto"/>
                      <w:lang w:val="en-US" w:eastAsia="zh-CN"/>
                    </w:rPr>
                    <w:t>建筑垃圾堆填场场厂界（上风向1个、下风向2~3个）</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213A3E2">
                  <w:pPr>
                    <w:pStyle w:val="115"/>
                    <w:bidi w:val="0"/>
                    <w:rPr>
                      <w:rFonts w:hint="eastAsia"/>
                      <w:u w:val="single" w:color="auto"/>
                      <w:lang w:val="en-US" w:eastAsia="zh-CN"/>
                    </w:rPr>
                  </w:pPr>
                  <w:r>
                    <w:rPr>
                      <w:rFonts w:hint="eastAsia"/>
                      <w:u w:val="single" w:color="auto"/>
                      <w:lang w:val="en-US" w:eastAsia="zh-CN"/>
                    </w:rPr>
                    <w:t>颗粒物</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3FCF0EF">
                  <w:pPr>
                    <w:pStyle w:val="115"/>
                    <w:bidi w:val="0"/>
                    <w:rPr>
                      <w:rFonts w:hint="eastAsia"/>
                      <w:u w:val="single" w:color="auto"/>
                      <w:lang w:val="en-US" w:eastAsia="zh-CN"/>
                    </w:rPr>
                  </w:pPr>
                  <w:r>
                    <w:rPr>
                      <w:rFonts w:hint="eastAsia"/>
                      <w:u w:val="single" w:color="auto"/>
                      <w:lang w:val="en-US" w:eastAsia="zh-CN"/>
                    </w:rPr>
                    <w:t>1次/季</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2D402078">
                  <w:pPr>
                    <w:pStyle w:val="115"/>
                    <w:bidi w:val="0"/>
                    <w:rPr>
                      <w:rFonts w:hint="eastAsia"/>
                      <w:u w:val="single" w:color="auto"/>
                      <w:lang w:val="en-US" w:eastAsia="zh-CN"/>
                    </w:rPr>
                  </w:pPr>
                  <w:r>
                    <w:rPr>
                      <w:rFonts w:hint="eastAsia"/>
                      <w:u w:val="single" w:color="auto"/>
                      <w:lang w:val="en-US" w:eastAsia="zh-CN"/>
                    </w:rPr>
                    <w:t>《大气污染物综合排放标准》（GB16297-1996）</w:t>
                  </w:r>
                  <w:r>
                    <w:rPr>
                      <w:rFonts w:hint="default" w:ascii="Times New Roman" w:hAnsi="Times New Roman" w:eastAsia="宋体" w:cs="Times New Roman"/>
                      <w:sz w:val="21"/>
                      <w:szCs w:val="21"/>
                      <w:u w:val="single" w:color="auto"/>
                      <w:lang w:val="en-US" w:eastAsia="zh-CN"/>
                    </w:rPr>
                    <w:t>表2新污染源大气污染物排放限值中无组织排放监控浓度限值</w:t>
                  </w:r>
                </w:p>
              </w:tc>
            </w:tr>
            <w:tr w14:paraId="3EACE85F">
              <w:tblPrEx>
                <w:tblCellMar>
                  <w:top w:w="0" w:type="dxa"/>
                  <w:left w:w="0" w:type="dxa"/>
                  <w:bottom w:w="0" w:type="dxa"/>
                  <w:right w:w="0" w:type="dxa"/>
                </w:tblCellMar>
              </w:tblPrEx>
              <w:trPr>
                <w:trHeight w:val="340"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1F95D4D">
                  <w:pPr>
                    <w:pStyle w:val="115"/>
                    <w:bidi w:val="0"/>
                    <w:rPr>
                      <w:rFonts w:hint="eastAsia"/>
                      <w:u w:val="single" w:color="auto"/>
                      <w:lang w:val="en-US" w:eastAsia="zh-CN"/>
                    </w:rPr>
                  </w:pPr>
                  <w:r>
                    <w:rPr>
                      <w:rFonts w:hint="eastAsia"/>
                      <w:u w:val="single" w:color="auto"/>
                      <w:lang w:val="en-US" w:eastAsia="zh-CN"/>
                    </w:rPr>
                    <w:t>地下水</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3C0AFA59">
                  <w:pPr>
                    <w:pStyle w:val="115"/>
                    <w:bidi w:val="0"/>
                    <w:rPr>
                      <w:rFonts w:hint="eastAsia"/>
                      <w:u w:val="single" w:color="auto"/>
                      <w:lang w:val="en-US" w:eastAsia="zh-CN"/>
                    </w:rPr>
                  </w:pPr>
                  <w:r>
                    <w:rPr>
                      <w:rFonts w:hint="eastAsia"/>
                      <w:u w:val="single" w:color="auto"/>
                      <w:lang w:val="en-US" w:eastAsia="zh-CN"/>
                    </w:rPr>
                    <w:t>堆填场堆填区上游地下水监控井、下游地下水监控井</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000D2A09">
                  <w:pPr>
                    <w:pStyle w:val="115"/>
                    <w:bidi w:val="0"/>
                    <w:rPr>
                      <w:rFonts w:hint="eastAsia"/>
                      <w:u w:val="single" w:color="auto"/>
                      <w:lang w:val="en-US" w:eastAsia="zh-CN"/>
                    </w:rPr>
                  </w:pPr>
                  <w:r>
                    <w:rPr>
                      <w:rFonts w:hint="eastAsia"/>
                      <w:u w:val="single" w:color="auto"/>
                      <w:lang w:val="en-US" w:eastAsia="zh-CN"/>
                    </w:rPr>
                    <w:t>浑浊度、pH、溶解性总固体、钙、钾、钠、硫酸盐、碳酸盐、砷、汞、总铬、六价铬、铅、镉、铁、锰、铜、锌、镍</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66A2BF08">
                  <w:pPr>
                    <w:pStyle w:val="115"/>
                    <w:bidi w:val="0"/>
                    <w:rPr>
                      <w:rFonts w:hint="eastAsia"/>
                      <w:u w:val="single" w:color="auto"/>
                      <w:lang w:val="en-US" w:eastAsia="zh-CN"/>
                    </w:rPr>
                  </w:pPr>
                  <w:r>
                    <w:rPr>
                      <w:rFonts w:hint="eastAsia"/>
                      <w:u w:val="single" w:color="auto"/>
                      <w:lang w:val="en-US" w:eastAsia="zh-CN"/>
                    </w:rPr>
                    <w:t>1次/季</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695BEE5C">
                  <w:pPr>
                    <w:pStyle w:val="115"/>
                    <w:bidi w:val="0"/>
                    <w:rPr>
                      <w:rFonts w:hint="eastAsia"/>
                      <w:u w:val="single" w:color="auto"/>
                      <w:lang w:val="en-US" w:eastAsia="zh-CN"/>
                    </w:rPr>
                  </w:pPr>
                  <w:r>
                    <w:rPr>
                      <w:rFonts w:hint="eastAsia"/>
                      <w:u w:val="single" w:color="auto"/>
                      <w:lang w:val="en-US" w:eastAsia="zh-CN"/>
                    </w:rPr>
                    <w:t>《地下水质量标准》（GB/T14848-2017）Ⅲ类标准值</w:t>
                  </w:r>
                </w:p>
              </w:tc>
            </w:tr>
            <w:tr w14:paraId="0BEA2FC0">
              <w:tblPrEx>
                <w:tblCellMar>
                  <w:top w:w="0" w:type="dxa"/>
                  <w:left w:w="0" w:type="dxa"/>
                  <w:bottom w:w="0" w:type="dxa"/>
                  <w:right w:w="0" w:type="dxa"/>
                </w:tblCellMar>
              </w:tblPrEx>
              <w:trPr>
                <w:trHeight w:val="340" w:hRule="atLeast"/>
              </w:trPr>
              <w:tc>
                <w:tcPr>
                  <w:tcW w:w="142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79ACB8F5">
                  <w:pPr>
                    <w:pStyle w:val="115"/>
                    <w:bidi w:val="0"/>
                    <w:rPr>
                      <w:rFonts w:hint="eastAsia"/>
                      <w:u w:val="single" w:color="auto"/>
                      <w:lang w:val="en-US" w:eastAsia="zh-CN"/>
                    </w:rPr>
                  </w:pPr>
                  <w:r>
                    <w:rPr>
                      <w:rFonts w:hint="eastAsia"/>
                      <w:u w:val="single" w:color="auto"/>
                      <w:lang w:val="en-US" w:eastAsia="zh-CN"/>
                    </w:rPr>
                    <w:t>土壤</w:t>
                  </w:r>
                </w:p>
              </w:tc>
              <w:tc>
                <w:tcPr>
                  <w:tcW w:w="1608"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6000036F">
                  <w:pPr>
                    <w:pStyle w:val="115"/>
                    <w:bidi w:val="0"/>
                    <w:rPr>
                      <w:rFonts w:hint="eastAsia"/>
                      <w:u w:val="single" w:color="auto"/>
                      <w:lang w:val="en-US" w:eastAsia="zh-CN"/>
                    </w:rPr>
                  </w:pPr>
                  <w:r>
                    <w:rPr>
                      <w:rFonts w:hint="eastAsia"/>
                      <w:u w:val="single" w:color="auto"/>
                      <w:lang w:val="en-US" w:eastAsia="zh-CN"/>
                    </w:rPr>
                    <w:t>堆填区坝下（表层样）</w:t>
                  </w:r>
                </w:p>
              </w:tc>
              <w:tc>
                <w:tcPr>
                  <w:tcW w:w="1880"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7E106EC4">
                  <w:pPr>
                    <w:pStyle w:val="115"/>
                    <w:bidi w:val="0"/>
                    <w:rPr>
                      <w:rFonts w:hint="eastAsia"/>
                      <w:u w:val="single" w:color="auto"/>
                      <w:lang w:val="en-US" w:eastAsia="zh-CN"/>
                    </w:rPr>
                  </w:pPr>
                  <w:r>
                    <w:rPr>
                      <w:rFonts w:hint="eastAsia"/>
                      <w:u w:val="single" w:color="auto"/>
                      <w:lang w:val="en-US" w:eastAsia="zh-CN"/>
                    </w:rPr>
                    <w:t>pH、建设用地土壤污染风险筛选基本项目（45项）</w:t>
                  </w:r>
                </w:p>
              </w:tc>
              <w:tc>
                <w:tcPr>
                  <w:tcW w:w="1301"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6973CBC5">
                  <w:pPr>
                    <w:pStyle w:val="115"/>
                    <w:bidi w:val="0"/>
                    <w:rPr>
                      <w:rFonts w:hint="eastAsia"/>
                      <w:u w:val="single" w:color="auto"/>
                      <w:lang w:val="en-US" w:eastAsia="zh-CN"/>
                    </w:rPr>
                  </w:pPr>
                  <w:r>
                    <w:rPr>
                      <w:rFonts w:hint="eastAsia"/>
                      <w:u w:val="single" w:color="auto"/>
                      <w:lang w:val="en-US" w:eastAsia="zh-CN"/>
                    </w:rPr>
                    <w:t>1次/3年</w:t>
                  </w:r>
                </w:p>
              </w:tc>
              <w:tc>
                <w:tcPr>
                  <w:tcW w:w="2396" w:type="dxa"/>
                  <w:tcBorders>
                    <w:top w:val="single" w:color="000000" w:sz="6" w:space="0"/>
                    <w:left w:val="single" w:color="000000" w:sz="6" w:space="0"/>
                    <w:bottom w:val="single" w:color="000000" w:sz="6" w:space="0"/>
                    <w:right w:val="single" w:color="000000" w:sz="6" w:space="0"/>
                  </w:tcBorders>
                  <w:tcMar>
                    <w:top w:w="150" w:type="dxa"/>
                    <w:left w:w="150" w:type="dxa"/>
                    <w:bottom w:w="150" w:type="dxa"/>
                    <w:right w:w="150" w:type="dxa"/>
                  </w:tcMar>
                  <w:vAlign w:val="center"/>
                </w:tcPr>
                <w:p w14:paraId="13837D8B">
                  <w:pPr>
                    <w:pStyle w:val="115"/>
                    <w:bidi w:val="0"/>
                    <w:rPr>
                      <w:rFonts w:hint="eastAsia"/>
                      <w:u w:val="single" w:color="auto"/>
                      <w:lang w:val="en-US" w:eastAsia="zh-CN"/>
                    </w:rPr>
                  </w:pPr>
                  <w:r>
                    <w:rPr>
                      <w:rFonts w:hint="eastAsia"/>
                      <w:u w:val="single" w:color="auto"/>
                      <w:lang w:val="en-US" w:eastAsia="zh-CN"/>
                    </w:rPr>
                    <w:t>《土壤环境质量 建设用地土壤污染风险管控标准》</w:t>
                  </w:r>
                </w:p>
              </w:tc>
            </w:tr>
          </w:tbl>
          <w:p w14:paraId="68768898">
            <w:pPr>
              <w:pStyle w:val="76"/>
              <w:widowControl w:val="0"/>
              <w:numPr>
                <w:ilvl w:val="0"/>
                <w:numId w:val="0"/>
              </w:numPr>
              <w:snapToGrid w:val="0"/>
              <w:spacing w:line="240" w:lineRule="auto"/>
              <w:jc w:val="both"/>
              <w:rPr>
                <w:rFonts w:hint="default" w:ascii="Times New Roman" w:hAnsi="Times New Roman" w:eastAsia="宋体" w:cs="Times New Roman"/>
                <w:b/>
                <w:bCs/>
                <w:color w:val="auto"/>
                <w:u w:val="none" w:color="auto"/>
                <w:lang w:val="en-US" w:eastAsia="zh-CN"/>
              </w:rPr>
            </w:pPr>
          </w:p>
          <w:p w14:paraId="1DF2E528">
            <w:pPr>
              <w:pStyle w:val="76"/>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b/>
                <w:bCs/>
                <w:color w:val="auto"/>
                <w:u w:val="none" w:color="auto"/>
                <w:lang w:val="en-US" w:eastAsia="zh-CN"/>
              </w:rPr>
            </w:pPr>
            <w:r>
              <w:rPr>
                <w:rFonts w:hint="eastAsia"/>
                <w:b/>
                <w:bCs/>
                <w:color w:val="auto"/>
                <w:u w:val="none" w:color="auto"/>
                <w:lang w:val="en-US" w:eastAsia="zh-CN"/>
              </w:rPr>
              <w:t>5、环境管理</w:t>
            </w:r>
          </w:p>
          <w:p w14:paraId="231BE38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根据本项目的工程特性，建设单位设置工程管理机构中环境保护管理专职人员，其环境管理主要内容如下：</w:t>
            </w:r>
          </w:p>
          <w:p w14:paraId="43E8B7A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1）由企业领导统筹部署，派遣专业环保人员负责环境质量问题，并组织企业员工定时学习有关环境问题保护措施及环保生产知识，企业制定生产过程中产污环节的环境保护章程，规范操作，制定常见环境问题的处理措施及流程。</w:t>
            </w:r>
          </w:p>
          <w:p w14:paraId="66782C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（2）组织和实施环境保护规划，并监督、检查环境保护措施的执行情况和环保经费的使用情况，保证各单项工程建设执行竣工验收制度。协调处理工程引起的环境污染事故和环境纠纷。</w:t>
            </w:r>
          </w:p>
          <w:p w14:paraId="59EE109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（3）在营运过程中加强对环保设施的维护运行，禁止单设环保设施电源开关，严禁擅自停运、拆除或闲置污染防治设施。</w:t>
            </w:r>
          </w:p>
          <w:p w14:paraId="631271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4）在营运过程中加强环境管理，建立健全严格的环境管理和污染控制操作程序。监督与环境有关的合同条款的执行，参与单位工程验收和工程竣工验收并签署环境管理意见，使工程建设符合环境保护法规的要求。</w:t>
            </w:r>
          </w:p>
          <w:p w14:paraId="2DF245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（5）生产中发现环境问题，及时报告企业领导报告，并及时妥善处理。如遇重大问题立即向地方主管环境部门汇报。</w:t>
            </w:r>
          </w:p>
          <w:p w14:paraId="533729E5">
            <w:pPr>
              <w:pStyle w:val="25"/>
              <w:rPr>
                <w:rFonts w:hint="eastAsia" w:ascii="Times New Roman" w:hAnsi="Times New Roman" w:eastAsia="宋体" w:cs="Times New Roman"/>
                <w:sz w:val="21"/>
                <w:szCs w:val="21"/>
                <w:u w:val="none"/>
                <w:lang w:val="en-US" w:eastAsia="zh-CN"/>
              </w:rPr>
            </w:pPr>
          </w:p>
          <w:p w14:paraId="25BC1907">
            <w:pPr>
              <w:pStyle w:val="25"/>
              <w:rPr>
                <w:rFonts w:hint="eastAsia" w:ascii="Times New Roman" w:hAnsi="Times New Roman" w:eastAsia="宋体" w:cs="Times New Roman"/>
                <w:sz w:val="21"/>
                <w:szCs w:val="21"/>
                <w:u w:val="none"/>
                <w:lang w:val="en-US" w:eastAsia="zh-CN"/>
              </w:rPr>
            </w:pPr>
          </w:p>
        </w:tc>
      </w:tr>
    </w:tbl>
    <w:p w14:paraId="76E4957B">
      <w:pPr>
        <w:widowControl w:val="0"/>
        <w:numPr>
          <w:ilvl w:val="0"/>
          <w:numId w:val="0"/>
        </w:numPr>
        <w:spacing w:line="360" w:lineRule="auto"/>
        <w:jc w:val="both"/>
      </w:pPr>
    </w:p>
    <w:p w14:paraId="67103C7B">
      <w:pPr>
        <w:ind w:firstLine="0" w:firstLineChars="0"/>
        <w:sectPr>
          <w:pgSz w:w="11906" w:h="16838"/>
          <w:pgMar w:top="1440" w:right="1080" w:bottom="1440" w:left="1080" w:header="851" w:footer="737" w:gutter="0"/>
          <w:cols w:space="720" w:num="1"/>
          <w:docGrid w:type="lines" w:linePitch="312" w:charSpace="0"/>
        </w:sectPr>
      </w:pPr>
    </w:p>
    <w:p w14:paraId="5B7A55F9">
      <w:pPr>
        <w:pStyle w:val="3"/>
      </w:pPr>
      <w:bookmarkStart w:id="125" w:name="_Toc26085"/>
      <w:bookmarkStart w:id="126" w:name="_Toc23706"/>
      <w:bookmarkStart w:id="127" w:name="_Toc16976"/>
      <w:bookmarkStart w:id="128" w:name="_Toc69979337"/>
      <w:bookmarkStart w:id="129" w:name="_Toc15238"/>
      <w:bookmarkStart w:id="130" w:name="_Toc69978268"/>
      <w:bookmarkStart w:id="131" w:name="_Toc69978191"/>
      <w:bookmarkStart w:id="132" w:name="_Toc69978400"/>
      <w:bookmarkStart w:id="133" w:name="_Toc69979314"/>
      <w:r>
        <w:rPr>
          <w:rFonts w:hint="eastAsia"/>
        </w:rPr>
        <w:t>六</w:t>
      </w:r>
      <w:r>
        <w:t>、</w:t>
      </w:r>
      <w:r>
        <w:rPr>
          <w:rFonts w:hint="eastAsia"/>
        </w:rPr>
        <w:t>结论</w:t>
      </w:r>
      <w:bookmarkEnd w:id="125"/>
      <w:bookmarkEnd w:id="126"/>
      <w:bookmarkEnd w:id="127"/>
      <w:bookmarkEnd w:id="128"/>
      <w:bookmarkEnd w:id="129"/>
      <w:bookmarkEnd w:id="130"/>
      <w:bookmarkEnd w:id="131"/>
      <w:bookmarkEnd w:id="132"/>
      <w:bookmarkEnd w:id="133"/>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7693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7B6D5348">
            <w:pPr>
              <w:bidi w:val="0"/>
              <w:rPr>
                <w:rFonts w:hint="eastAsia"/>
              </w:rPr>
            </w:pPr>
            <w:r>
              <w:rPr>
                <w:rFonts w:hint="eastAsia"/>
                <w:lang w:val="en-US" w:eastAsia="zh-CN"/>
              </w:rPr>
              <w:t>本项目</w:t>
            </w:r>
            <w:r>
              <w:rPr>
                <w:rFonts w:hint="eastAsia"/>
              </w:rPr>
              <w:t>属于“N7723固体废物治理 ”，经对比《产业结构调整指导目录》（2024年本），本项目属于鼓励类项目，符合国家产业政策及地方规划，符合</w:t>
            </w:r>
            <w:r>
              <w:rPr>
                <w:rFonts w:hint="eastAsia"/>
                <w:lang w:val="en-US" w:eastAsia="zh-CN"/>
              </w:rPr>
              <w:t>生态分区管控</w:t>
            </w:r>
            <w:r>
              <w:rPr>
                <w:rFonts w:hint="eastAsia"/>
              </w:rPr>
              <w:t>要求。项目选址可行，平面布局基本合理。在全面落实并完善各项环保措施、设施及风险防范措施的前提下，废水、废气、噪声可实现达标排放，固体废物能得到有效、合理、安全处置，环境风险可控，项目建设对环境影响在可控制范围内。在严格执行环保“三同时”制度的前提下，从环境保护角度，本项目建设可行。</w:t>
            </w:r>
          </w:p>
          <w:p w14:paraId="44FE90CC">
            <w:pPr>
              <w:ind w:firstLine="480"/>
            </w:pPr>
          </w:p>
          <w:p w14:paraId="4D0D83D8">
            <w:pPr>
              <w:ind w:firstLine="480"/>
            </w:pPr>
          </w:p>
          <w:p w14:paraId="48D7498D">
            <w:pPr>
              <w:ind w:firstLine="480"/>
            </w:pPr>
          </w:p>
          <w:p w14:paraId="7765D6A4">
            <w:pPr>
              <w:ind w:firstLine="480"/>
            </w:pPr>
          </w:p>
          <w:p w14:paraId="3509A023">
            <w:pPr>
              <w:ind w:firstLine="480"/>
            </w:pPr>
          </w:p>
          <w:p w14:paraId="6588100A">
            <w:pPr>
              <w:ind w:firstLine="480"/>
            </w:pPr>
          </w:p>
          <w:p w14:paraId="5E883DB8">
            <w:pPr>
              <w:pStyle w:val="25"/>
            </w:pPr>
          </w:p>
          <w:p w14:paraId="530E7973">
            <w:pPr>
              <w:pStyle w:val="25"/>
            </w:pPr>
          </w:p>
          <w:p w14:paraId="3AAB4F55">
            <w:pPr>
              <w:pStyle w:val="25"/>
            </w:pPr>
          </w:p>
          <w:p w14:paraId="76F30DD8">
            <w:pPr>
              <w:pStyle w:val="25"/>
            </w:pPr>
          </w:p>
          <w:p w14:paraId="3EC070C2">
            <w:pPr>
              <w:pStyle w:val="25"/>
            </w:pPr>
          </w:p>
          <w:p w14:paraId="12BF2DF5">
            <w:pPr>
              <w:pStyle w:val="25"/>
            </w:pPr>
          </w:p>
          <w:p w14:paraId="1F874C75">
            <w:pPr>
              <w:ind w:firstLine="480"/>
            </w:pPr>
          </w:p>
          <w:p w14:paraId="43DF7C7A">
            <w:pPr>
              <w:ind w:firstLine="480"/>
            </w:pPr>
          </w:p>
          <w:p w14:paraId="5BBEE3B1">
            <w:pPr>
              <w:ind w:firstLine="480"/>
            </w:pPr>
          </w:p>
          <w:p w14:paraId="37257EFF">
            <w:pPr>
              <w:ind w:firstLine="480"/>
            </w:pPr>
          </w:p>
          <w:p w14:paraId="21D97F21">
            <w:pPr>
              <w:pStyle w:val="2"/>
              <w:ind w:firstLine="400"/>
            </w:pPr>
          </w:p>
          <w:p w14:paraId="753D82C8">
            <w:pPr>
              <w:bidi w:val="0"/>
            </w:pPr>
          </w:p>
        </w:tc>
      </w:tr>
    </w:tbl>
    <w:p w14:paraId="5A7EB03C"/>
    <w:sectPr>
      <w:footerReference r:id="rId14" w:type="default"/>
      <w:pgSz w:w="11906" w:h="16838"/>
      <w:pgMar w:top="1440" w:right="1080" w:bottom="1440" w:left="1080" w:header="851" w:footer="737" w:gutter="0"/>
      <w:pgNumType w:fmt="decimal"/>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0AFF" w:usb1="00007843" w:usb2="00000001" w:usb3="00000000" w:csb0="400001BF" w:csb1="DFF7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10002FF" w:usb1="4000E47F" w:usb2="0000002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Cambria Math">
    <w:panose1 w:val="02040503050406030204"/>
    <w:charset w:val="00"/>
    <w:family w:val="auto"/>
    <w:pitch w:val="default"/>
    <w:sig w:usb0="E00002FF" w:usb1="420024FF" w:usb2="00000000" w:usb3="00000000" w:csb0="2000019F" w:csb1="00000000"/>
  </w:font>
  <w:font w:name="Kingsoft UE">
    <w:altName w:val="Euphorigenic"/>
    <w:panose1 w:val="00000000000000000000"/>
    <w:charset w:val="00"/>
    <w:family w:val="auto"/>
    <w:pitch w:val="default"/>
    <w:sig w:usb0="00000000" w:usb1="00000000" w:usb2="00000000" w:usb3="00000000" w:csb0="00000000" w:csb1="00000000"/>
  </w:font>
  <w:font w:name="Euphorigenic">
    <w:panose1 w:val="02000400000000000000"/>
    <w:charset w:val="00"/>
    <w:family w:val="auto"/>
    <w:pitch w:val="default"/>
    <w:sig w:usb0="80000027" w:usb1="0000000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08628">
    <w:pPr>
      <w:pStyle w:val="2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F6565">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C8D34">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5A9B">
    <w:pPr>
      <w:pStyle w:val="2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A619E">
    <w:pPr>
      <w:pStyle w:val="2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E3BD">
    <w:pPr>
      <w:pStyle w:val="27"/>
      <w:ind w:firstLine="0" w:firstLineChars="0"/>
      <w:jc w:val="center"/>
    </w:pPr>
    <w:r>
      <w:fldChar w:fldCharType="begin"/>
    </w:r>
    <w:r>
      <w:instrText xml:space="preserve">PAGE   \* MERGEFORMAT</w:instrText>
    </w:r>
    <w:r>
      <w:fldChar w:fldCharType="separate"/>
    </w:r>
    <w:r>
      <w:rPr>
        <w:lang w:val="zh-CN"/>
      </w:rPr>
      <w:t>34</w:t>
    </w:r>
    <w:r>
      <w:fldChar w:fldCharType="end"/>
    </w:r>
  </w:p>
  <w:p w14:paraId="37BC3FBE">
    <w:pPr>
      <w:pStyle w:val="2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5C021">
    <w:pPr>
      <w:pStyle w:val="27"/>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52095"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25209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CC61A">
                          <w:pPr>
                            <w:pStyle w:val="2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9.85pt;mso-position-horizontal:center;mso-position-horizontal-relative:margin;z-index:251659264;mso-width-relative:page;mso-height-relative:page;" filled="f" stroked="f" coordsize="21600,21600" o:gfxdata="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bI5njUAAAABAEAAA8AAAAAAAAAAQAgAAAAIgAAAGRycy9kb3ducmV2&#10;LnhtbFBLAQIUABQAAAAIAIdO4kDR32ipOQIAAGQEAAAOAAAAAAAAAAEAIAAAACMBAABkcnMvZTJv&#10;RG9jLnhtbFBLBQYAAAAABgAGAFkBAADOBQAAAAA=&#10;">
              <v:fill on="f" focussize="0,0"/>
              <v:stroke on="f" weight="0.5pt"/>
              <v:imagedata o:title=""/>
              <o:lock v:ext="edit" aspectratio="f"/>
              <v:textbox inset="0mm,0mm,0mm,0mm" style="mso-fit-shape-to-text:t;">
                <w:txbxContent>
                  <w:p w14:paraId="114CC61A">
                    <w:pPr>
                      <w:pStyle w:val="2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9D355">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6D94E">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4997F">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D13F1"/>
    <w:multiLevelType w:val="singleLevel"/>
    <w:tmpl w:val="8D1D13F1"/>
    <w:lvl w:ilvl="0" w:tentative="0">
      <w:start w:val="1"/>
      <w:numFmt w:val="bullet"/>
      <w:pStyle w:val="22"/>
      <w:lvlText w:val=""/>
      <w:lvlJc w:val="left"/>
      <w:pPr>
        <w:tabs>
          <w:tab w:val="left" w:pos="2040"/>
        </w:tabs>
        <w:ind w:left="2040" w:hanging="360"/>
      </w:pPr>
      <w:rPr>
        <w:rFonts w:hint="default" w:ascii="Wingdings" w:hAnsi="Wingdings"/>
      </w:rPr>
    </w:lvl>
  </w:abstractNum>
  <w:abstractNum w:abstractNumId="1">
    <w:nsid w:val="A84AEF70"/>
    <w:multiLevelType w:val="singleLevel"/>
    <w:tmpl w:val="A84AEF70"/>
    <w:lvl w:ilvl="0" w:tentative="0">
      <w:start w:val="3"/>
      <w:numFmt w:val="chineseCounting"/>
      <w:suff w:val="nothing"/>
      <w:lvlText w:val="%1、"/>
      <w:lvlJc w:val="left"/>
      <w:rPr>
        <w:rFonts w:hint="eastAsia"/>
      </w:rPr>
    </w:lvl>
  </w:abstractNum>
  <w:abstractNum w:abstractNumId="2">
    <w:nsid w:val="C48380B5"/>
    <w:multiLevelType w:val="singleLevel"/>
    <w:tmpl w:val="C48380B5"/>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kMGUzMmZhNzMwZjI1YWFlMDZlYjQ0M2Y2NjA4NmQifQ=="/>
  </w:docVars>
  <w:rsids>
    <w:rsidRoot w:val="00172A27"/>
    <w:rsid w:val="00001D37"/>
    <w:rsid w:val="000021B9"/>
    <w:rsid w:val="000041AA"/>
    <w:rsid w:val="00004E37"/>
    <w:rsid w:val="00006AC1"/>
    <w:rsid w:val="00006CF0"/>
    <w:rsid w:val="00012F30"/>
    <w:rsid w:val="00015971"/>
    <w:rsid w:val="00020A58"/>
    <w:rsid w:val="00022AAB"/>
    <w:rsid w:val="0002379A"/>
    <w:rsid w:val="00026F1C"/>
    <w:rsid w:val="000309AB"/>
    <w:rsid w:val="000336F0"/>
    <w:rsid w:val="00034AB9"/>
    <w:rsid w:val="000373DF"/>
    <w:rsid w:val="0003754E"/>
    <w:rsid w:val="00040EB5"/>
    <w:rsid w:val="00041663"/>
    <w:rsid w:val="0004219F"/>
    <w:rsid w:val="000437D3"/>
    <w:rsid w:val="0004405E"/>
    <w:rsid w:val="00044B7D"/>
    <w:rsid w:val="0004762B"/>
    <w:rsid w:val="00051069"/>
    <w:rsid w:val="00052CAB"/>
    <w:rsid w:val="00056CAC"/>
    <w:rsid w:val="00061089"/>
    <w:rsid w:val="00063B59"/>
    <w:rsid w:val="0006473E"/>
    <w:rsid w:val="00067740"/>
    <w:rsid w:val="0007121D"/>
    <w:rsid w:val="0007185F"/>
    <w:rsid w:val="00073954"/>
    <w:rsid w:val="00074E06"/>
    <w:rsid w:val="00076A58"/>
    <w:rsid w:val="000770F4"/>
    <w:rsid w:val="000802D8"/>
    <w:rsid w:val="000811FC"/>
    <w:rsid w:val="000818BD"/>
    <w:rsid w:val="00082FEA"/>
    <w:rsid w:val="00085439"/>
    <w:rsid w:val="0008546B"/>
    <w:rsid w:val="00086F4F"/>
    <w:rsid w:val="00091C53"/>
    <w:rsid w:val="00093B01"/>
    <w:rsid w:val="0009420E"/>
    <w:rsid w:val="00094A7D"/>
    <w:rsid w:val="00094FDC"/>
    <w:rsid w:val="00096DCE"/>
    <w:rsid w:val="000A0BCE"/>
    <w:rsid w:val="000A3178"/>
    <w:rsid w:val="000A3F73"/>
    <w:rsid w:val="000A3FFD"/>
    <w:rsid w:val="000B1033"/>
    <w:rsid w:val="000B20DB"/>
    <w:rsid w:val="000B5DE2"/>
    <w:rsid w:val="000B7148"/>
    <w:rsid w:val="000C019A"/>
    <w:rsid w:val="000C3A52"/>
    <w:rsid w:val="000C3CF2"/>
    <w:rsid w:val="000C3DA7"/>
    <w:rsid w:val="000C45C8"/>
    <w:rsid w:val="000C55C2"/>
    <w:rsid w:val="000C7C4A"/>
    <w:rsid w:val="000C7E2F"/>
    <w:rsid w:val="000D0C1C"/>
    <w:rsid w:val="000D482B"/>
    <w:rsid w:val="000D4F9E"/>
    <w:rsid w:val="000D6082"/>
    <w:rsid w:val="000D7557"/>
    <w:rsid w:val="000D7B80"/>
    <w:rsid w:val="000E0F03"/>
    <w:rsid w:val="000E114F"/>
    <w:rsid w:val="000E3F3F"/>
    <w:rsid w:val="000E4E44"/>
    <w:rsid w:val="000E5A63"/>
    <w:rsid w:val="000F2BEB"/>
    <w:rsid w:val="000F383B"/>
    <w:rsid w:val="000F6802"/>
    <w:rsid w:val="000F6BA9"/>
    <w:rsid w:val="00100469"/>
    <w:rsid w:val="00101AE9"/>
    <w:rsid w:val="00103193"/>
    <w:rsid w:val="0010373B"/>
    <w:rsid w:val="00105F99"/>
    <w:rsid w:val="00110A51"/>
    <w:rsid w:val="00111DC1"/>
    <w:rsid w:val="0011375D"/>
    <w:rsid w:val="00113DFA"/>
    <w:rsid w:val="00113F43"/>
    <w:rsid w:val="0011514F"/>
    <w:rsid w:val="00115F1E"/>
    <w:rsid w:val="0011781E"/>
    <w:rsid w:val="001217FB"/>
    <w:rsid w:val="00121E71"/>
    <w:rsid w:val="00122975"/>
    <w:rsid w:val="001248EF"/>
    <w:rsid w:val="001256A7"/>
    <w:rsid w:val="00130115"/>
    <w:rsid w:val="00132320"/>
    <w:rsid w:val="001324CD"/>
    <w:rsid w:val="00133072"/>
    <w:rsid w:val="00133098"/>
    <w:rsid w:val="00142808"/>
    <w:rsid w:val="00143368"/>
    <w:rsid w:val="0014456E"/>
    <w:rsid w:val="001467A9"/>
    <w:rsid w:val="00147DA7"/>
    <w:rsid w:val="00150067"/>
    <w:rsid w:val="00156F46"/>
    <w:rsid w:val="001603F7"/>
    <w:rsid w:val="0016060C"/>
    <w:rsid w:val="00161AE3"/>
    <w:rsid w:val="00162C6A"/>
    <w:rsid w:val="001641C2"/>
    <w:rsid w:val="00165048"/>
    <w:rsid w:val="001665E1"/>
    <w:rsid w:val="001667A3"/>
    <w:rsid w:val="00166A22"/>
    <w:rsid w:val="00170715"/>
    <w:rsid w:val="00172A27"/>
    <w:rsid w:val="00172A85"/>
    <w:rsid w:val="00172F9B"/>
    <w:rsid w:val="001737B2"/>
    <w:rsid w:val="001755D7"/>
    <w:rsid w:val="00177324"/>
    <w:rsid w:val="00181495"/>
    <w:rsid w:val="00181DEE"/>
    <w:rsid w:val="00183A48"/>
    <w:rsid w:val="00185DAB"/>
    <w:rsid w:val="001865CC"/>
    <w:rsid w:val="00190223"/>
    <w:rsid w:val="0019166E"/>
    <w:rsid w:val="001918F2"/>
    <w:rsid w:val="0019274C"/>
    <w:rsid w:val="00194673"/>
    <w:rsid w:val="00196374"/>
    <w:rsid w:val="001963CF"/>
    <w:rsid w:val="0019764B"/>
    <w:rsid w:val="001A3070"/>
    <w:rsid w:val="001A4CD2"/>
    <w:rsid w:val="001A7289"/>
    <w:rsid w:val="001B2DDA"/>
    <w:rsid w:val="001B66DE"/>
    <w:rsid w:val="001B6A01"/>
    <w:rsid w:val="001C27EA"/>
    <w:rsid w:val="001C35F1"/>
    <w:rsid w:val="001D08FE"/>
    <w:rsid w:val="001D38B2"/>
    <w:rsid w:val="001D438D"/>
    <w:rsid w:val="001D45A5"/>
    <w:rsid w:val="001E1C7E"/>
    <w:rsid w:val="001E2D99"/>
    <w:rsid w:val="001E54EA"/>
    <w:rsid w:val="001E58F9"/>
    <w:rsid w:val="001E5BFF"/>
    <w:rsid w:val="001E7BA5"/>
    <w:rsid w:val="001F0A3D"/>
    <w:rsid w:val="001F65CD"/>
    <w:rsid w:val="002007BE"/>
    <w:rsid w:val="0020183A"/>
    <w:rsid w:val="00204431"/>
    <w:rsid w:val="00205692"/>
    <w:rsid w:val="002074CB"/>
    <w:rsid w:val="00207E57"/>
    <w:rsid w:val="00212C06"/>
    <w:rsid w:val="00213021"/>
    <w:rsid w:val="00213505"/>
    <w:rsid w:val="00213599"/>
    <w:rsid w:val="00216D0E"/>
    <w:rsid w:val="00217853"/>
    <w:rsid w:val="0022159F"/>
    <w:rsid w:val="0022330E"/>
    <w:rsid w:val="00223E4B"/>
    <w:rsid w:val="00226921"/>
    <w:rsid w:val="002321E4"/>
    <w:rsid w:val="00232243"/>
    <w:rsid w:val="002329E4"/>
    <w:rsid w:val="002335FF"/>
    <w:rsid w:val="00235494"/>
    <w:rsid w:val="00236C3F"/>
    <w:rsid w:val="00241A79"/>
    <w:rsid w:val="00242553"/>
    <w:rsid w:val="00243855"/>
    <w:rsid w:val="002534F0"/>
    <w:rsid w:val="002572A2"/>
    <w:rsid w:val="00261196"/>
    <w:rsid w:val="00261615"/>
    <w:rsid w:val="0026313D"/>
    <w:rsid w:val="0026367E"/>
    <w:rsid w:val="00263A63"/>
    <w:rsid w:val="002642FD"/>
    <w:rsid w:val="00265CD9"/>
    <w:rsid w:val="002666D8"/>
    <w:rsid w:val="002666ED"/>
    <w:rsid w:val="00266D09"/>
    <w:rsid w:val="0026737B"/>
    <w:rsid w:val="00267BC3"/>
    <w:rsid w:val="002702DA"/>
    <w:rsid w:val="002705EF"/>
    <w:rsid w:val="00270BE1"/>
    <w:rsid w:val="00271CB3"/>
    <w:rsid w:val="00271CDF"/>
    <w:rsid w:val="00273CC0"/>
    <w:rsid w:val="00275B0E"/>
    <w:rsid w:val="00276731"/>
    <w:rsid w:val="00277A4B"/>
    <w:rsid w:val="00281003"/>
    <w:rsid w:val="00281C24"/>
    <w:rsid w:val="00281C4A"/>
    <w:rsid w:val="00284407"/>
    <w:rsid w:val="002857EC"/>
    <w:rsid w:val="00285AFD"/>
    <w:rsid w:val="00287177"/>
    <w:rsid w:val="00290A6B"/>
    <w:rsid w:val="00290BB1"/>
    <w:rsid w:val="00294C0F"/>
    <w:rsid w:val="00295BD9"/>
    <w:rsid w:val="00296734"/>
    <w:rsid w:val="0029681C"/>
    <w:rsid w:val="002A0257"/>
    <w:rsid w:val="002A0E93"/>
    <w:rsid w:val="002A3C3D"/>
    <w:rsid w:val="002A5114"/>
    <w:rsid w:val="002A5307"/>
    <w:rsid w:val="002A58B6"/>
    <w:rsid w:val="002A71B4"/>
    <w:rsid w:val="002B05DE"/>
    <w:rsid w:val="002B5807"/>
    <w:rsid w:val="002B768C"/>
    <w:rsid w:val="002B7F09"/>
    <w:rsid w:val="002C01C5"/>
    <w:rsid w:val="002D07C2"/>
    <w:rsid w:val="002D1524"/>
    <w:rsid w:val="002D3C54"/>
    <w:rsid w:val="002D4FBB"/>
    <w:rsid w:val="002D70DF"/>
    <w:rsid w:val="002E0904"/>
    <w:rsid w:val="002E1A1F"/>
    <w:rsid w:val="002E1ED7"/>
    <w:rsid w:val="002E4438"/>
    <w:rsid w:val="002E4B0D"/>
    <w:rsid w:val="002E7638"/>
    <w:rsid w:val="002F3801"/>
    <w:rsid w:val="002F50E7"/>
    <w:rsid w:val="003033BE"/>
    <w:rsid w:val="003038F3"/>
    <w:rsid w:val="00305A08"/>
    <w:rsid w:val="003103C9"/>
    <w:rsid w:val="00312739"/>
    <w:rsid w:val="0031308B"/>
    <w:rsid w:val="003157D7"/>
    <w:rsid w:val="003167FA"/>
    <w:rsid w:val="00317550"/>
    <w:rsid w:val="00321A92"/>
    <w:rsid w:val="00327D63"/>
    <w:rsid w:val="00332696"/>
    <w:rsid w:val="003333B0"/>
    <w:rsid w:val="00335455"/>
    <w:rsid w:val="003371B8"/>
    <w:rsid w:val="00337D54"/>
    <w:rsid w:val="00341FC1"/>
    <w:rsid w:val="003445D3"/>
    <w:rsid w:val="00344BA7"/>
    <w:rsid w:val="0035134A"/>
    <w:rsid w:val="003517B8"/>
    <w:rsid w:val="00351C7C"/>
    <w:rsid w:val="003524C4"/>
    <w:rsid w:val="003537DE"/>
    <w:rsid w:val="00357606"/>
    <w:rsid w:val="0036074F"/>
    <w:rsid w:val="00361188"/>
    <w:rsid w:val="003611EA"/>
    <w:rsid w:val="00362E72"/>
    <w:rsid w:val="00362FED"/>
    <w:rsid w:val="00366E4E"/>
    <w:rsid w:val="00367D97"/>
    <w:rsid w:val="0037021A"/>
    <w:rsid w:val="00371655"/>
    <w:rsid w:val="00371D6E"/>
    <w:rsid w:val="00373191"/>
    <w:rsid w:val="0037377B"/>
    <w:rsid w:val="00373E59"/>
    <w:rsid w:val="003742DE"/>
    <w:rsid w:val="0037481F"/>
    <w:rsid w:val="003754B1"/>
    <w:rsid w:val="00375B63"/>
    <w:rsid w:val="00377340"/>
    <w:rsid w:val="0037747F"/>
    <w:rsid w:val="00380C10"/>
    <w:rsid w:val="00381E91"/>
    <w:rsid w:val="00382B0E"/>
    <w:rsid w:val="003836E8"/>
    <w:rsid w:val="00384E6F"/>
    <w:rsid w:val="00385083"/>
    <w:rsid w:val="00387E3B"/>
    <w:rsid w:val="0039279E"/>
    <w:rsid w:val="003929F3"/>
    <w:rsid w:val="00393603"/>
    <w:rsid w:val="003949F9"/>
    <w:rsid w:val="003966FA"/>
    <w:rsid w:val="003A2873"/>
    <w:rsid w:val="003A667A"/>
    <w:rsid w:val="003A72E1"/>
    <w:rsid w:val="003B0424"/>
    <w:rsid w:val="003B5020"/>
    <w:rsid w:val="003B7A1A"/>
    <w:rsid w:val="003B7A37"/>
    <w:rsid w:val="003C337A"/>
    <w:rsid w:val="003D0527"/>
    <w:rsid w:val="003D0FAE"/>
    <w:rsid w:val="003D2525"/>
    <w:rsid w:val="003D2903"/>
    <w:rsid w:val="003D6464"/>
    <w:rsid w:val="003D6788"/>
    <w:rsid w:val="003E0570"/>
    <w:rsid w:val="003E13C0"/>
    <w:rsid w:val="003E2FD1"/>
    <w:rsid w:val="003F0F20"/>
    <w:rsid w:val="003F4CDA"/>
    <w:rsid w:val="003F53DF"/>
    <w:rsid w:val="003F577A"/>
    <w:rsid w:val="003F6A22"/>
    <w:rsid w:val="00405430"/>
    <w:rsid w:val="00405707"/>
    <w:rsid w:val="00407952"/>
    <w:rsid w:val="00410D0A"/>
    <w:rsid w:val="004201C4"/>
    <w:rsid w:val="00420A13"/>
    <w:rsid w:val="004211AB"/>
    <w:rsid w:val="00421441"/>
    <w:rsid w:val="00421E0D"/>
    <w:rsid w:val="00423BC4"/>
    <w:rsid w:val="004276D5"/>
    <w:rsid w:val="0042774E"/>
    <w:rsid w:val="0043122E"/>
    <w:rsid w:val="00432C19"/>
    <w:rsid w:val="00433548"/>
    <w:rsid w:val="00436BAA"/>
    <w:rsid w:val="0043755F"/>
    <w:rsid w:val="004402F2"/>
    <w:rsid w:val="004429E2"/>
    <w:rsid w:val="004431CE"/>
    <w:rsid w:val="00447075"/>
    <w:rsid w:val="00450396"/>
    <w:rsid w:val="00451E2E"/>
    <w:rsid w:val="00451EC4"/>
    <w:rsid w:val="00454129"/>
    <w:rsid w:val="0045483F"/>
    <w:rsid w:val="0045669A"/>
    <w:rsid w:val="00460064"/>
    <w:rsid w:val="004613F1"/>
    <w:rsid w:val="004627D3"/>
    <w:rsid w:val="00463402"/>
    <w:rsid w:val="004663FF"/>
    <w:rsid w:val="00466570"/>
    <w:rsid w:val="00466829"/>
    <w:rsid w:val="004668C8"/>
    <w:rsid w:val="00466D14"/>
    <w:rsid w:val="004670F0"/>
    <w:rsid w:val="004673E0"/>
    <w:rsid w:val="00467733"/>
    <w:rsid w:val="00467F5A"/>
    <w:rsid w:val="00472C1A"/>
    <w:rsid w:val="0047374B"/>
    <w:rsid w:val="00474367"/>
    <w:rsid w:val="004757C0"/>
    <w:rsid w:val="004758CC"/>
    <w:rsid w:val="00475F05"/>
    <w:rsid w:val="00483A73"/>
    <w:rsid w:val="00483ED8"/>
    <w:rsid w:val="004840F7"/>
    <w:rsid w:val="0048502E"/>
    <w:rsid w:val="00491863"/>
    <w:rsid w:val="00493DAD"/>
    <w:rsid w:val="004942D8"/>
    <w:rsid w:val="00494FFD"/>
    <w:rsid w:val="00496C0A"/>
    <w:rsid w:val="00497E3D"/>
    <w:rsid w:val="004A5748"/>
    <w:rsid w:val="004A583B"/>
    <w:rsid w:val="004A751D"/>
    <w:rsid w:val="004B0B1B"/>
    <w:rsid w:val="004B0C87"/>
    <w:rsid w:val="004B0D73"/>
    <w:rsid w:val="004B110A"/>
    <w:rsid w:val="004B592B"/>
    <w:rsid w:val="004B5DD3"/>
    <w:rsid w:val="004B61EA"/>
    <w:rsid w:val="004C07AC"/>
    <w:rsid w:val="004C0C64"/>
    <w:rsid w:val="004C198B"/>
    <w:rsid w:val="004C279F"/>
    <w:rsid w:val="004C4510"/>
    <w:rsid w:val="004C4866"/>
    <w:rsid w:val="004C6001"/>
    <w:rsid w:val="004C6873"/>
    <w:rsid w:val="004D0FFD"/>
    <w:rsid w:val="004D42E5"/>
    <w:rsid w:val="004E0993"/>
    <w:rsid w:val="004E1A4E"/>
    <w:rsid w:val="004E21FA"/>
    <w:rsid w:val="004E26D4"/>
    <w:rsid w:val="004E2A6B"/>
    <w:rsid w:val="004E6D0E"/>
    <w:rsid w:val="004E6F62"/>
    <w:rsid w:val="004E7F24"/>
    <w:rsid w:val="004F1195"/>
    <w:rsid w:val="004F12AB"/>
    <w:rsid w:val="004F5D3C"/>
    <w:rsid w:val="004F62D7"/>
    <w:rsid w:val="004F6B39"/>
    <w:rsid w:val="00501455"/>
    <w:rsid w:val="00505BF0"/>
    <w:rsid w:val="0050727B"/>
    <w:rsid w:val="00512216"/>
    <w:rsid w:val="005149DC"/>
    <w:rsid w:val="00516BCC"/>
    <w:rsid w:val="005176EF"/>
    <w:rsid w:val="0052221B"/>
    <w:rsid w:val="005225E2"/>
    <w:rsid w:val="00522A36"/>
    <w:rsid w:val="0052677A"/>
    <w:rsid w:val="005307F9"/>
    <w:rsid w:val="005310E2"/>
    <w:rsid w:val="0053682F"/>
    <w:rsid w:val="00541747"/>
    <w:rsid w:val="00542CC8"/>
    <w:rsid w:val="005448ED"/>
    <w:rsid w:val="00550BEA"/>
    <w:rsid w:val="00551305"/>
    <w:rsid w:val="005521DB"/>
    <w:rsid w:val="00553145"/>
    <w:rsid w:val="00553AD6"/>
    <w:rsid w:val="005547E8"/>
    <w:rsid w:val="00557538"/>
    <w:rsid w:val="00557C5D"/>
    <w:rsid w:val="00561BCE"/>
    <w:rsid w:val="005654E3"/>
    <w:rsid w:val="00565659"/>
    <w:rsid w:val="0056670F"/>
    <w:rsid w:val="005713DB"/>
    <w:rsid w:val="005757D1"/>
    <w:rsid w:val="00575C63"/>
    <w:rsid w:val="00576D0B"/>
    <w:rsid w:val="00577346"/>
    <w:rsid w:val="005802F5"/>
    <w:rsid w:val="005805BF"/>
    <w:rsid w:val="00580723"/>
    <w:rsid w:val="00581472"/>
    <w:rsid w:val="00590150"/>
    <w:rsid w:val="00594167"/>
    <w:rsid w:val="00594AAD"/>
    <w:rsid w:val="005957A3"/>
    <w:rsid w:val="005A421C"/>
    <w:rsid w:val="005A61C6"/>
    <w:rsid w:val="005B052C"/>
    <w:rsid w:val="005B1733"/>
    <w:rsid w:val="005B36D1"/>
    <w:rsid w:val="005B6205"/>
    <w:rsid w:val="005B642F"/>
    <w:rsid w:val="005B6BD5"/>
    <w:rsid w:val="005C05CC"/>
    <w:rsid w:val="005C0E46"/>
    <w:rsid w:val="005C270D"/>
    <w:rsid w:val="005C5AB0"/>
    <w:rsid w:val="005C605D"/>
    <w:rsid w:val="005C6B61"/>
    <w:rsid w:val="005D42DD"/>
    <w:rsid w:val="005D4603"/>
    <w:rsid w:val="005D59DD"/>
    <w:rsid w:val="005D7DE4"/>
    <w:rsid w:val="005E1270"/>
    <w:rsid w:val="005E6E91"/>
    <w:rsid w:val="005E7BEB"/>
    <w:rsid w:val="005F0238"/>
    <w:rsid w:val="005F1EA7"/>
    <w:rsid w:val="005F67CE"/>
    <w:rsid w:val="005F6828"/>
    <w:rsid w:val="00600E1E"/>
    <w:rsid w:val="00601E3B"/>
    <w:rsid w:val="00603920"/>
    <w:rsid w:val="00606F4E"/>
    <w:rsid w:val="00610718"/>
    <w:rsid w:val="00612B68"/>
    <w:rsid w:val="00612D6D"/>
    <w:rsid w:val="00613589"/>
    <w:rsid w:val="00617B1F"/>
    <w:rsid w:val="0062079A"/>
    <w:rsid w:val="00620F47"/>
    <w:rsid w:val="00621E5C"/>
    <w:rsid w:val="00621F42"/>
    <w:rsid w:val="0062224D"/>
    <w:rsid w:val="00624C19"/>
    <w:rsid w:val="006255B7"/>
    <w:rsid w:val="00630666"/>
    <w:rsid w:val="006318FE"/>
    <w:rsid w:val="00633B0D"/>
    <w:rsid w:val="0063615C"/>
    <w:rsid w:val="00641486"/>
    <w:rsid w:val="00642476"/>
    <w:rsid w:val="00643035"/>
    <w:rsid w:val="00643B20"/>
    <w:rsid w:val="0064536E"/>
    <w:rsid w:val="006458B5"/>
    <w:rsid w:val="0064741B"/>
    <w:rsid w:val="006500BF"/>
    <w:rsid w:val="00651E77"/>
    <w:rsid w:val="00652073"/>
    <w:rsid w:val="0065404E"/>
    <w:rsid w:val="006542F4"/>
    <w:rsid w:val="006570F7"/>
    <w:rsid w:val="0065740E"/>
    <w:rsid w:val="00660B11"/>
    <w:rsid w:val="00660D0B"/>
    <w:rsid w:val="00661A9F"/>
    <w:rsid w:val="0066452B"/>
    <w:rsid w:val="00664CD1"/>
    <w:rsid w:val="00665E26"/>
    <w:rsid w:val="00666102"/>
    <w:rsid w:val="00667573"/>
    <w:rsid w:val="00673820"/>
    <w:rsid w:val="0067529C"/>
    <w:rsid w:val="00676750"/>
    <w:rsid w:val="00685753"/>
    <w:rsid w:val="006858B8"/>
    <w:rsid w:val="006859A5"/>
    <w:rsid w:val="00690F77"/>
    <w:rsid w:val="00694816"/>
    <w:rsid w:val="00694E14"/>
    <w:rsid w:val="00695DF1"/>
    <w:rsid w:val="00696C98"/>
    <w:rsid w:val="006A1073"/>
    <w:rsid w:val="006A743D"/>
    <w:rsid w:val="006B37CD"/>
    <w:rsid w:val="006B387B"/>
    <w:rsid w:val="006C1675"/>
    <w:rsid w:val="006C1756"/>
    <w:rsid w:val="006C1E80"/>
    <w:rsid w:val="006C3F10"/>
    <w:rsid w:val="006C5967"/>
    <w:rsid w:val="006C5976"/>
    <w:rsid w:val="006C7D2A"/>
    <w:rsid w:val="006C7E53"/>
    <w:rsid w:val="006D06C4"/>
    <w:rsid w:val="006D1CF8"/>
    <w:rsid w:val="006D3B49"/>
    <w:rsid w:val="006D5B31"/>
    <w:rsid w:val="006D7983"/>
    <w:rsid w:val="006D7BE3"/>
    <w:rsid w:val="006E1A3F"/>
    <w:rsid w:val="006E4193"/>
    <w:rsid w:val="006E449F"/>
    <w:rsid w:val="006E4D11"/>
    <w:rsid w:val="006E5229"/>
    <w:rsid w:val="006E53D1"/>
    <w:rsid w:val="006E6DC7"/>
    <w:rsid w:val="006F2B1B"/>
    <w:rsid w:val="006F3CDA"/>
    <w:rsid w:val="006F51A4"/>
    <w:rsid w:val="006F6EDF"/>
    <w:rsid w:val="006F7EBE"/>
    <w:rsid w:val="00700672"/>
    <w:rsid w:val="007019B6"/>
    <w:rsid w:val="00701C2F"/>
    <w:rsid w:val="0070292D"/>
    <w:rsid w:val="00705FBA"/>
    <w:rsid w:val="007063B3"/>
    <w:rsid w:val="00707C11"/>
    <w:rsid w:val="00712235"/>
    <w:rsid w:val="00712606"/>
    <w:rsid w:val="0071538D"/>
    <w:rsid w:val="00715FDE"/>
    <w:rsid w:val="00716C89"/>
    <w:rsid w:val="00722ADD"/>
    <w:rsid w:val="00723EF1"/>
    <w:rsid w:val="007244D3"/>
    <w:rsid w:val="007251F5"/>
    <w:rsid w:val="007268FF"/>
    <w:rsid w:val="00727DA5"/>
    <w:rsid w:val="007336EC"/>
    <w:rsid w:val="00735BC3"/>
    <w:rsid w:val="00735D22"/>
    <w:rsid w:val="0073616C"/>
    <w:rsid w:val="00740217"/>
    <w:rsid w:val="007411C0"/>
    <w:rsid w:val="00741AFB"/>
    <w:rsid w:val="00741C45"/>
    <w:rsid w:val="00741F59"/>
    <w:rsid w:val="00742601"/>
    <w:rsid w:val="00743024"/>
    <w:rsid w:val="00743598"/>
    <w:rsid w:val="00743FF4"/>
    <w:rsid w:val="00745CDD"/>
    <w:rsid w:val="00745D60"/>
    <w:rsid w:val="00746A6B"/>
    <w:rsid w:val="007517EA"/>
    <w:rsid w:val="00753A34"/>
    <w:rsid w:val="00753F20"/>
    <w:rsid w:val="00754C1C"/>
    <w:rsid w:val="007574E0"/>
    <w:rsid w:val="00761B99"/>
    <w:rsid w:val="00764E4A"/>
    <w:rsid w:val="00766C1A"/>
    <w:rsid w:val="0077145D"/>
    <w:rsid w:val="00771E98"/>
    <w:rsid w:val="00773789"/>
    <w:rsid w:val="00773EA3"/>
    <w:rsid w:val="0077447B"/>
    <w:rsid w:val="0077521A"/>
    <w:rsid w:val="0077678B"/>
    <w:rsid w:val="007772BE"/>
    <w:rsid w:val="00780D66"/>
    <w:rsid w:val="00780F3F"/>
    <w:rsid w:val="007813AD"/>
    <w:rsid w:val="00783820"/>
    <w:rsid w:val="007838EE"/>
    <w:rsid w:val="00784DA3"/>
    <w:rsid w:val="007864C1"/>
    <w:rsid w:val="00786F32"/>
    <w:rsid w:val="00787B70"/>
    <w:rsid w:val="007930EF"/>
    <w:rsid w:val="007A020C"/>
    <w:rsid w:val="007A0774"/>
    <w:rsid w:val="007A2057"/>
    <w:rsid w:val="007A440B"/>
    <w:rsid w:val="007A4707"/>
    <w:rsid w:val="007A5988"/>
    <w:rsid w:val="007B1170"/>
    <w:rsid w:val="007B1181"/>
    <w:rsid w:val="007B3137"/>
    <w:rsid w:val="007B3382"/>
    <w:rsid w:val="007B4E3D"/>
    <w:rsid w:val="007B62B4"/>
    <w:rsid w:val="007B7199"/>
    <w:rsid w:val="007B7C99"/>
    <w:rsid w:val="007C0EAC"/>
    <w:rsid w:val="007C113B"/>
    <w:rsid w:val="007C33D5"/>
    <w:rsid w:val="007D14FF"/>
    <w:rsid w:val="007D2F54"/>
    <w:rsid w:val="007D3B6F"/>
    <w:rsid w:val="007D529D"/>
    <w:rsid w:val="007D616D"/>
    <w:rsid w:val="007E010D"/>
    <w:rsid w:val="007E02E3"/>
    <w:rsid w:val="007E2A36"/>
    <w:rsid w:val="007E2A80"/>
    <w:rsid w:val="007E354A"/>
    <w:rsid w:val="007E358C"/>
    <w:rsid w:val="007E45D8"/>
    <w:rsid w:val="007E5428"/>
    <w:rsid w:val="007E59F1"/>
    <w:rsid w:val="007E63D0"/>
    <w:rsid w:val="007F2D95"/>
    <w:rsid w:val="007F2E6B"/>
    <w:rsid w:val="007F3FD3"/>
    <w:rsid w:val="007F6899"/>
    <w:rsid w:val="007F7014"/>
    <w:rsid w:val="00802D28"/>
    <w:rsid w:val="00803098"/>
    <w:rsid w:val="0080512C"/>
    <w:rsid w:val="008145EB"/>
    <w:rsid w:val="0082243A"/>
    <w:rsid w:val="008241A2"/>
    <w:rsid w:val="00824615"/>
    <w:rsid w:val="00824BD6"/>
    <w:rsid w:val="00825D5F"/>
    <w:rsid w:val="00825F5F"/>
    <w:rsid w:val="0082643F"/>
    <w:rsid w:val="00832308"/>
    <w:rsid w:val="00835C64"/>
    <w:rsid w:val="00835E8A"/>
    <w:rsid w:val="00836D63"/>
    <w:rsid w:val="008402A9"/>
    <w:rsid w:val="00841C93"/>
    <w:rsid w:val="00842FA1"/>
    <w:rsid w:val="008445D8"/>
    <w:rsid w:val="00850D99"/>
    <w:rsid w:val="00851844"/>
    <w:rsid w:val="00851FC5"/>
    <w:rsid w:val="00852935"/>
    <w:rsid w:val="008607EA"/>
    <w:rsid w:val="00860A3E"/>
    <w:rsid w:val="008625C5"/>
    <w:rsid w:val="00863CCA"/>
    <w:rsid w:val="00867044"/>
    <w:rsid w:val="00867AC1"/>
    <w:rsid w:val="00867DCE"/>
    <w:rsid w:val="008711D6"/>
    <w:rsid w:val="0087135B"/>
    <w:rsid w:val="008716FB"/>
    <w:rsid w:val="00873A97"/>
    <w:rsid w:val="00876576"/>
    <w:rsid w:val="00880CB7"/>
    <w:rsid w:val="00880F22"/>
    <w:rsid w:val="00881156"/>
    <w:rsid w:val="0088342B"/>
    <w:rsid w:val="00891907"/>
    <w:rsid w:val="00891D1D"/>
    <w:rsid w:val="00893463"/>
    <w:rsid w:val="00893947"/>
    <w:rsid w:val="00896F65"/>
    <w:rsid w:val="008A1CA1"/>
    <w:rsid w:val="008A221F"/>
    <w:rsid w:val="008A55CA"/>
    <w:rsid w:val="008B005C"/>
    <w:rsid w:val="008B3237"/>
    <w:rsid w:val="008B3800"/>
    <w:rsid w:val="008B5891"/>
    <w:rsid w:val="008B6702"/>
    <w:rsid w:val="008B729A"/>
    <w:rsid w:val="008B74BD"/>
    <w:rsid w:val="008B7B69"/>
    <w:rsid w:val="008B7CE0"/>
    <w:rsid w:val="008C0294"/>
    <w:rsid w:val="008C1184"/>
    <w:rsid w:val="008D091A"/>
    <w:rsid w:val="008D4F89"/>
    <w:rsid w:val="008D6209"/>
    <w:rsid w:val="008D62DC"/>
    <w:rsid w:val="008D7F85"/>
    <w:rsid w:val="008E0991"/>
    <w:rsid w:val="008E1A9F"/>
    <w:rsid w:val="008E1FAB"/>
    <w:rsid w:val="008E35A2"/>
    <w:rsid w:val="008E3E14"/>
    <w:rsid w:val="008E4823"/>
    <w:rsid w:val="008E62B8"/>
    <w:rsid w:val="008E71ED"/>
    <w:rsid w:val="008F0F0F"/>
    <w:rsid w:val="008F15BF"/>
    <w:rsid w:val="008F2477"/>
    <w:rsid w:val="008F326E"/>
    <w:rsid w:val="008F493D"/>
    <w:rsid w:val="00900F65"/>
    <w:rsid w:val="00901786"/>
    <w:rsid w:val="00905626"/>
    <w:rsid w:val="00912E9C"/>
    <w:rsid w:val="00915FC2"/>
    <w:rsid w:val="0092235F"/>
    <w:rsid w:val="009223C6"/>
    <w:rsid w:val="00925563"/>
    <w:rsid w:val="00927637"/>
    <w:rsid w:val="00930CFD"/>
    <w:rsid w:val="00932090"/>
    <w:rsid w:val="009338B7"/>
    <w:rsid w:val="0094054B"/>
    <w:rsid w:val="00940597"/>
    <w:rsid w:val="00943EB7"/>
    <w:rsid w:val="00944AA2"/>
    <w:rsid w:val="00945459"/>
    <w:rsid w:val="00946091"/>
    <w:rsid w:val="00950BD3"/>
    <w:rsid w:val="00951731"/>
    <w:rsid w:val="00962246"/>
    <w:rsid w:val="00963440"/>
    <w:rsid w:val="00963914"/>
    <w:rsid w:val="00964C15"/>
    <w:rsid w:val="00964C36"/>
    <w:rsid w:val="0096542C"/>
    <w:rsid w:val="0096659A"/>
    <w:rsid w:val="00967461"/>
    <w:rsid w:val="00972595"/>
    <w:rsid w:val="00973312"/>
    <w:rsid w:val="009740F7"/>
    <w:rsid w:val="0097474C"/>
    <w:rsid w:val="00974BB7"/>
    <w:rsid w:val="00976EB1"/>
    <w:rsid w:val="00981EDA"/>
    <w:rsid w:val="00984B86"/>
    <w:rsid w:val="00985320"/>
    <w:rsid w:val="00985636"/>
    <w:rsid w:val="009931B8"/>
    <w:rsid w:val="00993932"/>
    <w:rsid w:val="00996262"/>
    <w:rsid w:val="009A1E76"/>
    <w:rsid w:val="009A2CE2"/>
    <w:rsid w:val="009A4953"/>
    <w:rsid w:val="009B0D31"/>
    <w:rsid w:val="009B133E"/>
    <w:rsid w:val="009B1C97"/>
    <w:rsid w:val="009B30EE"/>
    <w:rsid w:val="009B5739"/>
    <w:rsid w:val="009B7ED0"/>
    <w:rsid w:val="009C268D"/>
    <w:rsid w:val="009C2CA5"/>
    <w:rsid w:val="009C4327"/>
    <w:rsid w:val="009C4D8E"/>
    <w:rsid w:val="009C4F3C"/>
    <w:rsid w:val="009D0080"/>
    <w:rsid w:val="009D0F18"/>
    <w:rsid w:val="009D2744"/>
    <w:rsid w:val="009D2E6D"/>
    <w:rsid w:val="009D3B6B"/>
    <w:rsid w:val="009D3D6A"/>
    <w:rsid w:val="009D6F43"/>
    <w:rsid w:val="009E13D7"/>
    <w:rsid w:val="009E3832"/>
    <w:rsid w:val="009E6229"/>
    <w:rsid w:val="009F1DEE"/>
    <w:rsid w:val="009F21D9"/>
    <w:rsid w:val="009F40A0"/>
    <w:rsid w:val="009F4A67"/>
    <w:rsid w:val="009F5A2F"/>
    <w:rsid w:val="009F6D1A"/>
    <w:rsid w:val="00A016BA"/>
    <w:rsid w:val="00A0193C"/>
    <w:rsid w:val="00A05A3B"/>
    <w:rsid w:val="00A06957"/>
    <w:rsid w:val="00A13C4E"/>
    <w:rsid w:val="00A14718"/>
    <w:rsid w:val="00A14932"/>
    <w:rsid w:val="00A23279"/>
    <w:rsid w:val="00A327C1"/>
    <w:rsid w:val="00A32E7E"/>
    <w:rsid w:val="00A347D4"/>
    <w:rsid w:val="00A37A43"/>
    <w:rsid w:val="00A461AA"/>
    <w:rsid w:val="00A47674"/>
    <w:rsid w:val="00A50FBC"/>
    <w:rsid w:val="00A54C69"/>
    <w:rsid w:val="00A551DB"/>
    <w:rsid w:val="00A55A34"/>
    <w:rsid w:val="00A56590"/>
    <w:rsid w:val="00A576A1"/>
    <w:rsid w:val="00A57D87"/>
    <w:rsid w:val="00A624C7"/>
    <w:rsid w:val="00A66B68"/>
    <w:rsid w:val="00A7016E"/>
    <w:rsid w:val="00A709BC"/>
    <w:rsid w:val="00A70E42"/>
    <w:rsid w:val="00A7172F"/>
    <w:rsid w:val="00A71F22"/>
    <w:rsid w:val="00A758F0"/>
    <w:rsid w:val="00A7718C"/>
    <w:rsid w:val="00A77480"/>
    <w:rsid w:val="00A77658"/>
    <w:rsid w:val="00A80746"/>
    <w:rsid w:val="00A8178D"/>
    <w:rsid w:val="00A81DB7"/>
    <w:rsid w:val="00A81EB6"/>
    <w:rsid w:val="00A829D8"/>
    <w:rsid w:val="00A845C7"/>
    <w:rsid w:val="00A97DAF"/>
    <w:rsid w:val="00AA1100"/>
    <w:rsid w:val="00AA1E3F"/>
    <w:rsid w:val="00AA2BF3"/>
    <w:rsid w:val="00AA4200"/>
    <w:rsid w:val="00AA6776"/>
    <w:rsid w:val="00AB1DB9"/>
    <w:rsid w:val="00AB2F64"/>
    <w:rsid w:val="00AB5853"/>
    <w:rsid w:val="00AB7EEA"/>
    <w:rsid w:val="00AC1CD7"/>
    <w:rsid w:val="00AC21B4"/>
    <w:rsid w:val="00AC448F"/>
    <w:rsid w:val="00AC4F23"/>
    <w:rsid w:val="00AC5EC2"/>
    <w:rsid w:val="00AC629E"/>
    <w:rsid w:val="00AC6F36"/>
    <w:rsid w:val="00AC73B9"/>
    <w:rsid w:val="00AD38CF"/>
    <w:rsid w:val="00AD398D"/>
    <w:rsid w:val="00AD5FD5"/>
    <w:rsid w:val="00AD66BE"/>
    <w:rsid w:val="00AE0BBE"/>
    <w:rsid w:val="00AE1CED"/>
    <w:rsid w:val="00AE5531"/>
    <w:rsid w:val="00AF2E9D"/>
    <w:rsid w:val="00AF373B"/>
    <w:rsid w:val="00AF4318"/>
    <w:rsid w:val="00AF53D1"/>
    <w:rsid w:val="00AF6DE6"/>
    <w:rsid w:val="00AF78ED"/>
    <w:rsid w:val="00B027B9"/>
    <w:rsid w:val="00B028B3"/>
    <w:rsid w:val="00B03992"/>
    <w:rsid w:val="00B057B9"/>
    <w:rsid w:val="00B06D6A"/>
    <w:rsid w:val="00B12C13"/>
    <w:rsid w:val="00B154BE"/>
    <w:rsid w:val="00B20F47"/>
    <w:rsid w:val="00B22312"/>
    <w:rsid w:val="00B25B3C"/>
    <w:rsid w:val="00B25CFD"/>
    <w:rsid w:val="00B26F35"/>
    <w:rsid w:val="00B302A1"/>
    <w:rsid w:val="00B31A08"/>
    <w:rsid w:val="00B326E6"/>
    <w:rsid w:val="00B33870"/>
    <w:rsid w:val="00B356BF"/>
    <w:rsid w:val="00B35F97"/>
    <w:rsid w:val="00B360A6"/>
    <w:rsid w:val="00B368F3"/>
    <w:rsid w:val="00B36D9B"/>
    <w:rsid w:val="00B37557"/>
    <w:rsid w:val="00B40C8B"/>
    <w:rsid w:val="00B41D77"/>
    <w:rsid w:val="00B4357C"/>
    <w:rsid w:val="00B463B6"/>
    <w:rsid w:val="00B46CBA"/>
    <w:rsid w:val="00B4743F"/>
    <w:rsid w:val="00B50E29"/>
    <w:rsid w:val="00B51A85"/>
    <w:rsid w:val="00B53051"/>
    <w:rsid w:val="00B53807"/>
    <w:rsid w:val="00B53FDE"/>
    <w:rsid w:val="00B551D1"/>
    <w:rsid w:val="00B57A93"/>
    <w:rsid w:val="00B608A8"/>
    <w:rsid w:val="00B66206"/>
    <w:rsid w:val="00B7047B"/>
    <w:rsid w:val="00B71CCF"/>
    <w:rsid w:val="00B72E53"/>
    <w:rsid w:val="00B75568"/>
    <w:rsid w:val="00B76936"/>
    <w:rsid w:val="00B773AD"/>
    <w:rsid w:val="00B814A6"/>
    <w:rsid w:val="00B815F4"/>
    <w:rsid w:val="00B826E1"/>
    <w:rsid w:val="00B82E0D"/>
    <w:rsid w:val="00B835FF"/>
    <w:rsid w:val="00B85113"/>
    <w:rsid w:val="00B92BC3"/>
    <w:rsid w:val="00B93902"/>
    <w:rsid w:val="00B93FC6"/>
    <w:rsid w:val="00B97D18"/>
    <w:rsid w:val="00BA2EC4"/>
    <w:rsid w:val="00BA3E54"/>
    <w:rsid w:val="00BA488C"/>
    <w:rsid w:val="00BA4F6A"/>
    <w:rsid w:val="00BA5273"/>
    <w:rsid w:val="00BA5367"/>
    <w:rsid w:val="00BA6749"/>
    <w:rsid w:val="00BB0474"/>
    <w:rsid w:val="00BB0922"/>
    <w:rsid w:val="00BB529C"/>
    <w:rsid w:val="00BB7476"/>
    <w:rsid w:val="00BC3D35"/>
    <w:rsid w:val="00BC4513"/>
    <w:rsid w:val="00BC46AE"/>
    <w:rsid w:val="00BD057E"/>
    <w:rsid w:val="00BD24CA"/>
    <w:rsid w:val="00BD3714"/>
    <w:rsid w:val="00BD4C1D"/>
    <w:rsid w:val="00BD6225"/>
    <w:rsid w:val="00BD7A5D"/>
    <w:rsid w:val="00BE08C8"/>
    <w:rsid w:val="00BE47E0"/>
    <w:rsid w:val="00BF466E"/>
    <w:rsid w:val="00BF78A9"/>
    <w:rsid w:val="00BF79FB"/>
    <w:rsid w:val="00BF7A70"/>
    <w:rsid w:val="00C00C51"/>
    <w:rsid w:val="00C0108B"/>
    <w:rsid w:val="00C0271C"/>
    <w:rsid w:val="00C05E4F"/>
    <w:rsid w:val="00C11F62"/>
    <w:rsid w:val="00C135C1"/>
    <w:rsid w:val="00C21832"/>
    <w:rsid w:val="00C21C6A"/>
    <w:rsid w:val="00C23FF2"/>
    <w:rsid w:val="00C31C17"/>
    <w:rsid w:val="00C3244C"/>
    <w:rsid w:val="00C32516"/>
    <w:rsid w:val="00C3395C"/>
    <w:rsid w:val="00C34325"/>
    <w:rsid w:val="00C365FD"/>
    <w:rsid w:val="00C379DE"/>
    <w:rsid w:val="00C37CB6"/>
    <w:rsid w:val="00C401CE"/>
    <w:rsid w:val="00C4097E"/>
    <w:rsid w:val="00C40EB8"/>
    <w:rsid w:val="00C447E0"/>
    <w:rsid w:val="00C4616A"/>
    <w:rsid w:val="00C46ACD"/>
    <w:rsid w:val="00C50D0D"/>
    <w:rsid w:val="00C50EBA"/>
    <w:rsid w:val="00C5333F"/>
    <w:rsid w:val="00C54E2B"/>
    <w:rsid w:val="00C56611"/>
    <w:rsid w:val="00C6020C"/>
    <w:rsid w:val="00C6362E"/>
    <w:rsid w:val="00C63903"/>
    <w:rsid w:val="00C63C8C"/>
    <w:rsid w:val="00C65468"/>
    <w:rsid w:val="00C70E6B"/>
    <w:rsid w:val="00C71173"/>
    <w:rsid w:val="00C7144F"/>
    <w:rsid w:val="00C716F8"/>
    <w:rsid w:val="00C71BE9"/>
    <w:rsid w:val="00C7375C"/>
    <w:rsid w:val="00C7403C"/>
    <w:rsid w:val="00C7596F"/>
    <w:rsid w:val="00C75CA2"/>
    <w:rsid w:val="00C804DE"/>
    <w:rsid w:val="00C8079A"/>
    <w:rsid w:val="00C807F6"/>
    <w:rsid w:val="00C81995"/>
    <w:rsid w:val="00C84997"/>
    <w:rsid w:val="00C87127"/>
    <w:rsid w:val="00C93592"/>
    <w:rsid w:val="00C93CC2"/>
    <w:rsid w:val="00C9453D"/>
    <w:rsid w:val="00C9612C"/>
    <w:rsid w:val="00C96EA1"/>
    <w:rsid w:val="00C97817"/>
    <w:rsid w:val="00C97EFD"/>
    <w:rsid w:val="00CA2065"/>
    <w:rsid w:val="00CA2594"/>
    <w:rsid w:val="00CA2E62"/>
    <w:rsid w:val="00CA60C1"/>
    <w:rsid w:val="00CA6EDF"/>
    <w:rsid w:val="00CB1EF7"/>
    <w:rsid w:val="00CC0B94"/>
    <w:rsid w:val="00CC1CEA"/>
    <w:rsid w:val="00CC2B65"/>
    <w:rsid w:val="00CC6846"/>
    <w:rsid w:val="00CC6B57"/>
    <w:rsid w:val="00CC6E5D"/>
    <w:rsid w:val="00CC7B8C"/>
    <w:rsid w:val="00CD0B65"/>
    <w:rsid w:val="00CD0CE4"/>
    <w:rsid w:val="00CD450E"/>
    <w:rsid w:val="00CD535F"/>
    <w:rsid w:val="00CE060E"/>
    <w:rsid w:val="00CE09CC"/>
    <w:rsid w:val="00CE1FA4"/>
    <w:rsid w:val="00CE324B"/>
    <w:rsid w:val="00CE5D8D"/>
    <w:rsid w:val="00CF01F1"/>
    <w:rsid w:val="00CF3235"/>
    <w:rsid w:val="00CF3BEA"/>
    <w:rsid w:val="00CF4736"/>
    <w:rsid w:val="00CF4776"/>
    <w:rsid w:val="00D010BB"/>
    <w:rsid w:val="00D010C0"/>
    <w:rsid w:val="00D0112D"/>
    <w:rsid w:val="00D022DB"/>
    <w:rsid w:val="00D03AE1"/>
    <w:rsid w:val="00D03B1D"/>
    <w:rsid w:val="00D03D23"/>
    <w:rsid w:val="00D07F6C"/>
    <w:rsid w:val="00D11F82"/>
    <w:rsid w:val="00D142D3"/>
    <w:rsid w:val="00D14979"/>
    <w:rsid w:val="00D22B6F"/>
    <w:rsid w:val="00D23BA1"/>
    <w:rsid w:val="00D24596"/>
    <w:rsid w:val="00D25BA9"/>
    <w:rsid w:val="00D25C8A"/>
    <w:rsid w:val="00D25DD9"/>
    <w:rsid w:val="00D26821"/>
    <w:rsid w:val="00D27816"/>
    <w:rsid w:val="00D301D3"/>
    <w:rsid w:val="00D30298"/>
    <w:rsid w:val="00D30DAF"/>
    <w:rsid w:val="00D322D3"/>
    <w:rsid w:val="00D3275C"/>
    <w:rsid w:val="00D33D3E"/>
    <w:rsid w:val="00D348CE"/>
    <w:rsid w:val="00D36EB5"/>
    <w:rsid w:val="00D41C86"/>
    <w:rsid w:val="00D41EAD"/>
    <w:rsid w:val="00D446F9"/>
    <w:rsid w:val="00D44EC5"/>
    <w:rsid w:val="00D45478"/>
    <w:rsid w:val="00D46A96"/>
    <w:rsid w:val="00D47BC7"/>
    <w:rsid w:val="00D50BB9"/>
    <w:rsid w:val="00D54B72"/>
    <w:rsid w:val="00D55318"/>
    <w:rsid w:val="00D60C6E"/>
    <w:rsid w:val="00D627F6"/>
    <w:rsid w:val="00D62FF5"/>
    <w:rsid w:val="00D64DB6"/>
    <w:rsid w:val="00D663C1"/>
    <w:rsid w:val="00D67606"/>
    <w:rsid w:val="00D67E67"/>
    <w:rsid w:val="00D705E4"/>
    <w:rsid w:val="00D71FE9"/>
    <w:rsid w:val="00D7440F"/>
    <w:rsid w:val="00D758BF"/>
    <w:rsid w:val="00D75FA4"/>
    <w:rsid w:val="00D76866"/>
    <w:rsid w:val="00D76D76"/>
    <w:rsid w:val="00D76E59"/>
    <w:rsid w:val="00D77379"/>
    <w:rsid w:val="00D778AA"/>
    <w:rsid w:val="00D841DB"/>
    <w:rsid w:val="00D84403"/>
    <w:rsid w:val="00D85D96"/>
    <w:rsid w:val="00D85F57"/>
    <w:rsid w:val="00D86F43"/>
    <w:rsid w:val="00D87CB2"/>
    <w:rsid w:val="00D91DB8"/>
    <w:rsid w:val="00D92899"/>
    <w:rsid w:val="00D93EDE"/>
    <w:rsid w:val="00D93F48"/>
    <w:rsid w:val="00D94680"/>
    <w:rsid w:val="00D94DBE"/>
    <w:rsid w:val="00D96164"/>
    <w:rsid w:val="00D966C6"/>
    <w:rsid w:val="00DA06DF"/>
    <w:rsid w:val="00DA3926"/>
    <w:rsid w:val="00DB0E5C"/>
    <w:rsid w:val="00DB1176"/>
    <w:rsid w:val="00DB191F"/>
    <w:rsid w:val="00DB1EDF"/>
    <w:rsid w:val="00DB2465"/>
    <w:rsid w:val="00DB2652"/>
    <w:rsid w:val="00DB2C8F"/>
    <w:rsid w:val="00DB3918"/>
    <w:rsid w:val="00DB4735"/>
    <w:rsid w:val="00DB726B"/>
    <w:rsid w:val="00DC07BC"/>
    <w:rsid w:val="00DC42E6"/>
    <w:rsid w:val="00DC45A7"/>
    <w:rsid w:val="00DC4C1C"/>
    <w:rsid w:val="00DC6791"/>
    <w:rsid w:val="00DC6A9C"/>
    <w:rsid w:val="00DD69BD"/>
    <w:rsid w:val="00DD7910"/>
    <w:rsid w:val="00DE0E1C"/>
    <w:rsid w:val="00DE49EE"/>
    <w:rsid w:val="00DE65CE"/>
    <w:rsid w:val="00DF167E"/>
    <w:rsid w:val="00DF19F5"/>
    <w:rsid w:val="00DF5A1A"/>
    <w:rsid w:val="00E0036B"/>
    <w:rsid w:val="00E003FD"/>
    <w:rsid w:val="00E00AD6"/>
    <w:rsid w:val="00E12139"/>
    <w:rsid w:val="00E12D09"/>
    <w:rsid w:val="00E14C72"/>
    <w:rsid w:val="00E15A62"/>
    <w:rsid w:val="00E16F63"/>
    <w:rsid w:val="00E20758"/>
    <w:rsid w:val="00E24DC5"/>
    <w:rsid w:val="00E32E90"/>
    <w:rsid w:val="00E368E5"/>
    <w:rsid w:val="00E3701B"/>
    <w:rsid w:val="00E41828"/>
    <w:rsid w:val="00E43DC5"/>
    <w:rsid w:val="00E44D09"/>
    <w:rsid w:val="00E44D12"/>
    <w:rsid w:val="00E44EA2"/>
    <w:rsid w:val="00E46425"/>
    <w:rsid w:val="00E47D32"/>
    <w:rsid w:val="00E50915"/>
    <w:rsid w:val="00E54315"/>
    <w:rsid w:val="00E54D26"/>
    <w:rsid w:val="00E62AED"/>
    <w:rsid w:val="00E65388"/>
    <w:rsid w:val="00E672C1"/>
    <w:rsid w:val="00E71608"/>
    <w:rsid w:val="00E71ABD"/>
    <w:rsid w:val="00E72810"/>
    <w:rsid w:val="00E732AE"/>
    <w:rsid w:val="00E739D7"/>
    <w:rsid w:val="00E757A5"/>
    <w:rsid w:val="00E7606E"/>
    <w:rsid w:val="00E8042A"/>
    <w:rsid w:val="00E82654"/>
    <w:rsid w:val="00E83397"/>
    <w:rsid w:val="00E86F91"/>
    <w:rsid w:val="00E87384"/>
    <w:rsid w:val="00E91511"/>
    <w:rsid w:val="00E95338"/>
    <w:rsid w:val="00E955FA"/>
    <w:rsid w:val="00E963EF"/>
    <w:rsid w:val="00EA41AC"/>
    <w:rsid w:val="00EA4309"/>
    <w:rsid w:val="00EA4E37"/>
    <w:rsid w:val="00EB11B9"/>
    <w:rsid w:val="00EB2120"/>
    <w:rsid w:val="00EB377A"/>
    <w:rsid w:val="00EB3D75"/>
    <w:rsid w:val="00EB518C"/>
    <w:rsid w:val="00EB5326"/>
    <w:rsid w:val="00EB6223"/>
    <w:rsid w:val="00EB69C2"/>
    <w:rsid w:val="00EB74BD"/>
    <w:rsid w:val="00EC1EEB"/>
    <w:rsid w:val="00EC3A3C"/>
    <w:rsid w:val="00ED18B8"/>
    <w:rsid w:val="00ED3BBA"/>
    <w:rsid w:val="00ED4018"/>
    <w:rsid w:val="00ED472B"/>
    <w:rsid w:val="00ED521A"/>
    <w:rsid w:val="00EE12E4"/>
    <w:rsid w:val="00EF1082"/>
    <w:rsid w:val="00EF3F3C"/>
    <w:rsid w:val="00EF6B00"/>
    <w:rsid w:val="00EF6D6E"/>
    <w:rsid w:val="00F0419E"/>
    <w:rsid w:val="00F044C1"/>
    <w:rsid w:val="00F10A6D"/>
    <w:rsid w:val="00F1191B"/>
    <w:rsid w:val="00F12C07"/>
    <w:rsid w:val="00F13C53"/>
    <w:rsid w:val="00F147AD"/>
    <w:rsid w:val="00F149E9"/>
    <w:rsid w:val="00F14EC2"/>
    <w:rsid w:val="00F15E13"/>
    <w:rsid w:val="00F16D85"/>
    <w:rsid w:val="00F21497"/>
    <w:rsid w:val="00F216C4"/>
    <w:rsid w:val="00F2224A"/>
    <w:rsid w:val="00F23EAC"/>
    <w:rsid w:val="00F26459"/>
    <w:rsid w:val="00F266D3"/>
    <w:rsid w:val="00F31496"/>
    <w:rsid w:val="00F316EC"/>
    <w:rsid w:val="00F32AA4"/>
    <w:rsid w:val="00F33281"/>
    <w:rsid w:val="00F34771"/>
    <w:rsid w:val="00F34990"/>
    <w:rsid w:val="00F34C77"/>
    <w:rsid w:val="00F35844"/>
    <w:rsid w:val="00F360B7"/>
    <w:rsid w:val="00F36AAB"/>
    <w:rsid w:val="00F377A0"/>
    <w:rsid w:val="00F40AEE"/>
    <w:rsid w:val="00F40FDD"/>
    <w:rsid w:val="00F4222B"/>
    <w:rsid w:val="00F47255"/>
    <w:rsid w:val="00F50D5F"/>
    <w:rsid w:val="00F52175"/>
    <w:rsid w:val="00F53292"/>
    <w:rsid w:val="00F5345F"/>
    <w:rsid w:val="00F537E7"/>
    <w:rsid w:val="00F55172"/>
    <w:rsid w:val="00F6418B"/>
    <w:rsid w:val="00F6506F"/>
    <w:rsid w:val="00F651BC"/>
    <w:rsid w:val="00F66E47"/>
    <w:rsid w:val="00F723E2"/>
    <w:rsid w:val="00F7289C"/>
    <w:rsid w:val="00F80915"/>
    <w:rsid w:val="00F82225"/>
    <w:rsid w:val="00F84A2B"/>
    <w:rsid w:val="00F8674F"/>
    <w:rsid w:val="00F871F1"/>
    <w:rsid w:val="00F872CE"/>
    <w:rsid w:val="00F90FAE"/>
    <w:rsid w:val="00F91026"/>
    <w:rsid w:val="00F912E9"/>
    <w:rsid w:val="00F913E1"/>
    <w:rsid w:val="00F919CC"/>
    <w:rsid w:val="00F91D38"/>
    <w:rsid w:val="00F93F8E"/>
    <w:rsid w:val="00F95BFC"/>
    <w:rsid w:val="00F95E49"/>
    <w:rsid w:val="00FA1B57"/>
    <w:rsid w:val="00FA36C5"/>
    <w:rsid w:val="00FA4A2F"/>
    <w:rsid w:val="00FA5DE3"/>
    <w:rsid w:val="00FA7004"/>
    <w:rsid w:val="00FB5663"/>
    <w:rsid w:val="00FB5CDD"/>
    <w:rsid w:val="00FC18FD"/>
    <w:rsid w:val="00FC1F92"/>
    <w:rsid w:val="00FC2F16"/>
    <w:rsid w:val="00FC3571"/>
    <w:rsid w:val="00FC7624"/>
    <w:rsid w:val="00FD2477"/>
    <w:rsid w:val="00FD2DE4"/>
    <w:rsid w:val="00FD5B26"/>
    <w:rsid w:val="00FD7071"/>
    <w:rsid w:val="00FE0D70"/>
    <w:rsid w:val="00FE15D4"/>
    <w:rsid w:val="00FE4E77"/>
    <w:rsid w:val="00FE607B"/>
    <w:rsid w:val="00FE760B"/>
    <w:rsid w:val="00FF1F93"/>
    <w:rsid w:val="00FF3404"/>
    <w:rsid w:val="00FF388D"/>
    <w:rsid w:val="00FF5059"/>
    <w:rsid w:val="00FF51D5"/>
    <w:rsid w:val="00FF5D3E"/>
    <w:rsid w:val="00FF71E6"/>
    <w:rsid w:val="010C1E5D"/>
    <w:rsid w:val="012C2953"/>
    <w:rsid w:val="012D0479"/>
    <w:rsid w:val="01993CDB"/>
    <w:rsid w:val="01C25AD2"/>
    <w:rsid w:val="01DD3C4D"/>
    <w:rsid w:val="01EB1B8B"/>
    <w:rsid w:val="02225B04"/>
    <w:rsid w:val="02445A7A"/>
    <w:rsid w:val="02586ABC"/>
    <w:rsid w:val="0277242F"/>
    <w:rsid w:val="02CE18F5"/>
    <w:rsid w:val="034858A7"/>
    <w:rsid w:val="03561459"/>
    <w:rsid w:val="035B2D67"/>
    <w:rsid w:val="035C6DF3"/>
    <w:rsid w:val="03682AAB"/>
    <w:rsid w:val="038325D2"/>
    <w:rsid w:val="03FB03BA"/>
    <w:rsid w:val="040354C1"/>
    <w:rsid w:val="042972CC"/>
    <w:rsid w:val="04514D05"/>
    <w:rsid w:val="04BA64C7"/>
    <w:rsid w:val="051F7C65"/>
    <w:rsid w:val="053242B0"/>
    <w:rsid w:val="05EA33FB"/>
    <w:rsid w:val="0625637F"/>
    <w:rsid w:val="063863E7"/>
    <w:rsid w:val="068743BA"/>
    <w:rsid w:val="06A116ED"/>
    <w:rsid w:val="06AF3475"/>
    <w:rsid w:val="06BC6527"/>
    <w:rsid w:val="06BD5DFB"/>
    <w:rsid w:val="070B300A"/>
    <w:rsid w:val="070D48E1"/>
    <w:rsid w:val="0717375D"/>
    <w:rsid w:val="07342561"/>
    <w:rsid w:val="075633C1"/>
    <w:rsid w:val="075E138C"/>
    <w:rsid w:val="075F5104"/>
    <w:rsid w:val="07630BC4"/>
    <w:rsid w:val="07743454"/>
    <w:rsid w:val="07910536"/>
    <w:rsid w:val="07E86EA8"/>
    <w:rsid w:val="07FC3146"/>
    <w:rsid w:val="081A5282"/>
    <w:rsid w:val="0822685D"/>
    <w:rsid w:val="086C5D2B"/>
    <w:rsid w:val="08A3510D"/>
    <w:rsid w:val="08BA72B2"/>
    <w:rsid w:val="08C01A44"/>
    <w:rsid w:val="08D538D0"/>
    <w:rsid w:val="08D8516E"/>
    <w:rsid w:val="08F8136C"/>
    <w:rsid w:val="090362BF"/>
    <w:rsid w:val="091845EA"/>
    <w:rsid w:val="092F56DA"/>
    <w:rsid w:val="09547E63"/>
    <w:rsid w:val="09554A11"/>
    <w:rsid w:val="095659C5"/>
    <w:rsid w:val="0975029B"/>
    <w:rsid w:val="09776735"/>
    <w:rsid w:val="09876FB3"/>
    <w:rsid w:val="0A261F09"/>
    <w:rsid w:val="0A862DBE"/>
    <w:rsid w:val="0A8F4AD9"/>
    <w:rsid w:val="0AA07C6E"/>
    <w:rsid w:val="0AAF1EFF"/>
    <w:rsid w:val="0B2E6148"/>
    <w:rsid w:val="0B462863"/>
    <w:rsid w:val="0B534F80"/>
    <w:rsid w:val="0B7A4B6B"/>
    <w:rsid w:val="0BAD28E2"/>
    <w:rsid w:val="0C0F534B"/>
    <w:rsid w:val="0C1242D0"/>
    <w:rsid w:val="0C8F023A"/>
    <w:rsid w:val="0C906840"/>
    <w:rsid w:val="0CB9290E"/>
    <w:rsid w:val="0CDA7707"/>
    <w:rsid w:val="0CDE4A33"/>
    <w:rsid w:val="0D2546FA"/>
    <w:rsid w:val="0D36540F"/>
    <w:rsid w:val="0D4002A7"/>
    <w:rsid w:val="0D560AB7"/>
    <w:rsid w:val="0D775464"/>
    <w:rsid w:val="0D8853B5"/>
    <w:rsid w:val="0DA9425F"/>
    <w:rsid w:val="0E010D0E"/>
    <w:rsid w:val="0E30215F"/>
    <w:rsid w:val="0E337741"/>
    <w:rsid w:val="0E3E2571"/>
    <w:rsid w:val="0E6026BE"/>
    <w:rsid w:val="0E8D110E"/>
    <w:rsid w:val="0EB2111C"/>
    <w:rsid w:val="0EC530E1"/>
    <w:rsid w:val="0EE9670B"/>
    <w:rsid w:val="0EFD592F"/>
    <w:rsid w:val="0F121B26"/>
    <w:rsid w:val="0F856685"/>
    <w:rsid w:val="0F910CFC"/>
    <w:rsid w:val="0FAC4C5F"/>
    <w:rsid w:val="0FE17730"/>
    <w:rsid w:val="0FF22CC6"/>
    <w:rsid w:val="10246EEB"/>
    <w:rsid w:val="104906FF"/>
    <w:rsid w:val="105C31D0"/>
    <w:rsid w:val="107E363C"/>
    <w:rsid w:val="10A122E9"/>
    <w:rsid w:val="10AD0C8E"/>
    <w:rsid w:val="10B65D95"/>
    <w:rsid w:val="10EF3058"/>
    <w:rsid w:val="10F44B0F"/>
    <w:rsid w:val="10FB46E2"/>
    <w:rsid w:val="1102722C"/>
    <w:rsid w:val="1122076B"/>
    <w:rsid w:val="11252F1A"/>
    <w:rsid w:val="112A5BD5"/>
    <w:rsid w:val="11374C16"/>
    <w:rsid w:val="114535BD"/>
    <w:rsid w:val="11AF03BE"/>
    <w:rsid w:val="11BB580F"/>
    <w:rsid w:val="11CB6FD4"/>
    <w:rsid w:val="11E05DD9"/>
    <w:rsid w:val="1232721A"/>
    <w:rsid w:val="12380960"/>
    <w:rsid w:val="123E5FC2"/>
    <w:rsid w:val="12732524"/>
    <w:rsid w:val="129F5CB1"/>
    <w:rsid w:val="12C26CEB"/>
    <w:rsid w:val="12CF313E"/>
    <w:rsid w:val="12D34522"/>
    <w:rsid w:val="12D469A6"/>
    <w:rsid w:val="12DE15D3"/>
    <w:rsid w:val="12F157AA"/>
    <w:rsid w:val="13444C30"/>
    <w:rsid w:val="13602329"/>
    <w:rsid w:val="139C56E1"/>
    <w:rsid w:val="13C75CE4"/>
    <w:rsid w:val="143F472F"/>
    <w:rsid w:val="147E2A5E"/>
    <w:rsid w:val="149617B4"/>
    <w:rsid w:val="14AD5701"/>
    <w:rsid w:val="14CD6241"/>
    <w:rsid w:val="14E82BDD"/>
    <w:rsid w:val="15227E9D"/>
    <w:rsid w:val="153B6E07"/>
    <w:rsid w:val="154020D1"/>
    <w:rsid w:val="156E30E2"/>
    <w:rsid w:val="156F2DA1"/>
    <w:rsid w:val="15782F1C"/>
    <w:rsid w:val="15823587"/>
    <w:rsid w:val="15943A70"/>
    <w:rsid w:val="159536CF"/>
    <w:rsid w:val="15AA16D2"/>
    <w:rsid w:val="15AC12ED"/>
    <w:rsid w:val="15B473D7"/>
    <w:rsid w:val="15CA22E2"/>
    <w:rsid w:val="15D42411"/>
    <w:rsid w:val="15D55C6E"/>
    <w:rsid w:val="15DA09DE"/>
    <w:rsid w:val="15DB629E"/>
    <w:rsid w:val="15E348D7"/>
    <w:rsid w:val="16103D75"/>
    <w:rsid w:val="162274EE"/>
    <w:rsid w:val="1628535B"/>
    <w:rsid w:val="16361726"/>
    <w:rsid w:val="16404152"/>
    <w:rsid w:val="1675224E"/>
    <w:rsid w:val="16775F50"/>
    <w:rsid w:val="167C41E5"/>
    <w:rsid w:val="168D57EA"/>
    <w:rsid w:val="169925AB"/>
    <w:rsid w:val="16BA4105"/>
    <w:rsid w:val="1703785A"/>
    <w:rsid w:val="171668FF"/>
    <w:rsid w:val="174529E2"/>
    <w:rsid w:val="174B6DF6"/>
    <w:rsid w:val="1755354C"/>
    <w:rsid w:val="175956CC"/>
    <w:rsid w:val="175D5335"/>
    <w:rsid w:val="17651065"/>
    <w:rsid w:val="1787048B"/>
    <w:rsid w:val="17BD3EAD"/>
    <w:rsid w:val="17C214C3"/>
    <w:rsid w:val="17D17958"/>
    <w:rsid w:val="17F04282"/>
    <w:rsid w:val="17F51899"/>
    <w:rsid w:val="18067843"/>
    <w:rsid w:val="18202E76"/>
    <w:rsid w:val="1821268E"/>
    <w:rsid w:val="182F773B"/>
    <w:rsid w:val="18307B12"/>
    <w:rsid w:val="183166C7"/>
    <w:rsid w:val="187F14C5"/>
    <w:rsid w:val="189015C1"/>
    <w:rsid w:val="18AB01A9"/>
    <w:rsid w:val="19021497"/>
    <w:rsid w:val="193C7053"/>
    <w:rsid w:val="195E16BF"/>
    <w:rsid w:val="1960418F"/>
    <w:rsid w:val="19926FE7"/>
    <w:rsid w:val="199326FB"/>
    <w:rsid w:val="199B1FCC"/>
    <w:rsid w:val="19CF462D"/>
    <w:rsid w:val="19CF7EC7"/>
    <w:rsid w:val="19D64421"/>
    <w:rsid w:val="19E40EB1"/>
    <w:rsid w:val="1A0538E9"/>
    <w:rsid w:val="1A255C8D"/>
    <w:rsid w:val="1A55585F"/>
    <w:rsid w:val="1A881D54"/>
    <w:rsid w:val="1A907657"/>
    <w:rsid w:val="1B0E2C71"/>
    <w:rsid w:val="1B157B5C"/>
    <w:rsid w:val="1B3A395F"/>
    <w:rsid w:val="1B5C3263"/>
    <w:rsid w:val="1B697EA8"/>
    <w:rsid w:val="1B6D5BEA"/>
    <w:rsid w:val="1B6F3710"/>
    <w:rsid w:val="1B8828A5"/>
    <w:rsid w:val="1BAA78AD"/>
    <w:rsid w:val="1BE42AE4"/>
    <w:rsid w:val="1BED2887"/>
    <w:rsid w:val="1BEF2AA3"/>
    <w:rsid w:val="1C6256D0"/>
    <w:rsid w:val="1C74041F"/>
    <w:rsid w:val="1C752FA8"/>
    <w:rsid w:val="1C8B27CB"/>
    <w:rsid w:val="1CA30F88"/>
    <w:rsid w:val="1CAA0778"/>
    <w:rsid w:val="1CC85B86"/>
    <w:rsid w:val="1CDC0DFA"/>
    <w:rsid w:val="1CE10868"/>
    <w:rsid w:val="1CE63885"/>
    <w:rsid w:val="1D3A646D"/>
    <w:rsid w:val="1D3B2B5B"/>
    <w:rsid w:val="1D5D0E66"/>
    <w:rsid w:val="1DA97D6B"/>
    <w:rsid w:val="1DAC457E"/>
    <w:rsid w:val="1DAF5217"/>
    <w:rsid w:val="1E1E4F79"/>
    <w:rsid w:val="1E2E78B2"/>
    <w:rsid w:val="1E4524B9"/>
    <w:rsid w:val="1E5135A1"/>
    <w:rsid w:val="1E757C2C"/>
    <w:rsid w:val="1E7C28CC"/>
    <w:rsid w:val="1E7D2F44"/>
    <w:rsid w:val="1E8572CA"/>
    <w:rsid w:val="1EFA4B8E"/>
    <w:rsid w:val="1F070103"/>
    <w:rsid w:val="1F4B7FF0"/>
    <w:rsid w:val="1FAD14C3"/>
    <w:rsid w:val="1FBA17DA"/>
    <w:rsid w:val="1FBE31CB"/>
    <w:rsid w:val="1FC23441"/>
    <w:rsid w:val="1FDB5220"/>
    <w:rsid w:val="1FF7152F"/>
    <w:rsid w:val="1FF97A4C"/>
    <w:rsid w:val="1FFF03C0"/>
    <w:rsid w:val="201171D3"/>
    <w:rsid w:val="2036277B"/>
    <w:rsid w:val="203647FC"/>
    <w:rsid w:val="203D35D3"/>
    <w:rsid w:val="2049005C"/>
    <w:rsid w:val="204F1D62"/>
    <w:rsid w:val="209B4FA7"/>
    <w:rsid w:val="20AE36D8"/>
    <w:rsid w:val="20C718F8"/>
    <w:rsid w:val="20F473FE"/>
    <w:rsid w:val="21343A46"/>
    <w:rsid w:val="21651E0B"/>
    <w:rsid w:val="217C6B87"/>
    <w:rsid w:val="21827AC8"/>
    <w:rsid w:val="21BA76AF"/>
    <w:rsid w:val="21DE58A2"/>
    <w:rsid w:val="220D5F91"/>
    <w:rsid w:val="22573150"/>
    <w:rsid w:val="22651084"/>
    <w:rsid w:val="22682C67"/>
    <w:rsid w:val="22A04AF7"/>
    <w:rsid w:val="22A75E85"/>
    <w:rsid w:val="22DE232E"/>
    <w:rsid w:val="23244DE0"/>
    <w:rsid w:val="238E2AEF"/>
    <w:rsid w:val="23A012DB"/>
    <w:rsid w:val="23AE6D9F"/>
    <w:rsid w:val="23C176CF"/>
    <w:rsid w:val="23DB510C"/>
    <w:rsid w:val="23E65A79"/>
    <w:rsid w:val="24D12D46"/>
    <w:rsid w:val="24D25008"/>
    <w:rsid w:val="24DD793C"/>
    <w:rsid w:val="24F82318"/>
    <w:rsid w:val="251D7361"/>
    <w:rsid w:val="25A93CC2"/>
    <w:rsid w:val="25CE3CFF"/>
    <w:rsid w:val="25D23219"/>
    <w:rsid w:val="260929B3"/>
    <w:rsid w:val="261C7FBB"/>
    <w:rsid w:val="261E645E"/>
    <w:rsid w:val="264F486A"/>
    <w:rsid w:val="268A74F7"/>
    <w:rsid w:val="26C037D1"/>
    <w:rsid w:val="26FA0A9D"/>
    <w:rsid w:val="27363273"/>
    <w:rsid w:val="274A6DDF"/>
    <w:rsid w:val="27606603"/>
    <w:rsid w:val="277D1DED"/>
    <w:rsid w:val="279B763B"/>
    <w:rsid w:val="279D3E68"/>
    <w:rsid w:val="27CE6C01"/>
    <w:rsid w:val="27EB48B5"/>
    <w:rsid w:val="27F07987"/>
    <w:rsid w:val="283E4B96"/>
    <w:rsid w:val="28575C58"/>
    <w:rsid w:val="2885293E"/>
    <w:rsid w:val="28C64B8B"/>
    <w:rsid w:val="28CE7AEE"/>
    <w:rsid w:val="28F819E1"/>
    <w:rsid w:val="292F2170"/>
    <w:rsid w:val="29446DB0"/>
    <w:rsid w:val="29695C42"/>
    <w:rsid w:val="296D06EB"/>
    <w:rsid w:val="29806CD7"/>
    <w:rsid w:val="299910E7"/>
    <w:rsid w:val="299D3B3E"/>
    <w:rsid w:val="29BC7A0E"/>
    <w:rsid w:val="29D15596"/>
    <w:rsid w:val="29D25AE8"/>
    <w:rsid w:val="29F913C5"/>
    <w:rsid w:val="2A1012AD"/>
    <w:rsid w:val="2A2617FE"/>
    <w:rsid w:val="2A2E2D09"/>
    <w:rsid w:val="2A2E4796"/>
    <w:rsid w:val="2A697EC4"/>
    <w:rsid w:val="2A781EB5"/>
    <w:rsid w:val="2AD47880"/>
    <w:rsid w:val="2AD76BDC"/>
    <w:rsid w:val="2ADF4B14"/>
    <w:rsid w:val="2AEA2DB3"/>
    <w:rsid w:val="2AFB7040"/>
    <w:rsid w:val="2B057BED"/>
    <w:rsid w:val="2B1A4D1A"/>
    <w:rsid w:val="2B1B2F6C"/>
    <w:rsid w:val="2B2C236F"/>
    <w:rsid w:val="2B74267D"/>
    <w:rsid w:val="2BCD1D38"/>
    <w:rsid w:val="2BFF288E"/>
    <w:rsid w:val="2C002162"/>
    <w:rsid w:val="2C071743"/>
    <w:rsid w:val="2C8A67FB"/>
    <w:rsid w:val="2C8D1C48"/>
    <w:rsid w:val="2CDF7FCA"/>
    <w:rsid w:val="2D08159E"/>
    <w:rsid w:val="2D151C3D"/>
    <w:rsid w:val="2D263C8C"/>
    <w:rsid w:val="2D263E4A"/>
    <w:rsid w:val="2D3E1194"/>
    <w:rsid w:val="2D4349FC"/>
    <w:rsid w:val="2D5208D3"/>
    <w:rsid w:val="2D5833AF"/>
    <w:rsid w:val="2D673896"/>
    <w:rsid w:val="2D9139BA"/>
    <w:rsid w:val="2D940589"/>
    <w:rsid w:val="2DA56377"/>
    <w:rsid w:val="2E1C6E6B"/>
    <w:rsid w:val="2E580034"/>
    <w:rsid w:val="2EAF24FF"/>
    <w:rsid w:val="2EDC0415"/>
    <w:rsid w:val="2EF31870"/>
    <w:rsid w:val="2EFA10EB"/>
    <w:rsid w:val="2F4862FA"/>
    <w:rsid w:val="2F567FBC"/>
    <w:rsid w:val="2FD933F6"/>
    <w:rsid w:val="300264A9"/>
    <w:rsid w:val="301D5C22"/>
    <w:rsid w:val="3052294C"/>
    <w:rsid w:val="305A73AC"/>
    <w:rsid w:val="306F605A"/>
    <w:rsid w:val="307355F9"/>
    <w:rsid w:val="30735AF2"/>
    <w:rsid w:val="30803804"/>
    <w:rsid w:val="30986E0D"/>
    <w:rsid w:val="30B8671B"/>
    <w:rsid w:val="30BD13B2"/>
    <w:rsid w:val="31461803"/>
    <w:rsid w:val="31745184"/>
    <w:rsid w:val="31B1462B"/>
    <w:rsid w:val="31B25C8F"/>
    <w:rsid w:val="31CB494E"/>
    <w:rsid w:val="31DF7699"/>
    <w:rsid w:val="31FE0EF2"/>
    <w:rsid w:val="3206165E"/>
    <w:rsid w:val="320A5AE9"/>
    <w:rsid w:val="3240775C"/>
    <w:rsid w:val="326C78DC"/>
    <w:rsid w:val="32715B68"/>
    <w:rsid w:val="32AC4DF2"/>
    <w:rsid w:val="32B53DF9"/>
    <w:rsid w:val="32BA306B"/>
    <w:rsid w:val="32EC3976"/>
    <w:rsid w:val="330B7D6A"/>
    <w:rsid w:val="33750F81"/>
    <w:rsid w:val="33815917"/>
    <w:rsid w:val="33896DD2"/>
    <w:rsid w:val="338F1240"/>
    <w:rsid w:val="33997124"/>
    <w:rsid w:val="339A2E9C"/>
    <w:rsid w:val="33BE29B9"/>
    <w:rsid w:val="33C73AB8"/>
    <w:rsid w:val="33FE167D"/>
    <w:rsid w:val="34060532"/>
    <w:rsid w:val="34244558"/>
    <w:rsid w:val="342B60E5"/>
    <w:rsid w:val="344D7DA3"/>
    <w:rsid w:val="34524761"/>
    <w:rsid w:val="346534AA"/>
    <w:rsid w:val="349618B6"/>
    <w:rsid w:val="349A666C"/>
    <w:rsid w:val="34B22CD6"/>
    <w:rsid w:val="34CC74F6"/>
    <w:rsid w:val="34F14D3E"/>
    <w:rsid w:val="34F67037"/>
    <w:rsid w:val="35012445"/>
    <w:rsid w:val="352219FB"/>
    <w:rsid w:val="35492DCC"/>
    <w:rsid w:val="35645510"/>
    <w:rsid w:val="35747E49"/>
    <w:rsid w:val="35765887"/>
    <w:rsid w:val="35797F64"/>
    <w:rsid w:val="357A5E09"/>
    <w:rsid w:val="35A83DB2"/>
    <w:rsid w:val="36154A5C"/>
    <w:rsid w:val="364F61C0"/>
    <w:rsid w:val="36B23BA0"/>
    <w:rsid w:val="36D861B6"/>
    <w:rsid w:val="370047BC"/>
    <w:rsid w:val="375B2943"/>
    <w:rsid w:val="37643EED"/>
    <w:rsid w:val="376E16B8"/>
    <w:rsid w:val="377F4883"/>
    <w:rsid w:val="379B4FC8"/>
    <w:rsid w:val="37AD34A7"/>
    <w:rsid w:val="380A3DF4"/>
    <w:rsid w:val="380B25BB"/>
    <w:rsid w:val="382901CF"/>
    <w:rsid w:val="384E6F61"/>
    <w:rsid w:val="386A3CB6"/>
    <w:rsid w:val="38925E0F"/>
    <w:rsid w:val="38BD1B5A"/>
    <w:rsid w:val="38DF7CCF"/>
    <w:rsid w:val="38F512A1"/>
    <w:rsid w:val="39006116"/>
    <w:rsid w:val="3930052B"/>
    <w:rsid w:val="393500E5"/>
    <w:rsid w:val="394E6D38"/>
    <w:rsid w:val="396C0E37"/>
    <w:rsid w:val="39A857E2"/>
    <w:rsid w:val="39CF5955"/>
    <w:rsid w:val="39D95969"/>
    <w:rsid w:val="3A080B60"/>
    <w:rsid w:val="3A0A7515"/>
    <w:rsid w:val="3A492C0D"/>
    <w:rsid w:val="3A775CE5"/>
    <w:rsid w:val="3AA30888"/>
    <w:rsid w:val="3AB941E9"/>
    <w:rsid w:val="3AC24C4D"/>
    <w:rsid w:val="3AD919D6"/>
    <w:rsid w:val="3B1E3A8A"/>
    <w:rsid w:val="3B64380F"/>
    <w:rsid w:val="3B6D7385"/>
    <w:rsid w:val="3B7307C2"/>
    <w:rsid w:val="3B871954"/>
    <w:rsid w:val="3C362AE2"/>
    <w:rsid w:val="3C460065"/>
    <w:rsid w:val="3C5F2ED5"/>
    <w:rsid w:val="3C674FC1"/>
    <w:rsid w:val="3C787F7D"/>
    <w:rsid w:val="3CC176EC"/>
    <w:rsid w:val="3CCD7F97"/>
    <w:rsid w:val="3CE74EC8"/>
    <w:rsid w:val="3CEC71DF"/>
    <w:rsid w:val="3D0849F8"/>
    <w:rsid w:val="3D545F0D"/>
    <w:rsid w:val="3DF53AF1"/>
    <w:rsid w:val="3DFA4571"/>
    <w:rsid w:val="3E95691D"/>
    <w:rsid w:val="3EB61549"/>
    <w:rsid w:val="3EC31B0D"/>
    <w:rsid w:val="3ED70D7E"/>
    <w:rsid w:val="3F123C97"/>
    <w:rsid w:val="3F2576D2"/>
    <w:rsid w:val="3F3441A5"/>
    <w:rsid w:val="3F562B77"/>
    <w:rsid w:val="3F667E51"/>
    <w:rsid w:val="3F6C393F"/>
    <w:rsid w:val="3FC03C8B"/>
    <w:rsid w:val="4013025E"/>
    <w:rsid w:val="403801C9"/>
    <w:rsid w:val="405255C7"/>
    <w:rsid w:val="40980764"/>
    <w:rsid w:val="40A7213B"/>
    <w:rsid w:val="40B955ED"/>
    <w:rsid w:val="40C62085"/>
    <w:rsid w:val="40CA4DF6"/>
    <w:rsid w:val="412169AB"/>
    <w:rsid w:val="413C37E5"/>
    <w:rsid w:val="41415EA8"/>
    <w:rsid w:val="414C7ECC"/>
    <w:rsid w:val="414D640E"/>
    <w:rsid w:val="417B430D"/>
    <w:rsid w:val="41C23CEA"/>
    <w:rsid w:val="41E131B5"/>
    <w:rsid w:val="41E225DE"/>
    <w:rsid w:val="421D76A4"/>
    <w:rsid w:val="422E312E"/>
    <w:rsid w:val="42302E50"/>
    <w:rsid w:val="425863FC"/>
    <w:rsid w:val="429C453B"/>
    <w:rsid w:val="429D1D1E"/>
    <w:rsid w:val="429F4A22"/>
    <w:rsid w:val="42F05B76"/>
    <w:rsid w:val="4318045B"/>
    <w:rsid w:val="435204F0"/>
    <w:rsid w:val="43547BCE"/>
    <w:rsid w:val="435E051A"/>
    <w:rsid w:val="4360359D"/>
    <w:rsid w:val="43846899"/>
    <w:rsid w:val="43883A57"/>
    <w:rsid w:val="439416B6"/>
    <w:rsid w:val="43967BA3"/>
    <w:rsid w:val="43C90556"/>
    <w:rsid w:val="43E837B0"/>
    <w:rsid w:val="44035CB8"/>
    <w:rsid w:val="440C56F0"/>
    <w:rsid w:val="440E1554"/>
    <w:rsid w:val="440E76BA"/>
    <w:rsid w:val="441427F7"/>
    <w:rsid w:val="441B1DD7"/>
    <w:rsid w:val="44D04970"/>
    <w:rsid w:val="45187DAD"/>
    <w:rsid w:val="453E44DA"/>
    <w:rsid w:val="45637592"/>
    <w:rsid w:val="457E261E"/>
    <w:rsid w:val="459736E0"/>
    <w:rsid w:val="45D146BD"/>
    <w:rsid w:val="45D97854"/>
    <w:rsid w:val="45DE130F"/>
    <w:rsid w:val="460D7E1B"/>
    <w:rsid w:val="464C6880"/>
    <w:rsid w:val="46DC584E"/>
    <w:rsid w:val="46DD3374"/>
    <w:rsid w:val="46F203A7"/>
    <w:rsid w:val="46FC54EB"/>
    <w:rsid w:val="47312CBD"/>
    <w:rsid w:val="473A4323"/>
    <w:rsid w:val="47587B20"/>
    <w:rsid w:val="475F1FDB"/>
    <w:rsid w:val="476378ED"/>
    <w:rsid w:val="47971775"/>
    <w:rsid w:val="47D318F9"/>
    <w:rsid w:val="47DE1152"/>
    <w:rsid w:val="482A083B"/>
    <w:rsid w:val="485261F6"/>
    <w:rsid w:val="486E697A"/>
    <w:rsid w:val="4886763B"/>
    <w:rsid w:val="488C6E91"/>
    <w:rsid w:val="489839F7"/>
    <w:rsid w:val="48A535F6"/>
    <w:rsid w:val="49363969"/>
    <w:rsid w:val="493C4382"/>
    <w:rsid w:val="49417D8B"/>
    <w:rsid w:val="49B05850"/>
    <w:rsid w:val="49B4073E"/>
    <w:rsid w:val="49B4132B"/>
    <w:rsid w:val="49D2193C"/>
    <w:rsid w:val="49F64E79"/>
    <w:rsid w:val="4A0155CC"/>
    <w:rsid w:val="4A0412F2"/>
    <w:rsid w:val="4A130E0A"/>
    <w:rsid w:val="4A1C2E0D"/>
    <w:rsid w:val="4A3C6604"/>
    <w:rsid w:val="4A675683"/>
    <w:rsid w:val="4A8969BC"/>
    <w:rsid w:val="4AB83EDC"/>
    <w:rsid w:val="4AE42F23"/>
    <w:rsid w:val="4B38326F"/>
    <w:rsid w:val="4B524641"/>
    <w:rsid w:val="4B560723"/>
    <w:rsid w:val="4B575013"/>
    <w:rsid w:val="4B7778F3"/>
    <w:rsid w:val="4B9506C1"/>
    <w:rsid w:val="4BA92BA5"/>
    <w:rsid w:val="4BEA27BB"/>
    <w:rsid w:val="4C002BE1"/>
    <w:rsid w:val="4C1B0BC7"/>
    <w:rsid w:val="4C3345EE"/>
    <w:rsid w:val="4C4A5008"/>
    <w:rsid w:val="4C83708E"/>
    <w:rsid w:val="4C87040D"/>
    <w:rsid w:val="4CB46F52"/>
    <w:rsid w:val="4CD46E10"/>
    <w:rsid w:val="4D434300"/>
    <w:rsid w:val="4D516CEF"/>
    <w:rsid w:val="4D636F03"/>
    <w:rsid w:val="4D8A21B2"/>
    <w:rsid w:val="4DAE2936"/>
    <w:rsid w:val="4E337080"/>
    <w:rsid w:val="4E65131C"/>
    <w:rsid w:val="4EA34EA3"/>
    <w:rsid w:val="4EA9138C"/>
    <w:rsid w:val="4EBE1CDD"/>
    <w:rsid w:val="4EE27855"/>
    <w:rsid w:val="4EE31744"/>
    <w:rsid w:val="4EFB7015"/>
    <w:rsid w:val="4F2125E9"/>
    <w:rsid w:val="4F5F23DC"/>
    <w:rsid w:val="4F9F7A63"/>
    <w:rsid w:val="4FAE3B00"/>
    <w:rsid w:val="4FE40C36"/>
    <w:rsid w:val="4FFE6E71"/>
    <w:rsid w:val="506348EA"/>
    <w:rsid w:val="50AB1F56"/>
    <w:rsid w:val="50AB57E2"/>
    <w:rsid w:val="50B213CE"/>
    <w:rsid w:val="50E1018F"/>
    <w:rsid w:val="50F43774"/>
    <w:rsid w:val="5153495F"/>
    <w:rsid w:val="51944FA5"/>
    <w:rsid w:val="51B11685"/>
    <w:rsid w:val="51C04115"/>
    <w:rsid w:val="51CE738D"/>
    <w:rsid w:val="51EC2F42"/>
    <w:rsid w:val="521515AD"/>
    <w:rsid w:val="5253098E"/>
    <w:rsid w:val="52551921"/>
    <w:rsid w:val="52AE4CB7"/>
    <w:rsid w:val="52D03D8D"/>
    <w:rsid w:val="530F0D59"/>
    <w:rsid w:val="531345CC"/>
    <w:rsid w:val="531977CE"/>
    <w:rsid w:val="533C058C"/>
    <w:rsid w:val="53430395"/>
    <w:rsid w:val="53874D93"/>
    <w:rsid w:val="539A0F17"/>
    <w:rsid w:val="539C5BDC"/>
    <w:rsid w:val="53B108B7"/>
    <w:rsid w:val="53CA4C80"/>
    <w:rsid w:val="53FF492A"/>
    <w:rsid w:val="547215A0"/>
    <w:rsid w:val="54890697"/>
    <w:rsid w:val="5519432D"/>
    <w:rsid w:val="555111B5"/>
    <w:rsid w:val="55801A9A"/>
    <w:rsid w:val="55876004"/>
    <w:rsid w:val="55945546"/>
    <w:rsid w:val="55A42C34"/>
    <w:rsid w:val="55EC1538"/>
    <w:rsid w:val="562B3B0F"/>
    <w:rsid w:val="562B7C58"/>
    <w:rsid w:val="565D3B8A"/>
    <w:rsid w:val="566F18EB"/>
    <w:rsid w:val="56933A4F"/>
    <w:rsid w:val="56BA7E2E"/>
    <w:rsid w:val="56BC4D54"/>
    <w:rsid w:val="56F4416F"/>
    <w:rsid w:val="570833D1"/>
    <w:rsid w:val="576D22DF"/>
    <w:rsid w:val="57B65C47"/>
    <w:rsid w:val="582E4816"/>
    <w:rsid w:val="58410A2B"/>
    <w:rsid w:val="587D37F5"/>
    <w:rsid w:val="588273A3"/>
    <w:rsid w:val="58873140"/>
    <w:rsid w:val="589F2EBA"/>
    <w:rsid w:val="58CA30DD"/>
    <w:rsid w:val="58CB3E9F"/>
    <w:rsid w:val="58ED5D4A"/>
    <w:rsid w:val="591C731D"/>
    <w:rsid w:val="594B23BF"/>
    <w:rsid w:val="595C281E"/>
    <w:rsid w:val="597E09E7"/>
    <w:rsid w:val="59B61F2F"/>
    <w:rsid w:val="59BE6B4B"/>
    <w:rsid w:val="59EA59A3"/>
    <w:rsid w:val="5A0C7DA1"/>
    <w:rsid w:val="5A24333C"/>
    <w:rsid w:val="5A4442F5"/>
    <w:rsid w:val="5A4B6B1B"/>
    <w:rsid w:val="5A864F2A"/>
    <w:rsid w:val="5AA4447D"/>
    <w:rsid w:val="5AA934B2"/>
    <w:rsid w:val="5AB05656"/>
    <w:rsid w:val="5AC86952"/>
    <w:rsid w:val="5ACF0EB4"/>
    <w:rsid w:val="5B1419A0"/>
    <w:rsid w:val="5B215ACE"/>
    <w:rsid w:val="5B783172"/>
    <w:rsid w:val="5B865931"/>
    <w:rsid w:val="5B9C61F3"/>
    <w:rsid w:val="5BC22F48"/>
    <w:rsid w:val="5BC86031"/>
    <w:rsid w:val="5BE56AFB"/>
    <w:rsid w:val="5BEA2363"/>
    <w:rsid w:val="5C1221B1"/>
    <w:rsid w:val="5C214831"/>
    <w:rsid w:val="5C2436D9"/>
    <w:rsid w:val="5C3D1A70"/>
    <w:rsid w:val="5C7165E1"/>
    <w:rsid w:val="5C757E7F"/>
    <w:rsid w:val="5CFA65D6"/>
    <w:rsid w:val="5D093B0D"/>
    <w:rsid w:val="5D1457E4"/>
    <w:rsid w:val="5D7005A4"/>
    <w:rsid w:val="5D73360B"/>
    <w:rsid w:val="5D8A221B"/>
    <w:rsid w:val="5D934D24"/>
    <w:rsid w:val="5D9F0F2C"/>
    <w:rsid w:val="5DA46146"/>
    <w:rsid w:val="5DB3610D"/>
    <w:rsid w:val="5DBD54B9"/>
    <w:rsid w:val="5DCF7319"/>
    <w:rsid w:val="5DDB3E57"/>
    <w:rsid w:val="5DEE2A72"/>
    <w:rsid w:val="5E201F58"/>
    <w:rsid w:val="5E29698F"/>
    <w:rsid w:val="5E5B4E53"/>
    <w:rsid w:val="5E5F6167"/>
    <w:rsid w:val="5E654D36"/>
    <w:rsid w:val="5E677C9B"/>
    <w:rsid w:val="5EC24ED2"/>
    <w:rsid w:val="5ED86C69"/>
    <w:rsid w:val="5EEA2B7F"/>
    <w:rsid w:val="5EEC59F5"/>
    <w:rsid w:val="5EEC7F5A"/>
    <w:rsid w:val="5F0454EA"/>
    <w:rsid w:val="5F9525E6"/>
    <w:rsid w:val="5F9564A7"/>
    <w:rsid w:val="5FA979E5"/>
    <w:rsid w:val="5FB24F5B"/>
    <w:rsid w:val="5FFE7A7B"/>
    <w:rsid w:val="60082DB8"/>
    <w:rsid w:val="603242D9"/>
    <w:rsid w:val="603518C3"/>
    <w:rsid w:val="603B318E"/>
    <w:rsid w:val="60547F41"/>
    <w:rsid w:val="6059414C"/>
    <w:rsid w:val="60A57915"/>
    <w:rsid w:val="60FD1C2B"/>
    <w:rsid w:val="613876CD"/>
    <w:rsid w:val="61B054B5"/>
    <w:rsid w:val="6226632C"/>
    <w:rsid w:val="622D063B"/>
    <w:rsid w:val="622F3DDE"/>
    <w:rsid w:val="62303F93"/>
    <w:rsid w:val="62314848"/>
    <w:rsid w:val="624361DA"/>
    <w:rsid w:val="628B7AB8"/>
    <w:rsid w:val="62AA45FB"/>
    <w:rsid w:val="62AB3383"/>
    <w:rsid w:val="62AD4C85"/>
    <w:rsid w:val="62B15989"/>
    <w:rsid w:val="62FF10A8"/>
    <w:rsid w:val="630506CE"/>
    <w:rsid w:val="630755A9"/>
    <w:rsid w:val="63310878"/>
    <w:rsid w:val="63326E4B"/>
    <w:rsid w:val="63950E07"/>
    <w:rsid w:val="639826A5"/>
    <w:rsid w:val="63DF299B"/>
    <w:rsid w:val="64314A62"/>
    <w:rsid w:val="644A3D84"/>
    <w:rsid w:val="64630F05"/>
    <w:rsid w:val="646B6AAC"/>
    <w:rsid w:val="64B96D60"/>
    <w:rsid w:val="64C515E9"/>
    <w:rsid w:val="64C56EBC"/>
    <w:rsid w:val="65130235"/>
    <w:rsid w:val="6522491C"/>
    <w:rsid w:val="652561BA"/>
    <w:rsid w:val="65390176"/>
    <w:rsid w:val="65475EEA"/>
    <w:rsid w:val="65486DBB"/>
    <w:rsid w:val="654C3F73"/>
    <w:rsid w:val="65763279"/>
    <w:rsid w:val="658630FD"/>
    <w:rsid w:val="65C4401B"/>
    <w:rsid w:val="65DD4F59"/>
    <w:rsid w:val="65F51726"/>
    <w:rsid w:val="6601120D"/>
    <w:rsid w:val="6612673F"/>
    <w:rsid w:val="6615622F"/>
    <w:rsid w:val="661E51EA"/>
    <w:rsid w:val="66303069"/>
    <w:rsid w:val="667C64F8"/>
    <w:rsid w:val="667E06D2"/>
    <w:rsid w:val="66824AD8"/>
    <w:rsid w:val="66BE2423"/>
    <w:rsid w:val="66F44096"/>
    <w:rsid w:val="66FC2F4B"/>
    <w:rsid w:val="670A5668"/>
    <w:rsid w:val="67427D18"/>
    <w:rsid w:val="674C04E4"/>
    <w:rsid w:val="674C5C80"/>
    <w:rsid w:val="6782140E"/>
    <w:rsid w:val="6796514D"/>
    <w:rsid w:val="67982214"/>
    <w:rsid w:val="67A4116F"/>
    <w:rsid w:val="67AC671F"/>
    <w:rsid w:val="67BA0E3C"/>
    <w:rsid w:val="67E96B6B"/>
    <w:rsid w:val="680C6449"/>
    <w:rsid w:val="68300372"/>
    <w:rsid w:val="683F3A37"/>
    <w:rsid w:val="6844104D"/>
    <w:rsid w:val="68446002"/>
    <w:rsid w:val="685120C6"/>
    <w:rsid w:val="68A67612"/>
    <w:rsid w:val="68BE3E3A"/>
    <w:rsid w:val="690F2EE1"/>
    <w:rsid w:val="69245391"/>
    <w:rsid w:val="693370F8"/>
    <w:rsid w:val="6943714A"/>
    <w:rsid w:val="69576030"/>
    <w:rsid w:val="69622B30"/>
    <w:rsid w:val="69C02956"/>
    <w:rsid w:val="69FF347E"/>
    <w:rsid w:val="6A6D6639"/>
    <w:rsid w:val="6A896AFD"/>
    <w:rsid w:val="6A970D27"/>
    <w:rsid w:val="6AEB321C"/>
    <w:rsid w:val="6B735ED1"/>
    <w:rsid w:val="6BC77EFE"/>
    <w:rsid w:val="6BDF7650"/>
    <w:rsid w:val="6C0279BB"/>
    <w:rsid w:val="6C046B2A"/>
    <w:rsid w:val="6C313697"/>
    <w:rsid w:val="6C4362DE"/>
    <w:rsid w:val="6C4D207A"/>
    <w:rsid w:val="6C5C30FF"/>
    <w:rsid w:val="6C88775B"/>
    <w:rsid w:val="6C8D6491"/>
    <w:rsid w:val="6C9A748E"/>
    <w:rsid w:val="6CEC2041"/>
    <w:rsid w:val="6D194857"/>
    <w:rsid w:val="6D225898"/>
    <w:rsid w:val="6D3A1FB3"/>
    <w:rsid w:val="6D5960FD"/>
    <w:rsid w:val="6D5B09CB"/>
    <w:rsid w:val="6DCA5B51"/>
    <w:rsid w:val="6E0C43BB"/>
    <w:rsid w:val="6E4574FD"/>
    <w:rsid w:val="6E7E2073"/>
    <w:rsid w:val="6E934A22"/>
    <w:rsid w:val="6EAA5AF3"/>
    <w:rsid w:val="6EBA0429"/>
    <w:rsid w:val="6F254A28"/>
    <w:rsid w:val="6F2602E4"/>
    <w:rsid w:val="6F3239AE"/>
    <w:rsid w:val="6F4638FD"/>
    <w:rsid w:val="6F490CF7"/>
    <w:rsid w:val="6F590C35"/>
    <w:rsid w:val="6F8D4C49"/>
    <w:rsid w:val="6F906306"/>
    <w:rsid w:val="6F982AA6"/>
    <w:rsid w:val="6F9E3C81"/>
    <w:rsid w:val="6FA04EC3"/>
    <w:rsid w:val="70861845"/>
    <w:rsid w:val="709B5583"/>
    <w:rsid w:val="70C77905"/>
    <w:rsid w:val="70E92792"/>
    <w:rsid w:val="71030DB4"/>
    <w:rsid w:val="71357785"/>
    <w:rsid w:val="715E0A8A"/>
    <w:rsid w:val="71857625"/>
    <w:rsid w:val="71934A9C"/>
    <w:rsid w:val="71CF7BDA"/>
    <w:rsid w:val="71F270BF"/>
    <w:rsid w:val="723145D9"/>
    <w:rsid w:val="72411FBE"/>
    <w:rsid w:val="72754FEA"/>
    <w:rsid w:val="72822E9E"/>
    <w:rsid w:val="728A58AF"/>
    <w:rsid w:val="72B8241C"/>
    <w:rsid w:val="72C642C2"/>
    <w:rsid w:val="72D63060"/>
    <w:rsid w:val="72D87A24"/>
    <w:rsid w:val="72E11BC3"/>
    <w:rsid w:val="7329156C"/>
    <w:rsid w:val="73F90F3E"/>
    <w:rsid w:val="7431692A"/>
    <w:rsid w:val="743313D7"/>
    <w:rsid w:val="745D771F"/>
    <w:rsid w:val="749A1483"/>
    <w:rsid w:val="749B2308"/>
    <w:rsid w:val="74C90910"/>
    <w:rsid w:val="74CC0296"/>
    <w:rsid w:val="74D448E8"/>
    <w:rsid w:val="74F22F4A"/>
    <w:rsid w:val="750A33A3"/>
    <w:rsid w:val="750E27C7"/>
    <w:rsid w:val="751A3CED"/>
    <w:rsid w:val="75404D35"/>
    <w:rsid w:val="755A031E"/>
    <w:rsid w:val="7582023D"/>
    <w:rsid w:val="759C7DD3"/>
    <w:rsid w:val="75BB43EF"/>
    <w:rsid w:val="75D31A9C"/>
    <w:rsid w:val="75DA6B4D"/>
    <w:rsid w:val="75F37E94"/>
    <w:rsid w:val="760836BA"/>
    <w:rsid w:val="769A085C"/>
    <w:rsid w:val="76E77774"/>
    <w:rsid w:val="76EC08E6"/>
    <w:rsid w:val="76EF67C7"/>
    <w:rsid w:val="76F708AD"/>
    <w:rsid w:val="7718632D"/>
    <w:rsid w:val="771D4763"/>
    <w:rsid w:val="77433FDA"/>
    <w:rsid w:val="77632536"/>
    <w:rsid w:val="777728A5"/>
    <w:rsid w:val="777D439B"/>
    <w:rsid w:val="77807964"/>
    <w:rsid w:val="77A86F03"/>
    <w:rsid w:val="77B11B93"/>
    <w:rsid w:val="780B56E4"/>
    <w:rsid w:val="78153E6C"/>
    <w:rsid w:val="7855070D"/>
    <w:rsid w:val="78A24AC4"/>
    <w:rsid w:val="79091C23"/>
    <w:rsid w:val="790F10AC"/>
    <w:rsid w:val="79222CE5"/>
    <w:rsid w:val="79256331"/>
    <w:rsid w:val="792A091E"/>
    <w:rsid w:val="798B6ADC"/>
    <w:rsid w:val="79A11E5C"/>
    <w:rsid w:val="79CF6ED7"/>
    <w:rsid w:val="79DB346A"/>
    <w:rsid w:val="79DB4A73"/>
    <w:rsid w:val="7AB91427"/>
    <w:rsid w:val="7AF5108A"/>
    <w:rsid w:val="7B024B7C"/>
    <w:rsid w:val="7B1D6239"/>
    <w:rsid w:val="7B334D35"/>
    <w:rsid w:val="7B4729C1"/>
    <w:rsid w:val="7B5A6766"/>
    <w:rsid w:val="7B6E634A"/>
    <w:rsid w:val="7B9A3006"/>
    <w:rsid w:val="7BB42B7D"/>
    <w:rsid w:val="7BB614A4"/>
    <w:rsid w:val="7BBF6A2F"/>
    <w:rsid w:val="7BC43327"/>
    <w:rsid w:val="7BC57958"/>
    <w:rsid w:val="7C0E7550"/>
    <w:rsid w:val="7C1B4CE0"/>
    <w:rsid w:val="7C56343C"/>
    <w:rsid w:val="7C653614"/>
    <w:rsid w:val="7C66113B"/>
    <w:rsid w:val="7C72188D"/>
    <w:rsid w:val="7CDE5175"/>
    <w:rsid w:val="7CFD1929"/>
    <w:rsid w:val="7D5D44AD"/>
    <w:rsid w:val="7D782A86"/>
    <w:rsid w:val="7D7E013E"/>
    <w:rsid w:val="7D8D7597"/>
    <w:rsid w:val="7DCC42C0"/>
    <w:rsid w:val="7E0D55D8"/>
    <w:rsid w:val="7E0F299C"/>
    <w:rsid w:val="7E1A042F"/>
    <w:rsid w:val="7E1C7AA9"/>
    <w:rsid w:val="7E2D1F10"/>
    <w:rsid w:val="7E2E3EDA"/>
    <w:rsid w:val="7E327526"/>
    <w:rsid w:val="7E77762F"/>
    <w:rsid w:val="7E7E6C0F"/>
    <w:rsid w:val="7E844C67"/>
    <w:rsid w:val="7E853370"/>
    <w:rsid w:val="7E900E10"/>
    <w:rsid w:val="7E991353"/>
    <w:rsid w:val="7EC81C39"/>
    <w:rsid w:val="7ED35420"/>
    <w:rsid w:val="7EF04CF2"/>
    <w:rsid w:val="7F15557D"/>
    <w:rsid w:val="7F4C143F"/>
    <w:rsid w:val="7F800838"/>
    <w:rsid w:val="7F896A0B"/>
    <w:rsid w:val="7FD10FC1"/>
    <w:rsid w:val="7FFE1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3" w:semiHidden="0" w:name="heading 1"/>
    <w:lsdException w:qFormat="1" w:unhideWhenUsed="0" w:uiPriority="2"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nhideWhenUsed="0" w:uiPriority="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55"/>
    <w:qFormat/>
    <w:uiPriority w:val="3"/>
    <w:pPr>
      <w:keepNext/>
      <w:keepLines/>
      <w:ind w:firstLine="0" w:firstLineChars="0"/>
      <w:jc w:val="center"/>
      <w:outlineLvl w:val="0"/>
    </w:pPr>
    <w:rPr>
      <w:b/>
      <w:kern w:val="44"/>
      <w:sz w:val="30"/>
    </w:rPr>
  </w:style>
  <w:style w:type="paragraph" w:styleId="4">
    <w:name w:val="heading 2"/>
    <w:basedOn w:val="1"/>
    <w:next w:val="1"/>
    <w:link w:val="56"/>
    <w:qFormat/>
    <w:uiPriority w:val="2"/>
    <w:pPr>
      <w:keepNext/>
      <w:keepLines/>
      <w:ind w:firstLine="0" w:firstLineChars="0"/>
      <w:outlineLvl w:val="1"/>
    </w:pPr>
    <w:rPr>
      <w:rFonts w:ascii="Times New Roman" w:hAnsi="Times New Roman" w:eastAsia="宋体"/>
      <w:b/>
      <w:bCs/>
      <w:sz w:val="28"/>
      <w:szCs w:val="32"/>
    </w:rPr>
  </w:style>
  <w:style w:type="paragraph" w:styleId="5">
    <w:name w:val="heading 3"/>
    <w:basedOn w:val="1"/>
    <w:next w:val="1"/>
    <w:qFormat/>
    <w:uiPriority w:val="0"/>
    <w:pPr>
      <w:keepNext/>
      <w:keepLines/>
      <w:ind w:firstLine="0" w:firstLineChars="0"/>
      <w:outlineLvl w:val="2"/>
    </w:pPr>
    <w:rPr>
      <w:rFonts w:ascii="Times New Roman" w:hAnsi="Times New Roman" w:eastAsia="宋体"/>
      <w:b/>
    </w:rPr>
  </w:style>
  <w:style w:type="paragraph" w:styleId="6">
    <w:name w:val="heading 4"/>
    <w:basedOn w:val="1"/>
    <w:next w:val="1"/>
    <w:qFormat/>
    <w:uiPriority w:val="0"/>
    <w:pPr>
      <w:keepNext/>
      <w:keepLines/>
      <w:outlineLvl w:val="3"/>
    </w:pPr>
  </w:style>
  <w:style w:type="paragraph" w:styleId="7">
    <w:name w:val="heading 5"/>
    <w:basedOn w:val="1"/>
    <w:next w:val="1"/>
    <w:link w:val="57"/>
    <w:qFormat/>
    <w:uiPriority w:val="0"/>
    <w:pPr>
      <w:keepNext/>
      <w:keepLines/>
      <w:spacing w:before="280" w:after="290" w:line="376" w:lineRule="auto"/>
      <w:outlineLvl w:val="4"/>
    </w:pPr>
    <w:rPr>
      <w:b/>
      <w:bCs/>
      <w:sz w:val="28"/>
      <w:szCs w:val="28"/>
    </w:rPr>
  </w:style>
  <w:style w:type="paragraph" w:styleId="8">
    <w:name w:val="heading 7"/>
    <w:basedOn w:val="1"/>
    <w:next w:val="1"/>
    <w:link w:val="169"/>
    <w:qFormat/>
    <w:uiPriority w:val="9"/>
    <w:pPr>
      <w:keepNext/>
      <w:keepLines/>
      <w:spacing w:beforeLines="0" w:beforeAutospacing="0" w:afterLines="0" w:afterAutospacing="0" w:line="360" w:lineRule="auto"/>
      <w:outlineLvl w:val="6"/>
    </w:pPr>
    <w:rPr>
      <w:rFonts w:ascii="Times New Roman" w:hAnsi="Times New Roman" w:eastAsia="宋体"/>
      <w:b/>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ind w:left="0"/>
      <w:jc w:val="left"/>
    </w:pPr>
    <w:rPr>
      <w:rFonts w:ascii="Times New Roman" w:hAnsi="Times New Roman" w:eastAsia="宋体" w:cs="Calibri"/>
      <w:smallCaps/>
      <w:sz w:val="24"/>
      <w:szCs w:val="20"/>
    </w:rPr>
  </w:style>
  <w:style w:type="paragraph" w:styleId="9">
    <w:name w:val="toc 7"/>
    <w:basedOn w:val="1"/>
    <w:next w:val="1"/>
    <w:qFormat/>
    <w:uiPriority w:val="0"/>
    <w:pPr>
      <w:ind w:left="1440"/>
      <w:jc w:val="left"/>
    </w:pPr>
    <w:rPr>
      <w:rFonts w:ascii="Calibri" w:hAnsi="Calibri" w:cs="Calibri"/>
      <w:sz w:val="18"/>
      <w:szCs w:val="18"/>
    </w:rPr>
  </w:style>
  <w:style w:type="paragraph" w:styleId="10">
    <w:name w:val="Normal Indent"/>
    <w:basedOn w:val="1"/>
    <w:next w:val="1"/>
    <w:qFormat/>
    <w:uiPriority w:val="0"/>
    <w:pPr>
      <w:widowControl/>
      <w:ind w:firstLine="420"/>
      <w:jc w:val="left"/>
    </w:pPr>
    <w:rPr>
      <w:rFonts w:eastAsia="仿宋_GB2312"/>
      <w:kern w:val="0"/>
      <w:sz w:val="28"/>
      <w:szCs w:val="20"/>
    </w:rPr>
  </w:style>
  <w:style w:type="paragraph" w:styleId="11">
    <w:name w:val="caption"/>
    <w:basedOn w:val="1"/>
    <w:next w:val="1"/>
    <w:link w:val="58"/>
    <w:qFormat/>
    <w:uiPriority w:val="0"/>
    <w:pPr>
      <w:widowControl/>
      <w:contextualSpacing/>
      <w:jc w:val="left"/>
    </w:pPr>
    <w:rPr>
      <w:b/>
      <w:bCs/>
      <w:color w:val="4F81BD"/>
      <w:kern w:val="0"/>
      <w:sz w:val="18"/>
      <w:szCs w:val="18"/>
      <w:lang w:eastAsia="en-US" w:bidi="en-US"/>
    </w:rPr>
  </w:style>
  <w:style w:type="paragraph" w:styleId="12">
    <w:name w:val="annotation text"/>
    <w:basedOn w:val="1"/>
    <w:link w:val="59"/>
    <w:qFormat/>
    <w:uiPriority w:val="0"/>
    <w:pPr>
      <w:jc w:val="left"/>
    </w:pPr>
  </w:style>
  <w:style w:type="paragraph" w:styleId="13">
    <w:name w:val="Body Text"/>
    <w:basedOn w:val="1"/>
    <w:next w:val="14"/>
    <w:link w:val="60"/>
    <w:qFormat/>
    <w:uiPriority w:val="0"/>
    <w:pPr>
      <w:spacing w:after="120"/>
    </w:pPr>
  </w:style>
  <w:style w:type="paragraph" w:customStyle="1" w:styleId="14">
    <w:name w:val="xl27"/>
    <w:basedOn w:val="1"/>
    <w:qFormat/>
    <w:uiPriority w:val="0"/>
    <w:pPr>
      <w:pBdr>
        <w:left w:val="single" w:color="auto" w:sz="4" w:space="0"/>
        <w:bottom w:val="single" w:color="auto" w:sz="4" w:space="0"/>
        <w:right w:val="single" w:color="auto" w:sz="8" w:space="0"/>
      </w:pBdr>
      <w:shd w:val="clear" w:color="auto" w:fill="FFFFFF"/>
      <w:spacing w:before="100" w:beforeAutospacing="1" w:after="100" w:afterAutospacing="1"/>
      <w:jc w:val="center"/>
    </w:pPr>
    <w:rPr>
      <w:rFonts w:ascii="宋体" w:hAnsi="宋体"/>
    </w:rPr>
  </w:style>
  <w:style w:type="paragraph" w:styleId="15">
    <w:name w:val="Body Text Indent"/>
    <w:basedOn w:val="1"/>
    <w:next w:val="16"/>
    <w:link w:val="61"/>
    <w:unhideWhenUsed/>
    <w:qFormat/>
    <w:uiPriority w:val="99"/>
    <w:pPr>
      <w:suppressAutoHyphens/>
      <w:wordWrap w:val="0"/>
      <w:topLinePunct/>
      <w:spacing w:after="120"/>
      <w:ind w:left="420" w:leftChars="200"/>
      <w:jc w:val="left"/>
    </w:pPr>
  </w:style>
  <w:style w:type="paragraph" w:customStyle="1" w:styleId="16">
    <w:name w:val="样式 正文文本缩进 + 行距: 1.5 倍行距"/>
    <w:basedOn w:val="17"/>
    <w:qFormat/>
    <w:uiPriority w:val="0"/>
    <w:pPr>
      <w:spacing w:after="120" w:line="360" w:lineRule="auto"/>
      <w:ind w:left="90" w:leftChars="32" w:firstLine="560" w:firstLineChars="200"/>
    </w:pPr>
    <w:rPr>
      <w:rFonts w:cs="宋体"/>
    </w:rPr>
  </w:style>
  <w:style w:type="paragraph" w:customStyle="1" w:styleId="17">
    <w:name w:val="Body Text Indent"/>
    <w:basedOn w:val="1"/>
    <w:next w:val="16"/>
    <w:qFormat/>
    <w:uiPriority w:val="0"/>
    <w:pPr>
      <w:spacing w:after="120" w:afterLines="0"/>
      <w:ind w:left="420" w:leftChars="200"/>
    </w:pPr>
    <w:rPr>
      <w:rFonts w:ascii="Times New Roman" w:hAnsi="Times New Roman" w:eastAsia="宋体"/>
      <w:sz w:val="24"/>
    </w:rPr>
  </w:style>
  <w:style w:type="paragraph" w:styleId="18">
    <w:name w:val="Block Text"/>
    <w:basedOn w:val="1"/>
    <w:qFormat/>
    <w:uiPriority w:val="0"/>
    <w:pPr>
      <w:spacing w:after="120"/>
      <w:ind w:left="1440" w:leftChars="700" w:right="1440" w:rightChars="700"/>
    </w:pPr>
  </w:style>
  <w:style w:type="paragraph" w:styleId="19">
    <w:name w:val="toc 5"/>
    <w:basedOn w:val="1"/>
    <w:next w:val="1"/>
    <w:qFormat/>
    <w:uiPriority w:val="0"/>
    <w:pPr>
      <w:ind w:left="960"/>
      <w:jc w:val="left"/>
    </w:pPr>
    <w:rPr>
      <w:rFonts w:ascii="Calibri" w:hAnsi="Calibri" w:cs="Calibri"/>
      <w:sz w:val="18"/>
      <w:szCs w:val="18"/>
    </w:rPr>
  </w:style>
  <w:style w:type="paragraph" w:styleId="20">
    <w:name w:val="toc 3"/>
    <w:basedOn w:val="1"/>
    <w:next w:val="1"/>
    <w:qFormat/>
    <w:uiPriority w:val="0"/>
    <w:pPr>
      <w:ind w:left="480"/>
      <w:jc w:val="left"/>
    </w:pPr>
    <w:rPr>
      <w:rFonts w:ascii="Calibri" w:hAnsi="Calibri" w:cs="Calibri"/>
      <w:i/>
      <w:iCs/>
      <w:sz w:val="20"/>
      <w:szCs w:val="20"/>
    </w:rPr>
  </w:style>
  <w:style w:type="paragraph" w:styleId="21">
    <w:name w:val="Plain Text"/>
    <w:basedOn w:val="1"/>
    <w:qFormat/>
    <w:uiPriority w:val="0"/>
    <w:rPr>
      <w:rFonts w:ascii="宋体" w:hAnsi="Courier New"/>
      <w:szCs w:val="20"/>
    </w:rPr>
  </w:style>
  <w:style w:type="paragraph" w:styleId="22">
    <w:name w:val="List Bullet 5"/>
    <w:basedOn w:val="1"/>
    <w:qFormat/>
    <w:uiPriority w:val="0"/>
    <w:pPr>
      <w:numPr>
        <w:ilvl w:val="0"/>
        <w:numId w:val="1"/>
      </w:numPr>
    </w:pPr>
  </w:style>
  <w:style w:type="paragraph" w:styleId="23">
    <w:name w:val="toc 8"/>
    <w:basedOn w:val="1"/>
    <w:next w:val="1"/>
    <w:qFormat/>
    <w:uiPriority w:val="0"/>
    <w:pPr>
      <w:ind w:left="1680"/>
      <w:jc w:val="left"/>
    </w:pPr>
    <w:rPr>
      <w:rFonts w:ascii="Calibri" w:hAnsi="Calibri" w:cs="Calibri"/>
      <w:sz w:val="18"/>
      <w:szCs w:val="18"/>
    </w:rPr>
  </w:style>
  <w:style w:type="paragraph" w:styleId="24">
    <w:name w:val="Body Text Indent 2"/>
    <w:basedOn w:val="1"/>
    <w:next w:val="25"/>
    <w:qFormat/>
    <w:uiPriority w:val="0"/>
    <w:pPr>
      <w:spacing w:line="300" w:lineRule="auto"/>
      <w:ind w:firstLine="420"/>
    </w:pPr>
    <w:rPr>
      <w:rFonts w:ascii="宋体" w:hAnsi="宋体"/>
      <w:spacing w:val="10"/>
      <w:position w:val="-2"/>
      <w:sz w:val="28"/>
      <w:szCs w:val="28"/>
    </w:rPr>
  </w:style>
  <w:style w:type="paragraph" w:styleId="25">
    <w:name w:val="Body Text First Indent 2"/>
    <w:basedOn w:val="15"/>
    <w:next w:val="1"/>
    <w:link w:val="71"/>
    <w:qFormat/>
    <w:uiPriority w:val="0"/>
    <w:pPr>
      <w:suppressAutoHyphens w:val="0"/>
      <w:wordWrap/>
      <w:topLinePunct w:val="0"/>
      <w:ind w:firstLine="420"/>
      <w:jc w:val="both"/>
    </w:pPr>
  </w:style>
  <w:style w:type="paragraph" w:styleId="26">
    <w:name w:val="Balloon Text"/>
    <w:basedOn w:val="1"/>
    <w:link w:val="62"/>
    <w:qFormat/>
    <w:uiPriority w:val="0"/>
    <w:pPr>
      <w:jc w:val="left"/>
    </w:pPr>
    <w:rPr>
      <w:sz w:val="18"/>
      <w:szCs w:val="18"/>
    </w:rPr>
  </w:style>
  <w:style w:type="paragraph" w:styleId="27">
    <w:name w:val="footer"/>
    <w:basedOn w:val="1"/>
    <w:link w:val="63"/>
    <w:unhideWhenUsed/>
    <w:qFormat/>
    <w:uiPriority w:val="99"/>
    <w:pPr>
      <w:tabs>
        <w:tab w:val="center" w:pos="4153"/>
        <w:tab w:val="right" w:pos="8306"/>
      </w:tabs>
      <w:snapToGrid w:val="0"/>
      <w:jc w:val="left"/>
    </w:pPr>
    <w:rPr>
      <w:sz w:val="18"/>
    </w:rPr>
  </w:style>
  <w:style w:type="paragraph" w:styleId="28">
    <w:name w:val="header"/>
    <w:basedOn w:val="1"/>
    <w:link w:val="64"/>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link w:val="65"/>
    <w:qFormat/>
    <w:uiPriority w:val="39"/>
    <w:pPr>
      <w:ind w:firstLine="0" w:firstLineChars="0"/>
      <w:jc w:val="left"/>
    </w:pPr>
    <w:rPr>
      <w:rFonts w:ascii="Times New Roman" w:hAnsi="Times New Roman" w:eastAsia="宋体" w:cs="Calibri"/>
      <w:b/>
      <w:bCs/>
      <w:caps/>
      <w:sz w:val="28"/>
      <w:szCs w:val="20"/>
    </w:rPr>
  </w:style>
  <w:style w:type="paragraph" w:styleId="30">
    <w:name w:val="toc 4"/>
    <w:basedOn w:val="1"/>
    <w:next w:val="1"/>
    <w:qFormat/>
    <w:uiPriority w:val="0"/>
    <w:pPr>
      <w:ind w:left="720"/>
      <w:jc w:val="left"/>
    </w:pPr>
    <w:rPr>
      <w:rFonts w:ascii="Calibri" w:hAnsi="Calibri" w:cs="Calibri"/>
      <w:sz w:val="18"/>
      <w:szCs w:val="18"/>
    </w:rPr>
  </w:style>
  <w:style w:type="paragraph" w:styleId="31">
    <w:name w:val="toc 6"/>
    <w:basedOn w:val="1"/>
    <w:next w:val="1"/>
    <w:qFormat/>
    <w:uiPriority w:val="0"/>
    <w:pPr>
      <w:ind w:left="1200"/>
      <w:jc w:val="left"/>
    </w:pPr>
    <w:rPr>
      <w:rFonts w:ascii="Calibri" w:hAnsi="Calibri" w:cs="Calibri"/>
      <w:sz w:val="18"/>
      <w:szCs w:val="18"/>
    </w:rPr>
  </w:style>
  <w:style w:type="paragraph" w:styleId="32">
    <w:name w:val="Body Text Indent 3"/>
    <w:basedOn w:val="1"/>
    <w:next w:val="1"/>
    <w:link w:val="66"/>
    <w:qFormat/>
    <w:uiPriority w:val="0"/>
    <w:pPr>
      <w:spacing w:after="120"/>
      <w:ind w:left="420" w:leftChars="200"/>
    </w:pPr>
    <w:rPr>
      <w:sz w:val="16"/>
      <w:szCs w:val="16"/>
    </w:rPr>
  </w:style>
  <w:style w:type="paragraph" w:styleId="33">
    <w:name w:val="toc 9"/>
    <w:basedOn w:val="1"/>
    <w:next w:val="1"/>
    <w:qFormat/>
    <w:uiPriority w:val="0"/>
    <w:pPr>
      <w:ind w:left="1920"/>
      <w:jc w:val="left"/>
    </w:pPr>
    <w:rPr>
      <w:rFonts w:ascii="Calibri" w:hAnsi="Calibri" w:cs="Calibri"/>
      <w:sz w:val="18"/>
      <w:szCs w:val="18"/>
    </w:rPr>
  </w:style>
  <w:style w:type="paragraph" w:styleId="34">
    <w:name w:val="Normal (Web)"/>
    <w:basedOn w:val="1"/>
    <w:link w:val="67"/>
    <w:qFormat/>
    <w:uiPriority w:val="0"/>
    <w:pPr>
      <w:widowControl/>
      <w:spacing w:before="100" w:beforeAutospacing="1" w:after="100" w:afterAutospacing="1"/>
      <w:contextualSpacing/>
      <w:jc w:val="left"/>
    </w:pPr>
    <w:rPr>
      <w:rFonts w:ascii="宋体" w:hAnsi="宋体" w:cs="宋体"/>
      <w:kern w:val="0"/>
    </w:rPr>
  </w:style>
  <w:style w:type="paragraph" w:styleId="35">
    <w:name w:val="Title"/>
    <w:basedOn w:val="1"/>
    <w:link w:val="68"/>
    <w:qFormat/>
    <w:uiPriority w:val="10"/>
    <w:pPr>
      <w:widowControl/>
      <w:wordWrap w:val="0"/>
      <w:spacing w:line="240" w:lineRule="auto"/>
      <w:ind w:firstLine="0" w:firstLineChars="0"/>
      <w:jc w:val="center"/>
      <w:outlineLvl w:val="0"/>
    </w:pPr>
    <w:rPr>
      <w:rFonts w:ascii="Cambria" w:hAnsi="Cambria"/>
      <w:b/>
      <w:bCs/>
      <w:sz w:val="32"/>
      <w:szCs w:val="32"/>
    </w:rPr>
  </w:style>
  <w:style w:type="paragraph" w:styleId="36">
    <w:name w:val="annotation subject"/>
    <w:basedOn w:val="12"/>
    <w:next w:val="12"/>
    <w:link w:val="69"/>
    <w:qFormat/>
    <w:uiPriority w:val="0"/>
    <w:rPr>
      <w:b/>
      <w:bCs/>
    </w:rPr>
  </w:style>
  <w:style w:type="paragraph" w:styleId="37">
    <w:name w:val="Body Text First Indent"/>
    <w:basedOn w:val="13"/>
    <w:next w:val="25"/>
    <w:link w:val="70"/>
    <w:qFormat/>
    <w:uiPriority w:val="0"/>
    <w:pPr>
      <w:widowControl/>
      <w:overflowPunct w:val="0"/>
      <w:autoSpaceDE w:val="0"/>
      <w:autoSpaceDN w:val="0"/>
      <w:adjustRightInd w:val="0"/>
      <w:ind w:firstLine="539" w:firstLineChars="0"/>
      <w:jc w:val="left"/>
    </w:pPr>
    <w:rPr>
      <w:sz w:val="28"/>
      <w:szCs w:val="20"/>
    </w:rPr>
  </w:style>
  <w:style w:type="table" w:styleId="39">
    <w:name w:val="Table Grid"/>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rPr>
  </w:style>
  <w:style w:type="character" w:styleId="42">
    <w:name w:val="Hyperlink"/>
    <w:qFormat/>
    <w:uiPriority w:val="99"/>
    <w:rPr>
      <w:rFonts w:cs="Times New Roman"/>
      <w:color w:val="auto"/>
      <w:u w:val="none"/>
      <w:lang w:bidi="ar-SA"/>
    </w:rPr>
  </w:style>
  <w:style w:type="character" w:styleId="43">
    <w:name w:val="annotation reference"/>
    <w:qFormat/>
    <w:uiPriority w:val="0"/>
    <w:rPr>
      <w:sz w:val="21"/>
      <w:szCs w:val="21"/>
    </w:rPr>
  </w:style>
  <w:style w:type="paragraph" w:customStyle="1" w:styleId="44">
    <w:name w:val="图表标题"/>
    <w:basedOn w:val="45"/>
    <w:next w:val="1"/>
    <w:link w:val="47"/>
    <w:qFormat/>
    <w:uiPriority w:val="0"/>
    <w:pPr>
      <w:spacing w:before="0" w:after="0" w:line="360" w:lineRule="auto"/>
      <w:ind w:firstLine="0" w:firstLineChars="0"/>
      <w:jc w:val="center"/>
    </w:pPr>
    <w:rPr>
      <w:rFonts w:ascii="Times New Roman" w:hAnsi="Times New Roman" w:eastAsia="宋体" w:cs="Times New Roman"/>
      <w:b/>
      <w:kern w:val="2"/>
      <w:sz w:val="21"/>
    </w:rPr>
  </w:style>
  <w:style w:type="paragraph" w:customStyle="1" w:styleId="45">
    <w:name w:val="表内文字"/>
    <w:basedOn w:val="46"/>
    <w:next w:val="1"/>
    <w:qFormat/>
    <w:uiPriority w:val="99"/>
    <w:pPr>
      <w:wordWrap w:val="0"/>
      <w:adjustRightInd w:val="0"/>
      <w:snapToGrid w:val="0"/>
      <w:jc w:val="center"/>
    </w:pPr>
    <w:rPr>
      <w:sz w:val="21"/>
      <w:szCs w:val="21"/>
      <w:lang w:val="en-US" w:eastAsia="zh-CN" w:bidi="ar-SA"/>
    </w:rPr>
  </w:style>
  <w:style w:type="paragraph" w:customStyle="1" w:styleId="46">
    <w:name w:val="表头"/>
    <w:basedOn w:val="37"/>
    <w:next w:val="1"/>
    <w:link w:val="113"/>
    <w:qFormat/>
    <w:uiPriority w:val="0"/>
    <w:pPr>
      <w:spacing w:before="60" w:after="60"/>
      <w:jc w:val="center"/>
      <w:textAlignment w:val="baseline"/>
    </w:pPr>
    <w:rPr>
      <w:rFonts w:eastAsia="黑体"/>
      <w:kern w:val="0"/>
    </w:rPr>
  </w:style>
  <w:style w:type="character" w:customStyle="1" w:styleId="47">
    <w:name w:val="图表标题 字符"/>
    <w:link w:val="44"/>
    <w:qFormat/>
    <w:uiPriority w:val="0"/>
    <w:rPr>
      <w:rFonts w:ascii="Times New Roman" w:hAnsi="Times New Roman" w:eastAsia="宋体"/>
      <w:b/>
      <w:kern w:val="2"/>
      <w:sz w:val="21"/>
      <w:szCs w:val="24"/>
    </w:rPr>
  </w:style>
  <w:style w:type="paragraph" w:customStyle="1" w:styleId="48">
    <w:name w:val="表格文字"/>
    <w:basedOn w:val="37"/>
    <w:qFormat/>
    <w:uiPriority w:val="0"/>
    <w:pPr>
      <w:spacing w:line="240" w:lineRule="auto"/>
      <w:ind w:firstLine="0"/>
      <w:jc w:val="center"/>
    </w:pPr>
    <w:rPr>
      <w:rFonts w:cs="宋体"/>
      <w:kern w:val="0"/>
      <w:sz w:val="21"/>
    </w:rPr>
  </w:style>
  <w:style w:type="paragraph" w:customStyle="1" w:styleId="49">
    <w:name w:val="Default"/>
    <w:basedOn w:val="50"/>
    <w:next w:val="1"/>
    <w:qFormat/>
    <w:uiPriority w:val="0"/>
    <w:pPr>
      <w:widowControl w:val="0"/>
      <w:autoSpaceDE w:val="0"/>
      <w:autoSpaceDN w:val="0"/>
      <w:adjustRightInd w:val="0"/>
    </w:pPr>
    <w:rPr>
      <w:rFonts w:ascii="宋体" w:hAnsi="宋体" w:eastAsia="宋体" w:cs="宋体"/>
      <w:sz w:val="24"/>
      <w:lang w:val="en-US" w:eastAsia="zh-CN" w:bidi="ar-SA"/>
    </w:rPr>
  </w:style>
  <w:style w:type="paragraph" w:customStyle="1" w:styleId="50">
    <w:name w:val="纯文本1"/>
    <w:basedOn w:val="1"/>
    <w:qFormat/>
    <w:uiPriority w:val="0"/>
    <w:rPr>
      <w:rFonts w:ascii="宋体" w:hAnsi="Courier New"/>
      <w:kern w:val="0"/>
      <w:sz w:val="20"/>
      <w:szCs w:val="20"/>
    </w:rPr>
  </w:style>
  <w:style w:type="paragraph" w:customStyle="1" w:styleId="51">
    <w:name w:val="样式35"/>
    <w:basedOn w:val="1"/>
    <w:next w:val="52"/>
    <w:qFormat/>
    <w:uiPriority w:val="0"/>
    <w:pPr>
      <w:adjustRightInd w:val="0"/>
      <w:spacing w:line="312" w:lineRule="auto"/>
      <w:ind w:firstLine="567"/>
    </w:pPr>
    <w:rPr>
      <w:rFonts w:ascii="宋体"/>
      <w:kern w:val="0"/>
      <w:sz w:val="28"/>
      <w:szCs w:val="20"/>
    </w:rPr>
  </w:style>
  <w:style w:type="paragraph" w:customStyle="1" w:styleId="52">
    <w:name w:val="font6"/>
    <w:next w:val="2"/>
    <w:qFormat/>
    <w:uiPriority w:val="0"/>
    <w:pPr>
      <w:spacing w:before="280" w:after="280"/>
      <w:jc w:val="both"/>
    </w:pPr>
    <w:rPr>
      <w:rFonts w:ascii="Times New Roman" w:hAnsi="Times New Roman" w:eastAsia="宋体" w:cs="Times New Roman"/>
      <w:kern w:val="2"/>
      <w:sz w:val="21"/>
      <w:szCs w:val="22"/>
      <w:lang w:val="en-US" w:eastAsia="zh-CN" w:bidi="ar-SA"/>
    </w:rPr>
  </w:style>
  <w:style w:type="paragraph" w:customStyle="1" w:styleId="53">
    <w:name w:val="样式 (符号) 宋体 小四 行距: 1.5 倍行距"/>
    <w:basedOn w:val="1"/>
    <w:qFormat/>
    <w:uiPriority w:val="0"/>
    <w:pPr>
      <w:ind w:firstLine="480"/>
    </w:pPr>
    <w:rPr>
      <w:rFonts w:hAnsi="宋体"/>
      <w:kern w:val="0"/>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55">
    <w:name w:val="标题 1 字符"/>
    <w:link w:val="3"/>
    <w:qFormat/>
    <w:uiPriority w:val="3"/>
    <w:rPr>
      <w:b/>
      <w:kern w:val="44"/>
      <w:sz w:val="30"/>
      <w:szCs w:val="24"/>
    </w:rPr>
  </w:style>
  <w:style w:type="character" w:customStyle="1" w:styleId="56">
    <w:name w:val="标题 2 字符"/>
    <w:link w:val="4"/>
    <w:qFormat/>
    <w:uiPriority w:val="2"/>
    <w:rPr>
      <w:rFonts w:ascii="Times New Roman" w:hAnsi="Times New Roman" w:eastAsia="宋体"/>
      <w:b/>
      <w:bCs/>
      <w:kern w:val="2"/>
      <w:sz w:val="28"/>
      <w:szCs w:val="32"/>
    </w:rPr>
  </w:style>
  <w:style w:type="character" w:customStyle="1" w:styleId="57">
    <w:name w:val="标题 5 字符"/>
    <w:link w:val="7"/>
    <w:semiHidden/>
    <w:qFormat/>
    <w:uiPriority w:val="0"/>
    <w:rPr>
      <w:b/>
      <w:bCs/>
      <w:kern w:val="2"/>
      <w:sz w:val="28"/>
      <w:szCs w:val="28"/>
    </w:rPr>
  </w:style>
  <w:style w:type="character" w:customStyle="1" w:styleId="58">
    <w:name w:val="题注 字符"/>
    <w:link w:val="11"/>
    <w:qFormat/>
    <w:uiPriority w:val="0"/>
    <w:rPr>
      <w:b/>
      <w:bCs/>
      <w:color w:val="4F81BD"/>
      <w:sz w:val="18"/>
      <w:szCs w:val="18"/>
      <w:lang w:eastAsia="en-US" w:bidi="en-US"/>
    </w:rPr>
  </w:style>
  <w:style w:type="character" w:customStyle="1" w:styleId="59">
    <w:name w:val="批注文字 字符"/>
    <w:link w:val="12"/>
    <w:qFormat/>
    <w:uiPriority w:val="0"/>
    <w:rPr>
      <w:kern w:val="2"/>
      <w:sz w:val="24"/>
      <w:szCs w:val="24"/>
    </w:rPr>
  </w:style>
  <w:style w:type="character" w:customStyle="1" w:styleId="60">
    <w:name w:val="正文文本 字符"/>
    <w:link w:val="13"/>
    <w:qFormat/>
    <w:uiPriority w:val="0"/>
    <w:rPr>
      <w:kern w:val="2"/>
      <w:sz w:val="24"/>
      <w:szCs w:val="24"/>
    </w:rPr>
  </w:style>
  <w:style w:type="character" w:customStyle="1" w:styleId="61">
    <w:name w:val="正文文本缩进 字符"/>
    <w:link w:val="15"/>
    <w:qFormat/>
    <w:uiPriority w:val="99"/>
    <w:rPr>
      <w:kern w:val="2"/>
      <w:sz w:val="24"/>
      <w:szCs w:val="24"/>
    </w:rPr>
  </w:style>
  <w:style w:type="character" w:customStyle="1" w:styleId="62">
    <w:name w:val="批注框文本 字符"/>
    <w:link w:val="26"/>
    <w:qFormat/>
    <w:uiPriority w:val="0"/>
    <w:rPr>
      <w:kern w:val="2"/>
      <w:sz w:val="18"/>
      <w:szCs w:val="18"/>
    </w:rPr>
  </w:style>
  <w:style w:type="character" w:customStyle="1" w:styleId="63">
    <w:name w:val="页脚 字符"/>
    <w:link w:val="27"/>
    <w:qFormat/>
    <w:uiPriority w:val="99"/>
    <w:rPr>
      <w:kern w:val="2"/>
      <w:sz w:val="18"/>
      <w:szCs w:val="24"/>
    </w:rPr>
  </w:style>
  <w:style w:type="character" w:customStyle="1" w:styleId="64">
    <w:name w:val="页眉 字符"/>
    <w:link w:val="28"/>
    <w:qFormat/>
    <w:uiPriority w:val="99"/>
    <w:rPr>
      <w:rFonts w:ascii="Calibri" w:hAnsi="Calibri"/>
      <w:kern w:val="2"/>
      <w:sz w:val="18"/>
      <w:szCs w:val="18"/>
    </w:rPr>
  </w:style>
  <w:style w:type="character" w:customStyle="1" w:styleId="65">
    <w:name w:val="目录 1 字符"/>
    <w:link w:val="29"/>
    <w:qFormat/>
    <w:uiPriority w:val="39"/>
    <w:rPr>
      <w:rFonts w:ascii="Times New Roman" w:hAnsi="Times New Roman" w:eastAsia="宋体" w:cs="Calibri"/>
      <w:b/>
      <w:bCs/>
      <w:caps/>
      <w:kern w:val="2"/>
      <w:sz w:val="28"/>
    </w:rPr>
  </w:style>
  <w:style w:type="character" w:customStyle="1" w:styleId="66">
    <w:name w:val="正文文本缩进 3 字符"/>
    <w:link w:val="32"/>
    <w:qFormat/>
    <w:uiPriority w:val="0"/>
    <w:rPr>
      <w:kern w:val="2"/>
      <w:sz w:val="16"/>
      <w:szCs w:val="16"/>
    </w:rPr>
  </w:style>
  <w:style w:type="character" w:customStyle="1" w:styleId="67">
    <w:name w:val="普通(网站) 字符"/>
    <w:link w:val="34"/>
    <w:qFormat/>
    <w:uiPriority w:val="0"/>
    <w:rPr>
      <w:rFonts w:ascii="宋体" w:hAnsi="宋体" w:cs="宋体"/>
      <w:sz w:val="24"/>
      <w:szCs w:val="24"/>
    </w:rPr>
  </w:style>
  <w:style w:type="character" w:customStyle="1" w:styleId="68">
    <w:name w:val="标题 字符"/>
    <w:link w:val="35"/>
    <w:qFormat/>
    <w:uiPriority w:val="10"/>
    <w:rPr>
      <w:rFonts w:ascii="Cambria" w:hAnsi="Cambria"/>
      <w:b/>
      <w:bCs/>
      <w:kern w:val="2"/>
      <w:sz w:val="32"/>
      <w:szCs w:val="32"/>
    </w:rPr>
  </w:style>
  <w:style w:type="character" w:customStyle="1" w:styleId="69">
    <w:name w:val="批注主题 字符"/>
    <w:link w:val="36"/>
    <w:qFormat/>
    <w:uiPriority w:val="0"/>
    <w:rPr>
      <w:b/>
      <w:bCs/>
      <w:kern w:val="2"/>
      <w:sz w:val="24"/>
      <w:szCs w:val="24"/>
    </w:rPr>
  </w:style>
  <w:style w:type="character" w:customStyle="1" w:styleId="70">
    <w:name w:val="正文首行缩进 字符"/>
    <w:link w:val="37"/>
    <w:qFormat/>
    <w:uiPriority w:val="0"/>
    <w:rPr>
      <w:kern w:val="2"/>
      <w:sz w:val="28"/>
      <w:szCs w:val="24"/>
    </w:rPr>
  </w:style>
  <w:style w:type="character" w:customStyle="1" w:styleId="71">
    <w:name w:val="正文首行缩进 2 字符"/>
    <w:link w:val="25"/>
    <w:qFormat/>
    <w:uiPriority w:val="0"/>
  </w:style>
  <w:style w:type="paragraph" w:customStyle="1" w:styleId="72">
    <w:name w:val="Default1"/>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3">
    <w:name w:val="表内格式"/>
    <w:basedOn w:val="1"/>
    <w:qFormat/>
    <w:uiPriority w:val="0"/>
    <w:pPr>
      <w:jc w:val="center"/>
    </w:pPr>
    <w:rPr>
      <w:sz w:val="18"/>
      <w:szCs w:val="20"/>
    </w:rPr>
  </w:style>
  <w:style w:type="paragraph" w:customStyle="1" w:styleId="74">
    <w:name w:val="表格标题"/>
    <w:basedOn w:val="75"/>
    <w:next w:val="1"/>
    <w:link w:val="80"/>
    <w:qFormat/>
    <w:uiPriority w:val="0"/>
    <w:pPr>
      <w:spacing w:line="360" w:lineRule="auto"/>
      <w:jc w:val="center"/>
    </w:pPr>
    <w:rPr>
      <w:rFonts w:ascii="Times New Roman" w:hAnsi="Times New Roman" w:eastAsia="宋体" w:cs="Times New Roman"/>
      <w:b/>
      <w:bCs/>
      <w:kern w:val="2"/>
      <w:sz w:val="21"/>
      <w:szCs w:val="21"/>
      <w:lang w:val="en-US" w:eastAsia="zh-CN" w:bidi="ar-SA"/>
    </w:rPr>
  </w:style>
  <w:style w:type="paragraph" w:styleId="75">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76">
    <w:name w:val="表格内容"/>
    <w:basedOn w:val="77"/>
    <w:qFormat/>
    <w:uiPriority w:val="0"/>
    <w:pPr>
      <w:tabs>
        <w:tab w:val="left" w:pos="940"/>
      </w:tabs>
      <w:jc w:val="center"/>
    </w:pPr>
    <w:rPr>
      <w:rFonts w:ascii="Times New Roman" w:hAnsi="Times New Roman" w:eastAsia="宋体" w:cs="Times New Roman"/>
      <w:sz w:val="21"/>
      <w:lang w:val="en-US" w:eastAsia="zh-CN" w:bidi="ar-SA"/>
    </w:rPr>
  </w:style>
  <w:style w:type="paragraph" w:customStyle="1" w:styleId="77">
    <w:name w:val="表格"/>
    <w:basedOn w:val="78"/>
    <w:link w:val="139"/>
    <w:qFormat/>
    <w:uiPriority w:val="0"/>
    <w:pPr>
      <w:tabs>
        <w:tab w:val="left" w:pos="940"/>
      </w:tabs>
      <w:snapToGrid w:val="0"/>
      <w:spacing w:line="240" w:lineRule="auto"/>
      <w:ind w:firstLine="0" w:firstLineChars="0"/>
      <w:jc w:val="center"/>
    </w:pPr>
    <w:rPr>
      <w:szCs w:val="20"/>
    </w:rPr>
  </w:style>
  <w:style w:type="paragraph" w:customStyle="1" w:styleId="78">
    <w:name w:val="表题"/>
    <w:basedOn w:val="1"/>
    <w:link w:val="193"/>
    <w:qFormat/>
    <w:uiPriority w:val="0"/>
    <w:pPr>
      <w:tabs>
        <w:tab w:val="left" w:pos="940"/>
      </w:tabs>
      <w:snapToGrid w:val="0"/>
      <w:spacing w:line="240" w:lineRule="auto"/>
      <w:jc w:val="center"/>
    </w:pPr>
    <w:rPr>
      <w:rFonts w:eastAsia="黑体"/>
      <w:sz w:val="21"/>
      <w:szCs w:val="20"/>
    </w:rPr>
  </w:style>
  <w:style w:type="paragraph" w:customStyle="1" w:styleId="79">
    <w:name w:val="表 图 内容"/>
    <w:qFormat/>
    <w:uiPriority w:val="0"/>
    <w:pPr>
      <w:jc w:val="center"/>
    </w:pPr>
    <w:rPr>
      <w:rFonts w:ascii="Times New Roman" w:hAnsi="Times New Roman" w:eastAsia="宋体" w:cs="Times New Roman"/>
      <w:color w:val="000000"/>
      <w:kern w:val="2"/>
      <w:sz w:val="21"/>
      <w:szCs w:val="24"/>
      <w:lang w:val="en-US" w:eastAsia="zh-CN" w:bidi="ar-SA"/>
    </w:rPr>
  </w:style>
  <w:style w:type="character" w:customStyle="1" w:styleId="80">
    <w:name w:val="表格标题 Char"/>
    <w:link w:val="74"/>
    <w:qFormat/>
    <w:uiPriority w:val="0"/>
    <w:rPr>
      <w:b/>
      <w:bCs/>
      <w:kern w:val="2"/>
      <w:sz w:val="21"/>
      <w:szCs w:val="21"/>
    </w:rPr>
  </w:style>
  <w:style w:type="paragraph" w:customStyle="1" w:styleId="81">
    <w:name w:val="第一章表格格式"/>
    <w:basedOn w:val="1"/>
    <w:link w:val="82"/>
    <w:qFormat/>
    <w:uiPriority w:val="0"/>
    <w:pPr>
      <w:ind w:firstLine="0" w:firstLineChars="0"/>
      <w:jc w:val="center"/>
    </w:pPr>
  </w:style>
  <w:style w:type="character" w:customStyle="1" w:styleId="82">
    <w:name w:val="第一章表格格式 Char"/>
    <w:link w:val="81"/>
    <w:qFormat/>
    <w:uiPriority w:val="0"/>
    <w:rPr>
      <w:kern w:val="2"/>
      <w:sz w:val="24"/>
      <w:szCs w:val="24"/>
    </w:rPr>
  </w:style>
  <w:style w:type="table" w:customStyle="1" w:styleId="83">
    <w:name w:val="Table Normal"/>
    <w:unhideWhenUsed/>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84">
    <w:name w:val="Table Paragraph"/>
    <w:basedOn w:val="1"/>
    <w:qFormat/>
    <w:uiPriority w:val="1"/>
    <w:pPr>
      <w:autoSpaceDE w:val="0"/>
      <w:autoSpaceDN w:val="0"/>
      <w:spacing w:line="240" w:lineRule="auto"/>
      <w:ind w:firstLine="0" w:firstLineChars="0"/>
      <w:jc w:val="center"/>
    </w:pPr>
    <w:rPr>
      <w:rFonts w:ascii="宋体" w:hAnsi="宋体" w:cs="宋体"/>
      <w:kern w:val="0"/>
      <w:sz w:val="22"/>
      <w:szCs w:val="22"/>
    </w:rPr>
  </w:style>
  <w:style w:type="character" w:customStyle="1" w:styleId="85">
    <w:name w:val="column_name"/>
    <w:qFormat/>
    <w:uiPriority w:val="0"/>
    <w:rPr>
      <w:sz w:val="30"/>
      <w:szCs w:val="30"/>
    </w:rPr>
  </w:style>
  <w:style w:type="paragraph" w:customStyle="1" w:styleId="86">
    <w:name w:val="正文样式1"/>
    <w:basedOn w:val="1"/>
    <w:qFormat/>
    <w:uiPriority w:val="0"/>
    <w:pPr>
      <w:widowControl/>
      <w:adjustRightInd w:val="0"/>
      <w:spacing w:line="288" w:lineRule="auto"/>
      <w:ind w:firstLine="360" w:firstLineChars="150"/>
      <w:jc w:val="left"/>
      <w:textAlignment w:val="baseline"/>
    </w:pPr>
    <w:rPr>
      <w:sz w:val="21"/>
      <w:szCs w:val="20"/>
    </w:rPr>
  </w:style>
  <w:style w:type="paragraph" w:customStyle="1" w:styleId="87">
    <w:name w:val="引用1"/>
    <w:basedOn w:val="1"/>
    <w:next w:val="1"/>
    <w:link w:val="88"/>
    <w:qFormat/>
    <w:uiPriority w:val="0"/>
    <w:pPr>
      <w:widowControl/>
      <w:snapToGrid w:val="0"/>
      <w:contextualSpacing/>
      <w:jc w:val="center"/>
    </w:pPr>
    <w:rPr>
      <w:b/>
      <w:iCs/>
      <w:color w:val="000000"/>
      <w:kern w:val="0"/>
      <w:sz w:val="21"/>
      <w:szCs w:val="22"/>
      <w:lang w:eastAsia="en-US" w:bidi="en-US"/>
    </w:rPr>
  </w:style>
  <w:style w:type="character" w:customStyle="1" w:styleId="88">
    <w:name w:val="引用 Char"/>
    <w:link w:val="87"/>
    <w:qFormat/>
    <w:uiPriority w:val="0"/>
    <w:rPr>
      <w:b/>
      <w:iCs/>
      <w:color w:val="000000"/>
      <w:sz w:val="21"/>
      <w:szCs w:val="22"/>
      <w:lang w:eastAsia="en-US" w:bidi="en-US"/>
    </w:rPr>
  </w:style>
  <w:style w:type="paragraph" w:customStyle="1" w:styleId="89">
    <w:name w:val="报告正文"/>
    <w:basedOn w:val="1"/>
    <w:link w:val="90"/>
    <w:qFormat/>
    <w:uiPriority w:val="0"/>
    <w:pPr>
      <w:adjustRightInd w:val="0"/>
      <w:snapToGrid w:val="0"/>
    </w:pPr>
    <w:rPr>
      <w:rFonts w:ascii="宋体" w:hAnsi="Calibri"/>
      <w:szCs w:val="20"/>
    </w:rPr>
  </w:style>
  <w:style w:type="character" w:customStyle="1" w:styleId="90">
    <w:name w:val="报告正文 Char Char"/>
    <w:link w:val="89"/>
    <w:qFormat/>
    <w:uiPriority w:val="0"/>
    <w:rPr>
      <w:rFonts w:ascii="宋体" w:hAnsi="Calibri"/>
      <w:kern w:val="2"/>
      <w:sz w:val="24"/>
    </w:rPr>
  </w:style>
  <w:style w:type="character" w:customStyle="1" w:styleId="91">
    <w:name w:val="明显引用 字符"/>
    <w:link w:val="92"/>
    <w:qFormat/>
    <w:uiPriority w:val="0"/>
    <w:rPr>
      <w:bCs/>
      <w:iCs/>
      <w:sz w:val="21"/>
      <w:szCs w:val="22"/>
      <w:lang w:eastAsia="en-US" w:bidi="en-US"/>
    </w:rPr>
  </w:style>
  <w:style w:type="paragraph" w:styleId="92">
    <w:name w:val="Intense Quote"/>
    <w:basedOn w:val="1"/>
    <w:next w:val="1"/>
    <w:link w:val="91"/>
    <w:qFormat/>
    <w:uiPriority w:val="0"/>
    <w:pPr>
      <w:widowControl/>
      <w:snapToGrid w:val="0"/>
      <w:spacing w:line="240" w:lineRule="auto"/>
      <w:ind w:firstLine="0" w:firstLineChars="0"/>
      <w:contextualSpacing/>
      <w:jc w:val="center"/>
    </w:pPr>
    <w:rPr>
      <w:bCs/>
      <w:iCs/>
      <w:kern w:val="0"/>
      <w:sz w:val="21"/>
      <w:szCs w:val="22"/>
      <w:lang w:eastAsia="en-US" w:bidi="en-US"/>
    </w:rPr>
  </w:style>
  <w:style w:type="character" w:customStyle="1" w:styleId="93">
    <w:name w:val="明显引用 Char1"/>
    <w:qFormat/>
    <w:uiPriority w:val="99"/>
    <w:rPr>
      <w:i/>
      <w:iCs/>
      <w:color w:val="5B9BD5"/>
      <w:kern w:val="2"/>
      <w:sz w:val="24"/>
      <w:szCs w:val="24"/>
    </w:rPr>
  </w:style>
  <w:style w:type="paragraph" w:styleId="94">
    <w:name w:val="Quote"/>
    <w:basedOn w:val="1"/>
    <w:next w:val="1"/>
    <w:qFormat/>
    <w:uiPriority w:val="0"/>
    <w:pPr>
      <w:widowControl/>
      <w:snapToGrid w:val="0"/>
      <w:ind w:firstLine="0" w:firstLineChars="0"/>
      <w:contextualSpacing/>
      <w:jc w:val="center"/>
    </w:pPr>
    <w:rPr>
      <w:b/>
      <w:iCs/>
      <w:color w:val="000000"/>
      <w:kern w:val="0"/>
      <w:sz w:val="21"/>
      <w:szCs w:val="22"/>
      <w:lang w:eastAsia="en-US" w:bidi="en-US"/>
    </w:rPr>
  </w:style>
  <w:style w:type="character" w:customStyle="1" w:styleId="95">
    <w:name w:val="引用 Char1"/>
    <w:qFormat/>
    <w:uiPriority w:val="99"/>
    <w:rPr>
      <w:i/>
      <w:iCs/>
      <w:color w:val="404040"/>
      <w:kern w:val="2"/>
      <w:sz w:val="24"/>
      <w:szCs w:val="24"/>
    </w:rPr>
  </w:style>
  <w:style w:type="paragraph" w:customStyle="1" w:styleId="96">
    <w:name w:val="样式12"/>
    <w:basedOn w:val="1"/>
    <w:link w:val="97"/>
    <w:qFormat/>
    <w:uiPriority w:val="0"/>
    <w:pPr>
      <w:autoSpaceDE w:val="0"/>
      <w:autoSpaceDN w:val="0"/>
      <w:spacing w:line="320" w:lineRule="exact"/>
      <w:ind w:firstLine="0" w:firstLineChars="0"/>
      <w:jc w:val="center"/>
      <w:textAlignment w:val="bottom"/>
    </w:pPr>
    <w:rPr>
      <w:kern w:val="0"/>
      <w:sz w:val="21"/>
      <w:szCs w:val="21"/>
    </w:rPr>
  </w:style>
  <w:style w:type="character" w:customStyle="1" w:styleId="97">
    <w:name w:val="样式12 Char"/>
    <w:link w:val="96"/>
    <w:qFormat/>
    <w:uiPriority w:val="0"/>
    <w:rPr>
      <w:sz w:val="21"/>
      <w:szCs w:val="21"/>
    </w:rPr>
  </w:style>
  <w:style w:type="character" w:customStyle="1" w:styleId="98">
    <w:name w:val="（正文） Char Char"/>
    <w:link w:val="99"/>
    <w:qFormat/>
    <w:uiPriority w:val="0"/>
    <w:rPr>
      <w:kern w:val="2"/>
      <w:sz w:val="24"/>
    </w:rPr>
  </w:style>
  <w:style w:type="paragraph" w:customStyle="1" w:styleId="99">
    <w:name w:val="（正文）"/>
    <w:basedOn w:val="1"/>
    <w:link w:val="98"/>
    <w:qFormat/>
    <w:uiPriority w:val="0"/>
    <w:pPr>
      <w:spacing w:line="480" w:lineRule="exact"/>
    </w:pPr>
    <w:rPr>
      <w:szCs w:val="20"/>
    </w:rPr>
  </w:style>
  <w:style w:type="paragraph" w:customStyle="1" w:styleId="100">
    <w:name w:val="表头1"/>
    <w:basedOn w:val="1"/>
    <w:link w:val="101"/>
    <w:qFormat/>
    <w:uiPriority w:val="0"/>
    <w:pPr>
      <w:adjustRightInd w:val="0"/>
      <w:snapToGrid w:val="0"/>
      <w:ind w:firstLine="0" w:firstLineChars="0"/>
      <w:jc w:val="center"/>
    </w:pPr>
    <w:rPr>
      <w:b/>
      <w:sz w:val="21"/>
      <w:szCs w:val="22"/>
    </w:rPr>
  </w:style>
  <w:style w:type="character" w:customStyle="1" w:styleId="101">
    <w:name w:val="表头1 Char"/>
    <w:link w:val="100"/>
    <w:qFormat/>
    <w:uiPriority w:val="0"/>
    <w:rPr>
      <w:b/>
      <w:kern w:val="2"/>
      <w:sz w:val="21"/>
      <w:szCs w:val="22"/>
    </w:rPr>
  </w:style>
  <w:style w:type="paragraph" w:customStyle="1" w:styleId="102">
    <w:name w:val="明显引用1"/>
    <w:basedOn w:val="1"/>
    <w:next w:val="1"/>
    <w:qFormat/>
    <w:uiPriority w:val="0"/>
    <w:pPr>
      <w:widowControl/>
      <w:snapToGrid w:val="0"/>
      <w:spacing w:line="240" w:lineRule="auto"/>
      <w:ind w:firstLine="0" w:firstLineChars="0"/>
      <w:contextualSpacing/>
      <w:jc w:val="center"/>
    </w:pPr>
    <w:rPr>
      <w:bCs/>
      <w:iCs/>
      <w:kern w:val="0"/>
      <w:sz w:val="21"/>
      <w:szCs w:val="22"/>
      <w:lang w:eastAsia="en-US" w:bidi="en-US"/>
    </w:rPr>
  </w:style>
  <w:style w:type="paragraph" w:customStyle="1" w:styleId="103">
    <w:name w:val="ZW"/>
    <w:basedOn w:val="1"/>
    <w:qFormat/>
    <w:uiPriority w:val="0"/>
    <w:pPr>
      <w:keepNext/>
      <w:keepLines/>
      <w:ind w:firstLine="480"/>
    </w:pPr>
    <w:rPr>
      <w:rFonts w:cs="黑体"/>
    </w:rPr>
  </w:style>
  <w:style w:type="paragraph" w:styleId="104">
    <w:name w:val="List Paragraph"/>
    <w:basedOn w:val="1"/>
    <w:qFormat/>
    <w:uiPriority w:val="1"/>
    <w:pPr>
      <w:autoSpaceDE w:val="0"/>
      <w:autoSpaceDN w:val="0"/>
      <w:spacing w:line="240" w:lineRule="auto"/>
      <w:ind w:left="1290" w:hanging="314" w:firstLineChars="0"/>
      <w:jc w:val="left"/>
    </w:pPr>
    <w:rPr>
      <w:rFonts w:ascii="宋体" w:hAnsi="宋体" w:cs="宋体"/>
      <w:kern w:val="0"/>
      <w:sz w:val="22"/>
      <w:szCs w:val="22"/>
      <w:lang w:val="zh-CN" w:bidi="zh-CN"/>
    </w:rPr>
  </w:style>
  <w:style w:type="paragraph" w:customStyle="1" w:styleId="105">
    <w:name w:val="样式正文无级"/>
    <w:basedOn w:val="1"/>
    <w:link w:val="106"/>
    <w:qFormat/>
    <w:uiPriority w:val="0"/>
    <w:pPr>
      <w:ind w:firstLine="480"/>
      <w:contextualSpacing/>
    </w:pPr>
    <w:rPr>
      <w:kern w:val="0"/>
    </w:rPr>
  </w:style>
  <w:style w:type="character" w:customStyle="1" w:styleId="106">
    <w:name w:val="样式正文无级 Char"/>
    <w:link w:val="105"/>
    <w:qFormat/>
    <w:uiPriority w:val="0"/>
    <w:rPr>
      <w:sz w:val="24"/>
      <w:szCs w:val="24"/>
    </w:rPr>
  </w:style>
  <w:style w:type="paragraph" w:customStyle="1" w:styleId="107">
    <w:name w:val="表中文字"/>
    <w:basedOn w:val="1"/>
    <w:qFormat/>
    <w:uiPriority w:val="0"/>
    <w:pPr>
      <w:adjustRightInd w:val="0"/>
      <w:spacing w:line="240" w:lineRule="auto"/>
      <w:ind w:firstLine="0" w:firstLineChars="0"/>
      <w:jc w:val="center"/>
      <w:textAlignment w:val="baseline"/>
    </w:pPr>
    <w:rPr>
      <w:kern w:val="0"/>
      <w:sz w:val="21"/>
      <w:szCs w:val="20"/>
    </w:rPr>
  </w:style>
  <w:style w:type="paragraph" w:customStyle="1" w:styleId="108">
    <w:name w:val="表 文"/>
    <w:basedOn w:val="6"/>
    <w:next w:val="1"/>
    <w:qFormat/>
    <w:uiPriority w:val="0"/>
    <w:pPr>
      <w:keepNext w:val="0"/>
      <w:keepLines w:val="0"/>
      <w:widowControl/>
      <w:wordWrap w:val="0"/>
      <w:spacing w:line="240" w:lineRule="auto"/>
      <w:ind w:firstLine="0" w:firstLineChars="0"/>
      <w:jc w:val="center"/>
    </w:pPr>
    <w:rPr>
      <w:kern w:val="0"/>
      <w:sz w:val="21"/>
      <w:szCs w:val="28"/>
    </w:rPr>
  </w:style>
  <w:style w:type="paragraph" w:customStyle="1" w:styleId="109">
    <w:name w:val="表格正文1111"/>
    <w:basedOn w:val="1"/>
    <w:qFormat/>
    <w:uiPriority w:val="0"/>
    <w:pPr>
      <w:snapToGrid w:val="0"/>
      <w:spacing w:before="100" w:after="100" w:line="240" w:lineRule="auto"/>
      <w:ind w:firstLine="0" w:firstLineChars="0"/>
      <w:jc w:val="center"/>
    </w:pPr>
    <w:rPr>
      <w:sz w:val="21"/>
      <w:szCs w:val="22"/>
    </w:rPr>
  </w:style>
  <w:style w:type="character" w:customStyle="1" w:styleId="110">
    <w:name w:val="font21"/>
    <w:basedOn w:val="40"/>
    <w:qFormat/>
    <w:uiPriority w:val="0"/>
    <w:rPr>
      <w:rFonts w:hint="eastAsia" w:ascii="宋体" w:hAnsi="宋体" w:eastAsia="宋体" w:cs="宋体"/>
      <w:color w:val="000000"/>
      <w:sz w:val="22"/>
      <w:szCs w:val="22"/>
      <w:u w:val="none"/>
    </w:rPr>
  </w:style>
  <w:style w:type="character" w:customStyle="1" w:styleId="111">
    <w:name w:val="font01"/>
    <w:qFormat/>
    <w:uiPriority w:val="0"/>
    <w:rPr>
      <w:rFonts w:hint="eastAsia" w:ascii="宋体" w:hAnsi="宋体" w:eastAsia="宋体" w:cs="宋体"/>
      <w:color w:val="000000"/>
      <w:sz w:val="22"/>
      <w:szCs w:val="22"/>
      <w:u w:val="none"/>
      <w:vertAlign w:val="subscript"/>
    </w:rPr>
  </w:style>
  <w:style w:type="character" w:customStyle="1" w:styleId="112">
    <w:name w:val="font41"/>
    <w:qFormat/>
    <w:uiPriority w:val="0"/>
    <w:rPr>
      <w:rFonts w:hint="default" w:ascii="Times New Roman" w:hAnsi="Times New Roman" w:cs="Times New Roman"/>
      <w:color w:val="000000"/>
      <w:sz w:val="22"/>
      <w:szCs w:val="22"/>
      <w:u w:val="none"/>
    </w:rPr>
  </w:style>
  <w:style w:type="character" w:customStyle="1" w:styleId="113">
    <w:name w:val="表头 Char"/>
    <w:link w:val="46"/>
    <w:qFormat/>
    <w:uiPriority w:val="0"/>
    <w:rPr>
      <w:rFonts w:eastAsia="黑体"/>
      <w:sz w:val="28"/>
    </w:rPr>
  </w:style>
  <w:style w:type="character" w:customStyle="1" w:styleId="114">
    <w:name w:val="sheet Char"/>
    <w:link w:val="115"/>
    <w:qFormat/>
    <w:uiPriority w:val="0"/>
    <w:rPr>
      <w:sz w:val="21"/>
      <w:szCs w:val="24"/>
    </w:rPr>
  </w:style>
  <w:style w:type="paragraph" w:customStyle="1" w:styleId="115">
    <w:name w:val="sheet"/>
    <w:basedOn w:val="1"/>
    <w:link w:val="114"/>
    <w:qFormat/>
    <w:uiPriority w:val="0"/>
    <w:pPr>
      <w:suppressAutoHyphens/>
      <w:wordWrap w:val="0"/>
      <w:topLinePunct/>
      <w:spacing w:line="240" w:lineRule="auto"/>
      <w:ind w:firstLine="0" w:firstLineChars="0"/>
      <w:jc w:val="center"/>
    </w:pPr>
    <w:rPr>
      <w:kern w:val="0"/>
      <w:sz w:val="21"/>
    </w:rPr>
  </w:style>
  <w:style w:type="paragraph" w:customStyle="1" w:styleId="116">
    <w:name w:val="table caption"/>
    <w:next w:val="1"/>
    <w:qFormat/>
    <w:uiPriority w:val="0"/>
    <w:pPr>
      <w:spacing w:before="120" w:after="120"/>
      <w:jc w:val="center"/>
    </w:pPr>
    <w:rPr>
      <w:rFonts w:ascii="Times New Roman" w:hAnsi="Times New Roman" w:eastAsia="黑体" w:cs="Times New Roman"/>
      <w:b/>
      <w:kern w:val="2"/>
      <w:sz w:val="24"/>
      <w:szCs w:val="24"/>
      <w:lang w:val="en-US" w:eastAsia="zh-CN" w:bidi="ar-SA"/>
    </w:rPr>
  </w:style>
  <w:style w:type="character" w:customStyle="1" w:styleId="117">
    <w:name w:val="正文文本缩进 Char1"/>
    <w:qFormat/>
    <w:uiPriority w:val="0"/>
    <w:rPr>
      <w:kern w:val="2"/>
      <w:sz w:val="24"/>
      <w:szCs w:val="24"/>
    </w:rPr>
  </w:style>
  <w:style w:type="character" w:customStyle="1" w:styleId="118">
    <w:name w:val="图表标题 Char"/>
    <w:qFormat/>
    <w:uiPriority w:val="0"/>
    <w:rPr>
      <w:rFonts w:ascii="Times New Roman" w:hAnsi="Times New Roman" w:eastAsia="宋体"/>
      <w:b/>
      <w:kern w:val="2"/>
      <w:sz w:val="21"/>
      <w:szCs w:val="24"/>
      <w:lang w:val="en-US" w:eastAsia="zh-CN" w:bidi="ar-SA"/>
    </w:rPr>
  </w:style>
  <w:style w:type="paragraph" w:customStyle="1" w:styleId="119">
    <w:name w:val="表格文字 Z"/>
    <w:basedOn w:val="1"/>
    <w:link w:val="120"/>
    <w:qFormat/>
    <w:uiPriority w:val="0"/>
    <w:pPr>
      <w:widowControl/>
      <w:spacing w:line="240" w:lineRule="auto"/>
      <w:ind w:firstLine="0" w:firstLineChars="0"/>
      <w:jc w:val="center"/>
      <w:textAlignment w:val="center"/>
    </w:pPr>
    <w:rPr>
      <w:kern w:val="0"/>
      <w:sz w:val="21"/>
      <w:szCs w:val="20"/>
    </w:rPr>
  </w:style>
  <w:style w:type="character" w:customStyle="1" w:styleId="120">
    <w:name w:val="表格文字 Z 字符"/>
    <w:link w:val="119"/>
    <w:qFormat/>
    <w:uiPriority w:val="0"/>
    <w:rPr>
      <w:sz w:val="21"/>
    </w:rPr>
  </w:style>
  <w:style w:type="character" w:customStyle="1" w:styleId="121">
    <w:name w:val="样式正文 Char"/>
    <w:link w:val="122"/>
    <w:qFormat/>
    <w:uiPriority w:val="0"/>
    <w:rPr>
      <w:rFonts w:hAnsi="宋体"/>
      <w:bCs/>
      <w:kern w:val="2"/>
      <w:sz w:val="24"/>
      <w:szCs w:val="24"/>
    </w:rPr>
  </w:style>
  <w:style w:type="paragraph" w:customStyle="1" w:styleId="122">
    <w:name w:val="样式正文"/>
    <w:basedOn w:val="1"/>
    <w:link w:val="121"/>
    <w:qFormat/>
    <w:uiPriority w:val="0"/>
    <w:pPr>
      <w:adjustRightInd w:val="0"/>
      <w:snapToGrid w:val="0"/>
      <w:spacing w:line="460" w:lineRule="atLeast"/>
      <w:ind w:firstLine="480"/>
      <w:jc w:val="left"/>
    </w:pPr>
    <w:rPr>
      <w:rFonts w:hAnsi="宋体"/>
      <w:bCs/>
    </w:rPr>
  </w:style>
  <w:style w:type="character" w:customStyle="1" w:styleId="123">
    <w:name w:val="表+文 Char"/>
    <w:link w:val="124"/>
    <w:qFormat/>
    <w:uiPriority w:val="0"/>
    <w:rPr>
      <w:bCs/>
      <w:sz w:val="24"/>
      <w:szCs w:val="28"/>
    </w:rPr>
  </w:style>
  <w:style w:type="paragraph" w:customStyle="1" w:styleId="124">
    <w:name w:val="表+文"/>
    <w:basedOn w:val="6"/>
    <w:next w:val="1"/>
    <w:link w:val="123"/>
    <w:qFormat/>
    <w:uiPriority w:val="0"/>
    <w:pPr>
      <w:spacing w:before="50" w:beforeLines="50"/>
      <w:ind w:firstLine="1446"/>
      <w:jc w:val="left"/>
      <w:outlineLvl w:val="9"/>
    </w:pPr>
    <w:rPr>
      <w:kern w:val="0"/>
      <w:szCs w:val="28"/>
    </w:rPr>
  </w:style>
  <w:style w:type="character" w:customStyle="1" w:styleId="125">
    <w:name w:val="表格正文 Char"/>
    <w:link w:val="126"/>
    <w:qFormat/>
    <w:uiPriority w:val="0"/>
    <w:rPr>
      <w:color w:val="000000"/>
      <w:sz w:val="21"/>
      <w:szCs w:val="21"/>
    </w:rPr>
  </w:style>
  <w:style w:type="paragraph" w:customStyle="1" w:styleId="126">
    <w:name w:val="表格正文"/>
    <w:basedOn w:val="21"/>
    <w:next w:val="1"/>
    <w:link w:val="125"/>
    <w:qFormat/>
    <w:uiPriority w:val="0"/>
    <w:pPr>
      <w:tabs>
        <w:tab w:val="left" w:pos="2976"/>
      </w:tabs>
      <w:snapToGrid w:val="0"/>
      <w:spacing w:line="240" w:lineRule="auto"/>
      <w:ind w:firstLine="0" w:firstLineChars="0"/>
      <w:jc w:val="center"/>
    </w:pPr>
    <w:rPr>
      <w:color w:val="000000"/>
      <w:kern w:val="0"/>
      <w:sz w:val="21"/>
      <w:szCs w:val="21"/>
    </w:rPr>
  </w:style>
  <w:style w:type="paragraph" w:customStyle="1" w:styleId="127">
    <w:name w:val="表标题"/>
    <w:basedOn w:val="6"/>
    <w:qFormat/>
    <w:uiPriority w:val="0"/>
    <w:pPr>
      <w:tabs>
        <w:tab w:val="left" w:pos="2976"/>
      </w:tabs>
      <w:spacing w:before="0" w:after="0"/>
      <w:ind w:firstLine="0" w:firstLineChars="0"/>
      <w:jc w:val="center"/>
      <w:outlineLvl w:val="4"/>
    </w:pPr>
    <w:rPr>
      <w:b/>
      <w:sz w:val="21"/>
      <w:szCs w:val="20"/>
    </w:rPr>
  </w:style>
  <w:style w:type="paragraph" w:customStyle="1" w:styleId="128">
    <w:name w:val="样式式"/>
    <w:basedOn w:val="1"/>
    <w:qFormat/>
    <w:uiPriority w:val="0"/>
    <w:pPr>
      <w:spacing w:line="240" w:lineRule="auto"/>
      <w:ind w:firstLine="0" w:firstLineChars="0"/>
      <w:jc w:val="center"/>
    </w:pPr>
    <w:rPr>
      <w:sz w:val="21"/>
      <w:szCs w:val="21"/>
    </w:rPr>
  </w:style>
  <w:style w:type="character" w:customStyle="1" w:styleId="129">
    <w:name w:val="标题 Char"/>
    <w:qFormat/>
    <w:uiPriority w:val="0"/>
    <w:rPr>
      <w:rFonts w:ascii="Cambria" w:hAnsi="Cambria" w:cs="Times New Roman"/>
      <w:b/>
      <w:bCs/>
      <w:kern w:val="2"/>
      <w:sz w:val="32"/>
      <w:szCs w:val="32"/>
    </w:rPr>
  </w:style>
  <w:style w:type="paragraph" w:customStyle="1" w:styleId="130">
    <w:name w:val="mm表格内容"/>
    <w:basedOn w:val="1"/>
    <w:next w:val="1"/>
    <w:qFormat/>
    <w:uiPriority w:val="0"/>
    <w:pPr>
      <w:spacing w:line="240" w:lineRule="auto"/>
      <w:ind w:firstLine="0" w:firstLineChars="0"/>
      <w:jc w:val="center"/>
    </w:pPr>
    <w:rPr>
      <w:rFonts w:cs="宋体"/>
      <w:color w:val="000000"/>
      <w:sz w:val="21"/>
      <w:szCs w:val="21"/>
    </w:rPr>
  </w:style>
  <w:style w:type="paragraph" w:customStyle="1" w:styleId="131">
    <w:name w:val="报告书正文"/>
    <w:basedOn w:val="1"/>
    <w:qFormat/>
    <w:uiPriority w:val="0"/>
    <w:pPr>
      <w:widowControl/>
      <w:wordWrap w:val="0"/>
      <w:adjustRightInd w:val="0"/>
      <w:snapToGrid w:val="0"/>
      <w:ind w:firstLine="425" w:firstLineChars="0"/>
      <w:jc w:val="left"/>
      <w:textAlignment w:val="baseline"/>
    </w:pPr>
    <w:rPr>
      <w:kern w:val="0"/>
      <w:szCs w:val="21"/>
    </w:rPr>
  </w:style>
  <w:style w:type="character" w:customStyle="1" w:styleId="132">
    <w:name w:val="正文1 Char"/>
    <w:link w:val="133"/>
    <w:qFormat/>
    <w:uiPriority w:val="0"/>
    <w:rPr>
      <w:sz w:val="24"/>
    </w:rPr>
  </w:style>
  <w:style w:type="paragraph" w:customStyle="1" w:styleId="133">
    <w:name w:val="正文1"/>
    <w:basedOn w:val="1"/>
    <w:link w:val="132"/>
    <w:qFormat/>
    <w:uiPriority w:val="0"/>
    <w:pPr>
      <w:ind w:firstLine="723"/>
    </w:pPr>
    <w:rPr>
      <w:kern w:val="0"/>
      <w:szCs w:val="20"/>
    </w:rPr>
  </w:style>
  <w:style w:type="paragraph" w:customStyle="1" w:styleId="134">
    <w:name w:val="MM表格内容"/>
    <w:basedOn w:val="1"/>
    <w:qFormat/>
    <w:uiPriority w:val="0"/>
    <w:pPr>
      <w:keepNext/>
      <w:spacing w:line="360" w:lineRule="exact"/>
      <w:ind w:firstLine="0" w:firstLineChars="0"/>
      <w:jc w:val="center"/>
    </w:pPr>
    <w:rPr>
      <w:sz w:val="21"/>
      <w:szCs w:val="21"/>
    </w:rPr>
  </w:style>
  <w:style w:type="character" w:customStyle="1" w:styleId="135">
    <w:name w:val="表字体 Char"/>
    <w:link w:val="136"/>
    <w:qFormat/>
    <w:uiPriority w:val="0"/>
    <w:rPr>
      <w:sz w:val="21"/>
    </w:rPr>
  </w:style>
  <w:style w:type="paragraph" w:customStyle="1" w:styleId="136">
    <w:name w:val="表字体"/>
    <w:next w:val="1"/>
    <w:link w:val="135"/>
    <w:qFormat/>
    <w:uiPriority w:val="0"/>
    <w:pPr>
      <w:jc w:val="center"/>
    </w:pPr>
    <w:rPr>
      <w:rFonts w:ascii="Times New Roman" w:hAnsi="Times New Roman" w:eastAsia="宋体" w:cs="Times New Roman"/>
      <w:sz w:val="21"/>
      <w:lang w:val="en-US" w:eastAsia="zh-CN" w:bidi="ar-SA"/>
    </w:rPr>
  </w:style>
  <w:style w:type="paragraph" w:customStyle="1" w:styleId="137">
    <w:name w:val="目录标题"/>
    <w:basedOn w:val="29"/>
    <w:link w:val="138"/>
    <w:qFormat/>
    <w:uiPriority w:val="0"/>
    <w:pPr>
      <w:tabs>
        <w:tab w:val="right" w:leader="dot" w:pos="9736"/>
      </w:tabs>
      <w:ind w:firstLine="402"/>
    </w:pPr>
    <w:rPr>
      <w:rFonts w:ascii="Times New Roman" w:hAnsi="Times New Roman"/>
      <w:sz w:val="24"/>
    </w:rPr>
  </w:style>
  <w:style w:type="character" w:customStyle="1" w:styleId="138">
    <w:name w:val="目录标题 Char"/>
    <w:link w:val="137"/>
    <w:qFormat/>
    <w:uiPriority w:val="0"/>
    <w:rPr>
      <w:rFonts w:ascii="Calibri" w:hAnsi="Calibri" w:cs="Calibri"/>
      <w:b/>
      <w:bCs/>
      <w:caps/>
      <w:kern w:val="2"/>
      <w:sz w:val="24"/>
    </w:rPr>
  </w:style>
  <w:style w:type="character" w:customStyle="1" w:styleId="139">
    <w:name w:val="表格 Char"/>
    <w:link w:val="77"/>
    <w:qFormat/>
    <w:uiPriority w:val="0"/>
    <w:rPr>
      <w:kern w:val="2"/>
      <w:sz w:val="24"/>
    </w:rPr>
  </w:style>
  <w:style w:type="paragraph" w:customStyle="1" w:styleId="140">
    <w:name w:val="BG-表头"/>
    <w:basedOn w:val="1"/>
    <w:qFormat/>
    <w:uiPriority w:val="0"/>
    <w:pPr>
      <w:spacing w:line="240" w:lineRule="auto"/>
      <w:ind w:firstLine="0" w:firstLineChars="0"/>
      <w:jc w:val="center"/>
    </w:pPr>
    <w:rPr>
      <w:rFonts w:ascii="Calibri" w:hAnsi="Calibri" w:cs="黑体"/>
      <w:sz w:val="21"/>
      <w:szCs w:val="21"/>
    </w:rPr>
  </w:style>
  <w:style w:type="paragraph" w:customStyle="1" w:styleId="141">
    <w:name w:val="表文字"/>
    <w:basedOn w:val="1"/>
    <w:qFormat/>
    <w:uiPriority w:val="0"/>
    <w:pPr>
      <w:overflowPunct w:val="0"/>
      <w:autoSpaceDE w:val="0"/>
      <w:autoSpaceDN w:val="0"/>
      <w:adjustRightInd w:val="0"/>
      <w:spacing w:line="240" w:lineRule="auto"/>
      <w:ind w:firstLine="0" w:firstLineChars="0"/>
      <w:jc w:val="center"/>
      <w:textAlignment w:val="baseline"/>
    </w:pPr>
    <w:rPr>
      <w:kern w:val="0"/>
      <w:szCs w:val="20"/>
    </w:rPr>
  </w:style>
  <w:style w:type="paragraph" w:customStyle="1" w:styleId="142">
    <w:name w:val="Char11"/>
    <w:basedOn w:val="1"/>
    <w:qFormat/>
    <w:uiPriority w:val="0"/>
    <w:rPr>
      <w:kern w:val="0"/>
      <w:szCs w:val="20"/>
    </w:rPr>
  </w:style>
  <w:style w:type="character" w:customStyle="1" w:styleId="143">
    <w:name w:val="表格、图表名称 Char"/>
    <w:link w:val="144"/>
    <w:qFormat/>
    <w:uiPriority w:val="0"/>
    <w:rPr>
      <w:b/>
      <w:kern w:val="2"/>
      <w:sz w:val="24"/>
      <w:szCs w:val="22"/>
    </w:rPr>
  </w:style>
  <w:style w:type="paragraph" w:customStyle="1" w:styleId="144">
    <w:name w:val="表格、图表名称"/>
    <w:basedOn w:val="1"/>
    <w:link w:val="143"/>
    <w:qFormat/>
    <w:uiPriority w:val="0"/>
    <w:pPr>
      <w:spacing w:line="240" w:lineRule="auto"/>
      <w:ind w:firstLine="0" w:firstLineChars="0"/>
      <w:jc w:val="center"/>
    </w:pPr>
    <w:rPr>
      <w:b/>
      <w:szCs w:val="22"/>
    </w:rPr>
  </w:style>
  <w:style w:type="paragraph" w:customStyle="1" w:styleId="145">
    <w:name w:val="说明书正文"/>
    <w:basedOn w:val="1"/>
    <w:qFormat/>
    <w:uiPriority w:val="0"/>
    <w:pPr>
      <w:spacing w:line="480" w:lineRule="exact"/>
      <w:ind w:firstLine="600"/>
    </w:pPr>
    <w:rPr>
      <w:rFonts w:eastAsia="仿宋_GB2312"/>
      <w:color w:val="000000"/>
      <w:sz w:val="30"/>
    </w:rPr>
  </w:style>
  <w:style w:type="paragraph" w:customStyle="1" w:styleId="146">
    <w:name w:val="表格文字2"/>
    <w:basedOn w:val="48"/>
    <w:qFormat/>
    <w:uiPriority w:val="0"/>
    <w:pPr>
      <w:tabs>
        <w:tab w:val="left" w:pos="277"/>
        <w:tab w:val="left" w:pos="600"/>
        <w:tab w:val="left" w:pos="780"/>
        <w:tab w:val="left" w:pos="2517"/>
      </w:tabs>
      <w:snapToGrid w:val="0"/>
      <w:spacing w:before="60" w:after="160" w:line="259" w:lineRule="auto"/>
      <w:ind w:right="113"/>
      <w:textAlignment w:val="baseline"/>
    </w:pPr>
    <w:rPr>
      <w:rFonts w:ascii="宋体" w:hAnsi="宋体" w:cs="Times New Roman"/>
      <w:sz w:val="18"/>
      <w:szCs w:val="21"/>
    </w:rPr>
  </w:style>
  <w:style w:type="paragraph" w:customStyle="1" w:styleId="147">
    <w:name w:val="chart1"/>
    <w:basedOn w:val="1"/>
    <w:link w:val="148"/>
    <w:qFormat/>
    <w:uiPriority w:val="0"/>
    <w:pPr>
      <w:spacing w:line="240" w:lineRule="auto"/>
      <w:ind w:firstLine="0" w:firstLineChars="0"/>
      <w:jc w:val="center"/>
    </w:pPr>
    <w:rPr>
      <w:color w:val="000000"/>
      <w:sz w:val="21"/>
      <w:szCs w:val="22"/>
    </w:rPr>
  </w:style>
  <w:style w:type="character" w:customStyle="1" w:styleId="148">
    <w:name w:val="chart1 字符"/>
    <w:link w:val="147"/>
    <w:qFormat/>
    <w:uiPriority w:val="0"/>
    <w:rPr>
      <w:color w:val="000000"/>
      <w:kern w:val="2"/>
      <w:sz w:val="21"/>
      <w:szCs w:val="22"/>
    </w:rPr>
  </w:style>
  <w:style w:type="paragraph" w:customStyle="1" w:styleId="149">
    <w:name w:val="表正文"/>
    <w:basedOn w:val="1"/>
    <w:link w:val="150"/>
    <w:qFormat/>
    <w:uiPriority w:val="0"/>
    <w:pPr>
      <w:suppressAutoHyphens/>
      <w:topLinePunct/>
      <w:spacing w:line="240" w:lineRule="auto"/>
      <w:ind w:firstLine="0" w:firstLineChars="0"/>
      <w:jc w:val="center"/>
    </w:pPr>
    <w:rPr>
      <w:sz w:val="21"/>
    </w:rPr>
  </w:style>
  <w:style w:type="character" w:customStyle="1" w:styleId="150">
    <w:name w:val="表正文 字符"/>
    <w:link w:val="149"/>
    <w:qFormat/>
    <w:uiPriority w:val="0"/>
    <w:rPr>
      <w:kern w:val="2"/>
      <w:sz w:val="21"/>
      <w:szCs w:val="24"/>
    </w:rPr>
  </w:style>
  <w:style w:type="paragraph" w:customStyle="1" w:styleId="151">
    <w:name w:val="11正文"/>
    <w:basedOn w:val="1"/>
    <w:qFormat/>
    <w:uiPriority w:val="0"/>
    <w:pPr>
      <w:spacing w:line="500" w:lineRule="exact"/>
    </w:pPr>
  </w:style>
  <w:style w:type="paragraph" w:customStyle="1" w:styleId="152">
    <w:name w:val="表格正文1"/>
    <w:basedOn w:val="1"/>
    <w:next w:val="1"/>
    <w:qFormat/>
    <w:uiPriority w:val="0"/>
    <w:pPr>
      <w:keepNext/>
      <w:keepLines/>
      <w:widowControl/>
      <w:tabs>
        <w:tab w:val="left" w:pos="2976"/>
        <w:tab w:val="left" w:pos="8820"/>
        <w:tab w:val="left" w:pos="9000"/>
      </w:tabs>
      <w:adjustRightInd w:val="0"/>
      <w:snapToGrid w:val="0"/>
      <w:spacing w:line="240" w:lineRule="auto"/>
      <w:ind w:firstLine="0" w:firstLineChars="0"/>
      <w:jc w:val="center"/>
      <w:textAlignment w:val="baseline"/>
      <w:outlineLvl w:val="4"/>
    </w:pPr>
    <w:rPr>
      <w:color w:val="000000"/>
      <w:kern w:val="0"/>
      <w:sz w:val="21"/>
      <w:szCs w:val="20"/>
    </w:rPr>
  </w:style>
  <w:style w:type="character" w:customStyle="1" w:styleId="153">
    <w:name w:val="表的标题 Char"/>
    <w:link w:val="154"/>
    <w:qFormat/>
    <w:uiPriority w:val="0"/>
    <w:rPr>
      <w:rFonts w:hAnsi="Calibri"/>
      <w:b/>
      <w:kern w:val="2"/>
      <w:sz w:val="21"/>
      <w:szCs w:val="26"/>
    </w:rPr>
  </w:style>
  <w:style w:type="paragraph" w:customStyle="1" w:styleId="154">
    <w:name w:val="表的标题"/>
    <w:basedOn w:val="1"/>
    <w:link w:val="153"/>
    <w:qFormat/>
    <w:uiPriority w:val="0"/>
    <w:pPr>
      <w:spacing w:beforeLines="50" w:line="240" w:lineRule="auto"/>
      <w:ind w:firstLine="0" w:firstLineChars="0"/>
      <w:jc w:val="center"/>
    </w:pPr>
    <w:rPr>
      <w:rFonts w:hAnsi="Calibri"/>
      <w:b/>
      <w:sz w:val="21"/>
      <w:szCs w:val="26"/>
    </w:rPr>
  </w:style>
  <w:style w:type="paragraph" w:customStyle="1" w:styleId="155">
    <w:name w:val="表格 文字"/>
    <w:basedOn w:val="1"/>
    <w:qFormat/>
    <w:uiPriority w:val="0"/>
    <w:pPr>
      <w:spacing w:line="300" w:lineRule="exact"/>
      <w:ind w:firstLine="0" w:firstLineChars="0"/>
      <w:jc w:val="center"/>
      <w:textAlignment w:val="center"/>
    </w:pPr>
    <w:rPr>
      <w:iCs/>
      <w:sz w:val="21"/>
      <w:szCs w:val="21"/>
    </w:rPr>
  </w:style>
  <w:style w:type="paragraph" w:customStyle="1" w:styleId="156">
    <w:name w:val="2正文标题2"/>
    <w:unhideWhenUsed/>
    <w:qFormat/>
    <w:uiPriority w:val="2"/>
    <w:pPr>
      <w:spacing w:line="360" w:lineRule="auto"/>
      <w:ind w:firstLine="200" w:firstLineChars="200"/>
    </w:pPr>
    <w:rPr>
      <w:rFonts w:ascii="Times New Roman" w:hAnsi="Times New Roman" w:eastAsia="宋体" w:cs="Times New Roman"/>
      <w:b/>
      <w:kern w:val="2"/>
      <w:sz w:val="21"/>
      <w:szCs w:val="22"/>
      <w:lang w:val="en-US" w:eastAsia="zh-CN" w:bidi="ar-SA"/>
    </w:rPr>
  </w:style>
  <w:style w:type="paragraph" w:customStyle="1" w:styleId="157">
    <w:name w:val="表正文空2格"/>
    <w:basedOn w:val="149"/>
    <w:qFormat/>
    <w:uiPriority w:val="0"/>
    <w:pPr>
      <w:ind w:firstLine="200" w:firstLineChars="200"/>
      <w:jc w:val="left"/>
    </w:pPr>
  </w:style>
  <w:style w:type="paragraph" w:customStyle="1" w:styleId="158">
    <w:name w:val="单倍行距"/>
    <w:basedOn w:val="1"/>
    <w:qFormat/>
    <w:uiPriority w:val="0"/>
    <w:pPr>
      <w:spacing w:line="240" w:lineRule="auto"/>
      <w:ind w:firstLine="0" w:firstLineChars="0"/>
      <w:jc w:val="center"/>
    </w:pPr>
    <w:rPr>
      <w:b/>
      <w:sz w:val="21"/>
      <w:szCs w:val="22"/>
    </w:rPr>
  </w:style>
  <w:style w:type="paragraph" w:customStyle="1" w:styleId="159">
    <w:name w:val="样式 MM正文 + 首行缩进:  2 字符 行距: 固定值 26 磅"/>
    <w:basedOn w:val="1"/>
    <w:qFormat/>
    <w:uiPriority w:val="0"/>
    <w:pPr>
      <w:spacing w:line="520" w:lineRule="exact"/>
      <w:ind w:firstLine="480"/>
    </w:pPr>
    <w:rPr>
      <w:rFonts w:cs="宋体"/>
    </w:rPr>
  </w:style>
  <w:style w:type="paragraph" w:customStyle="1" w:styleId="160">
    <w:name w:val="正文修改"/>
    <w:basedOn w:val="1"/>
    <w:qFormat/>
    <w:uiPriority w:val="0"/>
    <w:pPr>
      <w:ind w:firstLine="480"/>
    </w:pPr>
    <w:rPr>
      <w:rFonts w:cs="宋体"/>
    </w:rPr>
  </w:style>
  <w:style w:type="paragraph" w:customStyle="1" w:styleId="161">
    <w:name w:val="卓龙正文"/>
    <w:basedOn w:val="1"/>
    <w:qFormat/>
    <w:uiPriority w:val="0"/>
    <w:pPr>
      <w:tabs>
        <w:tab w:val="left" w:pos="1021"/>
      </w:tabs>
    </w:pPr>
    <w:rPr>
      <w:kern w:val="0"/>
    </w:rPr>
  </w:style>
  <w:style w:type="paragraph" w:customStyle="1" w:styleId="162">
    <w:name w:val="Char"/>
    <w:basedOn w:val="1"/>
    <w:qFormat/>
    <w:uiPriority w:val="0"/>
    <w:pPr>
      <w:contextualSpacing/>
    </w:pPr>
  </w:style>
  <w:style w:type="paragraph" w:customStyle="1" w:styleId="163">
    <w:name w:val="中气表头"/>
    <w:basedOn w:val="1"/>
    <w:qFormat/>
    <w:uiPriority w:val="0"/>
    <w:pPr>
      <w:spacing w:before="50" w:beforeLines="50" w:line="240" w:lineRule="auto"/>
      <w:ind w:firstLine="0" w:firstLineChars="0"/>
      <w:jc w:val="center"/>
    </w:pPr>
    <w:rPr>
      <w:b/>
      <w:sz w:val="21"/>
      <w:szCs w:val="21"/>
    </w:rPr>
  </w:style>
  <w:style w:type="character" w:customStyle="1" w:styleId="164">
    <w:name w:val="font11"/>
    <w:basedOn w:val="40"/>
    <w:qFormat/>
    <w:uiPriority w:val="0"/>
    <w:rPr>
      <w:rFonts w:hint="default" w:ascii="Times New Roman" w:hAnsi="Times New Roman" w:cs="Times New Roman"/>
      <w:color w:val="000000"/>
      <w:sz w:val="18"/>
      <w:szCs w:val="18"/>
      <w:u w:val="none"/>
    </w:rPr>
  </w:style>
  <w:style w:type="paragraph" w:customStyle="1" w:styleId="165">
    <w:name w:val="Revision"/>
    <w:hidden/>
    <w:semiHidden/>
    <w:qFormat/>
    <w:uiPriority w:val="99"/>
    <w:rPr>
      <w:rFonts w:ascii="Times New Roman" w:hAnsi="Times New Roman" w:eastAsia="宋体" w:cs="Times New Roman"/>
      <w:kern w:val="2"/>
      <w:sz w:val="24"/>
      <w:szCs w:val="24"/>
      <w:lang w:val="en-US" w:eastAsia="zh-CN" w:bidi="ar-SA"/>
    </w:rPr>
  </w:style>
  <w:style w:type="paragraph" w:customStyle="1" w:styleId="166">
    <w:name w:val="图表格式"/>
    <w:basedOn w:val="1"/>
    <w:qFormat/>
    <w:uiPriority w:val="0"/>
    <w:pPr>
      <w:snapToGrid w:val="0"/>
      <w:spacing w:line="240" w:lineRule="auto"/>
      <w:ind w:firstLine="0" w:firstLineChars="0"/>
      <w:jc w:val="center"/>
    </w:pPr>
    <w:rPr>
      <w:bCs/>
      <w:sz w:val="21"/>
      <w:szCs w:val="22"/>
    </w:rPr>
  </w:style>
  <w:style w:type="paragraph" w:customStyle="1" w:styleId="167">
    <w:name w:val="1正文"/>
    <w:basedOn w:val="1"/>
    <w:qFormat/>
    <w:uiPriority w:val="0"/>
    <w:pPr>
      <w:ind w:firstLine="643" w:firstLineChars="200"/>
    </w:pPr>
    <w:rPr>
      <w:rFonts w:ascii="Times New Roman" w:hAnsi="Times New Roman" w:eastAsia="宋体"/>
    </w:rPr>
  </w:style>
  <w:style w:type="paragraph" w:customStyle="1" w:styleId="168">
    <w:name w:val="表中字"/>
    <w:qFormat/>
    <w:uiPriority w:val="0"/>
    <w:pPr>
      <w:wordWrap w:val="0"/>
      <w:jc w:val="center"/>
    </w:pPr>
    <w:rPr>
      <w:rFonts w:ascii="Times New Roman" w:hAnsi="Times New Roman" w:eastAsia="宋体" w:cs="Times New Roman"/>
      <w:kern w:val="2"/>
      <w:sz w:val="21"/>
      <w:szCs w:val="24"/>
      <w:lang w:val="en-US" w:eastAsia="zh-CN" w:bidi="ar-SA"/>
    </w:rPr>
  </w:style>
  <w:style w:type="character" w:customStyle="1" w:styleId="169">
    <w:name w:val="标题 7 字符"/>
    <w:link w:val="8"/>
    <w:qFormat/>
    <w:uiPriority w:val="9"/>
    <w:rPr>
      <w:rFonts w:ascii="Times New Roman" w:hAnsi="Times New Roman" w:eastAsia="宋体"/>
      <w:b/>
    </w:rPr>
  </w:style>
  <w:style w:type="paragraph" w:customStyle="1" w:styleId="170">
    <w:name w:val="正文(首行缩进)"/>
    <w:basedOn w:val="1"/>
    <w:qFormat/>
    <w:uiPriority w:val="0"/>
    <w:pPr>
      <w:spacing w:line="360" w:lineRule="auto"/>
      <w:ind w:firstLine="630" w:firstLineChars="225"/>
    </w:pPr>
    <w:rPr>
      <w:rFonts w:ascii="宋体" w:hAnsi="宋体"/>
      <w:snapToGrid w:val="0"/>
      <w:kern w:val="0"/>
      <w:szCs w:val="28"/>
    </w:rPr>
  </w:style>
  <w:style w:type="paragraph" w:customStyle="1" w:styleId="171">
    <w:name w:val="文本"/>
    <w:basedOn w:val="1"/>
    <w:qFormat/>
    <w:uiPriority w:val="0"/>
    <w:pPr>
      <w:ind w:firstLine="422"/>
      <w:jc w:val="both"/>
    </w:pPr>
    <w:rPr>
      <w:kern w:val="0"/>
      <w:szCs w:val="20"/>
    </w:rPr>
  </w:style>
  <w:style w:type="paragraph" w:customStyle="1" w:styleId="172">
    <w:name w:val="Table Text"/>
    <w:basedOn w:val="1"/>
    <w:semiHidden/>
    <w:qFormat/>
    <w:uiPriority w:val="0"/>
    <w:rPr>
      <w:rFonts w:ascii="宋体" w:hAnsi="宋体" w:eastAsia="宋体" w:cs="宋体"/>
      <w:sz w:val="21"/>
      <w:szCs w:val="21"/>
      <w:lang w:val="en-US" w:eastAsia="en-US" w:bidi="ar-SA"/>
    </w:rPr>
  </w:style>
  <w:style w:type="paragraph" w:customStyle="1" w:styleId="173">
    <w:name w:val="正文内容"/>
    <w:basedOn w:val="1"/>
    <w:qFormat/>
    <w:uiPriority w:val="0"/>
    <w:pPr>
      <w:spacing w:line="360" w:lineRule="auto"/>
      <w:ind w:firstLine="200" w:firstLineChars="200"/>
    </w:pPr>
    <w:rPr>
      <w:rFonts w:cs="宋体"/>
      <w:kern w:val="0"/>
      <w:sz w:val="24"/>
      <w:szCs w:val="20"/>
    </w:rPr>
  </w:style>
  <w:style w:type="paragraph" w:customStyle="1" w:styleId="174">
    <w:name w:val="标题3"/>
    <w:basedOn w:val="5"/>
    <w:qFormat/>
    <w:uiPriority w:val="0"/>
    <w:pPr>
      <w:keepNext/>
      <w:spacing w:line="240" w:lineRule="auto"/>
      <w:ind w:firstLine="3784" w:firstLineChars="1050"/>
    </w:pPr>
    <w:rPr>
      <w:rFonts w:eastAsia="仿宋_GB2312"/>
      <w:sz w:val="36"/>
      <w:szCs w:val="36"/>
    </w:rPr>
  </w:style>
  <w:style w:type="paragraph" w:customStyle="1" w:styleId="175">
    <w:name w:val="1正文段落"/>
    <w:basedOn w:val="1"/>
    <w:qFormat/>
    <w:uiPriority w:val="0"/>
    <w:pPr>
      <w:spacing w:line="360" w:lineRule="auto"/>
      <w:ind w:firstLine="480" w:firstLineChars="200"/>
      <w:jc w:val="left"/>
    </w:pPr>
    <w:rPr>
      <w:snapToGrid w:val="0"/>
      <w:kern w:val="0"/>
      <w:sz w:val="24"/>
      <w:szCs w:val="24"/>
    </w:rPr>
  </w:style>
  <w:style w:type="paragraph" w:customStyle="1" w:styleId="176">
    <w:name w:val="图表名"/>
    <w:basedOn w:val="177"/>
    <w:qFormat/>
    <w:uiPriority w:val="0"/>
    <w:pPr>
      <w:spacing w:line="360" w:lineRule="auto"/>
      <w:jc w:val="center"/>
    </w:pPr>
    <w:rPr>
      <w:rFonts w:ascii="Times New Roman" w:hAnsi="Times New Roman" w:eastAsia="宋体" w:cs="Times New Roman"/>
      <w:sz w:val="21"/>
    </w:rPr>
  </w:style>
  <w:style w:type="paragraph" w:customStyle="1" w:styleId="177">
    <w:name w:val="表图名称"/>
    <w:basedOn w:val="1"/>
    <w:qFormat/>
    <w:uiPriority w:val="0"/>
    <w:pPr>
      <w:spacing w:line="360" w:lineRule="auto"/>
      <w:jc w:val="center"/>
    </w:pPr>
    <w:rPr>
      <w:b/>
      <w:bCs/>
      <w:kern w:val="28"/>
      <w:sz w:val="24"/>
    </w:rPr>
  </w:style>
  <w:style w:type="character" w:customStyle="1" w:styleId="178">
    <w:name w:val="font31"/>
    <w:basedOn w:val="40"/>
    <w:qFormat/>
    <w:uiPriority w:val="0"/>
    <w:rPr>
      <w:rFonts w:hint="default" w:ascii="Times New Roman" w:hAnsi="Times New Roman" w:cs="Times New Roman"/>
      <w:color w:val="000000"/>
      <w:sz w:val="21"/>
      <w:szCs w:val="21"/>
      <w:u w:val="none"/>
      <w:vertAlign w:val="superscript"/>
    </w:rPr>
  </w:style>
  <w:style w:type="paragraph" w:customStyle="1" w:styleId="179">
    <w:name w:val="UserStyle_0"/>
    <w:basedOn w:val="1"/>
    <w:qFormat/>
    <w:uiPriority w:val="0"/>
    <w:pPr>
      <w:ind w:firstLine="420" w:firstLineChars="200"/>
      <w:jc w:val="both"/>
      <w:textAlignment w:val="baseline"/>
    </w:pPr>
    <w:rPr>
      <w:rFonts w:ascii="Calibri" w:hAnsi="Calibri" w:eastAsia="宋体" w:cs="Times New Roman"/>
    </w:rPr>
  </w:style>
  <w:style w:type="paragraph" w:customStyle="1" w:styleId="180">
    <w:name w:val="Body text|1"/>
    <w:basedOn w:val="1"/>
    <w:qFormat/>
    <w:uiPriority w:val="0"/>
    <w:pPr>
      <w:widowControl w:val="0"/>
      <w:shd w:val="clear" w:color="auto" w:fill="auto"/>
      <w:spacing w:after="180"/>
    </w:pPr>
    <w:rPr>
      <w:rFonts w:ascii="宋体" w:hAnsi="宋体" w:eastAsia="宋体" w:cs="宋体"/>
      <w:u w:val="none"/>
      <w:shd w:val="clear" w:color="auto" w:fill="auto"/>
      <w:lang w:val="zh-TW" w:eastAsia="zh-TW" w:bidi="zh-TW"/>
    </w:rPr>
  </w:style>
  <w:style w:type="paragraph" w:customStyle="1" w:styleId="181">
    <w:name w:val="正文 段落"/>
    <w:qFormat/>
    <w:uiPriority w:val="0"/>
    <w:pPr>
      <w:keepNext/>
      <w:keepLines/>
      <w:wordWrap w:val="0"/>
      <w:topLinePunct/>
      <w:spacing w:line="360" w:lineRule="auto"/>
      <w:ind w:firstLine="883" w:firstLineChars="200"/>
    </w:pPr>
    <w:rPr>
      <w:rFonts w:ascii="Times New Roman" w:hAnsi="Times New Roman" w:eastAsia="宋体" w:cs="Times New Roman"/>
      <w:sz w:val="24"/>
      <w:lang w:val="en-US" w:eastAsia="zh-CN" w:bidi="ar-SA"/>
    </w:rPr>
  </w:style>
  <w:style w:type="paragraph" w:customStyle="1" w:styleId="182">
    <w:name w:val="内容"/>
    <w:basedOn w:val="1"/>
    <w:qFormat/>
    <w:uiPriority w:val="0"/>
    <w:pPr>
      <w:spacing w:beforeLines="50" w:afterLines="50"/>
      <w:ind w:firstLine="200" w:firstLineChars="200"/>
    </w:pPr>
    <w:rPr>
      <w:color w:val="000000"/>
      <w:sz w:val="24"/>
    </w:rPr>
  </w:style>
  <w:style w:type="paragraph" w:customStyle="1" w:styleId="183">
    <w:name w:val="11111"/>
    <w:basedOn w:val="1"/>
    <w:next w:val="1"/>
    <w:qFormat/>
    <w:uiPriority w:val="0"/>
    <w:pPr>
      <w:spacing w:line="360" w:lineRule="auto"/>
      <w:ind w:firstLine="200" w:firstLineChars="200"/>
    </w:pPr>
    <w:rPr>
      <w:rFonts w:ascii="宋体" w:hAnsi="宋体" w:cs="宋体"/>
      <w:sz w:val="24"/>
    </w:rPr>
  </w:style>
  <w:style w:type="paragraph" w:customStyle="1" w:styleId="184">
    <w:name w:val="表格1"/>
    <w:basedOn w:val="1"/>
    <w:qFormat/>
    <w:uiPriority w:val="0"/>
    <w:pPr>
      <w:spacing w:line="240" w:lineRule="auto"/>
      <w:ind w:left="0" w:firstLine="0" w:firstLineChars="0"/>
      <w:jc w:val="center"/>
    </w:pPr>
    <w:rPr>
      <w:rFonts w:ascii="Times New Roman" w:hAnsi="Times New Roman" w:cs="Times New Roman"/>
      <w:bCs/>
      <w:spacing w:val="2"/>
      <w:sz w:val="21"/>
      <w:szCs w:val="27"/>
    </w:rPr>
  </w:style>
  <w:style w:type="paragraph" w:customStyle="1" w:styleId="185">
    <w:name w:val="表格文字   5号"/>
    <w:autoRedefine/>
    <w:qFormat/>
    <w:uiPriority w:val="0"/>
    <w:pPr>
      <w:jc w:val="center"/>
    </w:pPr>
    <w:rPr>
      <w:rFonts w:ascii="Times New Roman" w:hAnsi="Times New Roman" w:eastAsia="宋体" w:cs="Times New Roman"/>
      <w:color w:val="000000"/>
      <w:kern w:val="2"/>
      <w:sz w:val="21"/>
      <w:szCs w:val="24"/>
      <w:lang w:val="en-US" w:eastAsia="zh-CN" w:bidi="ar-SA"/>
    </w:rPr>
  </w:style>
  <w:style w:type="paragraph" w:customStyle="1" w:styleId="186">
    <w:name w:val="22222表格内正文"/>
    <w:basedOn w:val="1"/>
    <w:autoRedefine/>
    <w:qFormat/>
    <w:uiPriority w:val="0"/>
    <w:pPr>
      <w:jc w:val="center"/>
    </w:pPr>
    <w:rPr>
      <w:rFonts w:eastAsia="宋体"/>
      <w:sz w:val="21"/>
      <w:szCs w:val="21"/>
    </w:rPr>
  </w:style>
  <w:style w:type="paragraph" w:customStyle="1" w:styleId="187">
    <w:name w:val="222222222222222222222222222"/>
    <w:basedOn w:val="1"/>
    <w:autoRedefine/>
    <w:qFormat/>
    <w:uiPriority w:val="0"/>
    <w:pPr>
      <w:jc w:val="center"/>
    </w:pPr>
    <w:rPr>
      <w:rFonts w:eastAsia="宋体"/>
      <w:sz w:val="21"/>
      <w:szCs w:val="21"/>
    </w:rPr>
  </w:style>
  <w:style w:type="paragraph" w:customStyle="1" w:styleId="188">
    <w:name w:val="4正文"/>
    <w:basedOn w:val="1"/>
    <w:qFormat/>
    <w:uiPriority w:val="0"/>
    <w:pPr>
      <w:adjustRightInd w:val="0"/>
      <w:spacing w:beforeLines="50" w:afterLines="50" w:line="400" w:lineRule="atLeast"/>
      <w:ind w:firstLine="200" w:firstLineChars="200"/>
      <w:textAlignment w:val="baseline"/>
    </w:pPr>
    <w:rPr>
      <w:rFonts w:ascii="宋体" w:hAnsi="宋体" w:eastAsia="宋体" w:cs="Times New Roman"/>
      <w:sz w:val="24"/>
      <w:szCs w:val="24"/>
    </w:rPr>
  </w:style>
  <w:style w:type="paragraph" w:customStyle="1" w:styleId="189">
    <w:name w:val="00000000000000000000000"/>
    <w:basedOn w:val="1"/>
    <w:autoRedefine/>
    <w:qFormat/>
    <w:uiPriority w:val="0"/>
    <w:pPr>
      <w:spacing w:line="360" w:lineRule="auto"/>
      <w:ind w:firstLine="480" w:firstLineChars="200"/>
    </w:pPr>
    <w:rPr>
      <w:rFonts w:eastAsia="宋体"/>
      <w:snapToGrid w:val="0"/>
    </w:rPr>
  </w:style>
  <w:style w:type="paragraph" w:customStyle="1" w:styleId="190">
    <w:name w:val="报告表正文"/>
    <w:basedOn w:val="1"/>
    <w:qFormat/>
    <w:uiPriority w:val="0"/>
    <w:pPr>
      <w:spacing w:line="360" w:lineRule="auto"/>
      <w:ind w:firstLine="0" w:firstLineChars="0"/>
    </w:pPr>
    <w:rPr>
      <w:rFonts w:ascii="Times New Roman" w:hAnsi="Times New Roman" w:eastAsia="宋体"/>
      <w:sz w:val="21"/>
    </w:rPr>
  </w:style>
  <w:style w:type="paragraph" w:customStyle="1" w:styleId="191">
    <w:name w:val="S报告正文"/>
    <w:basedOn w:val="1"/>
    <w:qFormat/>
    <w:uiPriority w:val="0"/>
    <w:pPr>
      <w:adjustRightInd w:val="0"/>
      <w:snapToGrid w:val="0"/>
      <w:spacing w:line="480" w:lineRule="exact"/>
      <w:ind w:firstLine="510"/>
      <w:jc w:val="left"/>
    </w:pPr>
    <w:rPr>
      <w:sz w:val="24"/>
    </w:rPr>
  </w:style>
  <w:style w:type="paragraph" w:customStyle="1" w:styleId="192">
    <w:name w:val="02表格正文小四"/>
    <w:qFormat/>
    <w:uiPriority w:val="0"/>
    <w:pPr>
      <w:overflowPunct w:val="0"/>
      <w:spacing w:line="360" w:lineRule="auto"/>
      <w:ind w:firstLine="1124" w:firstLineChars="200"/>
      <w:jc w:val="both"/>
      <w:textAlignment w:val="baseline"/>
    </w:pPr>
    <w:rPr>
      <w:rFonts w:ascii="Times New Roman" w:hAnsi="Times New Roman" w:eastAsia="宋体" w:cs="Times New Roman"/>
      <w:sz w:val="24"/>
      <w:szCs w:val="24"/>
      <w:lang w:val="en-US" w:eastAsia="zh-CN" w:bidi="ar-SA"/>
    </w:rPr>
  </w:style>
  <w:style w:type="character" w:customStyle="1" w:styleId="193">
    <w:name w:val="表题 Char"/>
    <w:link w:val="78"/>
    <w:qFormat/>
    <w:uiPriority w:val="0"/>
    <w:rPr>
      <w:rFonts w:eastAsia="黑体"/>
      <w:sz w:val="21"/>
      <w:szCs w:val="20"/>
    </w:rPr>
  </w:style>
  <w:style w:type="paragraph" w:customStyle="1" w:styleId="194">
    <w:name w:val="表格格式"/>
    <w:next w:val="1"/>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195">
    <w:name w:val="note"/>
    <w:basedOn w:val="1"/>
    <w:qFormat/>
    <w:uiPriority w:val="0"/>
    <w:pPr>
      <w:pBdr>
        <w:left w:val="single" w:color="2C7DA0" w:sz="18" w:space="9"/>
      </w:pBdr>
      <w:spacing w:before="300" w:beforeAutospacing="0"/>
      <w:jc w:val="left"/>
    </w:pPr>
    <w:rPr>
      <w:color w:val="333333"/>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4.png"/><Relationship Id="rId33" Type="http://schemas.openxmlformats.org/officeDocument/2006/relationships/image" Target="media/image13.jpe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wmf"/><Relationship Id="rId3" Type="http://schemas.openxmlformats.org/officeDocument/2006/relationships/footnotes" Target="footnotes.xml"/><Relationship Id="rId29" Type="http://schemas.openxmlformats.org/officeDocument/2006/relationships/oleObject" Target="embeddings/oleObject5.bin"/><Relationship Id="rId28" Type="http://schemas.openxmlformats.org/officeDocument/2006/relationships/image" Target="media/image9.wmf"/><Relationship Id="rId27" Type="http://schemas.openxmlformats.org/officeDocument/2006/relationships/oleObject" Target="embeddings/oleObject4.bin"/><Relationship Id="rId26" Type="http://schemas.openxmlformats.org/officeDocument/2006/relationships/image" Target="media/image8.png"/><Relationship Id="rId25" Type="http://schemas.openxmlformats.org/officeDocument/2006/relationships/image" Target="media/image7.emf"/><Relationship Id="rId24" Type="http://schemas.openxmlformats.org/officeDocument/2006/relationships/oleObject" Target="embeddings/oleObject3.bin"/><Relationship Id="rId23" Type="http://schemas.openxmlformats.org/officeDocument/2006/relationships/image" Target="media/image6.emf"/><Relationship Id="rId22" Type="http://schemas.openxmlformats.org/officeDocument/2006/relationships/oleObject" Target="embeddings/oleObject2.bin"/><Relationship Id="rId21" Type="http://schemas.openxmlformats.org/officeDocument/2006/relationships/image" Target="media/image5.e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pn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121</Pages>
  <Words>533</Words>
  <Characters>580</Characters>
  <Lines>431</Lines>
  <Paragraphs>121</Paragraphs>
  <TotalTime>309</TotalTime>
  <ScaleCrop>false</ScaleCrop>
  <LinksUpToDate>false</LinksUpToDate>
  <CharactersWithSpaces>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2023-02-20T01:15:00Z</dcterms:created>
  <dc:creator>Administrator</dc:creator>
  <cp:lastModifiedBy>活着</cp:lastModifiedBy>
  <cp:lastPrinted>2022-04-19T00:44:00Z</cp:lastPrinted>
  <dcterms:modified xsi:type="dcterms:W3CDTF">2026-06-11T06:49:05Z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09E129174CE4405CAE195682767D79FD_13</vt:lpwstr>
  </property>
  <property fmtid="{D5CDD505-2E9C-101B-9397-08002B2CF9AE}" pid="4" name="KSOTemplateDocerSaveRecord">
    <vt:lpwstr>eyJoZGlkIjoiZTNhOGZhMzJmZGM5Njc2MTM4ODc5ZTNiNWMwODY1OWYiLCJ1c2VySWQiOiIyNzY0MjY2NjcifQ==</vt:lpwstr>
  </property>
</Properties>
</file>