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djustRightInd w:val="0"/>
        <w:snapToGrid w:val="0"/>
        <w:spacing w:before="0" w:beforeAutospacing="0" w:after="0" w:afterAutospacing="0" w:line="660" w:lineRule="exact"/>
        <w:jc w:val="both"/>
        <w:rPr>
          <w:rFonts w:ascii="Times New Roman" w:hAnsi="Times New Roman" w:eastAsia="方正小标宋简体"/>
          <w:color w:val="000000"/>
          <w:sz w:val="52"/>
          <w:szCs w:val="52"/>
        </w:rPr>
      </w:pPr>
      <w:bookmarkStart w:id="0" w:name="_GoBack"/>
      <w:bookmarkEnd w:id="0"/>
      <w:r>
        <w:rPr>
          <w:rFonts w:hint="eastAsia" w:ascii="Times New Roman" w:hAnsi="Times New Roman" w:eastAsia="方正小标宋简体"/>
          <w:color w:val="000000"/>
          <w:sz w:val="52"/>
          <w:szCs w:val="52"/>
        </w:rPr>
        <w:t>HNPR—2025—01012</w:t>
      </w:r>
    </w:p>
    <w:p>
      <w:pPr>
        <w:overflowPunct w:val="0"/>
        <w:autoSpaceDE w:val="0"/>
        <w:adjustRightInd w:val="0"/>
        <w:snapToGrid w:val="0"/>
        <w:spacing w:before="0" w:beforeAutospacing="0" w:after="0" w:afterAutospacing="0" w:line="660" w:lineRule="exact"/>
        <w:jc w:val="both"/>
        <w:rPr>
          <w:rFonts w:ascii="Times New Roman" w:hAnsi="Times New Roman" w:eastAsia="方正小标宋简体"/>
          <w:color w:val="000000"/>
          <w:sz w:val="52"/>
          <w:szCs w:val="52"/>
        </w:rPr>
      </w:pPr>
    </w:p>
    <w:p>
      <w:pPr>
        <w:overflowPunct w:val="0"/>
        <w:autoSpaceDE w:val="0"/>
        <w:spacing w:before="0" w:beforeAutospacing="0" w:after="0" w:afterAutospacing="0" w:line="660" w:lineRule="exact"/>
        <w:jc w:val="center"/>
        <w:rPr>
          <w:rFonts w:ascii="Times New Roman" w:hAnsi="Times New Roman" w:eastAsia="方正小标宋简体"/>
          <w:color w:val="000000"/>
          <w:sz w:val="52"/>
          <w:szCs w:val="52"/>
        </w:rPr>
      </w:pPr>
      <w:r>
        <w:rPr>
          <w:rFonts w:ascii="Times New Roman" w:hAnsi="Times New Roman" w:eastAsia="方正小标宋简体"/>
          <w:color w:val="000000"/>
          <w:sz w:val="52"/>
          <w:szCs w:val="52"/>
        </w:rPr>
        <w:t>湖南省人民政府办公厅</w:t>
      </w:r>
    </w:p>
    <w:p>
      <w:pPr>
        <w:overflowPunct w:val="0"/>
        <w:autoSpaceDE w:val="0"/>
        <w:spacing w:before="0" w:beforeAutospacing="0" w:after="0" w:afterAutospacing="0" w:line="660" w:lineRule="exact"/>
        <w:jc w:val="center"/>
        <w:rPr>
          <w:rFonts w:ascii="Times New Roman" w:hAnsi="Times New Roman" w:eastAsia="方正小标宋简体"/>
          <w:color w:val="000000"/>
          <w:sz w:val="52"/>
          <w:szCs w:val="52"/>
        </w:rPr>
      </w:pPr>
      <w:r>
        <w:rPr>
          <w:rFonts w:ascii="Times New Roman" w:hAnsi="Times New Roman" w:eastAsia="方正小标宋简体"/>
          <w:color w:val="000000"/>
          <w:sz w:val="52"/>
          <w:szCs w:val="52"/>
        </w:rPr>
        <w:t>关于印发《湖南省推动营商环境</w:t>
      </w:r>
    </w:p>
    <w:p>
      <w:pPr>
        <w:overflowPunct w:val="0"/>
        <w:autoSpaceDE w:val="0"/>
        <w:spacing w:before="0" w:beforeAutospacing="0" w:after="0" w:afterAutospacing="0" w:line="660" w:lineRule="exact"/>
        <w:jc w:val="center"/>
        <w:rPr>
          <w:rFonts w:ascii="Times New Roman" w:hAnsi="Times New Roman" w:eastAsia="方正小标宋简体"/>
          <w:color w:val="000000"/>
          <w:sz w:val="52"/>
          <w:szCs w:val="52"/>
        </w:rPr>
      </w:pPr>
      <w:r>
        <w:rPr>
          <w:rFonts w:ascii="Times New Roman" w:hAnsi="Times New Roman" w:eastAsia="方正小标宋简体"/>
          <w:color w:val="000000"/>
          <w:sz w:val="52"/>
          <w:szCs w:val="52"/>
        </w:rPr>
        <w:t>优化提升若干举措》的通知</w:t>
      </w:r>
    </w:p>
    <w:p>
      <w:pPr>
        <w:overflowPunct w:val="0"/>
        <w:autoSpaceDE w:val="0"/>
        <w:spacing w:before="0" w:beforeAutospacing="0" w:after="0" w:afterAutospacing="0" w:line="660" w:lineRule="exact"/>
        <w:jc w:val="center"/>
        <w:rPr>
          <w:rFonts w:ascii="Times New Roman" w:hAnsi="Times New Roman" w:eastAsia="仿宋"/>
          <w:color w:val="000000"/>
          <w:sz w:val="44"/>
          <w:szCs w:val="44"/>
        </w:rPr>
      </w:pPr>
      <w:r>
        <w:rPr>
          <w:rFonts w:hint="eastAsia" w:ascii="Times New Roman" w:hAnsi="Times New Roman" w:eastAsia="仿宋"/>
          <w:color w:val="000000"/>
          <w:sz w:val="44"/>
          <w:szCs w:val="44"/>
        </w:rPr>
        <w:t>湘政办发〔2025〕26号</w:t>
      </w:r>
    </w:p>
    <w:p>
      <w:pPr>
        <w:overflowPunct w:val="0"/>
        <w:autoSpaceDE w:val="0"/>
        <w:adjustRightInd w:val="0"/>
        <w:snapToGrid w:val="0"/>
        <w:spacing w:before="0" w:beforeAutospacing="0" w:after="0" w:afterAutospacing="0" w:line="660" w:lineRule="exact"/>
        <w:jc w:val="both"/>
        <w:rPr>
          <w:rFonts w:ascii="Times New Roman" w:hAnsi="Times New Roman" w:eastAsia="仿宋"/>
          <w:color w:val="000000"/>
          <w:sz w:val="44"/>
          <w:szCs w:val="44"/>
        </w:rPr>
      </w:pPr>
    </w:p>
    <w:p>
      <w:pPr>
        <w:overflowPunct w:val="0"/>
        <w:autoSpaceDE w:val="0"/>
        <w:adjustRightInd w:val="0"/>
        <w:snapToGrid w:val="0"/>
        <w:spacing w:line="660" w:lineRule="exact"/>
        <w:textAlignment w:val="baseline"/>
        <w:rPr>
          <w:rFonts w:eastAsia="仿宋_GB2312"/>
          <w:color w:val="000000"/>
          <w:sz w:val="44"/>
          <w:szCs w:val="44"/>
        </w:rPr>
      </w:pPr>
      <w:r>
        <w:rPr>
          <w:rFonts w:eastAsia="仿宋_GB2312"/>
          <w:color w:val="000000"/>
          <w:sz w:val="44"/>
          <w:szCs w:val="44"/>
        </w:rPr>
        <w:t>各市州、县市区人民政府，省政府各厅委、各直属机构：</w:t>
      </w:r>
    </w:p>
    <w:p>
      <w:pPr>
        <w:overflowPunct w:val="0"/>
        <w:adjustRightInd w:val="0"/>
        <w:snapToGrid w:val="0"/>
        <w:spacing w:line="660" w:lineRule="exact"/>
        <w:ind w:firstLine="880" w:firstLineChars="200"/>
        <w:rPr>
          <w:rFonts w:eastAsia="仿宋_GB2312"/>
          <w:color w:val="000000"/>
          <w:sz w:val="44"/>
          <w:szCs w:val="44"/>
        </w:rPr>
      </w:pPr>
      <w:r>
        <w:rPr>
          <w:rFonts w:eastAsia="仿宋_GB2312"/>
          <w:color w:val="000000"/>
          <w:sz w:val="44"/>
          <w:szCs w:val="44"/>
        </w:rPr>
        <w:t>《湖南省推动营商环境优化提升若干举措》已经省委、省人民政府同意，现印发给你们，请认真贯彻落实。</w:t>
      </w:r>
    </w:p>
    <w:p>
      <w:pPr>
        <w:overflowPunct w:val="0"/>
        <w:adjustRightInd w:val="0"/>
        <w:snapToGrid w:val="0"/>
        <w:spacing w:after="0" w:line="660" w:lineRule="exact"/>
        <w:ind w:firstLine="880" w:firstLineChars="200"/>
        <w:textAlignment w:val="auto"/>
        <w:rPr>
          <w:rFonts w:eastAsia="仿宋_GB2312"/>
          <w:color w:val="000000"/>
          <w:sz w:val="44"/>
          <w:szCs w:val="44"/>
        </w:rPr>
      </w:pPr>
    </w:p>
    <w:p>
      <w:pPr>
        <w:overflowPunct w:val="0"/>
        <w:adjustRightInd w:val="0"/>
        <w:snapToGrid w:val="0"/>
        <w:spacing w:after="0" w:line="660" w:lineRule="exact"/>
        <w:ind w:firstLine="880" w:firstLineChars="200"/>
        <w:textAlignment w:val="auto"/>
        <w:rPr>
          <w:rFonts w:eastAsia="仿宋_GB2312"/>
          <w:color w:val="000000"/>
          <w:sz w:val="44"/>
          <w:szCs w:val="44"/>
        </w:rPr>
      </w:pPr>
    </w:p>
    <w:p>
      <w:pPr>
        <w:overflowPunct w:val="0"/>
        <w:autoSpaceDE w:val="0"/>
        <w:adjustRightInd w:val="0"/>
        <w:snapToGrid w:val="0"/>
        <w:spacing w:line="660" w:lineRule="exact"/>
        <w:textAlignment w:val="baseline"/>
        <w:rPr>
          <w:rFonts w:eastAsia="仿宋_GB2312"/>
          <w:color w:val="000000"/>
          <w:sz w:val="44"/>
          <w:szCs w:val="44"/>
        </w:rPr>
      </w:pPr>
    </w:p>
    <w:p>
      <w:pPr>
        <w:overflowPunct w:val="0"/>
        <w:autoSpaceDE w:val="0"/>
        <w:adjustRightInd w:val="0"/>
        <w:snapToGrid w:val="0"/>
        <w:spacing w:after="0" w:line="660" w:lineRule="exact"/>
        <w:ind w:left="3360" w:leftChars="1600" w:firstLine="660" w:firstLineChars="150"/>
        <w:rPr>
          <w:rFonts w:ascii="Times New Roman" w:hAnsi="Times New Roman" w:eastAsia="仿宋_GB2312"/>
          <w:color w:val="000000"/>
          <w:sz w:val="44"/>
          <w:szCs w:val="44"/>
        </w:rPr>
      </w:pPr>
      <w:r>
        <w:rPr>
          <w:rFonts w:eastAsia="仿宋_GB2312"/>
          <w:color w:val="000000"/>
          <w:sz w:val="44"/>
          <w:szCs w:val="44"/>
        </w:rPr>
        <w:t>湖南省人民政府办公厅</w:t>
      </w:r>
    </w:p>
    <w:p>
      <w:pPr>
        <w:overflowPunct w:val="0"/>
        <w:autoSpaceDE w:val="0"/>
        <w:adjustRightInd w:val="0"/>
        <w:snapToGrid w:val="0"/>
        <w:spacing w:after="0" w:line="660" w:lineRule="exact"/>
        <w:ind w:left="3360" w:leftChars="1600" w:firstLine="880" w:firstLineChars="200"/>
        <w:rPr>
          <w:rFonts w:ascii="Times New Roman" w:hAnsi="Times New Roman" w:eastAsia="仿宋_GB2312"/>
          <w:color w:val="000000"/>
          <w:sz w:val="44"/>
          <w:szCs w:val="44"/>
        </w:rPr>
      </w:pPr>
      <w:r>
        <w:rPr>
          <w:rFonts w:eastAsia="仿宋_GB2312"/>
          <w:color w:val="000000"/>
          <w:sz w:val="44"/>
          <w:szCs w:val="44"/>
        </w:rPr>
        <w:t xml:space="preserve">   2025年</w:t>
      </w:r>
      <w:r>
        <w:rPr>
          <w:rFonts w:hint="eastAsia" w:eastAsia="仿宋_GB2312"/>
          <w:color w:val="000000"/>
          <w:sz w:val="44"/>
          <w:szCs w:val="44"/>
        </w:rPr>
        <w:t>6</w:t>
      </w:r>
      <w:r>
        <w:rPr>
          <w:rFonts w:eastAsia="仿宋_GB2312"/>
          <w:color w:val="000000"/>
          <w:sz w:val="44"/>
          <w:szCs w:val="44"/>
        </w:rPr>
        <w:t>月</w:t>
      </w:r>
      <w:r>
        <w:rPr>
          <w:rFonts w:hint="eastAsia" w:eastAsia="仿宋_GB2312"/>
          <w:color w:val="000000"/>
          <w:sz w:val="44"/>
          <w:szCs w:val="44"/>
        </w:rPr>
        <w:t>20</w:t>
      </w:r>
      <w:r>
        <w:rPr>
          <w:rFonts w:eastAsia="仿宋_GB2312"/>
          <w:color w:val="000000"/>
          <w:sz w:val="44"/>
          <w:szCs w:val="44"/>
        </w:rPr>
        <w:t>日</w:t>
      </w:r>
    </w:p>
    <w:p>
      <w:pPr>
        <w:overflowPunct w:val="0"/>
        <w:adjustRightInd w:val="0"/>
        <w:snapToGrid w:val="0"/>
        <w:spacing w:after="0" w:line="660" w:lineRule="exact"/>
        <w:ind w:firstLine="880" w:firstLineChars="200"/>
        <w:textAlignment w:val="auto"/>
        <w:rPr>
          <w:rFonts w:eastAsia="仿宋"/>
          <w:color w:val="000000"/>
          <w:sz w:val="44"/>
          <w:szCs w:val="44"/>
        </w:rPr>
      </w:pPr>
    </w:p>
    <w:p>
      <w:pPr>
        <w:overflowPunct w:val="0"/>
        <w:autoSpaceDE w:val="0"/>
        <w:adjustRightInd w:val="0"/>
        <w:snapToGrid w:val="0"/>
        <w:spacing w:line="660" w:lineRule="exact"/>
        <w:ind w:firstLine="880" w:firstLineChars="200"/>
        <w:rPr>
          <w:rFonts w:eastAsia="仿宋_GB2312"/>
          <w:color w:val="000000"/>
          <w:w w:val="98"/>
          <w:sz w:val="44"/>
          <w:szCs w:val="44"/>
        </w:rPr>
      </w:pPr>
      <w:r>
        <w:rPr>
          <w:rFonts w:eastAsia="仿宋_GB2312"/>
          <w:color w:val="000000"/>
          <w:sz w:val="44"/>
          <w:szCs w:val="44"/>
        </w:rPr>
        <w:t>（此件主动公开）</w:t>
      </w:r>
    </w:p>
    <w:p>
      <w:pPr>
        <w:spacing w:line="660" w:lineRule="exact"/>
      </w:pPr>
    </w:p>
    <w:p>
      <w:pPr>
        <w:overflowPunct w:val="0"/>
        <w:autoSpaceDE w:val="0"/>
        <w:adjustRightInd w:val="0"/>
        <w:snapToGrid w:val="0"/>
        <w:spacing w:before="0" w:beforeAutospacing="0" w:after="0" w:afterAutospacing="0" w:line="660" w:lineRule="exact"/>
        <w:jc w:val="center"/>
        <w:rPr>
          <w:rFonts w:ascii="Times New Roman" w:hAnsi="Times New Roman" w:eastAsia="方正小标宋简体" w:cs="Calibri"/>
          <w:color w:val="000000"/>
          <w:sz w:val="48"/>
          <w:szCs w:val="48"/>
        </w:rPr>
      </w:pPr>
    </w:p>
    <w:p>
      <w:pPr>
        <w:overflowPunct w:val="0"/>
        <w:autoSpaceDE w:val="0"/>
        <w:adjustRightInd w:val="0"/>
        <w:snapToGrid w:val="0"/>
        <w:spacing w:before="0" w:beforeAutospacing="0" w:after="0" w:afterAutospacing="0" w:line="660" w:lineRule="exact"/>
        <w:jc w:val="center"/>
        <w:rPr>
          <w:rFonts w:ascii="Times New Roman" w:hAnsi="Times New Roman" w:eastAsia="方正小标宋简体" w:cs="Calibri"/>
          <w:color w:val="000000"/>
          <w:sz w:val="52"/>
          <w:szCs w:val="52"/>
        </w:rPr>
      </w:pPr>
    </w:p>
    <w:p>
      <w:pPr>
        <w:overflowPunct w:val="0"/>
        <w:autoSpaceDE w:val="0"/>
        <w:adjustRightInd w:val="0"/>
        <w:snapToGrid w:val="0"/>
        <w:spacing w:before="0" w:beforeAutospacing="0" w:after="0" w:afterAutospacing="0" w:line="660" w:lineRule="exact"/>
        <w:jc w:val="center"/>
        <w:rPr>
          <w:rFonts w:ascii="Times New Roman" w:hAnsi="Times New Roman" w:eastAsia="方正小标宋简体" w:cs="Calibri"/>
          <w:color w:val="000000"/>
          <w:sz w:val="52"/>
          <w:szCs w:val="52"/>
        </w:rPr>
      </w:pPr>
      <w:r>
        <w:rPr>
          <w:rFonts w:ascii="Times New Roman" w:hAnsi="Times New Roman" w:eastAsia="方正小标宋简体" w:cs="Calibri"/>
          <w:color w:val="000000"/>
          <w:sz w:val="52"/>
          <w:szCs w:val="52"/>
        </w:rPr>
        <w:t>湖南省推动营商环境优化提升</w:t>
      </w:r>
    </w:p>
    <w:p>
      <w:pPr>
        <w:overflowPunct w:val="0"/>
        <w:autoSpaceDE w:val="0"/>
        <w:adjustRightInd w:val="0"/>
        <w:snapToGrid w:val="0"/>
        <w:spacing w:before="0" w:beforeAutospacing="0" w:after="0" w:afterAutospacing="0" w:line="660" w:lineRule="exact"/>
        <w:jc w:val="center"/>
        <w:rPr>
          <w:rFonts w:ascii="Times New Roman" w:hAnsi="Times New Roman" w:eastAsia="方正小标宋简体"/>
          <w:color w:val="000000"/>
          <w:sz w:val="52"/>
          <w:szCs w:val="52"/>
        </w:rPr>
      </w:pPr>
      <w:r>
        <w:rPr>
          <w:rFonts w:ascii="Times New Roman" w:hAnsi="Times New Roman" w:eastAsia="方正小标宋简体" w:cs="Calibri"/>
          <w:color w:val="000000"/>
          <w:sz w:val="52"/>
          <w:szCs w:val="52"/>
        </w:rPr>
        <w:t>若干举措</w:t>
      </w:r>
    </w:p>
    <w:p>
      <w:pPr>
        <w:overflowPunct w:val="0"/>
        <w:autoSpaceDE w:val="0"/>
        <w:autoSpaceDN w:val="0"/>
        <w:adjustRightInd w:val="0"/>
        <w:snapToGrid w:val="0"/>
        <w:spacing w:line="660" w:lineRule="exact"/>
        <w:ind w:firstLine="880" w:firstLineChars="200"/>
        <w:rPr>
          <w:rFonts w:ascii="仿宋" w:hAnsi="仿宋" w:eastAsia="仿宋"/>
          <w:bCs/>
          <w:color w:val="000000"/>
          <w:sz w:val="44"/>
          <w:szCs w:val="44"/>
        </w:rPr>
      </w:pPr>
    </w:p>
    <w:p>
      <w:pPr>
        <w:overflowPunct w:val="0"/>
        <w:adjustRightInd w:val="0"/>
        <w:snapToGrid w:val="0"/>
        <w:spacing w:line="660" w:lineRule="exact"/>
        <w:ind w:firstLine="880" w:firstLineChars="200"/>
        <w:rPr>
          <w:rFonts w:ascii="仿宋" w:hAnsi="仿宋" w:eastAsia="仿宋_GB2312"/>
          <w:bCs/>
          <w:color w:val="000000"/>
          <w:sz w:val="44"/>
          <w:szCs w:val="44"/>
        </w:rPr>
      </w:pPr>
      <w:r>
        <w:rPr>
          <w:rFonts w:ascii="仿宋" w:hAnsi="仿宋" w:eastAsia="仿宋_GB2312"/>
          <w:bCs/>
          <w:color w:val="000000"/>
          <w:sz w:val="44"/>
          <w:szCs w:val="44"/>
        </w:rPr>
        <w:t>为深入贯彻落实党中央、国务院关于优化营商环境的决策部署，持续打造“三化”一流营商环境，</w:t>
      </w:r>
      <w:r>
        <w:rPr>
          <w:rFonts w:hint="eastAsia" w:ascii="仿宋" w:hAnsi="仿宋" w:eastAsia="仿宋_GB2312"/>
          <w:bCs/>
          <w:color w:val="000000"/>
          <w:sz w:val="44"/>
          <w:szCs w:val="44"/>
        </w:rPr>
        <w:t>经省委、省人民政府同意，</w:t>
      </w:r>
      <w:r>
        <w:rPr>
          <w:rFonts w:ascii="仿宋" w:hAnsi="仿宋" w:eastAsia="仿宋_GB2312"/>
          <w:bCs/>
          <w:color w:val="000000"/>
          <w:sz w:val="44"/>
          <w:szCs w:val="44"/>
        </w:rPr>
        <w:t>制定以下举措。</w:t>
      </w:r>
    </w:p>
    <w:p>
      <w:pPr>
        <w:overflowPunct w:val="0"/>
        <w:autoSpaceDE w:val="0"/>
        <w:autoSpaceDN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一、</w:t>
      </w:r>
      <w:r>
        <w:rPr>
          <w:rFonts w:hint="eastAsia" w:ascii="黑体" w:hAnsi="黑体" w:eastAsia="黑体"/>
          <w:bCs/>
          <w:color w:val="000000"/>
          <w:sz w:val="44"/>
          <w:szCs w:val="44"/>
        </w:rPr>
        <w:t>加强惠企政策宣传解读</w:t>
      </w:r>
      <w:r>
        <w:rPr>
          <w:rFonts w:ascii="黑体" w:hAnsi="黑体" w:eastAsia="黑体"/>
          <w:bCs/>
          <w:color w:val="000000"/>
          <w:sz w:val="44"/>
          <w:szCs w:val="44"/>
        </w:rPr>
        <w:t>。</w:t>
      </w:r>
      <w:r>
        <w:rPr>
          <w:rFonts w:hint="eastAsia" w:ascii="仿宋" w:hAnsi="仿宋" w:eastAsia="仿宋_GB2312"/>
          <w:bCs/>
          <w:color w:val="000000"/>
          <w:sz w:val="44"/>
          <w:szCs w:val="44"/>
        </w:rPr>
        <w:t>在“湘易办”和省政府门户网站</w:t>
      </w:r>
      <w:r>
        <w:rPr>
          <w:rFonts w:ascii="仿宋" w:hAnsi="仿宋" w:eastAsia="仿宋_GB2312"/>
          <w:bCs/>
          <w:color w:val="000000"/>
          <w:sz w:val="44"/>
          <w:szCs w:val="44"/>
        </w:rPr>
        <w:t>“政企通”</w:t>
      </w:r>
      <w:r>
        <w:rPr>
          <w:rFonts w:hint="eastAsia" w:ascii="仿宋" w:hAnsi="仿宋" w:eastAsia="仿宋_GB2312"/>
          <w:bCs/>
          <w:color w:val="000000"/>
          <w:sz w:val="44"/>
          <w:szCs w:val="44"/>
        </w:rPr>
        <w:t>专栏建立湖南省</w:t>
      </w:r>
      <w:r>
        <w:rPr>
          <w:rFonts w:ascii="仿宋" w:hAnsi="仿宋" w:eastAsia="仿宋_GB2312"/>
          <w:bCs/>
          <w:color w:val="000000"/>
          <w:sz w:val="44"/>
          <w:szCs w:val="44"/>
        </w:rPr>
        <w:t>惠企政策集中发布平台，省直相关部门（含中央在湘单位，下同）出台相关惠企政策</w:t>
      </w:r>
      <w:r>
        <w:rPr>
          <w:rFonts w:hint="eastAsia" w:ascii="仿宋" w:hAnsi="仿宋" w:eastAsia="仿宋_GB2312"/>
          <w:bCs/>
          <w:color w:val="000000"/>
          <w:sz w:val="44"/>
          <w:szCs w:val="44"/>
        </w:rPr>
        <w:t>的</w:t>
      </w:r>
      <w:r>
        <w:rPr>
          <w:rFonts w:ascii="仿宋" w:hAnsi="仿宋" w:eastAsia="仿宋_GB2312"/>
          <w:bCs/>
          <w:color w:val="000000"/>
          <w:sz w:val="44"/>
          <w:szCs w:val="44"/>
        </w:rPr>
        <w:t>（含存量政策继续实施、调整），</w:t>
      </w:r>
      <w:r>
        <w:rPr>
          <w:rFonts w:hint="eastAsia" w:ascii="仿宋" w:hAnsi="仿宋" w:eastAsia="仿宋_GB2312"/>
          <w:bCs/>
          <w:color w:val="000000"/>
          <w:sz w:val="44"/>
          <w:szCs w:val="44"/>
        </w:rPr>
        <w:t>需在</w:t>
      </w:r>
      <w:r>
        <w:rPr>
          <w:rFonts w:ascii="仿宋" w:hAnsi="仿宋" w:eastAsia="仿宋_GB2312"/>
          <w:bCs/>
          <w:color w:val="000000"/>
          <w:sz w:val="44"/>
          <w:szCs w:val="44"/>
        </w:rPr>
        <w:t>出台后</w:t>
      </w:r>
      <w:r>
        <w:rPr>
          <w:rFonts w:eastAsia="仿宋_GB2312"/>
          <w:bCs/>
          <w:color w:val="000000"/>
          <w:sz w:val="44"/>
          <w:szCs w:val="44"/>
        </w:rPr>
        <w:t>3</w:t>
      </w:r>
      <w:r>
        <w:rPr>
          <w:rFonts w:ascii="仿宋" w:hAnsi="仿宋" w:eastAsia="仿宋_GB2312"/>
          <w:bCs/>
          <w:color w:val="000000"/>
          <w:sz w:val="44"/>
          <w:szCs w:val="44"/>
        </w:rPr>
        <w:t>个工作日内完成支持对象、实施范围、额度标准等要素提炼，将政策全文、解读、标注、拆解等信息</w:t>
      </w:r>
      <w:r>
        <w:rPr>
          <w:rFonts w:hint="eastAsia" w:ascii="仿宋" w:hAnsi="仿宋" w:eastAsia="仿宋_GB2312"/>
          <w:bCs/>
          <w:color w:val="000000"/>
          <w:sz w:val="44"/>
          <w:szCs w:val="44"/>
        </w:rPr>
        <w:t>通过平台集中发布，并</w:t>
      </w:r>
      <w:r>
        <w:rPr>
          <w:rFonts w:ascii="仿宋" w:hAnsi="仿宋" w:eastAsia="仿宋_GB2312"/>
          <w:bCs/>
          <w:color w:val="000000"/>
          <w:sz w:val="44"/>
          <w:szCs w:val="44"/>
        </w:rPr>
        <w:t>共享至“湖南营商网”。</w:t>
      </w:r>
      <w:r>
        <w:rPr>
          <w:rFonts w:hint="eastAsia" w:ascii="仿宋" w:hAnsi="仿宋" w:eastAsia="仿宋_GB2312"/>
          <w:bCs/>
          <w:color w:val="000000"/>
          <w:sz w:val="44"/>
          <w:szCs w:val="44"/>
        </w:rPr>
        <w:t>依托政府网站、广播电视和官方公众号、视频号等媒介，面向企业建立惠企政策分层分类宣传培训</w:t>
      </w:r>
      <w:r>
        <w:rPr>
          <w:rFonts w:ascii="仿宋" w:hAnsi="仿宋" w:eastAsia="仿宋_GB2312"/>
          <w:bCs/>
          <w:color w:val="000000"/>
          <w:sz w:val="44"/>
          <w:szCs w:val="44"/>
        </w:rPr>
        <w:t>体系</w:t>
      </w:r>
      <w:r>
        <w:rPr>
          <w:rFonts w:hint="eastAsia" w:ascii="仿宋" w:hAnsi="仿宋" w:eastAsia="仿宋_GB2312"/>
          <w:bCs/>
          <w:color w:val="000000"/>
          <w:sz w:val="44"/>
          <w:szCs w:val="44"/>
        </w:rPr>
        <w:t>。</w:t>
      </w:r>
      <w:r>
        <w:rPr>
          <w:rFonts w:ascii="楷体" w:hAnsi="楷体" w:eastAsia="楷体"/>
          <w:bCs/>
          <w:color w:val="000000"/>
          <w:sz w:val="44"/>
          <w:szCs w:val="44"/>
        </w:rPr>
        <w:t>（责任单位：省工业和信息化厅、省数据局、惠企政策制定单位，各市州人民政府。以下均需各市州人民政府落实，不再一一列出）</w:t>
      </w:r>
    </w:p>
    <w:p>
      <w:pPr>
        <w:overflowPunct w:val="0"/>
        <w:autoSpaceDE w:val="0"/>
        <w:autoSpaceDN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二、推行</w:t>
      </w:r>
      <w:r>
        <w:rPr>
          <w:rFonts w:hint="eastAsia" w:ascii="黑体" w:hAnsi="黑体" w:eastAsia="黑体"/>
          <w:bCs/>
          <w:color w:val="000000"/>
          <w:sz w:val="44"/>
          <w:szCs w:val="44"/>
        </w:rPr>
        <w:t>惠企政策</w:t>
      </w:r>
      <w:r>
        <w:rPr>
          <w:rFonts w:ascii="黑体" w:hAnsi="黑体" w:eastAsia="黑体"/>
          <w:bCs/>
          <w:color w:val="000000"/>
          <w:sz w:val="44"/>
          <w:szCs w:val="44"/>
        </w:rPr>
        <w:t>免申即享。</w:t>
      </w:r>
      <w:r>
        <w:rPr>
          <w:rFonts w:ascii="仿宋" w:hAnsi="仿宋" w:eastAsia="仿宋_GB2312"/>
          <w:bCs/>
          <w:color w:val="000000"/>
          <w:sz w:val="44"/>
          <w:szCs w:val="44"/>
        </w:rPr>
        <w:t>围绕资金奖补、融资贴息、税费减免（缓征缓缴）、资质荣誉、人才、稳岗就业等领域，每个省直相关部门在</w:t>
      </w:r>
      <w:r>
        <w:rPr>
          <w:rFonts w:eastAsia="仿宋_GB2312"/>
          <w:bCs/>
          <w:color w:val="000000"/>
          <w:sz w:val="44"/>
          <w:szCs w:val="44"/>
        </w:rPr>
        <w:t>2025</w:t>
      </w:r>
      <w:r>
        <w:rPr>
          <w:rFonts w:ascii="仿宋" w:hAnsi="仿宋" w:eastAsia="仿宋_GB2312"/>
          <w:bCs/>
          <w:color w:val="000000"/>
          <w:sz w:val="44"/>
          <w:szCs w:val="44"/>
        </w:rPr>
        <w:t>年</w:t>
      </w:r>
      <w:r>
        <w:rPr>
          <w:rFonts w:hint="eastAsia" w:eastAsia="仿宋_GB2312"/>
          <w:bCs/>
          <w:color w:val="000000"/>
          <w:sz w:val="44"/>
          <w:szCs w:val="44"/>
        </w:rPr>
        <w:t>7</w:t>
      </w:r>
      <w:r>
        <w:rPr>
          <w:rFonts w:ascii="仿宋" w:hAnsi="仿宋" w:eastAsia="仿宋_GB2312"/>
          <w:bCs/>
          <w:color w:val="000000"/>
          <w:sz w:val="44"/>
          <w:szCs w:val="44"/>
        </w:rPr>
        <w:t>月底前至少提出</w:t>
      </w:r>
      <w:r>
        <w:rPr>
          <w:rFonts w:eastAsia="仿宋_GB2312"/>
          <w:bCs/>
          <w:color w:val="000000"/>
          <w:sz w:val="44"/>
          <w:szCs w:val="44"/>
        </w:rPr>
        <w:t>1</w:t>
      </w:r>
      <w:r>
        <w:rPr>
          <w:rFonts w:ascii="仿宋" w:hAnsi="仿宋" w:eastAsia="仿宋_GB2312"/>
          <w:bCs/>
          <w:color w:val="000000"/>
          <w:sz w:val="44"/>
          <w:szCs w:val="44"/>
        </w:rPr>
        <w:t>项免申即享事项，纳入“湘易办”免申即享专区模块，按照“应进尽进”原则，形成惠企政策免申即享清单（含对继续生效的存量政策有关申报条件进行量化调整后可免申请的事项），并</w:t>
      </w:r>
      <w:r>
        <w:rPr>
          <w:rFonts w:hint="eastAsia" w:ascii="仿宋" w:hAnsi="仿宋" w:eastAsia="仿宋_GB2312"/>
          <w:bCs/>
          <w:color w:val="000000"/>
          <w:sz w:val="44"/>
          <w:szCs w:val="44"/>
        </w:rPr>
        <w:t>实行</w:t>
      </w:r>
      <w:r>
        <w:rPr>
          <w:rFonts w:ascii="仿宋" w:hAnsi="仿宋" w:eastAsia="仿宋_GB2312"/>
          <w:bCs/>
          <w:color w:val="000000"/>
          <w:sz w:val="44"/>
          <w:szCs w:val="44"/>
        </w:rPr>
        <w:t>动态调整更新。原则上普惠性政策全面纳入免申即享服务范围</w:t>
      </w:r>
      <w:r>
        <w:rPr>
          <w:rFonts w:hint="eastAsia" w:ascii="仿宋" w:hAnsi="仿宋" w:eastAsia="仿宋_GB2312"/>
          <w:bCs/>
          <w:color w:val="000000"/>
          <w:sz w:val="44"/>
          <w:szCs w:val="44"/>
        </w:rPr>
        <w:t>、</w:t>
      </w:r>
      <w:r>
        <w:rPr>
          <w:rFonts w:ascii="仿宋" w:hAnsi="仿宋" w:eastAsia="仿宋_GB2312"/>
          <w:bCs/>
          <w:color w:val="000000"/>
          <w:sz w:val="44"/>
          <w:szCs w:val="44"/>
        </w:rPr>
        <w:t>当年政策当年兑现。</w:t>
      </w:r>
      <w:r>
        <w:rPr>
          <w:rFonts w:ascii="楷体" w:hAnsi="楷体" w:eastAsia="楷体"/>
          <w:bCs/>
          <w:color w:val="000000"/>
          <w:sz w:val="44"/>
          <w:szCs w:val="44"/>
        </w:rPr>
        <w:t>（责任单位：惠企政策制定单位、省数据局）</w:t>
      </w:r>
    </w:p>
    <w:p>
      <w:pPr>
        <w:overflowPunct w:val="0"/>
        <w:autoSpaceDE w:val="0"/>
        <w:autoSpaceDN w:val="0"/>
        <w:adjustRightInd w:val="0"/>
        <w:snapToGrid w:val="0"/>
        <w:spacing w:line="660" w:lineRule="exact"/>
        <w:ind w:firstLine="872" w:firstLineChars="200"/>
        <w:rPr>
          <w:rFonts w:ascii="楷体" w:hAnsi="楷体" w:eastAsia="楷体"/>
          <w:bCs/>
          <w:color w:val="000000"/>
          <w:spacing w:val="-2"/>
          <w:sz w:val="44"/>
          <w:szCs w:val="44"/>
        </w:rPr>
      </w:pPr>
      <w:r>
        <w:rPr>
          <w:rFonts w:ascii="黑体" w:hAnsi="黑体" w:eastAsia="黑体"/>
          <w:bCs/>
          <w:color w:val="000000"/>
          <w:spacing w:val="-2"/>
          <w:sz w:val="44"/>
          <w:szCs w:val="44"/>
        </w:rPr>
        <w:t>三、</w:t>
      </w:r>
      <w:r>
        <w:rPr>
          <w:rFonts w:hint="eastAsia" w:ascii="黑体" w:hAnsi="黑体" w:eastAsia="黑体"/>
          <w:bCs/>
          <w:color w:val="000000"/>
          <w:spacing w:val="-2"/>
          <w:sz w:val="44"/>
          <w:szCs w:val="44"/>
        </w:rPr>
        <w:t>促进惠企政策</w:t>
      </w:r>
      <w:r>
        <w:rPr>
          <w:rFonts w:ascii="黑体" w:hAnsi="黑体" w:eastAsia="黑体"/>
          <w:bCs/>
          <w:color w:val="000000"/>
          <w:spacing w:val="-2"/>
          <w:sz w:val="44"/>
          <w:szCs w:val="44"/>
        </w:rPr>
        <w:t>直达快享。</w:t>
      </w:r>
      <w:r>
        <w:rPr>
          <w:rFonts w:ascii="仿宋" w:hAnsi="仿宋" w:eastAsia="仿宋_GB2312"/>
          <w:bCs/>
          <w:color w:val="000000"/>
          <w:spacing w:val="-2"/>
          <w:sz w:val="44"/>
          <w:szCs w:val="44"/>
        </w:rPr>
        <w:t>加强</w:t>
      </w:r>
      <w:r>
        <w:rPr>
          <w:rFonts w:hint="eastAsia" w:ascii="仿宋" w:hAnsi="仿宋" w:eastAsia="仿宋_GB2312"/>
          <w:bCs/>
          <w:color w:val="000000"/>
          <w:spacing w:val="-2"/>
          <w:sz w:val="44"/>
          <w:szCs w:val="44"/>
        </w:rPr>
        <w:t>惠企政策</w:t>
      </w:r>
      <w:r>
        <w:rPr>
          <w:rFonts w:ascii="仿宋" w:hAnsi="仿宋" w:eastAsia="仿宋_GB2312"/>
          <w:bCs/>
          <w:color w:val="000000"/>
          <w:spacing w:val="-2"/>
          <w:sz w:val="44"/>
          <w:szCs w:val="44"/>
        </w:rPr>
        <w:t>主管部门</w:t>
      </w:r>
      <w:r>
        <w:rPr>
          <w:rFonts w:hint="eastAsia" w:ascii="仿宋" w:hAnsi="仿宋" w:eastAsia="仿宋_GB2312"/>
          <w:bCs/>
          <w:color w:val="000000"/>
          <w:spacing w:val="-2"/>
          <w:sz w:val="44"/>
          <w:szCs w:val="44"/>
        </w:rPr>
        <w:t>政策申领</w:t>
      </w:r>
      <w:r>
        <w:rPr>
          <w:rFonts w:ascii="仿宋" w:hAnsi="仿宋" w:eastAsia="仿宋_GB2312"/>
          <w:bCs/>
          <w:color w:val="000000"/>
          <w:spacing w:val="-2"/>
          <w:sz w:val="44"/>
          <w:szCs w:val="44"/>
        </w:rPr>
        <w:t>审核系统与“湘易办”政策兑现系统及财政预算管理一体化系统深度对接融合，探索惠企项目申报在政策兑现系统统一取码、一码贯通。建立涉企奖补资金拨付全过程监督管理机制，严肃查处各级财政留存、拖延、挪用应拨付企业资金</w:t>
      </w:r>
      <w:r>
        <w:rPr>
          <w:rFonts w:hint="eastAsia" w:ascii="仿宋" w:hAnsi="仿宋" w:eastAsia="仿宋_GB2312"/>
          <w:bCs/>
          <w:color w:val="000000"/>
          <w:spacing w:val="-2"/>
          <w:sz w:val="44"/>
          <w:szCs w:val="44"/>
        </w:rPr>
        <w:t>行为</w:t>
      </w:r>
      <w:r>
        <w:rPr>
          <w:rFonts w:ascii="仿宋" w:hAnsi="仿宋" w:eastAsia="仿宋_GB2312"/>
          <w:bCs/>
          <w:color w:val="000000"/>
          <w:spacing w:val="-2"/>
          <w:sz w:val="44"/>
          <w:szCs w:val="44"/>
        </w:rPr>
        <w:t>。</w:t>
      </w:r>
      <w:r>
        <w:rPr>
          <w:rFonts w:ascii="楷体" w:hAnsi="楷体" w:eastAsia="楷体"/>
          <w:bCs/>
          <w:color w:val="000000"/>
          <w:spacing w:val="-2"/>
          <w:sz w:val="44"/>
          <w:szCs w:val="44"/>
        </w:rPr>
        <w:t>（责任单位：惠企政策制定单位、省财政厅、省数据局）</w:t>
      </w:r>
    </w:p>
    <w:p>
      <w:pPr>
        <w:overflowPunct w:val="0"/>
        <w:autoSpaceDE w:val="0"/>
        <w:autoSpaceDN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四、</w:t>
      </w:r>
      <w:r>
        <w:rPr>
          <w:rFonts w:hint="eastAsia" w:ascii="黑体" w:hAnsi="黑体" w:eastAsia="黑体"/>
          <w:bCs/>
          <w:color w:val="000000"/>
          <w:sz w:val="44"/>
          <w:szCs w:val="44"/>
        </w:rPr>
        <w:t>提升惠企政策申报透明度</w:t>
      </w:r>
      <w:r>
        <w:rPr>
          <w:rFonts w:ascii="黑体" w:hAnsi="黑体" w:eastAsia="黑体"/>
          <w:bCs/>
          <w:color w:val="000000"/>
          <w:sz w:val="44"/>
          <w:szCs w:val="44"/>
        </w:rPr>
        <w:t>。</w:t>
      </w:r>
      <w:r>
        <w:rPr>
          <w:rFonts w:ascii="仿宋" w:hAnsi="仿宋" w:eastAsia="仿宋_GB2312"/>
          <w:bCs/>
          <w:color w:val="000000"/>
          <w:sz w:val="44"/>
          <w:szCs w:val="44"/>
        </w:rPr>
        <w:t>申报类惠企政策应当简化申报条件、流程，除涉密项目外，申报进度、申报结果在“湘易办”政策兑现系统实时展示，对未申报成功的同步反馈原因，实现阳光运行。</w:t>
      </w:r>
      <w:r>
        <w:rPr>
          <w:rFonts w:ascii="楷体" w:hAnsi="楷体" w:eastAsia="楷体"/>
          <w:bCs/>
          <w:color w:val="000000"/>
          <w:sz w:val="44"/>
          <w:szCs w:val="44"/>
        </w:rPr>
        <w:t>（责任单位：惠企政策制定单位、省数据局、省财政厅）</w:t>
      </w:r>
    </w:p>
    <w:p>
      <w:pPr>
        <w:overflowPunct w:val="0"/>
        <w:autoSpaceDE w:val="0"/>
        <w:autoSpaceDN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五、全面推广</w:t>
      </w:r>
      <w:r>
        <w:rPr>
          <w:rFonts w:hint="eastAsia" w:ascii="黑体" w:hAnsi="黑体" w:eastAsia="黑体"/>
          <w:bCs/>
          <w:color w:val="000000"/>
          <w:sz w:val="44"/>
          <w:szCs w:val="44"/>
        </w:rPr>
        <w:t>“</w:t>
      </w:r>
      <w:r>
        <w:rPr>
          <w:rFonts w:ascii="黑体" w:hAnsi="黑体" w:eastAsia="黑体"/>
          <w:bCs/>
          <w:color w:val="000000"/>
          <w:sz w:val="44"/>
          <w:szCs w:val="44"/>
        </w:rPr>
        <w:t>机器管招投标</w:t>
      </w:r>
      <w:r>
        <w:rPr>
          <w:rFonts w:hint="eastAsia" w:ascii="黑体" w:hAnsi="黑体" w:eastAsia="黑体"/>
          <w:bCs/>
          <w:color w:val="000000"/>
          <w:sz w:val="44"/>
          <w:szCs w:val="44"/>
        </w:rPr>
        <w:t>”</w:t>
      </w:r>
      <w:r>
        <w:rPr>
          <w:rFonts w:ascii="黑体" w:hAnsi="黑体" w:eastAsia="黑体"/>
          <w:bCs/>
          <w:color w:val="000000"/>
          <w:sz w:val="44"/>
          <w:szCs w:val="44"/>
        </w:rPr>
        <w:t>。</w:t>
      </w:r>
      <w:r>
        <w:rPr>
          <w:rFonts w:ascii="仿宋" w:hAnsi="仿宋" w:eastAsia="仿宋_GB2312"/>
          <w:bCs/>
          <w:color w:val="000000"/>
          <w:sz w:val="44"/>
          <w:szCs w:val="44"/>
        </w:rPr>
        <w:t>推行机器管范本、管招标、管评标、管监管组织“四管”模式</w:t>
      </w:r>
      <w:r>
        <w:rPr>
          <w:rFonts w:hint="eastAsia" w:ascii="仿宋" w:hAnsi="仿宋" w:eastAsia="仿宋_GB2312"/>
          <w:bCs/>
          <w:color w:val="000000"/>
          <w:sz w:val="44"/>
          <w:szCs w:val="44"/>
        </w:rPr>
        <w:t>。</w:t>
      </w:r>
      <w:r>
        <w:rPr>
          <w:rFonts w:ascii="仿宋" w:hAnsi="仿宋" w:eastAsia="仿宋_GB2312"/>
          <w:bCs/>
          <w:color w:val="000000"/>
          <w:sz w:val="44"/>
          <w:szCs w:val="44"/>
        </w:rPr>
        <w:t>建立招标投标活动综合监管与行业监管相结合的协同机制，优化电子招标投标平台体系，实行“省建市用”。</w:t>
      </w:r>
      <w:r>
        <w:rPr>
          <w:rFonts w:ascii="楷体" w:hAnsi="楷体" w:eastAsia="楷体"/>
          <w:bCs/>
          <w:color w:val="000000"/>
          <w:sz w:val="44"/>
          <w:szCs w:val="44"/>
        </w:rPr>
        <w:t>（责任单位：省发展改革委、省公共资源交易中心、各行业主管部门）</w:t>
      </w:r>
    </w:p>
    <w:p>
      <w:pPr>
        <w:overflowPunct w:val="0"/>
        <w:autoSpaceDE w:val="0"/>
        <w:autoSpaceDN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六、</w:t>
      </w:r>
      <w:r>
        <w:rPr>
          <w:rFonts w:hint="eastAsia" w:ascii="黑体" w:hAnsi="黑体" w:eastAsia="黑体"/>
          <w:bCs/>
          <w:color w:val="000000"/>
          <w:sz w:val="44"/>
          <w:szCs w:val="44"/>
        </w:rPr>
        <w:t>加强招投标全链条</w:t>
      </w:r>
      <w:r>
        <w:rPr>
          <w:rFonts w:ascii="黑体" w:hAnsi="黑体" w:eastAsia="黑体"/>
          <w:bCs/>
          <w:color w:val="000000"/>
          <w:sz w:val="44"/>
          <w:szCs w:val="44"/>
        </w:rPr>
        <w:t>监管。</w:t>
      </w:r>
      <w:r>
        <w:rPr>
          <w:rFonts w:ascii="仿宋" w:hAnsi="仿宋" w:eastAsia="仿宋_GB2312"/>
          <w:bCs/>
          <w:color w:val="000000"/>
          <w:sz w:val="44"/>
          <w:szCs w:val="44"/>
        </w:rPr>
        <w:t>制定工程建设项目招标投标信用评价管理办法，建立相应指标体系，对失信招标投标主体进行联合惩戒。制定招标投标后评估有关管理制度，利用大数据智能预警等科技手段，强化事前、事中、事后全链条监管。</w:t>
      </w:r>
      <w:r>
        <w:rPr>
          <w:rFonts w:ascii="楷体" w:hAnsi="楷体" w:eastAsia="楷体"/>
          <w:bCs/>
          <w:color w:val="000000"/>
          <w:sz w:val="44"/>
          <w:szCs w:val="44"/>
        </w:rPr>
        <w:t>（责任单位：省发展改革委、省公共资源交易中心、各行业主管部门）</w:t>
      </w:r>
    </w:p>
    <w:p>
      <w:pPr>
        <w:overflowPunct w:val="0"/>
        <w:autoSpaceDE w:val="0"/>
        <w:autoSpaceDN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七、全面推广保函代替保证金</w:t>
      </w:r>
      <w:r>
        <w:rPr>
          <w:rFonts w:hint="eastAsia" w:ascii="黑体" w:hAnsi="黑体" w:eastAsia="黑体"/>
          <w:bCs/>
          <w:color w:val="000000"/>
          <w:sz w:val="44"/>
          <w:szCs w:val="44"/>
        </w:rPr>
        <w:t>。</w:t>
      </w:r>
      <w:r>
        <w:rPr>
          <w:rFonts w:ascii="仿宋" w:hAnsi="仿宋" w:eastAsia="仿宋_GB2312"/>
          <w:bCs/>
          <w:color w:val="000000"/>
          <w:sz w:val="44"/>
          <w:szCs w:val="44"/>
        </w:rPr>
        <w:t>上线电子保函接收系统，全面接收银行、保险、融资担保等机构开具的保函，实现一次接入、全省通用。实现</w:t>
      </w:r>
      <w:r>
        <w:rPr>
          <w:rFonts w:eastAsia="仿宋_GB2312"/>
          <w:bCs/>
          <w:color w:val="000000"/>
          <w:sz w:val="44"/>
          <w:szCs w:val="44"/>
        </w:rPr>
        <w:t>30</w:t>
      </w:r>
      <w:r>
        <w:rPr>
          <w:rFonts w:ascii="仿宋" w:hAnsi="仿宋" w:eastAsia="仿宋_GB2312"/>
          <w:bCs/>
          <w:color w:val="000000"/>
          <w:sz w:val="44"/>
          <w:szCs w:val="44"/>
        </w:rPr>
        <w:t>个以上符合标准的移动数字证书（</w:t>
      </w:r>
      <w:r>
        <w:rPr>
          <w:rFonts w:eastAsia="仿宋_GB2312"/>
          <w:bCs/>
          <w:color w:val="000000"/>
          <w:sz w:val="44"/>
          <w:szCs w:val="44"/>
        </w:rPr>
        <w:t>CA</w:t>
      </w:r>
      <w:r>
        <w:rPr>
          <w:rFonts w:ascii="仿宋" w:hAnsi="仿宋" w:eastAsia="仿宋_GB2312"/>
          <w:bCs/>
          <w:color w:val="000000"/>
          <w:sz w:val="44"/>
          <w:szCs w:val="44"/>
        </w:rPr>
        <w:t>）和相应符合国家标准的电子印章全国互认。</w:t>
      </w:r>
      <w:r>
        <w:rPr>
          <w:rFonts w:ascii="楷体" w:hAnsi="楷体" w:eastAsia="楷体"/>
          <w:bCs/>
          <w:color w:val="000000"/>
          <w:sz w:val="44"/>
          <w:szCs w:val="44"/>
        </w:rPr>
        <w:t>（责任单位：省发展改革委、省公共资源交易中心、各行业主管部门）</w:t>
      </w:r>
    </w:p>
    <w:p>
      <w:pPr>
        <w:overflowPunct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八、降低</w:t>
      </w:r>
      <w:r>
        <w:rPr>
          <w:rFonts w:hint="eastAsia" w:ascii="黑体" w:hAnsi="黑体" w:eastAsia="黑体"/>
          <w:bCs/>
          <w:color w:val="000000"/>
          <w:sz w:val="44"/>
          <w:szCs w:val="44"/>
        </w:rPr>
        <w:t>物流</w:t>
      </w:r>
      <w:r>
        <w:rPr>
          <w:rFonts w:ascii="黑体" w:hAnsi="黑体" w:eastAsia="黑体"/>
          <w:bCs/>
          <w:color w:val="000000"/>
          <w:sz w:val="44"/>
          <w:szCs w:val="44"/>
        </w:rPr>
        <w:t>费用。</w:t>
      </w:r>
      <w:r>
        <w:rPr>
          <w:rFonts w:ascii="仿宋" w:hAnsi="仿宋" w:eastAsia="仿宋_GB2312"/>
          <w:bCs/>
          <w:color w:val="000000"/>
          <w:sz w:val="44"/>
          <w:szCs w:val="44"/>
        </w:rPr>
        <w:t>完善高速公路按车型、时段、路段、距离等实施差异化收费机制，探索制定货运车辆同城本地上下免费、低峰时段下调费用、“递远递减”等优惠政策。鼓励市州对往返于城区与货运站场、港口、空港及园区的集装箱运输车辆和厢式货运车辆实行通行费“先扣后返、全额补贴”。实施更为灵活的铁路运价下浮政策，探索优化仓储及设施设备租</w:t>
      </w:r>
      <w:r>
        <w:rPr>
          <w:rFonts w:hint="eastAsia" w:ascii="仿宋" w:hAnsi="仿宋" w:eastAsia="仿宋_GB2312"/>
          <w:bCs/>
          <w:color w:val="000000"/>
          <w:sz w:val="44"/>
          <w:szCs w:val="44"/>
        </w:rPr>
        <w:t>用</w:t>
      </w:r>
      <w:r>
        <w:rPr>
          <w:rFonts w:ascii="仿宋" w:hAnsi="仿宋" w:eastAsia="仿宋_GB2312"/>
          <w:bCs/>
          <w:color w:val="000000"/>
          <w:sz w:val="44"/>
          <w:szCs w:val="44"/>
        </w:rPr>
        <w:t>占用市场化收费，大力拓展物流总包业务。加快构建水上运输多式联运系统，推动“一票制”全程物流服务。</w:t>
      </w:r>
      <w:r>
        <w:rPr>
          <w:rFonts w:ascii="楷体" w:hAnsi="楷体" w:eastAsia="楷体"/>
          <w:bCs/>
          <w:color w:val="000000"/>
          <w:sz w:val="44"/>
          <w:szCs w:val="44"/>
        </w:rPr>
        <w:t>（责任单位：省交通运输厅、省发展改革委、</w:t>
      </w:r>
      <w:r>
        <w:rPr>
          <w:rFonts w:hint="eastAsia" w:ascii="楷体" w:hAnsi="楷体" w:eastAsia="楷体"/>
          <w:bCs/>
          <w:color w:val="000000"/>
          <w:sz w:val="44"/>
          <w:szCs w:val="44"/>
        </w:rPr>
        <w:t>省</w:t>
      </w:r>
      <w:r>
        <w:rPr>
          <w:rFonts w:ascii="楷体" w:hAnsi="楷体" w:eastAsia="楷体"/>
          <w:bCs/>
          <w:color w:val="000000"/>
          <w:sz w:val="44"/>
          <w:szCs w:val="44"/>
        </w:rPr>
        <w:t>高速集团、广铁集团长沙铁路物流中心、省港航水利集团）</w:t>
      </w:r>
    </w:p>
    <w:p>
      <w:pPr>
        <w:overflowPunct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九、降低用地成本。</w:t>
      </w:r>
      <w:r>
        <w:rPr>
          <w:rFonts w:ascii="仿宋" w:hAnsi="仿宋" w:eastAsia="仿宋_GB2312"/>
          <w:bCs/>
          <w:color w:val="000000"/>
          <w:sz w:val="44"/>
          <w:szCs w:val="44"/>
        </w:rPr>
        <w:t>深化“批供同步”改革，统筹推进涉及多部门和跨层级办理的征地、拆迁、批地、供地、规划设计、办证等事项，推广“交地交证即开工”“标准地+承诺制”“弹性供地”“先租后让、租让结合”等</w:t>
      </w:r>
      <w:r>
        <w:rPr>
          <w:rFonts w:hint="eastAsia" w:ascii="仿宋" w:hAnsi="仿宋" w:eastAsia="仿宋_GB2312"/>
          <w:bCs/>
          <w:color w:val="000000"/>
          <w:sz w:val="44"/>
          <w:szCs w:val="44"/>
        </w:rPr>
        <w:t>模式</w:t>
      </w:r>
      <w:r>
        <w:rPr>
          <w:rFonts w:ascii="仿宋" w:hAnsi="仿宋" w:eastAsia="仿宋_GB2312"/>
          <w:bCs/>
          <w:color w:val="000000"/>
          <w:sz w:val="44"/>
          <w:szCs w:val="44"/>
        </w:rPr>
        <w:t>。</w:t>
      </w:r>
      <w:r>
        <w:rPr>
          <w:rFonts w:ascii="楷体" w:hAnsi="楷体" w:eastAsia="楷体"/>
          <w:bCs/>
          <w:color w:val="000000"/>
          <w:sz w:val="44"/>
          <w:szCs w:val="44"/>
        </w:rPr>
        <w:t>（责任单位：省自然资源厅等省直相关部门）</w:t>
      </w:r>
    </w:p>
    <w:p>
      <w:pPr>
        <w:tabs>
          <w:tab w:val="left" w:pos="7350"/>
        </w:tabs>
        <w:overflowPunct w:val="0"/>
        <w:adjustRightInd w:val="0"/>
        <w:snapToGrid w:val="0"/>
        <w:spacing w:line="660" w:lineRule="exact"/>
        <w:ind w:firstLine="880" w:firstLineChars="200"/>
        <w:rPr>
          <w:rFonts w:ascii="楷体" w:hAnsi="楷体" w:eastAsia="楷体"/>
          <w:bCs/>
          <w:color w:val="000000"/>
          <w:sz w:val="44"/>
          <w:szCs w:val="44"/>
        </w:rPr>
      </w:pPr>
      <w:r>
        <w:rPr>
          <w:rFonts w:ascii="黑体" w:hAnsi="黑体" w:eastAsia="黑体"/>
          <w:bCs/>
          <w:color w:val="000000"/>
          <w:sz w:val="44"/>
          <w:szCs w:val="44"/>
        </w:rPr>
        <w:t>十、提高融资效能。</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F1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2025-07-04T02:34:41Z</dcterms:created>
  <dc:creator>Administrator</dc:creator>
  <cp:lastModifiedBy>Administrator</cp:lastModifiedBy>
  <dcterms:modified xsi:type="dcterms:W3CDTF">2025-07-04T02:34:56Z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9383CEE342E2456C99DFB2C86567839C</vt:lpwstr>
  </property>
</Properties>
</file>