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方正仿宋简体" w:hAnsi="宋体" w:eastAsia="方正仿宋简体"/>
          <w:b/>
          <w:sz w:val="30"/>
          <w:szCs w:val="30"/>
        </w:rPr>
      </w:pPr>
    </w:p>
    <w:p>
      <w:pPr>
        <w:spacing w:line="500" w:lineRule="exact"/>
        <w:rPr>
          <w:rFonts w:ascii="方正仿宋简体" w:hAnsi="宋体" w:eastAsia="方正仿宋简体"/>
          <w:b/>
          <w:sz w:val="30"/>
          <w:szCs w:val="30"/>
        </w:rPr>
      </w:pPr>
    </w:p>
    <w:p>
      <w:pPr>
        <w:spacing w:line="500" w:lineRule="exact"/>
        <w:rPr>
          <w:rFonts w:ascii="方正仿宋简体" w:hAnsi="宋体" w:eastAsia="方正仿宋简体"/>
          <w:b/>
          <w:sz w:val="30"/>
          <w:szCs w:val="30"/>
        </w:rPr>
      </w:pPr>
    </w:p>
    <w:p>
      <w:pPr>
        <w:spacing w:line="500" w:lineRule="exact"/>
        <w:rPr>
          <w:rFonts w:ascii="方正仿宋简体" w:hAnsi="宋体" w:eastAsia="方正仿宋简体"/>
          <w:b/>
          <w:sz w:val="30"/>
          <w:szCs w:val="30"/>
        </w:rPr>
      </w:pPr>
    </w:p>
    <w:p>
      <w:pPr>
        <w:spacing w:line="500" w:lineRule="exact"/>
        <w:rPr>
          <w:rFonts w:ascii="方正仿宋简体" w:hAnsi="宋体" w:eastAsia="方正仿宋简体"/>
          <w:b/>
          <w:sz w:val="30"/>
          <w:szCs w:val="30"/>
        </w:rPr>
      </w:pPr>
    </w:p>
    <w:p>
      <w:pPr>
        <w:spacing w:line="500" w:lineRule="exact"/>
        <w:rPr>
          <w:rFonts w:ascii="方正仿宋简体" w:hAnsi="宋体" w:eastAsia="方正仿宋简体"/>
          <w:b/>
          <w:sz w:val="30"/>
          <w:szCs w:val="30"/>
        </w:rPr>
      </w:pPr>
    </w:p>
    <w:p>
      <w:pPr>
        <w:spacing w:line="500" w:lineRule="exact"/>
        <w:rPr>
          <w:rFonts w:ascii="方正仿宋简体" w:hAnsi="宋体" w:eastAsia="方正仿宋简体"/>
          <w:b/>
          <w:sz w:val="30"/>
          <w:szCs w:val="30"/>
        </w:rPr>
      </w:pPr>
    </w:p>
    <w:p>
      <w:pPr>
        <w:spacing w:line="200" w:lineRule="exact"/>
        <w:jc w:val="center"/>
        <w:rPr>
          <w:rFonts w:ascii="方正仿宋_GBK" w:eastAsia="方正仿宋_GBK"/>
          <w:sz w:val="36"/>
          <w:szCs w:val="36"/>
        </w:rPr>
      </w:pPr>
    </w:p>
    <w:p>
      <w:pPr>
        <w:spacing w:line="200" w:lineRule="exact"/>
        <w:jc w:val="center"/>
        <w:rPr>
          <w:rFonts w:ascii="方正仿宋_GBK" w:eastAsia="方正仿宋_GBK"/>
          <w:sz w:val="36"/>
          <w:szCs w:val="36"/>
        </w:rPr>
      </w:pPr>
    </w:p>
    <w:p>
      <w:pPr>
        <w:spacing w:line="200" w:lineRule="exact"/>
        <w:jc w:val="center"/>
        <w:rPr>
          <w:rFonts w:ascii="方正仿宋_GBK" w:eastAsia="方正仿宋_GBK"/>
          <w:sz w:val="36"/>
          <w:szCs w:val="36"/>
        </w:rPr>
      </w:pPr>
    </w:p>
    <w:p>
      <w:pPr>
        <w:spacing w:line="720" w:lineRule="exact"/>
        <w:jc w:val="center"/>
      </w:pPr>
      <w:r>
        <w:rPr>
          <w:rFonts w:hint="eastAsia" w:ascii="方正仿宋简体" w:eastAsia="方正仿宋简体"/>
          <w:spacing w:val="6"/>
          <w:sz w:val="32"/>
          <w:szCs w:val="32"/>
        </w:rPr>
        <w:t>怀政发〔</w:t>
      </w:r>
      <w:r>
        <w:rPr>
          <w:rFonts w:hint="eastAsia" w:ascii="方正仿宋简体" w:hAnsi="宋体" w:eastAsia="方正仿宋简体"/>
          <w:spacing w:val="6"/>
          <w:sz w:val="32"/>
          <w:szCs w:val="32"/>
        </w:rPr>
        <w:t>2026</w:t>
      </w:r>
      <w:r>
        <w:rPr>
          <w:rFonts w:hint="eastAsia" w:ascii="方正仿宋简体" w:eastAsia="方正仿宋简体"/>
          <w:spacing w:val="6"/>
          <w:sz w:val="32"/>
          <w:szCs w:val="32"/>
        </w:rPr>
        <w:t>〕</w:t>
      </w:r>
      <w:r>
        <w:rPr>
          <w:rFonts w:hint="eastAsia" w:ascii="方正仿宋简体" w:hAnsi="宋体" w:eastAsia="方正仿宋简体"/>
          <w:spacing w:val="6"/>
          <w:sz w:val="32"/>
          <w:szCs w:val="32"/>
        </w:rPr>
        <w:t>4</w:t>
      </w:r>
      <w:r>
        <w:rPr>
          <w:rFonts w:hint="eastAsia" w:ascii="方正仿宋简体" w:eastAsia="方正仿宋简体"/>
          <w:spacing w:val="6"/>
          <w:sz w:val="32"/>
          <w:szCs w:val="32"/>
        </w:rPr>
        <w:t>号</w:t>
      </w:r>
    </w:p>
    <w:p>
      <w:bookmarkStart w:id="101" w:name="_GoBack"/>
      <w:bookmarkEnd w:id="101"/>
    </w:p>
    <w:p>
      <w:pPr>
        <w:overflowPunct w:val="0"/>
        <w:autoSpaceDE w:val="0"/>
        <w:spacing w:line="600" w:lineRule="exact"/>
        <w:jc w:val="center"/>
        <w:rPr>
          <w:rFonts w:ascii="Times New Roman" w:hAnsi="Times New Roman" w:eastAsia="方正小标宋简体"/>
          <w:color w:val="000000" w:themeColor="text1"/>
          <w:sz w:val="44"/>
          <w:szCs w:val="44"/>
          <w14:textFill>
            <w14:solidFill>
              <w14:schemeClr w14:val="tx1"/>
            </w14:solidFill>
          </w14:textFill>
        </w:rPr>
      </w:pPr>
      <w:r>
        <w:rPr>
          <w:rFonts w:hint="eastAsia" w:ascii="Times New Roman" w:hAnsi="Times New Roman" w:eastAsia="方正小标宋简体"/>
          <w:color w:val="000000" w:themeColor="text1"/>
          <w:sz w:val="44"/>
          <w:szCs w:val="44"/>
          <w14:textFill>
            <w14:solidFill>
              <w14:schemeClr w14:val="tx1"/>
            </w14:solidFill>
          </w14:textFill>
        </w:rPr>
        <w:t>怀化市</w:t>
      </w:r>
      <w:r>
        <w:rPr>
          <w:rFonts w:ascii="Times New Roman" w:hAnsi="Times New Roman" w:eastAsia="方正小标宋简体"/>
          <w:color w:val="000000" w:themeColor="text1"/>
          <w:sz w:val="44"/>
          <w:szCs w:val="44"/>
          <w14:textFill>
            <w14:solidFill>
              <w14:schemeClr w14:val="tx1"/>
            </w14:solidFill>
          </w14:textFill>
        </w:rPr>
        <w:t>人民政府</w:t>
      </w:r>
    </w:p>
    <w:p>
      <w:pPr>
        <w:overflowPunct w:val="0"/>
        <w:autoSpaceDE w:val="0"/>
        <w:spacing w:line="600" w:lineRule="exact"/>
        <w:jc w:val="center"/>
        <w:rPr>
          <w:rFonts w:ascii="Times New Roman" w:hAnsi="Times New Roman" w:eastAsia="方正小标宋简体"/>
          <w:color w:val="000000" w:themeColor="text1"/>
          <w:sz w:val="44"/>
          <w:szCs w:val="44"/>
          <w14:textFill>
            <w14:solidFill>
              <w14:schemeClr w14:val="tx1"/>
            </w14:solidFill>
          </w14:textFill>
        </w:rPr>
      </w:pPr>
      <w:r>
        <w:rPr>
          <w:rFonts w:ascii="Times New Roman" w:hAnsi="Times New Roman" w:eastAsia="方正小标宋简体"/>
          <w:color w:val="000000" w:themeColor="text1"/>
          <w:sz w:val="44"/>
          <w:szCs w:val="44"/>
          <w14:textFill>
            <w14:solidFill>
              <w14:schemeClr w14:val="tx1"/>
            </w14:solidFill>
          </w14:textFill>
        </w:rPr>
        <w:t>关于印发《</w:t>
      </w:r>
      <w:r>
        <w:rPr>
          <w:rFonts w:hint="eastAsia" w:ascii="Times New Roman" w:hAnsi="Times New Roman" w:eastAsia="方正小标宋简体"/>
          <w:color w:val="000000" w:themeColor="text1"/>
          <w:sz w:val="44"/>
          <w:szCs w:val="44"/>
          <w14:textFill>
            <w14:solidFill>
              <w14:schemeClr w14:val="tx1"/>
            </w14:solidFill>
          </w14:textFill>
        </w:rPr>
        <w:t>怀化市</w:t>
      </w:r>
      <w:r>
        <w:rPr>
          <w:rFonts w:ascii="Times New Roman" w:hAnsi="Times New Roman" w:eastAsia="方正小标宋简体"/>
          <w:color w:val="000000" w:themeColor="text1"/>
          <w:sz w:val="44"/>
          <w:szCs w:val="44"/>
          <w14:textFill>
            <w14:solidFill>
              <w14:schemeClr w14:val="tx1"/>
            </w14:solidFill>
          </w14:textFill>
        </w:rPr>
        <w:t>国民经济和社会发展</w:t>
      </w:r>
    </w:p>
    <w:p>
      <w:pPr>
        <w:overflowPunct w:val="0"/>
        <w:autoSpaceDE w:val="0"/>
        <w:spacing w:line="600" w:lineRule="exact"/>
        <w:jc w:val="center"/>
        <w:rPr>
          <w:rFonts w:ascii="Times New Roman" w:hAnsi="Times New Roman" w:eastAsia="方正小标宋简体"/>
          <w:color w:val="000000" w:themeColor="text1"/>
          <w:sz w:val="44"/>
          <w:szCs w:val="44"/>
          <w14:textFill>
            <w14:solidFill>
              <w14:schemeClr w14:val="tx1"/>
            </w14:solidFill>
          </w14:textFill>
        </w:rPr>
      </w:pPr>
      <w:r>
        <w:rPr>
          <w:rFonts w:ascii="Times New Roman" w:hAnsi="Times New Roman" w:eastAsia="方正小标宋简体"/>
          <w:color w:val="000000" w:themeColor="text1"/>
          <w:sz w:val="44"/>
          <w:szCs w:val="44"/>
          <w14:textFill>
            <w14:solidFill>
              <w14:schemeClr w14:val="tx1"/>
            </w14:solidFill>
          </w14:textFill>
        </w:rPr>
        <w:t>第十五个五年规划纲要》的通知</w:t>
      </w:r>
    </w:p>
    <w:p>
      <w:pPr>
        <w:overflowPunct w:val="0"/>
        <w:autoSpaceDE w:val="0"/>
        <w:spacing w:line="460" w:lineRule="exact"/>
        <w:ind w:firstLine="420" w:firstLineChars="200"/>
        <w:rPr>
          <w:rFonts w:ascii="Times New Roman" w:hAnsi="Times New Roman" w:eastAsia="仿宋_GB2312"/>
          <w:color w:val="000000" w:themeColor="text1"/>
          <w14:textFill>
            <w14:solidFill>
              <w14:schemeClr w14:val="tx1"/>
            </w14:solidFill>
          </w14:textFill>
        </w:rPr>
      </w:pPr>
    </w:p>
    <w:p>
      <w:pPr>
        <w:overflowPunct w:val="0"/>
        <w:autoSpaceDE w:val="0"/>
        <w:spacing w:line="560" w:lineRule="exact"/>
        <w:rPr>
          <w:rFonts w:ascii="方正仿宋简体" w:hAnsi="Times New Roman" w:eastAsia="方正仿宋简体"/>
          <w:color w:val="000000" w:themeColor="text1"/>
          <w:sz w:val="32"/>
          <w:szCs w:val="32"/>
          <w14:textFill>
            <w14:solidFill>
              <w14:schemeClr w14:val="tx1"/>
            </w14:solidFill>
          </w14:textFill>
        </w:rPr>
      </w:pPr>
      <w:r>
        <w:rPr>
          <w:rFonts w:hint="eastAsia" w:ascii="方正仿宋简体" w:hAnsi="Times New Roman" w:eastAsia="方正仿宋简体"/>
          <w:color w:val="000000" w:themeColor="text1"/>
          <w:sz w:val="32"/>
          <w:szCs w:val="32"/>
          <w14:textFill>
            <w14:solidFill>
              <w14:schemeClr w14:val="tx1"/>
            </w14:solidFill>
          </w14:textFill>
        </w:rPr>
        <w:t>各县市区人民政府，市直机关各单位，中央、省在怀各单位：</w:t>
      </w:r>
    </w:p>
    <w:p>
      <w:pPr>
        <w:overflowPunct w:val="0"/>
        <w:autoSpaceDE w:val="0"/>
        <w:spacing w:line="560" w:lineRule="exact"/>
        <w:ind w:firstLine="640" w:firstLineChars="200"/>
        <w:rPr>
          <w:rFonts w:ascii="方正仿宋简体" w:hAnsi="Times New Roman" w:eastAsia="方正仿宋简体"/>
          <w:color w:val="000000" w:themeColor="text1"/>
          <w:sz w:val="32"/>
          <w:szCs w:val="32"/>
          <w14:textFill>
            <w14:solidFill>
              <w14:schemeClr w14:val="tx1"/>
            </w14:solidFill>
          </w14:textFill>
        </w:rPr>
      </w:pPr>
      <w:r>
        <w:rPr>
          <w:rFonts w:hint="eastAsia" w:ascii="方正仿宋简体" w:hAnsi="Times New Roman" w:eastAsia="方正仿宋简体"/>
          <w:color w:val="000000" w:themeColor="text1"/>
          <w:sz w:val="32"/>
          <w:szCs w:val="32"/>
          <w14:textFill>
            <w14:solidFill>
              <w14:schemeClr w14:val="tx1"/>
            </w14:solidFill>
          </w14:textFill>
        </w:rPr>
        <w:t>《怀化市国民经济和社会发展第十五个五年规划纲要》已经怀化</w:t>
      </w:r>
      <w:r>
        <w:rPr>
          <w:rFonts w:hint="eastAsia" w:ascii="方正仿宋简体" w:hAnsi="Times New Roman" w:eastAsia="方正仿宋简体"/>
          <w:color w:val="000000" w:themeColor="text1"/>
          <w:spacing w:val="-4"/>
          <w:sz w:val="32"/>
          <w:szCs w:val="32"/>
          <w14:textFill>
            <w14:solidFill>
              <w14:schemeClr w14:val="tx1"/>
            </w14:solidFill>
          </w14:textFill>
        </w:rPr>
        <w:t>市第六届人民代表大会第五次会议审查通过，现印发给你们，请结合实际认真组织实施。</w:t>
      </w:r>
    </w:p>
    <w:p>
      <w:pPr>
        <w:overflowPunct w:val="0"/>
        <w:autoSpaceDE w:val="0"/>
        <w:spacing w:line="560" w:lineRule="exact"/>
        <w:ind w:firstLine="420" w:firstLineChars="200"/>
        <w:rPr>
          <w:rFonts w:ascii="方正仿宋简体" w:hAnsi="Times New Roman" w:eastAsia="方正仿宋简体"/>
          <w:color w:val="000000" w:themeColor="text1"/>
          <w14:textFill>
            <w14:solidFill>
              <w14:schemeClr w14:val="tx1"/>
            </w14:solidFill>
          </w14:textFill>
        </w:rPr>
      </w:pPr>
    </w:p>
    <w:p>
      <w:pPr>
        <w:pStyle w:val="2"/>
        <w:spacing w:after="0" w:line="560" w:lineRule="exact"/>
        <w:rPr>
          <w:rFonts w:ascii="方正仿宋简体" w:hAnsi="Times New Roman" w:eastAsia="方正仿宋简体"/>
        </w:rPr>
      </w:pPr>
    </w:p>
    <w:p>
      <w:pPr>
        <w:wordWrap w:val="0"/>
        <w:overflowPunct w:val="0"/>
        <w:autoSpaceDE w:val="0"/>
        <w:spacing w:line="560" w:lineRule="exact"/>
        <w:ind w:firstLine="5304" w:firstLineChars="1700"/>
        <w:jc w:val="right"/>
        <w:rPr>
          <w:rFonts w:ascii="方正仿宋简体" w:hAnsi="Times New Roman" w:eastAsia="方正仿宋简体"/>
          <w:color w:val="000000" w:themeColor="text1"/>
          <w:spacing w:val="-4"/>
          <w:sz w:val="32"/>
          <w:szCs w:val="32"/>
          <w14:textFill>
            <w14:solidFill>
              <w14:schemeClr w14:val="tx1"/>
            </w14:solidFill>
          </w14:textFill>
        </w:rPr>
      </w:pPr>
      <w:r>
        <w:rPr>
          <w:rFonts w:hint="eastAsia" w:ascii="方正仿宋简体" w:hAnsi="Times New Roman" w:eastAsia="方正仿宋简体"/>
          <w:color w:val="000000" w:themeColor="text1"/>
          <w:spacing w:val="-4"/>
          <w:sz w:val="32"/>
          <w:szCs w:val="32"/>
          <w14:textFill>
            <w14:solidFill>
              <w14:schemeClr w14:val="tx1"/>
            </w14:solidFill>
          </w14:textFill>
        </w:rPr>
        <w:t xml:space="preserve">怀化市人民政府        </w:t>
      </w:r>
    </w:p>
    <w:p>
      <w:pPr>
        <w:wordWrap w:val="0"/>
        <w:overflowPunct w:val="0"/>
        <w:autoSpaceDE w:val="0"/>
        <w:spacing w:line="560" w:lineRule="exact"/>
        <w:ind w:firstLine="5304" w:firstLineChars="1700"/>
        <w:jc w:val="right"/>
      </w:pPr>
      <w:r>
        <w:rPr>
          <w:rFonts w:hint="eastAsia" w:ascii="方正仿宋简体" w:hAnsi="Times New Roman" w:eastAsia="方正仿宋简体"/>
          <w:color w:val="000000" w:themeColor="text1"/>
          <w:spacing w:val="-4"/>
          <w:sz w:val="32"/>
          <w:szCs w:val="32"/>
          <w14:textFill>
            <w14:solidFill>
              <w14:schemeClr w14:val="tx1"/>
            </w14:solidFill>
          </w14:textFill>
        </w:rPr>
        <w:t xml:space="preserve">2026年6月5日        </w:t>
      </w:r>
    </w:p>
    <w:p>
      <w:pPr>
        <w:overflowPunct w:val="0"/>
        <w:autoSpaceDE w:val="0"/>
        <w:spacing w:line="560" w:lineRule="exact"/>
        <w:ind w:firstLine="5304" w:firstLineChars="1700"/>
        <w:jc w:val="right"/>
        <w:rPr>
          <w:rFonts w:ascii="方正仿宋简体" w:hAnsi="Times New Roman" w:eastAsia="方正仿宋简体"/>
          <w:color w:val="000000" w:themeColor="text1"/>
          <w:spacing w:val="-4"/>
          <w:sz w:val="32"/>
          <w:szCs w:val="32"/>
          <w14:textFill>
            <w14:solidFill>
              <w14:schemeClr w14:val="tx1"/>
            </w14:solidFill>
          </w14:textFill>
        </w:rPr>
      </w:pPr>
    </w:p>
    <w:p>
      <w:pPr>
        <w:pStyle w:val="2"/>
      </w:pPr>
    </w:p>
    <w:p>
      <w:pPr>
        <w:widowControl/>
        <w:jc w:val="left"/>
        <w:sectPr>
          <w:footerReference r:id="rId3" w:type="default"/>
          <w:pgSz w:w="11906" w:h="16838"/>
          <w:pgMar w:top="2098" w:right="1474" w:bottom="1985" w:left="1588" w:header="851" w:footer="992" w:gutter="0"/>
          <w:cols w:space="425" w:num="1"/>
          <w:docGrid w:type="lines" w:linePitch="312" w:charSpace="0"/>
        </w:sectPr>
      </w:pPr>
    </w:p>
    <w:p>
      <w:pPr>
        <w:pStyle w:val="13"/>
        <w:rPr>
          <w:rFonts w:eastAsia="楷体_GB2312"/>
          <w:b/>
          <w:bCs w:val="0"/>
          <w:color w:val="000000" w:themeColor="text1"/>
          <w:sz w:val="30"/>
          <w:szCs w:val="30"/>
          <w14:textFill>
            <w14:solidFill>
              <w14:schemeClr w14:val="tx1"/>
            </w14:solidFill>
          </w14:textFill>
        </w:rPr>
      </w:pPr>
      <w:bookmarkStart w:id="0" w:name="_Toc208085550"/>
      <w:bookmarkStart w:id="1" w:name="_Toc23440"/>
    </w:p>
    <w:p>
      <w:pPr>
        <w:adjustRightInd w:val="0"/>
        <w:snapToGrid w:val="0"/>
        <w:spacing w:line="360" w:lineRule="auto"/>
        <w:ind w:firstLine="880"/>
        <w:rPr>
          <w:rFonts w:eastAsia="黑体"/>
          <w:color w:val="000000" w:themeColor="text1"/>
          <w:sz w:val="44"/>
          <w:szCs w:val="44"/>
          <w14:textFill>
            <w14:solidFill>
              <w14:schemeClr w14:val="tx1"/>
            </w14:solidFill>
          </w14:textFill>
        </w:rPr>
      </w:pPr>
    </w:p>
    <w:p>
      <w:pPr>
        <w:pStyle w:val="2"/>
        <w:rPr>
          <w:color w:val="000000" w:themeColor="text1"/>
          <w14:textFill>
            <w14:solidFill>
              <w14:schemeClr w14:val="tx1"/>
            </w14:solidFill>
          </w14:textFill>
        </w:rPr>
      </w:pPr>
    </w:p>
    <w:p>
      <w:pPr>
        <w:adjustRightInd w:val="0"/>
        <w:snapToGrid w:val="0"/>
        <w:spacing w:line="700" w:lineRule="exact"/>
        <w:jc w:val="center"/>
        <w:rPr>
          <w:rFonts w:eastAsia="方正小标宋_GBK"/>
          <w:color w:val="000000" w:themeColor="text1"/>
          <w:sz w:val="48"/>
          <w:szCs w:val="48"/>
          <w14:textFill>
            <w14:solidFill>
              <w14:schemeClr w14:val="tx1"/>
            </w14:solidFill>
          </w14:textFill>
        </w:rPr>
      </w:pPr>
      <w:r>
        <w:rPr>
          <w:rFonts w:ascii="Times New Roman" w:hAnsi="Times New Roman" w:eastAsia="方正小标宋_GBK" w:cs="Times New Roman"/>
          <w:color w:val="000000" w:themeColor="text1"/>
          <w:sz w:val="48"/>
          <w:szCs w:val="48"/>
          <w14:textFill>
            <w14:solidFill>
              <w14:schemeClr w14:val="tx1"/>
            </w14:solidFill>
          </w14:textFill>
        </w:rPr>
        <w:t>怀化市国民经济和社会发展</w:t>
      </w:r>
    </w:p>
    <w:p>
      <w:pPr>
        <w:adjustRightInd w:val="0"/>
        <w:snapToGrid w:val="0"/>
        <w:spacing w:line="700" w:lineRule="exact"/>
        <w:jc w:val="center"/>
        <w:rPr>
          <w:rFonts w:eastAsia="方正小标宋_GBK"/>
          <w:color w:val="000000" w:themeColor="text1"/>
          <w:sz w:val="48"/>
          <w:szCs w:val="48"/>
          <w14:textFill>
            <w14:solidFill>
              <w14:schemeClr w14:val="tx1"/>
            </w14:solidFill>
          </w14:textFill>
        </w:rPr>
      </w:pPr>
      <w:r>
        <w:rPr>
          <w:rFonts w:ascii="Times New Roman" w:hAnsi="Times New Roman" w:eastAsia="方正小标宋_GBK" w:cs="Times New Roman"/>
          <w:color w:val="000000" w:themeColor="text1"/>
          <w:sz w:val="48"/>
          <w:szCs w:val="48"/>
          <w14:textFill>
            <w14:solidFill>
              <w14:schemeClr w14:val="tx1"/>
            </w14:solidFill>
          </w14:textFill>
        </w:rPr>
        <w:t>第十五个五年规划纲要</w:t>
      </w:r>
    </w:p>
    <w:p>
      <w:pPr>
        <w:adjustRightInd w:val="0"/>
        <w:snapToGrid w:val="0"/>
        <w:spacing w:line="360" w:lineRule="auto"/>
        <w:ind w:firstLine="720"/>
        <w:jc w:val="center"/>
        <w:rPr>
          <w:rFonts w:eastAsia="楷体_GB2312"/>
          <w:color w:val="000000" w:themeColor="text1"/>
          <w:sz w:val="36"/>
          <w:szCs w:val="36"/>
          <w14:textFill>
            <w14:solidFill>
              <w14:schemeClr w14:val="tx1"/>
            </w14:solidFill>
          </w14:textFill>
        </w:rPr>
      </w:pPr>
    </w:p>
    <w:p>
      <w:pPr>
        <w:adjustRightInd w:val="0"/>
        <w:snapToGrid w:val="0"/>
        <w:spacing w:line="600" w:lineRule="exact"/>
        <w:jc w:val="center"/>
        <w:rPr>
          <w:rFonts w:eastAsia="楷体_GB2312"/>
          <w:color w:val="000000" w:themeColor="text1"/>
          <w:sz w:val="36"/>
          <w:szCs w:val="36"/>
          <w14:textFill>
            <w14:solidFill>
              <w14:schemeClr w14:val="tx1"/>
            </w14:solidFill>
          </w14:textFill>
        </w:rPr>
      </w:pPr>
      <w:r>
        <w:rPr>
          <w:rFonts w:ascii="Times New Roman" w:hAnsi="Times New Roman" w:eastAsia="楷体_GB2312" w:cs="Times New Roman"/>
          <w:color w:val="000000" w:themeColor="text1"/>
          <w:sz w:val="36"/>
          <w:szCs w:val="36"/>
          <w14:textFill>
            <w14:solidFill>
              <w14:schemeClr w14:val="tx1"/>
            </w14:solidFill>
          </w14:textFill>
        </w:rPr>
        <w:t>（2025年12月28日怀化市第六届人民代表大会</w:t>
      </w:r>
    </w:p>
    <w:p>
      <w:pPr>
        <w:adjustRightInd w:val="0"/>
        <w:snapToGrid w:val="0"/>
        <w:spacing w:line="600" w:lineRule="exact"/>
        <w:jc w:val="center"/>
        <w:rPr>
          <w:rFonts w:eastAsia="楷体_GB2312"/>
          <w:color w:val="000000" w:themeColor="text1"/>
          <w:sz w:val="36"/>
          <w:szCs w:val="36"/>
          <w14:textFill>
            <w14:solidFill>
              <w14:schemeClr w14:val="tx1"/>
            </w14:solidFill>
          </w14:textFill>
        </w:rPr>
      </w:pPr>
      <w:r>
        <w:rPr>
          <w:rFonts w:ascii="Times New Roman" w:hAnsi="Times New Roman" w:eastAsia="楷体_GB2312" w:cs="Times New Roman"/>
          <w:color w:val="000000" w:themeColor="text1"/>
          <w:sz w:val="36"/>
          <w:szCs w:val="36"/>
          <w14:textFill>
            <w14:solidFill>
              <w14:schemeClr w14:val="tx1"/>
            </w14:solidFill>
          </w14:textFill>
        </w:rPr>
        <w:t>第五次会议批准）</w:t>
      </w:r>
    </w:p>
    <w:p>
      <w:pPr>
        <w:adjustRightInd w:val="0"/>
        <w:snapToGrid w:val="0"/>
        <w:spacing w:line="360" w:lineRule="auto"/>
        <w:ind w:firstLine="880"/>
        <w:rPr>
          <w:rFonts w:eastAsia="楷体_GB2312"/>
          <w:color w:val="000000" w:themeColor="text1"/>
          <w:sz w:val="44"/>
          <w:szCs w:val="44"/>
          <w14:textFill>
            <w14:solidFill>
              <w14:schemeClr w14:val="tx1"/>
            </w14:solidFill>
          </w14:textFill>
        </w:rPr>
      </w:pPr>
    </w:p>
    <w:p>
      <w:pPr>
        <w:adjustRightInd w:val="0"/>
        <w:snapToGrid w:val="0"/>
        <w:spacing w:line="360" w:lineRule="auto"/>
        <w:ind w:firstLine="880"/>
        <w:rPr>
          <w:rFonts w:eastAsia="楷体_GB2312"/>
          <w:color w:val="000000" w:themeColor="text1"/>
          <w:sz w:val="44"/>
          <w:szCs w:val="44"/>
          <w14:textFill>
            <w14:solidFill>
              <w14:schemeClr w14:val="tx1"/>
            </w14:solidFill>
          </w14:textFill>
        </w:rPr>
      </w:pPr>
    </w:p>
    <w:p>
      <w:pPr>
        <w:adjustRightInd w:val="0"/>
        <w:snapToGrid w:val="0"/>
        <w:spacing w:line="360" w:lineRule="auto"/>
        <w:ind w:firstLine="880"/>
        <w:rPr>
          <w:rFonts w:eastAsia="楷体_GB2312"/>
          <w:color w:val="000000" w:themeColor="text1"/>
          <w:sz w:val="44"/>
          <w:szCs w:val="44"/>
          <w14:textFill>
            <w14:solidFill>
              <w14:schemeClr w14:val="tx1"/>
            </w14:solidFill>
          </w14:textFill>
        </w:rPr>
      </w:pPr>
    </w:p>
    <w:p>
      <w:pPr>
        <w:pStyle w:val="13"/>
        <w:ind w:firstLine="880"/>
        <w:rPr>
          <w:rFonts w:eastAsia="楷体_GB2312"/>
          <w:color w:val="000000" w:themeColor="text1"/>
          <w:sz w:val="44"/>
          <w:szCs w:val="44"/>
          <w14:textFill>
            <w14:solidFill>
              <w14:schemeClr w14:val="tx1"/>
            </w14:solidFill>
          </w14:textFill>
        </w:rPr>
      </w:pPr>
    </w:p>
    <w:p>
      <w:pPr>
        <w:pStyle w:val="13"/>
        <w:ind w:firstLine="880"/>
        <w:rPr>
          <w:rFonts w:eastAsia="楷体_GB2312"/>
          <w:color w:val="000000" w:themeColor="text1"/>
          <w:sz w:val="44"/>
          <w:szCs w:val="44"/>
          <w14:textFill>
            <w14:solidFill>
              <w14:schemeClr w14:val="tx1"/>
            </w14:solidFill>
          </w14:textFill>
        </w:rPr>
      </w:pPr>
    </w:p>
    <w:p>
      <w:pPr>
        <w:pStyle w:val="13"/>
        <w:ind w:firstLine="880"/>
        <w:rPr>
          <w:rFonts w:eastAsia="楷体_GB2312"/>
          <w:color w:val="000000" w:themeColor="text1"/>
          <w:sz w:val="44"/>
          <w:szCs w:val="44"/>
          <w14:textFill>
            <w14:solidFill>
              <w14:schemeClr w14:val="tx1"/>
            </w14:solidFill>
          </w14:textFill>
        </w:rPr>
      </w:pPr>
    </w:p>
    <w:p>
      <w:pPr>
        <w:adjustRightInd w:val="0"/>
        <w:snapToGrid w:val="0"/>
        <w:spacing w:line="360" w:lineRule="auto"/>
        <w:ind w:firstLine="880"/>
        <w:rPr>
          <w:rFonts w:eastAsia="楷体_GB2312"/>
          <w:color w:val="000000" w:themeColor="text1"/>
          <w:sz w:val="44"/>
          <w:szCs w:val="44"/>
          <w14:textFill>
            <w14:solidFill>
              <w14:schemeClr w14:val="tx1"/>
            </w14:solidFill>
          </w14:textFill>
        </w:rPr>
      </w:pPr>
    </w:p>
    <w:p>
      <w:pPr>
        <w:ind w:firstLine="560"/>
        <w:rPr>
          <w:rFonts w:eastAsia="仿宋_GB2312"/>
          <w:color w:val="000000" w:themeColor="text1"/>
          <w:lang w:val="en"/>
          <w14:textFill>
            <w14:solidFill>
              <w14:schemeClr w14:val="tx1"/>
            </w14:solidFill>
          </w14:textFill>
        </w:rPr>
      </w:pPr>
      <w:r>
        <w:rPr>
          <w:rFonts w:ascii="Times New Roman" w:hAnsi="Times New Roman" w:eastAsia="仿宋_GB2312" w:cs="Times New Roman"/>
          <w:color w:val="000000" w:themeColor="text1"/>
          <w:lang w:val="en"/>
          <w14:textFill>
            <w14:solidFill>
              <w14:schemeClr w14:val="tx1"/>
            </w14:solidFill>
          </w14:textFill>
        </w:rPr>
        <w:br w:type="page"/>
      </w:r>
    </w:p>
    <w:p>
      <w:pPr>
        <w:pStyle w:val="9"/>
        <w:rPr>
          <w:rFonts w:eastAsia="仿宋_GB2312"/>
          <w:color w:val="000000" w:themeColor="text1"/>
          <w:lang w:val="en"/>
          <w14:textFill>
            <w14:solidFill>
              <w14:schemeClr w14:val="tx1"/>
            </w14:solidFill>
          </w14:textFill>
        </w:rPr>
      </w:pPr>
    </w:p>
    <w:p>
      <w:pPr>
        <w:rPr>
          <w:rFonts w:eastAsia="仿宋_GB2312"/>
          <w:color w:val="000000" w:themeColor="text1"/>
          <w:lang w:val="en"/>
          <w14:textFill>
            <w14:solidFill>
              <w14:schemeClr w14:val="tx1"/>
            </w14:solidFill>
          </w14:textFill>
        </w:rPr>
      </w:pPr>
    </w:p>
    <w:p>
      <w:pPr>
        <w:pStyle w:val="9"/>
        <w:rPr>
          <w:rFonts w:eastAsia="仿宋_GB2312"/>
          <w:color w:val="000000" w:themeColor="text1"/>
          <w:lang w:val="en"/>
          <w14:textFill>
            <w14:solidFill>
              <w14:schemeClr w14:val="tx1"/>
            </w14:solidFill>
          </w14:textFill>
        </w:rPr>
      </w:pPr>
    </w:p>
    <w:p>
      <w:pPr>
        <w:pStyle w:val="5"/>
        <w:ind w:firstLine="640"/>
        <w:jc w:val="both"/>
        <w:rPr>
          <w:color w:val="000000" w:themeColor="text1"/>
          <w:szCs w:val="32"/>
          <w14:textFill>
            <w14:solidFill>
              <w14:schemeClr w14:val="tx1"/>
            </w14:solidFill>
          </w14:textFill>
        </w:rPr>
        <w:sectPr>
          <w:headerReference r:id="rId6" w:type="first"/>
          <w:footerReference r:id="rId9" w:type="first"/>
          <w:headerReference r:id="rId4" w:type="default"/>
          <w:footerReference r:id="rId7" w:type="default"/>
          <w:headerReference r:id="rId5" w:type="even"/>
          <w:footerReference r:id="rId8" w:type="even"/>
          <w:pgSz w:w="11906" w:h="16838"/>
          <w:pgMar w:top="2098" w:right="1361" w:bottom="1871" w:left="1531" w:header="851" w:footer="992" w:gutter="0"/>
          <w:pgNumType w:start="1"/>
          <w:cols w:space="0" w:num="1"/>
          <w:docGrid w:type="lines" w:linePitch="312" w:charSpace="0"/>
        </w:sectPr>
      </w:pPr>
    </w:p>
    <w:sdt>
      <w:sdtPr>
        <w:rPr>
          <w:rFonts w:ascii="Times New Roman" w:hAnsi="Times New Roman" w:eastAsia="黑体" w:cs="Times New Roman"/>
          <w:bCs w:val="0"/>
          <w:color w:val="000000" w:themeColor="text1"/>
          <w:kern w:val="44"/>
          <w:sz w:val="44"/>
          <w:szCs w:val="44"/>
          <w14:textFill>
            <w14:solidFill>
              <w14:schemeClr w14:val="tx1"/>
            </w14:solidFill>
          </w14:textFill>
        </w:rPr>
        <w:id w:val="147478225"/>
        <w:docPartObj>
          <w:docPartGallery w:val="Table of Contents"/>
          <w:docPartUnique/>
        </w:docPartObj>
      </w:sdtPr>
      <w:sdtEndPr>
        <w:rPr>
          <w:rFonts w:ascii="Times New Roman" w:hAnsi="Times New Roman" w:eastAsia="黑体" w:cs="Times New Roman"/>
          <w:bCs/>
          <w:color w:val="000000" w:themeColor="text1"/>
          <w:kern w:val="44"/>
          <w:sz w:val="32"/>
          <w:szCs w:val="32"/>
          <w14:textFill>
            <w14:solidFill>
              <w14:schemeClr w14:val="tx1"/>
            </w14:solidFill>
          </w14:textFill>
        </w:rPr>
      </w:sdtEndPr>
      <w:sdtContent>
        <w:p>
          <w:pPr>
            <w:spacing w:line="580" w:lineRule="exact"/>
            <w:jc w:val="center"/>
            <w:rPr>
              <w:rFonts w:eastAsia="方正小标宋_GBK"/>
              <w:color w:val="000000" w:themeColor="text1"/>
              <w:sz w:val="44"/>
              <w:szCs w:val="44"/>
              <w14:textFill>
                <w14:solidFill>
                  <w14:schemeClr w14:val="tx1"/>
                </w14:solidFill>
              </w14:textFill>
            </w:rPr>
          </w:pPr>
          <w:r>
            <w:rPr>
              <w:rFonts w:ascii="Times New Roman" w:hAnsi="Times New Roman" w:eastAsia="方正小标宋_GBK" w:cs="Times New Roman"/>
              <w:color w:val="000000" w:themeColor="text1"/>
              <w:sz w:val="44"/>
              <w:szCs w:val="44"/>
              <w14:textFill>
                <w14:solidFill>
                  <w14:schemeClr w14:val="tx1"/>
                </w14:solidFill>
              </w14:textFill>
            </w:rPr>
            <w:t>目  录</w:t>
          </w:r>
        </w:p>
        <w:p>
          <w:pPr>
            <w:spacing w:line="580" w:lineRule="exact"/>
            <w:jc w:val="center"/>
            <w:rPr>
              <w:rFonts w:eastAsia="方正小标宋_GBK"/>
              <w:color w:val="000000" w:themeColor="text1"/>
              <w:sz w:val="40"/>
              <w:szCs w:val="40"/>
              <w14:textFill>
                <w14:solidFill>
                  <w14:schemeClr w14:val="tx1"/>
                </w14:solidFill>
              </w14:textFill>
            </w:rPr>
          </w:pPr>
        </w:p>
        <w:p>
          <w:pPr>
            <w:pStyle w:val="19"/>
            <w:tabs>
              <w:tab w:val="right" w:leader="dot" w:pos="8960"/>
            </w:tabs>
            <w:spacing w:line="580" w:lineRule="exact"/>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fldChar w:fldCharType="begin"/>
          </w:r>
          <w:r>
            <w:rPr>
              <w:rFonts w:ascii="Times New Roman" w:hAnsi="Times New Roman"/>
              <w:color w:val="000000" w:themeColor="text1"/>
              <w14:textFill>
                <w14:solidFill>
                  <w14:schemeClr w14:val="tx1"/>
                </w14:solidFill>
              </w14:textFill>
            </w:rPr>
            <w:instrText xml:space="preserve">TOC \o "1-2" \h \u </w:instrText>
          </w:r>
          <w:r>
            <w:rPr>
              <w:rFonts w:ascii="Times New Roman" w:hAnsi="Times New Roman"/>
              <w:color w:val="000000" w:themeColor="text1"/>
              <w14:textFill>
                <w14:solidFill>
                  <w14:schemeClr w14:val="tx1"/>
                </w14:solidFill>
              </w14:textFill>
            </w:rPr>
            <w:fldChar w:fldCharType="separate"/>
          </w:r>
          <w:r>
            <w:fldChar w:fldCharType="begin"/>
          </w:r>
          <w:r>
            <w:instrText xml:space="preserve"> HYPERLINK \l "_Toc173" </w:instrText>
          </w:r>
          <w:r>
            <w:fldChar w:fldCharType="separate"/>
          </w:r>
          <w:r>
            <w:rPr>
              <w:rFonts w:ascii="Times New Roman" w:hAnsi="Times New Roman"/>
              <w:color w:val="000000" w:themeColor="text1"/>
              <w14:textFill>
                <w14:solidFill>
                  <w14:schemeClr w14:val="tx1"/>
                </w14:solidFill>
              </w14:textFill>
            </w:rPr>
            <w:t>第一篇 深入实施</w:t>
          </w:r>
          <w:r>
            <w:rPr>
              <w:rFonts w:ascii="Times New Roman" w:hAnsi="Times New Roman" w:eastAsia="仿宋_GB2312"/>
              <w:color w:val="000000" w:themeColor="text1"/>
              <w14:textFill>
                <w14:solidFill>
                  <w14:schemeClr w14:val="tx1"/>
                </w14:solidFill>
              </w14:textFill>
            </w:rPr>
            <w:t>“</w:t>
          </w:r>
          <w:r>
            <w:rPr>
              <w:rFonts w:ascii="Times New Roman" w:hAnsi="Times New Roman"/>
              <w:color w:val="000000" w:themeColor="text1"/>
              <w14:textFill>
                <w14:solidFill>
                  <w14:schemeClr w14:val="tx1"/>
                </w14:solidFill>
              </w14:textFill>
            </w:rPr>
            <w:t>五新四城</w:t>
          </w:r>
          <w:r>
            <w:rPr>
              <w:rFonts w:ascii="Times New Roman" w:hAnsi="Times New Roman" w:eastAsia="仿宋_GB2312"/>
              <w:color w:val="000000" w:themeColor="text1"/>
              <w14:textFill>
                <w14:solidFill>
                  <w14:schemeClr w14:val="tx1"/>
                </w14:solidFill>
              </w14:textFill>
            </w:rPr>
            <w:t>”</w:t>
          </w:r>
          <w:r>
            <w:rPr>
              <w:rFonts w:ascii="Times New Roman" w:hAnsi="Times New Roman"/>
              <w:color w:val="000000" w:themeColor="text1"/>
              <w14:textFill>
                <w14:solidFill>
                  <w14:schemeClr w14:val="tx1"/>
                </w14:solidFill>
              </w14:textFill>
            </w:rPr>
            <w:t>战略，奋力建设湘鄂渝黔桂五省边际区域性中心城市</w:t>
          </w:r>
          <w:r>
            <w:rPr>
              <w:rFonts w:ascii="Times New Roman" w:hAnsi="Times New Roman"/>
              <w:color w:val="000000" w:themeColor="text1"/>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"_Toc23957" </w:instrText>
          </w:r>
          <w:r>
            <w:fldChar w:fldCharType="separate"/>
          </w:r>
          <w:r>
            <w:rPr>
              <w:rFonts w:eastAsia="楷体_GB2312"/>
              <w:color w:val="000000" w:themeColor="text1"/>
              <w:sz w:val="32"/>
              <w:szCs w:val="32"/>
              <w14:textFill>
                <w14:solidFill>
                  <w14:schemeClr w14:val="tx1"/>
                </w14:solidFill>
              </w14:textFill>
            </w:rPr>
            <w:t>第一章 经济社会发展取得新成就</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_Toc23957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1</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"_Toc32323" </w:instrText>
          </w:r>
          <w:r>
            <w:fldChar w:fldCharType="separate"/>
          </w:r>
          <w:r>
            <w:rPr>
              <w:rFonts w:eastAsia="楷体_GB2312"/>
              <w:color w:val="000000" w:themeColor="text1"/>
              <w:sz w:val="32"/>
              <w:szCs w:val="32"/>
              <w14:textFill>
                <w14:solidFill>
                  <w14:schemeClr w14:val="tx1"/>
                </w14:solidFill>
              </w14:textFill>
            </w:rPr>
            <w:t>第二章 把握机遇应对新变局</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_Toc32323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8</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"_Toc17652" </w:instrText>
          </w:r>
          <w:r>
            <w:fldChar w:fldCharType="separate"/>
          </w:r>
          <w:r>
            <w:rPr>
              <w:rFonts w:eastAsia="楷体_GB2312"/>
              <w:color w:val="000000" w:themeColor="text1"/>
              <w:sz w:val="32"/>
              <w:szCs w:val="32"/>
              <w14:textFill>
                <w14:solidFill>
                  <w14:schemeClr w14:val="tx1"/>
                </w14:solidFill>
              </w14:textFill>
            </w:rPr>
            <w:t>第三章 谋篇布局谱写新蓝图</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_Toc17652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10</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19"/>
            <w:tabs>
              <w:tab w:val="right" w:leader="dot" w:pos="8960"/>
            </w:tabs>
            <w:spacing w:line="580" w:lineRule="exact"/>
            <w:ind w:firstLine="0" w:firstLineChars="0"/>
            <w:rPr>
              <w:rFonts w:ascii="Times New Roman" w:hAnsi="Times New Roman"/>
              <w:color w:val="000000" w:themeColor="text1"/>
              <w:spacing w:val="-6"/>
              <w14:textFill>
                <w14:solidFill>
                  <w14:schemeClr w14:val="tx1"/>
                </w14:solidFill>
              </w14:textFill>
            </w:rPr>
          </w:pPr>
          <w:r>
            <w:fldChar w:fldCharType="begin"/>
          </w:r>
          <w:r>
            <w:instrText xml:space="preserve"> HYPERLINK \l "_Toc18912" </w:instrText>
          </w:r>
          <w:r>
            <w:fldChar w:fldCharType="separate"/>
          </w:r>
          <w:r>
            <w:rPr>
              <w:rFonts w:ascii="Times New Roman" w:hAnsi="Times New Roman"/>
              <w:color w:val="000000" w:themeColor="text1"/>
              <w:spacing w:val="-6"/>
              <w14:textFill>
                <w14:solidFill>
                  <w14:schemeClr w14:val="tx1"/>
                </w14:solidFill>
              </w14:textFill>
            </w:rPr>
            <w:t>第二篇 加快建设一流国际陆港，推动形成内外联动的开放新格局</w:t>
          </w:r>
          <w:r>
            <w:rPr>
              <w:rFonts w:ascii="Times New Roman" w:hAnsi="Times New Roman"/>
              <w:color w:val="000000" w:themeColor="text1"/>
              <w:spacing w:val="-6"/>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"_Toc30353" </w:instrText>
          </w:r>
          <w:r>
            <w:fldChar w:fldCharType="separate"/>
          </w:r>
          <w:r>
            <w:rPr>
              <w:rFonts w:eastAsia="楷体_GB2312"/>
              <w:color w:val="000000" w:themeColor="text1"/>
              <w:sz w:val="32"/>
              <w:szCs w:val="32"/>
              <w14:textFill>
                <w14:solidFill>
                  <w14:schemeClr w14:val="tx1"/>
                </w14:solidFill>
              </w14:textFill>
            </w:rPr>
            <w:t>第四章 大力提升陆港枢纽能级</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_Toc30353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15</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"_Toc10964" </w:instrText>
          </w:r>
          <w:r>
            <w:fldChar w:fldCharType="separate"/>
          </w:r>
          <w:r>
            <w:rPr>
              <w:rFonts w:eastAsia="楷体_GB2312"/>
              <w:color w:val="000000" w:themeColor="text1"/>
              <w:sz w:val="32"/>
              <w:szCs w:val="32"/>
              <w14:textFill>
                <w14:solidFill>
                  <w14:schemeClr w14:val="tx1"/>
                </w14:solidFill>
              </w14:textFill>
            </w:rPr>
            <w:t>第五章 持续深化区域开放合作</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_Toc10964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20</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"_Toc22777" </w:instrText>
          </w:r>
          <w:r>
            <w:fldChar w:fldCharType="separate"/>
          </w:r>
          <w:r>
            <w:rPr>
              <w:rFonts w:eastAsia="楷体_GB2312"/>
              <w:color w:val="000000" w:themeColor="text1"/>
              <w:sz w:val="32"/>
              <w:szCs w:val="32"/>
              <w14:textFill>
                <w14:solidFill>
                  <w14:schemeClr w14:val="tx1"/>
                </w14:solidFill>
              </w14:textFill>
            </w:rPr>
            <w:t>第六章 稳步扩大制度型开放</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_Toc22777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23</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"_Toc16367" </w:instrText>
          </w:r>
          <w:r>
            <w:fldChar w:fldCharType="separate"/>
          </w:r>
          <w:r>
            <w:rPr>
              <w:rFonts w:eastAsia="楷体_GB2312"/>
              <w:color w:val="000000" w:themeColor="text1"/>
              <w:sz w:val="32"/>
              <w:szCs w:val="32"/>
              <w14:textFill>
                <w14:solidFill>
                  <w14:schemeClr w14:val="tx1"/>
                </w14:solidFill>
              </w14:textFill>
            </w:rPr>
            <w:t>第七章 提升贸易投资合作质量水平</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_Toc16367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26</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19"/>
            <w:tabs>
              <w:tab w:val="right" w:leader="dot" w:pos="8960"/>
            </w:tabs>
            <w:spacing w:line="580" w:lineRule="exact"/>
            <w:ind w:firstLine="0" w:firstLineChars="0"/>
            <w:rPr>
              <w:rFonts w:ascii="Times New Roman" w:hAnsi="Times New Roman"/>
              <w:color w:val="000000" w:themeColor="text1"/>
              <w14:textFill>
                <w14:solidFill>
                  <w14:schemeClr w14:val="tx1"/>
                </w14:solidFill>
              </w14:textFill>
            </w:rPr>
          </w:pPr>
          <w:r>
            <w:fldChar w:fldCharType="begin"/>
          </w:r>
          <w:r>
            <w:instrText xml:space="preserve"> HYPERLINK \l "_Toc81" </w:instrText>
          </w:r>
          <w:r>
            <w:fldChar w:fldCharType="separate"/>
          </w:r>
          <w:r>
            <w:rPr>
              <w:rFonts w:ascii="Times New Roman" w:hAnsi="Times New Roman"/>
              <w:color w:val="000000" w:themeColor="text1"/>
              <w14:textFill>
                <w14:solidFill>
                  <w14:schemeClr w14:val="tx1"/>
                </w14:solidFill>
              </w14:textFill>
            </w:rPr>
            <w:t>第三篇 全力构建现代化产业体系，巩固壮大实体经济根基</w:t>
          </w:r>
          <w:r>
            <w:rPr>
              <w:rFonts w:ascii="Times New Roman" w:hAnsi="Times New Roman"/>
              <w:color w:val="000000" w:themeColor="text1"/>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"_Toc17163" </w:instrText>
          </w:r>
          <w:r>
            <w:fldChar w:fldCharType="separate"/>
          </w:r>
          <w:r>
            <w:rPr>
              <w:rFonts w:eastAsia="楷体_GB2312"/>
              <w:color w:val="000000" w:themeColor="text1"/>
              <w:sz w:val="32"/>
              <w:szCs w:val="32"/>
              <w14:textFill>
                <w14:solidFill>
                  <w14:schemeClr w14:val="tx1"/>
                </w14:solidFill>
              </w14:textFill>
            </w:rPr>
            <w:t>第八章 强力推进特色优势产业和产业链建设</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_Toc17163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29</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"_Toc1068" </w:instrText>
          </w:r>
          <w:r>
            <w:fldChar w:fldCharType="separate"/>
          </w:r>
          <w:r>
            <w:rPr>
              <w:rFonts w:eastAsia="楷体_GB2312"/>
              <w:color w:val="000000" w:themeColor="text1"/>
              <w:sz w:val="32"/>
              <w:szCs w:val="32"/>
              <w14:textFill>
                <w14:solidFill>
                  <w14:schemeClr w14:val="tx1"/>
                </w14:solidFill>
              </w14:textFill>
            </w:rPr>
            <w:t>第九章 积极发展新兴产业和未来产业</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_Toc1068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42</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"_Toc9743" </w:instrText>
          </w:r>
          <w:r>
            <w:fldChar w:fldCharType="separate"/>
          </w:r>
          <w:r>
            <w:rPr>
              <w:rFonts w:eastAsia="楷体_GB2312"/>
              <w:color w:val="000000" w:themeColor="text1"/>
              <w:sz w:val="32"/>
              <w:szCs w:val="32"/>
              <w14:textFill>
                <w14:solidFill>
                  <w14:schemeClr w14:val="tx1"/>
                </w14:solidFill>
              </w14:textFill>
            </w:rPr>
            <w:t>第十章 推动服务业优质高效发展</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_Toc9743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43</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"_Toc19720" </w:instrText>
          </w:r>
          <w:r>
            <w:fldChar w:fldCharType="separate"/>
          </w:r>
          <w:r>
            <w:rPr>
              <w:rFonts w:eastAsia="楷体_GB2312"/>
              <w:color w:val="000000" w:themeColor="text1"/>
              <w:sz w:val="32"/>
              <w:szCs w:val="32"/>
              <w14:textFill>
                <w14:solidFill>
                  <w14:schemeClr w14:val="tx1"/>
                </w14:solidFill>
              </w14:textFill>
            </w:rPr>
            <w:t>第十一章 完善产业发展良好生态</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_Toc19720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46</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19"/>
            <w:tabs>
              <w:tab w:val="right" w:leader="dot" w:pos="8960"/>
            </w:tabs>
            <w:spacing w:line="580" w:lineRule="exact"/>
            <w:ind w:firstLine="0" w:firstLineChars="0"/>
            <w:rPr>
              <w:rFonts w:ascii="Times New Roman" w:hAnsi="Times New Roman"/>
              <w:color w:val="000000" w:themeColor="text1"/>
              <w14:textFill>
                <w14:solidFill>
                  <w14:schemeClr w14:val="tx1"/>
                </w14:solidFill>
              </w14:textFill>
            </w:rPr>
          </w:pPr>
          <w:r>
            <w:fldChar w:fldCharType="begin"/>
          </w:r>
          <w:r>
            <w:instrText xml:space="preserve"> HYPERLINK \l "_Toc15586" </w:instrText>
          </w:r>
          <w:r>
            <w:fldChar w:fldCharType="separate"/>
          </w:r>
          <w:r>
            <w:rPr>
              <w:rFonts w:ascii="Times New Roman" w:hAnsi="Times New Roman"/>
              <w:color w:val="000000" w:themeColor="text1"/>
              <w14:textFill>
                <w14:solidFill>
                  <w14:schemeClr w14:val="tx1"/>
                </w14:solidFill>
              </w14:textFill>
            </w:rPr>
            <w:t>第四篇 坚持以鹤中一体化为引领，</w:t>
          </w:r>
          <w:r>
            <w:rPr>
              <w:rFonts w:hint="eastAsia" w:ascii="Times New Roman" w:hAnsi="Times New Roman"/>
              <w:color w:val="000000" w:themeColor="text1"/>
              <w14:textFill>
                <w14:solidFill>
                  <w14:schemeClr w14:val="tx1"/>
                </w14:solidFill>
              </w14:textFill>
            </w:rPr>
            <w:t>开创</w:t>
          </w:r>
          <w:r>
            <w:rPr>
              <w:rFonts w:ascii="Times New Roman" w:hAnsi="Times New Roman"/>
              <w:color w:val="000000" w:themeColor="text1"/>
              <w14:textFill>
                <w14:solidFill>
                  <w14:schemeClr w14:val="tx1"/>
                </w14:solidFill>
              </w14:textFill>
            </w:rPr>
            <w:t>区域联动发展新</w:t>
          </w:r>
          <w:r>
            <w:rPr>
              <w:rFonts w:hint="eastAsia" w:ascii="Times New Roman" w:hAnsi="Times New Roman"/>
              <w:color w:val="000000" w:themeColor="text1"/>
              <w14:textFill>
                <w14:solidFill>
                  <w14:schemeClr w14:val="tx1"/>
                </w14:solidFill>
              </w14:textFill>
            </w:rPr>
            <w:t>局</w:t>
          </w:r>
          <w:r>
            <w:rPr>
              <w:rFonts w:hint="eastAsia" w:ascii="Times New Roman" w:hAnsi="Times New Roman"/>
              <w:color w:val="000000" w:themeColor="text1"/>
              <w14:textFill>
                <w14:solidFill>
                  <w14:schemeClr w14:val="tx1"/>
                </w14:solidFill>
              </w14:textFill>
            </w:rPr>
            <w:fldChar w:fldCharType="end"/>
          </w:r>
          <w:r>
            <w:rPr>
              <w:rFonts w:hint="eastAsia" w:ascii="Times New Roman" w:hAnsi="Times New Roman"/>
              <w:color w:val="000000" w:themeColor="text1"/>
              <w14:textFill>
                <w14:solidFill>
                  <w14:schemeClr w14:val="tx1"/>
                </w14:solidFill>
              </w14:textFill>
            </w:rPr>
            <w:t>面</w:t>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"_Toc24302" </w:instrText>
          </w:r>
          <w:r>
            <w:fldChar w:fldCharType="separate"/>
          </w:r>
          <w:r>
            <w:rPr>
              <w:rFonts w:eastAsia="楷体_GB2312"/>
              <w:color w:val="000000" w:themeColor="text1"/>
              <w:sz w:val="32"/>
              <w:szCs w:val="32"/>
              <w14:textFill>
                <w14:solidFill>
                  <w14:schemeClr w14:val="tx1"/>
                </w14:solidFill>
              </w14:textFill>
            </w:rPr>
            <w:t>第十二章 高水平推进鹤中一体化</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_Toc24302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50</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"_Toc4544" </w:instrText>
          </w:r>
          <w:r>
            <w:fldChar w:fldCharType="separate"/>
          </w:r>
          <w:r>
            <w:rPr>
              <w:rFonts w:eastAsia="楷体_GB2312"/>
              <w:color w:val="000000" w:themeColor="text1"/>
              <w:sz w:val="32"/>
              <w:szCs w:val="32"/>
              <w14:textFill>
                <w14:solidFill>
                  <w14:schemeClr w14:val="tx1"/>
                </w14:solidFill>
              </w14:textFill>
            </w:rPr>
            <w:t>第十三章 推动</w:t>
          </w:r>
          <w:r>
            <w:rPr>
              <w:rFonts w:eastAsia="仿宋_GB2312"/>
              <w:color w:val="000000" w:themeColor="text1"/>
              <w:sz w:val="32"/>
              <w:szCs w:val="32"/>
              <w14:textFill>
                <w14:solidFill>
                  <w14:schemeClr w14:val="tx1"/>
                </w14:solidFill>
              </w14:textFill>
            </w:rPr>
            <w:t>“</w:t>
          </w:r>
          <w:r>
            <w:rPr>
              <w:rFonts w:eastAsia="楷体_GB2312"/>
              <w:color w:val="000000" w:themeColor="text1"/>
              <w:sz w:val="32"/>
              <w:szCs w:val="32"/>
              <w14:textFill>
                <w14:solidFill>
                  <w14:schemeClr w14:val="tx1"/>
                </w14:solidFill>
              </w14:textFill>
            </w:rPr>
            <w:t>一核两带三区</w:t>
          </w:r>
          <w:r>
            <w:rPr>
              <w:rFonts w:eastAsia="仿宋_GB2312"/>
              <w:color w:val="000000" w:themeColor="text1"/>
              <w:sz w:val="32"/>
              <w:szCs w:val="32"/>
              <w14:textFill>
                <w14:solidFill>
                  <w14:schemeClr w14:val="tx1"/>
                </w14:solidFill>
              </w14:textFill>
            </w:rPr>
            <w:t>”</w:t>
          </w:r>
          <w:r>
            <w:rPr>
              <w:rFonts w:eastAsia="楷体_GB2312"/>
              <w:color w:val="000000" w:themeColor="text1"/>
              <w:sz w:val="32"/>
              <w:szCs w:val="32"/>
              <w14:textFill>
                <w14:solidFill>
                  <w14:schemeClr w14:val="tx1"/>
                </w14:solidFill>
              </w14:textFill>
            </w:rPr>
            <w:t>协调联动</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_Toc4544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53</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"_Toc21199" </w:instrText>
          </w:r>
          <w:r>
            <w:fldChar w:fldCharType="separate"/>
          </w:r>
          <w:r>
            <w:rPr>
              <w:rFonts w:eastAsia="楷体_GB2312"/>
              <w:color w:val="000000" w:themeColor="text1"/>
              <w:sz w:val="32"/>
              <w:szCs w:val="32"/>
              <w14:textFill>
                <w14:solidFill>
                  <w14:schemeClr w14:val="tx1"/>
                </w14:solidFill>
              </w14:textFill>
            </w:rPr>
            <w:t>第十四章 引领带动湘鄂渝黔毗邻地区务实合作</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_Toc21199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57</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"_Toc27955" </w:instrText>
          </w:r>
          <w:r>
            <w:fldChar w:fldCharType="separate"/>
          </w:r>
          <w:r>
            <w:rPr>
              <w:rFonts w:eastAsia="楷体_GB2312"/>
              <w:color w:val="000000" w:themeColor="text1"/>
              <w:sz w:val="32"/>
              <w:szCs w:val="32"/>
              <w14:textFill>
                <w14:solidFill>
                  <w14:schemeClr w14:val="tx1"/>
                </w14:solidFill>
              </w14:textFill>
            </w:rPr>
            <w:t>第十五章 优化国土空间发展格局</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_Toc27955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60</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19"/>
            <w:tabs>
              <w:tab w:val="right" w:leader="dot" w:pos="8960"/>
            </w:tabs>
            <w:spacing w:line="580" w:lineRule="exact"/>
            <w:ind w:firstLine="0" w:firstLineChars="0"/>
            <w:rPr>
              <w:rFonts w:ascii="Times New Roman" w:hAnsi="Times New Roman"/>
              <w:color w:val="000000" w:themeColor="text1"/>
              <w14:textFill>
                <w14:solidFill>
                  <w14:schemeClr w14:val="tx1"/>
                </w14:solidFill>
              </w14:textFill>
            </w:rPr>
          </w:pPr>
          <w:r>
            <w:fldChar w:fldCharType="begin"/>
          </w:r>
          <w:r>
            <w:instrText xml:space="preserve"> HYPERLINK \l "_Toc29824" </w:instrText>
          </w:r>
          <w:r>
            <w:fldChar w:fldCharType="separate"/>
          </w:r>
          <w:r>
            <w:rPr>
              <w:rFonts w:ascii="Times New Roman" w:hAnsi="Times New Roman"/>
              <w:color w:val="000000" w:themeColor="text1"/>
              <w14:textFill>
                <w14:solidFill>
                  <w14:schemeClr w14:val="tx1"/>
                </w14:solidFill>
              </w14:textFill>
            </w:rPr>
            <w:t>第五篇 推进文旅深度融合，加快建成全国一流旅游</w:t>
          </w:r>
          <w:r>
            <w:rPr>
              <w:rFonts w:ascii="Times New Roman" w:hAnsi="Times New Roman"/>
              <w:color w:val="000000" w:themeColor="text1"/>
              <w14:textFill>
                <w14:solidFill>
                  <w14:schemeClr w14:val="tx1"/>
                </w14:solidFill>
              </w14:textFill>
            </w:rPr>
            <w:fldChar w:fldCharType="end"/>
          </w:r>
          <w:r>
            <w:fldChar w:fldCharType="begin"/>
          </w:r>
          <w:r>
            <w:instrText xml:space="preserve"> HYPERLINK \l "_Toc19867" </w:instrText>
          </w:r>
          <w:r>
            <w:fldChar w:fldCharType="separate"/>
          </w:r>
          <w:r>
            <w:rPr>
              <w:rFonts w:ascii="Times New Roman" w:hAnsi="Times New Roman"/>
              <w:color w:val="000000" w:themeColor="text1"/>
              <w14:textFill>
                <w14:solidFill>
                  <w14:schemeClr w14:val="tx1"/>
                </w14:solidFill>
              </w14:textFill>
            </w:rPr>
            <w:t>度假目的地</w:t>
          </w:r>
          <w:r>
            <w:rPr>
              <w:rFonts w:ascii="Times New Roman" w:hAnsi="Times New Roman"/>
              <w:color w:val="000000" w:themeColor="text1"/>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"_Toc24051" </w:instrText>
          </w:r>
          <w:r>
            <w:fldChar w:fldCharType="separate"/>
          </w:r>
          <w:r>
            <w:rPr>
              <w:rFonts w:eastAsia="楷体_GB2312"/>
              <w:color w:val="000000" w:themeColor="text1"/>
              <w:sz w:val="32"/>
              <w:szCs w:val="32"/>
              <w14:textFill>
                <w14:solidFill>
                  <w14:schemeClr w14:val="tx1"/>
                </w14:solidFill>
              </w14:textFill>
            </w:rPr>
            <w:t>第十六章 优化提升</w:t>
          </w:r>
          <w:r>
            <w:rPr>
              <w:rFonts w:eastAsia="仿宋_GB2312"/>
              <w:color w:val="000000" w:themeColor="text1"/>
              <w:sz w:val="32"/>
              <w:szCs w:val="32"/>
              <w14:textFill>
                <w14:solidFill>
                  <w14:schemeClr w14:val="tx1"/>
                </w14:solidFill>
              </w14:textFill>
            </w:rPr>
            <w:t>“</w:t>
          </w:r>
          <w:r>
            <w:rPr>
              <w:rFonts w:eastAsia="楷体_GB2312"/>
              <w:color w:val="000000" w:themeColor="text1"/>
              <w:sz w:val="32"/>
              <w:szCs w:val="32"/>
              <w14:textFill>
                <w14:solidFill>
                  <w14:schemeClr w14:val="tx1"/>
                </w14:solidFill>
              </w14:textFill>
            </w:rPr>
            <w:t>三江一湾 四线多点</w:t>
          </w:r>
          <w:r>
            <w:rPr>
              <w:rFonts w:eastAsia="仿宋_GB2312"/>
              <w:color w:val="000000" w:themeColor="text1"/>
              <w:sz w:val="32"/>
              <w:szCs w:val="32"/>
              <w14:textFill>
                <w14:solidFill>
                  <w14:schemeClr w14:val="tx1"/>
                </w14:solidFill>
              </w14:textFill>
            </w:rPr>
            <w:t>”</w:t>
          </w:r>
          <w:r>
            <w:rPr>
              <w:rFonts w:eastAsia="楷体_GB2312"/>
              <w:color w:val="000000" w:themeColor="text1"/>
              <w:sz w:val="32"/>
              <w:szCs w:val="32"/>
              <w14:textFill>
                <w14:solidFill>
                  <w14:schemeClr w14:val="tx1"/>
                </w14:solidFill>
              </w14:textFill>
            </w:rPr>
            <w:t>文旅新格局</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_Toc24051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62</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"_Toc24545" </w:instrText>
          </w:r>
          <w:r>
            <w:fldChar w:fldCharType="separate"/>
          </w:r>
          <w:r>
            <w:rPr>
              <w:rFonts w:eastAsia="楷体_GB2312"/>
              <w:color w:val="000000" w:themeColor="text1"/>
              <w:sz w:val="32"/>
              <w:szCs w:val="32"/>
              <w14:textFill>
                <w14:solidFill>
                  <w14:schemeClr w14:val="tx1"/>
                </w14:solidFill>
              </w14:textFill>
            </w:rPr>
            <w:t>第十七章 丰富高品质旅游产品供给</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_Toc24545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67</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"_Toc28517" </w:instrText>
          </w:r>
          <w:r>
            <w:fldChar w:fldCharType="separate"/>
          </w:r>
          <w:r>
            <w:rPr>
              <w:rFonts w:eastAsia="楷体_GB2312"/>
              <w:color w:val="000000" w:themeColor="text1"/>
              <w:sz w:val="32"/>
              <w:szCs w:val="32"/>
              <w14:textFill>
                <w14:solidFill>
                  <w14:schemeClr w14:val="tx1"/>
                </w14:solidFill>
              </w14:textFill>
            </w:rPr>
            <w:t>第十八章 提升旅游产业发展质效</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_Toc28517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69</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19"/>
            <w:tabs>
              <w:tab w:val="right" w:leader="dot" w:pos="8960"/>
            </w:tabs>
            <w:spacing w:line="580" w:lineRule="exact"/>
            <w:ind w:firstLine="0" w:firstLineChars="0"/>
            <w:rPr>
              <w:rFonts w:ascii="Times New Roman" w:hAnsi="Times New Roman"/>
              <w:color w:val="000000" w:themeColor="text1"/>
              <w14:textFill>
                <w14:solidFill>
                  <w14:schemeClr w14:val="tx1"/>
                </w14:solidFill>
              </w14:textFill>
            </w:rPr>
          </w:pPr>
          <w:r>
            <w:fldChar w:fldCharType="begin"/>
          </w:r>
          <w:r>
            <w:instrText xml:space="preserve"> HYPERLINK \l "_Toc13919" </w:instrText>
          </w:r>
          <w:r>
            <w:fldChar w:fldCharType="separate"/>
          </w:r>
          <w:r>
            <w:rPr>
              <w:rFonts w:ascii="Times New Roman" w:hAnsi="Times New Roman"/>
              <w:color w:val="000000" w:themeColor="text1"/>
              <w14:textFill>
                <w14:solidFill>
                  <w14:schemeClr w14:val="tx1"/>
                </w14:solidFill>
              </w14:textFill>
            </w:rPr>
            <w:t>第六篇 深入实施扩大内需战略，</w:t>
          </w:r>
          <w:r>
            <w:rPr>
              <w:rFonts w:hint="eastAsia" w:ascii="Times New Roman" w:hAnsi="Times New Roman"/>
              <w:color w:val="000000" w:themeColor="text1"/>
              <w14:textFill>
                <w14:solidFill>
                  <w14:schemeClr w14:val="tx1"/>
                </w14:solidFill>
              </w14:textFill>
            </w:rPr>
            <w:t>促</w:t>
          </w:r>
          <w:r>
            <w:rPr>
              <w:rFonts w:hint="eastAsia" w:ascii="Times New Roman" w:hAnsi="Times New Roman"/>
              <w:color w:val="000000" w:themeColor="text1"/>
              <w14:textFill>
                <w14:solidFill>
                  <w14:schemeClr w14:val="tx1"/>
                </w14:solidFill>
              </w14:textFill>
            </w:rPr>
            <w:fldChar w:fldCharType="end"/>
          </w:r>
          <w:r>
            <w:rPr>
              <w:rFonts w:hint="eastAsia" w:ascii="Times New Roman" w:hAnsi="Times New Roman"/>
              <w:color w:val="000000" w:themeColor="text1"/>
              <w14:textFill>
                <w14:solidFill>
                  <w14:schemeClr w14:val="tx1"/>
                </w14:solidFill>
              </w14:textFill>
            </w:rPr>
            <w:t>进消费和投资良性互动</w:t>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"_Toc8340" </w:instrText>
          </w:r>
          <w:r>
            <w:fldChar w:fldCharType="separate"/>
          </w:r>
          <w:r>
            <w:rPr>
              <w:rFonts w:eastAsia="楷体_GB2312"/>
              <w:color w:val="000000" w:themeColor="text1"/>
              <w:sz w:val="32"/>
              <w:szCs w:val="32"/>
              <w14:textFill>
                <w14:solidFill>
                  <w14:schemeClr w14:val="tx1"/>
                </w14:solidFill>
              </w14:textFill>
            </w:rPr>
            <w:t>第十九章 大力提振消费</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_Toc8340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71</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"_Toc1402" </w:instrText>
          </w:r>
          <w:r>
            <w:fldChar w:fldCharType="separate"/>
          </w:r>
          <w:r>
            <w:rPr>
              <w:rFonts w:eastAsia="楷体_GB2312"/>
              <w:color w:val="000000" w:themeColor="text1"/>
              <w:sz w:val="32"/>
              <w:szCs w:val="32"/>
              <w14:textFill>
                <w14:solidFill>
                  <w14:schemeClr w14:val="tx1"/>
                </w14:solidFill>
              </w14:textFill>
            </w:rPr>
            <w:t>第二十章 扩大有效投资</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_Toc1402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73</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"_Toc2407" </w:instrText>
          </w:r>
          <w:r>
            <w:fldChar w:fldCharType="separate"/>
          </w:r>
          <w:r>
            <w:rPr>
              <w:rFonts w:eastAsia="楷体_GB2312"/>
              <w:color w:val="000000" w:themeColor="text1"/>
              <w:sz w:val="32"/>
              <w:szCs w:val="32"/>
              <w14:textFill>
                <w14:solidFill>
                  <w14:schemeClr w14:val="tx1"/>
                </w14:solidFill>
              </w14:textFill>
            </w:rPr>
            <w:t>第二十一章 主动服务融入全国统一大市场</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_Toc2407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76</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"_Toc20017" </w:instrText>
          </w:r>
          <w:r>
            <w:fldChar w:fldCharType="separate"/>
          </w:r>
          <w:r>
            <w:rPr>
              <w:rFonts w:eastAsia="楷体_GB2312"/>
              <w:color w:val="000000" w:themeColor="text1"/>
              <w:sz w:val="32"/>
              <w:szCs w:val="32"/>
              <w14:textFill>
                <w14:solidFill>
                  <w14:schemeClr w14:val="tx1"/>
                </w14:solidFill>
              </w14:textFill>
            </w:rPr>
            <w:t>第二十二章 完善现代物流体系</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_Toc20017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77</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19"/>
            <w:tabs>
              <w:tab w:val="right" w:leader="dot" w:pos="8960"/>
            </w:tabs>
            <w:spacing w:line="580" w:lineRule="exact"/>
            <w:ind w:firstLine="0" w:firstLineChars="0"/>
            <w:rPr>
              <w:rFonts w:ascii="Times New Roman" w:hAnsi="Times New Roman"/>
              <w:color w:val="000000" w:themeColor="text1"/>
              <w14:textFill>
                <w14:solidFill>
                  <w14:schemeClr w14:val="tx1"/>
                </w14:solidFill>
              </w14:textFill>
            </w:rPr>
          </w:pPr>
          <w:r>
            <w:fldChar w:fldCharType="begin"/>
          </w:r>
          <w:r>
            <w:instrText xml:space="preserve"> HYPERLINK \l "_Toc5325" </w:instrText>
          </w:r>
          <w:r>
            <w:fldChar w:fldCharType="separate"/>
          </w:r>
          <w:r>
            <w:rPr>
              <w:rFonts w:ascii="Times New Roman" w:hAnsi="Times New Roman"/>
              <w:color w:val="000000" w:themeColor="text1"/>
              <w14:textFill>
                <w14:solidFill>
                  <w14:schemeClr w14:val="tx1"/>
                </w14:solidFill>
              </w14:textFill>
            </w:rPr>
            <w:t>第七篇 深化重点领域改革，增强高质量发展</w:t>
          </w:r>
          <w:r>
            <w:rPr>
              <w:rFonts w:hint="eastAsia" w:ascii="Times New Roman" w:hAnsi="Times New Roman"/>
              <w:color w:val="000000" w:themeColor="text1"/>
              <w14:textFill>
                <w14:solidFill>
                  <w14:schemeClr w14:val="tx1"/>
                </w14:solidFill>
              </w14:textFill>
            </w:rPr>
            <w:t>动</w:t>
          </w:r>
          <w:r>
            <w:rPr>
              <w:rFonts w:ascii="Times New Roman" w:hAnsi="Times New Roman"/>
              <w:color w:val="000000" w:themeColor="text1"/>
              <w14:textFill>
                <w14:solidFill>
                  <w14:schemeClr w14:val="tx1"/>
                </w14:solidFill>
              </w14:textFill>
            </w:rPr>
            <w:t>力</w:t>
          </w:r>
          <w:r>
            <w:rPr>
              <w:rFonts w:ascii="Times New Roman" w:hAnsi="Times New Roman"/>
              <w:color w:val="000000" w:themeColor="text1"/>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"_Toc11771" </w:instrText>
          </w:r>
          <w:r>
            <w:fldChar w:fldCharType="separate"/>
          </w:r>
          <w:r>
            <w:rPr>
              <w:rFonts w:eastAsia="楷体_GB2312"/>
              <w:color w:val="000000" w:themeColor="text1"/>
              <w:sz w:val="32"/>
              <w:szCs w:val="32"/>
              <w14:textFill>
                <w14:solidFill>
                  <w14:schemeClr w14:val="tx1"/>
                </w14:solidFill>
              </w14:textFill>
            </w:rPr>
            <w:t>第二十三章 充分激发各类经营主体活力</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_Toc11771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81</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"_Toc22430" </w:instrText>
          </w:r>
          <w:r>
            <w:fldChar w:fldCharType="separate"/>
          </w:r>
          <w:r>
            <w:rPr>
              <w:rFonts w:eastAsia="楷体_GB2312"/>
              <w:color w:val="000000" w:themeColor="text1"/>
              <w:sz w:val="32"/>
              <w:szCs w:val="32"/>
              <w14:textFill>
                <w14:solidFill>
                  <w14:schemeClr w14:val="tx1"/>
                </w14:solidFill>
              </w14:textFill>
            </w:rPr>
            <w:t>第二十四章 提高要素市场化配置效率</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_Toc22430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83</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"_Toc1697" </w:instrText>
          </w:r>
          <w:r>
            <w:fldChar w:fldCharType="separate"/>
          </w:r>
          <w:r>
            <w:rPr>
              <w:rFonts w:eastAsia="楷体_GB2312"/>
              <w:color w:val="000000" w:themeColor="text1"/>
              <w:sz w:val="32"/>
              <w:szCs w:val="32"/>
              <w14:textFill>
                <w14:solidFill>
                  <w14:schemeClr w14:val="tx1"/>
                </w14:solidFill>
              </w14:textFill>
            </w:rPr>
            <w:t>第二十五章 提升经济治理效能</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_Toc1697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85</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19"/>
            <w:tabs>
              <w:tab w:val="right" w:leader="dot" w:pos="8960"/>
            </w:tabs>
            <w:spacing w:line="580" w:lineRule="exact"/>
            <w:ind w:firstLine="0" w:firstLineChars="0"/>
            <w:rPr>
              <w:rFonts w:ascii="Times New Roman" w:hAnsi="Times New Roman"/>
              <w:color w:val="000000" w:themeColor="text1"/>
              <w14:textFill>
                <w14:solidFill>
                  <w14:schemeClr w14:val="tx1"/>
                </w14:solidFill>
              </w14:textFill>
            </w:rPr>
          </w:pPr>
          <w:r>
            <w:fldChar w:fldCharType="begin"/>
          </w:r>
          <w:r>
            <w:instrText xml:space="preserve"> HYPERLINK \l "_Toc4996" </w:instrText>
          </w:r>
          <w:r>
            <w:fldChar w:fldCharType="separate"/>
          </w:r>
          <w:r>
            <w:rPr>
              <w:rFonts w:ascii="Times New Roman" w:hAnsi="Times New Roman"/>
              <w:color w:val="000000" w:themeColor="text1"/>
              <w14:textFill>
                <w14:solidFill>
                  <w14:schemeClr w14:val="tx1"/>
                </w14:solidFill>
              </w14:textFill>
            </w:rPr>
            <w:t>第八篇 深入实施创新驱动发展战略，激发高质量发展新动能</w:t>
          </w:r>
          <w:r>
            <w:rPr>
              <w:rFonts w:ascii="Times New Roman" w:hAnsi="Times New Roman"/>
              <w:color w:val="000000" w:themeColor="text1"/>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"_Toc1540" </w:instrText>
          </w:r>
          <w:r>
            <w:fldChar w:fldCharType="separate"/>
          </w:r>
          <w:r>
            <w:rPr>
              <w:rFonts w:eastAsia="楷体_GB2312"/>
              <w:color w:val="000000" w:themeColor="text1"/>
              <w:sz w:val="32"/>
              <w:szCs w:val="32"/>
              <w14:textFill>
                <w14:solidFill>
                  <w14:schemeClr w14:val="tx1"/>
                </w14:solidFill>
              </w14:textFill>
            </w:rPr>
            <w:t>第二十六章 加快科技创新平台建设</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_Toc1540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88</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"_Toc28219" </w:instrText>
          </w:r>
          <w:r>
            <w:fldChar w:fldCharType="separate"/>
          </w:r>
          <w:r>
            <w:rPr>
              <w:rFonts w:eastAsia="楷体_GB2312"/>
              <w:color w:val="000000" w:themeColor="text1"/>
              <w:sz w:val="32"/>
              <w:szCs w:val="32"/>
              <w14:textFill>
                <w14:solidFill>
                  <w14:schemeClr w14:val="tx1"/>
                </w14:solidFill>
              </w14:textFill>
            </w:rPr>
            <w:t>第二十七章 强化企业科技创新主体地位</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_Toc28219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90</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"_Toc5351" </w:instrText>
          </w:r>
          <w:r>
            <w:fldChar w:fldCharType="separate"/>
          </w:r>
          <w:r>
            <w:rPr>
              <w:rFonts w:eastAsia="楷体_GB2312"/>
              <w:color w:val="000000" w:themeColor="text1"/>
              <w:sz w:val="32"/>
              <w:szCs w:val="32"/>
              <w14:textFill>
                <w14:solidFill>
                  <w14:schemeClr w14:val="tx1"/>
                </w14:solidFill>
              </w14:textFill>
            </w:rPr>
            <w:t>第二十八章 营造活力迸发的创新生态</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_Toc5351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91</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"_Toc26525" </w:instrText>
          </w:r>
          <w:r>
            <w:fldChar w:fldCharType="separate"/>
          </w:r>
          <w:r>
            <w:rPr>
              <w:rFonts w:eastAsia="楷体_GB2312"/>
              <w:color w:val="000000" w:themeColor="text1"/>
              <w:sz w:val="32"/>
              <w:szCs w:val="32"/>
              <w14:textFill>
                <w14:solidFill>
                  <w14:schemeClr w14:val="tx1"/>
                </w14:solidFill>
              </w14:textFill>
            </w:rPr>
            <w:t>第二十九章 推动教育科技人才一体发展改革</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_Toc26525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93</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19"/>
            <w:tabs>
              <w:tab w:val="right" w:leader="dot" w:pos="8960"/>
            </w:tabs>
            <w:spacing w:line="580" w:lineRule="exact"/>
            <w:ind w:firstLine="0" w:firstLineChars="0"/>
            <w:rPr>
              <w:rFonts w:ascii="Times New Roman" w:hAnsi="Times New Roman"/>
              <w:color w:val="000000" w:themeColor="text1"/>
              <w14:textFill>
                <w14:solidFill>
                  <w14:schemeClr w14:val="tx1"/>
                </w14:solidFill>
              </w14:textFill>
            </w:rPr>
          </w:pPr>
          <w:r>
            <w:fldChar w:fldCharType="begin"/>
          </w:r>
          <w:r>
            <w:instrText xml:space="preserve"> HYPERLINK \l "_Toc11576" </w:instrText>
          </w:r>
          <w:r>
            <w:fldChar w:fldCharType="separate"/>
          </w:r>
          <w:r>
            <w:rPr>
              <w:rFonts w:ascii="Times New Roman" w:hAnsi="Times New Roman"/>
              <w:color w:val="000000" w:themeColor="text1"/>
              <w14:textFill>
                <w14:solidFill>
                  <w14:schemeClr w14:val="tx1"/>
                </w14:solidFill>
              </w14:textFill>
            </w:rPr>
            <w:t>第九篇 推进以人为本的新型城镇化，促进城乡融合发展</w:t>
          </w:r>
          <w:r>
            <w:rPr>
              <w:rFonts w:ascii="Times New Roman" w:hAnsi="Times New Roman"/>
              <w:color w:val="000000" w:themeColor="text1"/>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"_Toc11616" </w:instrText>
          </w:r>
          <w:r>
            <w:fldChar w:fldCharType="separate"/>
          </w:r>
          <w:r>
            <w:rPr>
              <w:rFonts w:eastAsia="楷体_GB2312"/>
              <w:color w:val="000000" w:themeColor="text1"/>
              <w:sz w:val="32"/>
              <w:szCs w:val="32"/>
              <w14:textFill>
                <w14:solidFill>
                  <w14:schemeClr w14:val="tx1"/>
                </w14:solidFill>
              </w14:textFill>
            </w:rPr>
            <w:t>第三十章 科学有序推进农业转移人口市民化</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_Toc11616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96</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"_Toc23404" </w:instrText>
          </w:r>
          <w:r>
            <w:fldChar w:fldCharType="separate"/>
          </w:r>
          <w:r>
            <w:rPr>
              <w:rFonts w:eastAsia="楷体_GB2312"/>
              <w:color w:val="000000" w:themeColor="text1"/>
              <w:sz w:val="32"/>
              <w:szCs w:val="32"/>
              <w14:textFill>
                <w14:solidFill>
                  <w14:schemeClr w14:val="tx1"/>
                </w14:solidFill>
              </w14:textFill>
            </w:rPr>
            <w:t>第三十一章 提升城市品质</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_Toc23404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97</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"_Toc8557" </w:instrText>
          </w:r>
          <w:r>
            <w:fldChar w:fldCharType="separate"/>
          </w:r>
          <w:r>
            <w:rPr>
              <w:rFonts w:eastAsia="楷体_GB2312"/>
              <w:color w:val="000000" w:themeColor="text1"/>
              <w:sz w:val="32"/>
              <w:szCs w:val="32"/>
              <w14:textFill>
                <w14:solidFill>
                  <w14:schemeClr w14:val="tx1"/>
                </w14:solidFill>
              </w14:textFill>
            </w:rPr>
            <w:t>第三十二章 增强县城综合承载能力</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_Toc8557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100</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19"/>
            <w:tabs>
              <w:tab w:val="right" w:leader="dot" w:pos="8960"/>
            </w:tabs>
            <w:spacing w:line="580" w:lineRule="exact"/>
            <w:ind w:firstLine="0" w:firstLineChars="0"/>
            <w:rPr>
              <w:rFonts w:ascii="Times New Roman" w:hAnsi="Times New Roman" w:eastAsia="楷体_GB2312"/>
              <w:color w:val="000000" w:themeColor="text1"/>
              <w14:textFill>
                <w14:solidFill>
                  <w14:schemeClr w14:val="tx1"/>
                </w14:solidFill>
              </w14:textFill>
            </w:rPr>
          </w:pPr>
          <w:r>
            <w:fldChar w:fldCharType="begin"/>
          </w:r>
          <w:r>
            <w:instrText xml:space="preserve"> HYPERLINK \l "_Toc3047" </w:instrText>
          </w:r>
          <w:r>
            <w:fldChar w:fldCharType="separate"/>
          </w:r>
          <w:r>
            <w:rPr>
              <w:rFonts w:ascii="Times New Roman" w:hAnsi="Times New Roman"/>
              <w:color w:val="000000" w:themeColor="text1"/>
              <w14:textFill>
                <w14:solidFill>
                  <w14:schemeClr w14:val="tx1"/>
                </w14:solidFill>
              </w14:textFill>
            </w:rPr>
            <w:t>第十篇 坚持农业农村优先发展，扎实推进乡村全面振兴</w:t>
          </w:r>
          <w:r>
            <w:rPr>
              <w:rFonts w:ascii="Times New Roman" w:hAnsi="Times New Roman"/>
              <w:color w:val="000000" w:themeColor="text1"/>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"_Toc20533" </w:instrText>
          </w:r>
          <w:r>
            <w:fldChar w:fldCharType="separate"/>
          </w:r>
          <w:r>
            <w:rPr>
              <w:rFonts w:eastAsia="楷体_GB2312"/>
              <w:color w:val="000000" w:themeColor="text1"/>
              <w:sz w:val="32"/>
              <w:szCs w:val="32"/>
              <w14:textFill>
                <w14:solidFill>
                  <w14:schemeClr w14:val="tx1"/>
                </w14:solidFill>
              </w14:textFill>
            </w:rPr>
            <w:t>第三十三章 提升农业综合生产能力和质量效益</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_Toc20533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103</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"_Toc3213" </w:instrText>
          </w:r>
          <w:r>
            <w:fldChar w:fldCharType="separate"/>
          </w:r>
          <w:r>
            <w:rPr>
              <w:rFonts w:eastAsia="楷体_GB2312"/>
              <w:color w:val="000000" w:themeColor="text1"/>
              <w:sz w:val="32"/>
              <w:szCs w:val="32"/>
              <w14:textFill>
                <w14:solidFill>
                  <w14:schemeClr w14:val="tx1"/>
                </w14:solidFill>
              </w14:textFill>
            </w:rPr>
            <w:t>第三十四章 建设宜居宜业和美乡村</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_Toc3213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106</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"_Toc15986" </w:instrText>
          </w:r>
          <w:r>
            <w:fldChar w:fldCharType="separate"/>
          </w:r>
          <w:r>
            <w:rPr>
              <w:rFonts w:eastAsia="楷体_GB2312"/>
              <w:color w:val="000000" w:themeColor="text1"/>
              <w:sz w:val="32"/>
              <w:szCs w:val="32"/>
              <w14:textFill>
                <w14:solidFill>
                  <w14:schemeClr w14:val="tx1"/>
                </w14:solidFill>
              </w14:textFill>
            </w:rPr>
            <w:t>第三十五章 落实强农惠农富农政策</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_Toc15986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108</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19"/>
            <w:tabs>
              <w:tab w:val="right" w:leader="dot" w:pos="8960"/>
            </w:tabs>
            <w:spacing w:line="580" w:lineRule="exact"/>
            <w:ind w:firstLine="0" w:firstLineChars="0"/>
            <w:rPr>
              <w:rFonts w:ascii="Times New Roman" w:hAnsi="Times New Roman"/>
              <w:color w:val="000000" w:themeColor="text1"/>
              <w14:textFill>
                <w14:solidFill>
                  <w14:schemeClr w14:val="tx1"/>
                </w14:solidFill>
              </w14:textFill>
            </w:rPr>
          </w:pPr>
          <w:r>
            <w:fldChar w:fldCharType="begin"/>
          </w:r>
          <w:r>
            <w:instrText xml:space="preserve"> HYPERLINK \l "_Toc11243" </w:instrText>
          </w:r>
          <w:r>
            <w:fldChar w:fldCharType="separate"/>
          </w:r>
          <w:r>
            <w:rPr>
              <w:rFonts w:ascii="Times New Roman" w:hAnsi="Times New Roman"/>
              <w:color w:val="000000" w:themeColor="text1"/>
              <w14:textFill>
                <w14:solidFill>
                  <w14:schemeClr w14:val="tx1"/>
                </w14:solidFill>
              </w14:textFill>
            </w:rPr>
            <w:t>第十一篇 大力提升文化软实力，繁荣发展社会主义文化</w:t>
          </w:r>
          <w:r>
            <w:rPr>
              <w:rFonts w:ascii="Times New Roman" w:hAnsi="Times New Roman"/>
              <w:color w:val="000000" w:themeColor="text1"/>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"_Toc29240" </w:instrText>
          </w:r>
          <w:r>
            <w:fldChar w:fldCharType="separate"/>
          </w:r>
          <w:r>
            <w:rPr>
              <w:rFonts w:eastAsia="楷体_GB2312"/>
              <w:color w:val="000000" w:themeColor="text1"/>
              <w:sz w:val="32"/>
              <w:szCs w:val="32"/>
              <w14:textFill>
                <w14:solidFill>
                  <w14:schemeClr w14:val="tx1"/>
                </w14:solidFill>
              </w14:textFill>
            </w:rPr>
            <w:t>第三十六章 提高社会文明程度</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_Toc29240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111</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"_Toc27291" </w:instrText>
          </w:r>
          <w:r>
            <w:fldChar w:fldCharType="separate"/>
          </w:r>
          <w:r>
            <w:rPr>
              <w:rFonts w:eastAsia="楷体_GB2312"/>
              <w:color w:val="000000" w:themeColor="text1"/>
              <w:sz w:val="32"/>
              <w:szCs w:val="32"/>
              <w14:textFill>
                <w14:solidFill>
                  <w14:schemeClr w14:val="tx1"/>
                </w14:solidFill>
              </w14:textFill>
            </w:rPr>
            <w:t>第三十七章 繁荣发展文化事业</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_Toc27291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114</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"_Toc31041" </w:instrText>
          </w:r>
          <w:r>
            <w:fldChar w:fldCharType="separate"/>
          </w:r>
          <w:r>
            <w:rPr>
              <w:rFonts w:eastAsia="楷体_GB2312"/>
              <w:color w:val="000000" w:themeColor="text1"/>
              <w:sz w:val="32"/>
              <w:szCs w:val="32"/>
              <w14:textFill>
                <w14:solidFill>
                  <w14:schemeClr w14:val="tx1"/>
                </w14:solidFill>
              </w14:textFill>
            </w:rPr>
            <w:t>第三十八章 发展壮大文化创意产业</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_Toc31041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116</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19"/>
            <w:tabs>
              <w:tab w:val="right" w:leader="dot" w:pos="8960"/>
            </w:tabs>
            <w:spacing w:line="580" w:lineRule="exact"/>
            <w:ind w:firstLine="0" w:firstLineChars="0"/>
            <w:rPr>
              <w:rFonts w:ascii="Times New Roman" w:hAnsi="Times New Roman"/>
              <w:color w:val="000000" w:themeColor="text1"/>
              <w14:textFill>
                <w14:solidFill>
                  <w14:schemeClr w14:val="tx1"/>
                </w14:solidFill>
              </w14:textFill>
            </w:rPr>
          </w:pPr>
          <w:r>
            <w:fldChar w:fldCharType="begin"/>
          </w:r>
          <w:r>
            <w:instrText xml:space="preserve"> HYPERLINK \l "_Toc32468" </w:instrText>
          </w:r>
          <w:r>
            <w:fldChar w:fldCharType="separate"/>
          </w:r>
          <w:r>
            <w:rPr>
              <w:rFonts w:ascii="Times New Roman" w:hAnsi="Times New Roman"/>
              <w:color w:val="000000" w:themeColor="text1"/>
              <w14:textFill>
                <w14:solidFill>
                  <w14:schemeClr w14:val="tx1"/>
                </w14:solidFill>
              </w14:textFill>
            </w:rPr>
            <w:t>第十二篇 完善基础设施网络，构建现代化基础设施体系</w:t>
          </w:r>
          <w:r>
            <w:rPr>
              <w:rFonts w:ascii="Times New Roman" w:hAnsi="Times New Roman"/>
              <w:color w:val="000000" w:themeColor="text1"/>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"_Toc18726" </w:instrText>
          </w:r>
          <w:r>
            <w:fldChar w:fldCharType="separate"/>
          </w:r>
          <w:r>
            <w:rPr>
              <w:rFonts w:eastAsia="楷体_GB2312"/>
              <w:bCs/>
              <w:color w:val="000000" w:themeColor="text1"/>
              <w:sz w:val="32"/>
              <w:szCs w:val="32"/>
              <w14:textFill>
                <w14:solidFill>
                  <w14:schemeClr w14:val="tx1"/>
                </w14:solidFill>
              </w14:textFill>
            </w:rPr>
            <w:t>第三十九章 完善现代综合交通运输体系</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_Toc18726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119</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"_Toc16182" </w:instrText>
          </w:r>
          <w:r>
            <w:fldChar w:fldCharType="separate"/>
          </w:r>
          <w:r>
            <w:rPr>
              <w:rFonts w:eastAsia="楷体_GB2312"/>
              <w:bCs/>
              <w:color w:val="000000" w:themeColor="text1"/>
              <w:sz w:val="32"/>
              <w:szCs w:val="32"/>
              <w14:textFill>
                <w14:solidFill>
                  <w14:schemeClr w14:val="tx1"/>
                </w14:solidFill>
              </w14:textFill>
            </w:rPr>
            <w:t>第四十章 加快构建新型能源体系</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_Toc16182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123</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"_Toc13179" </w:instrText>
          </w:r>
          <w:r>
            <w:fldChar w:fldCharType="separate"/>
          </w:r>
          <w:r>
            <w:rPr>
              <w:rFonts w:eastAsia="楷体_GB2312"/>
              <w:bCs/>
              <w:color w:val="000000" w:themeColor="text1"/>
              <w:sz w:val="32"/>
              <w:szCs w:val="32"/>
              <w14:textFill>
                <w14:solidFill>
                  <w14:schemeClr w14:val="tx1"/>
                </w14:solidFill>
              </w14:textFill>
            </w:rPr>
            <w:t>第四十一章 建设安全韧性的现代水网</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_Toc13179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125</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19"/>
            <w:tabs>
              <w:tab w:val="right" w:leader="dot" w:pos="8960"/>
            </w:tabs>
            <w:spacing w:line="580" w:lineRule="exact"/>
            <w:ind w:firstLine="0" w:firstLineChars="0"/>
            <w:rPr>
              <w:rFonts w:ascii="Times New Roman" w:hAnsi="Times New Roman"/>
              <w:color w:val="000000" w:themeColor="text1"/>
              <w14:textFill>
                <w14:solidFill>
                  <w14:schemeClr w14:val="tx1"/>
                </w14:solidFill>
              </w14:textFill>
            </w:rPr>
          </w:pPr>
          <w:r>
            <w:fldChar w:fldCharType="begin"/>
          </w:r>
          <w:r>
            <w:instrText xml:space="preserve"> HYPERLINK \l "_Toc15764" </w:instrText>
          </w:r>
          <w:r>
            <w:fldChar w:fldCharType="separate"/>
          </w:r>
          <w:r>
            <w:rPr>
              <w:rFonts w:ascii="Times New Roman" w:hAnsi="Times New Roman"/>
              <w:color w:val="000000" w:themeColor="text1"/>
              <w14:textFill>
                <w14:solidFill>
                  <w14:schemeClr w14:val="tx1"/>
                </w14:solidFill>
              </w14:textFill>
            </w:rPr>
            <w:t>第十三篇 推动经济社会数智化转型，深入推进数字怀化建设</w:t>
          </w:r>
          <w:r>
            <w:rPr>
              <w:rFonts w:ascii="Times New Roman" w:hAnsi="Times New Roman"/>
              <w:color w:val="000000" w:themeColor="text1"/>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"_Toc25467" </w:instrText>
          </w:r>
          <w:r>
            <w:fldChar w:fldCharType="separate"/>
          </w:r>
          <w:r>
            <w:rPr>
              <w:rFonts w:eastAsia="楷体_GB2312"/>
              <w:color w:val="000000" w:themeColor="text1"/>
              <w:sz w:val="32"/>
              <w:szCs w:val="32"/>
              <w14:textFill>
                <w14:solidFill>
                  <w14:schemeClr w14:val="tx1"/>
                </w14:solidFill>
              </w14:textFill>
            </w:rPr>
            <w:t>第四十二章 夯实数字化智能化发展基础</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_Toc25467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128</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"_Toc31324" </w:instrText>
          </w:r>
          <w:r>
            <w:fldChar w:fldCharType="separate"/>
          </w:r>
          <w:r>
            <w:rPr>
              <w:rFonts w:eastAsia="楷体_GB2312"/>
              <w:color w:val="000000" w:themeColor="text1"/>
              <w:sz w:val="32"/>
              <w:szCs w:val="32"/>
              <w14:textFill>
                <w14:solidFill>
                  <w14:schemeClr w14:val="tx1"/>
                </w14:solidFill>
              </w14:textFill>
            </w:rPr>
            <w:t>第四十三章 大力实施</w:t>
          </w:r>
          <w:r>
            <w:rPr>
              <w:rFonts w:eastAsia="仿宋_GB2312"/>
              <w:color w:val="000000" w:themeColor="text1"/>
              <w:sz w:val="32"/>
              <w:szCs w:val="32"/>
              <w14:textFill>
                <w14:solidFill>
                  <w14:schemeClr w14:val="tx1"/>
                </w14:solidFill>
              </w14:textFill>
            </w:rPr>
            <w:t>“</w:t>
          </w:r>
          <w:r>
            <w:rPr>
              <w:rFonts w:eastAsia="楷体_GB2312"/>
              <w:color w:val="000000" w:themeColor="text1"/>
              <w:sz w:val="32"/>
              <w:szCs w:val="32"/>
              <w14:textFill>
                <w14:solidFill>
                  <w14:schemeClr w14:val="tx1"/>
                </w14:solidFill>
              </w14:textFill>
            </w:rPr>
            <w:t>人工智能+</w:t>
          </w:r>
          <w:r>
            <w:rPr>
              <w:rFonts w:eastAsia="仿宋_GB2312"/>
              <w:color w:val="000000" w:themeColor="text1"/>
              <w:sz w:val="32"/>
              <w:szCs w:val="32"/>
              <w14:textFill>
                <w14:solidFill>
                  <w14:schemeClr w14:val="tx1"/>
                </w14:solidFill>
              </w14:textFill>
            </w:rPr>
            <w:t>”</w:t>
          </w:r>
          <w:r>
            <w:rPr>
              <w:rFonts w:eastAsia="楷体_GB2312"/>
              <w:color w:val="000000" w:themeColor="text1"/>
              <w:sz w:val="32"/>
              <w:szCs w:val="32"/>
              <w14:textFill>
                <w14:solidFill>
                  <w14:schemeClr w14:val="tx1"/>
                </w14:solidFill>
              </w14:textFill>
            </w:rPr>
            <w:t>行动</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_Toc31324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130</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"_Toc23659" </w:instrText>
          </w:r>
          <w:r>
            <w:fldChar w:fldCharType="separate"/>
          </w:r>
          <w:r>
            <w:rPr>
              <w:rFonts w:eastAsia="楷体_GB2312"/>
              <w:color w:val="000000" w:themeColor="text1"/>
              <w:sz w:val="32"/>
              <w:szCs w:val="32"/>
              <w14:textFill>
                <w14:solidFill>
                  <w14:schemeClr w14:val="tx1"/>
                </w14:solidFill>
              </w14:textFill>
            </w:rPr>
            <w:t>第四十四章 营造良好数字生态</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_Toc23659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134</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19"/>
            <w:tabs>
              <w:tab w:val="right" w:leader="dot" w:pos="8960"/>
            </w:tabs>
            <w:spacing w:line="580" w:lineRule="exact"/>
            <w:ind w:firstLine="0" w:firstLineChars="0"/>
            <w:rPr>
              <w:rFonts w:ascii="Times New Roman" w:hAnsi="Times New Roman"/>
              <w:color w:val="000000" w:themeColor="text1"/>
              <w14:textFill>
                <w14:solidFill>
                  <w14:schemeClr w14:val="tx1"/>
                </w14:solidFill>
              </w14:textFill>
            </w:rPr>
          </w:pPr>
          <w:r>
            <w:fldChar w:fldCharType="begin"/>
          </w:r>
          <w:r>
            <w:instrText xml:space="preserve"> HYPERLINK \l "_Toc16605" </w:instrText>
          </w:r>
          <w:r>
            <w:fldChar w:fldCharType="separate"/>
          </w:r>
          <w:r>
            <w:rPr>
              <w:rFonts w:ascii="Times New Roman" w:hAnsi="Times New Roman"/>
              <w:color w:val="000000" w:themeColor="text1"/>
              <w14:textFill>
                <w14:solidFill>
                  <w14:schemeClr w14:val="tx1"/>
                </w14:solidFill>
              </w14:textFill>
            </w:rPr>
            <w:t>第十四篇 着力保障和改善民生，扎实推进全体人民</w:t>
          </w:r>
          <w:r>
            <w:rPr>
              <w:rFonts w:ascii="Times New Roman" w:hAnsi="Times New Roman"/>
              <w:color w:val="000000" w:themeColor="text1"/>
              <w14:textFill>
                <w14:solidFill>
                  <w14:schemeClr w14:val="tx1"/>
                </w14:solidFill>
              </w14:textFill>
            </w:rPr>
            <w:fldChar w:fldCharType="end"/>
          </w:r>
          <w:r>
            <w:fldChar w:fldCharType="begin"/>
          </w:r>
          <w:r>
            <w:instrText xml:space="preserve"> HYPERLINK \l "_Toc14230" </w:instrText>
          </w:r>
          <w:r>
            <w:fldChar w:fldCharType="separate"/>
          </w:r>
          <w:r>
            <w:rPr>
              <w:rFonts w:ascii="Times New Roman" w:hAnsi="Times New Roman"/>
              <w:color w:val="000000" w:themeColor="text1"/>
              <w14:textFill>
                <w14:solidFill>
                  <w14:schemeClr w14:val="tx1"/>
                </w14:solidFill>
              </w14:textFill>
            </w:rPr>
            <w:t>共同富裕</w:t>
          </w:r>
          <w:r>
            <w:rPr>
              <w:rFonts w:ascii="Times New Roman" w:hAnsi="Times New Roman"/>
              <w:color w:val="000000" w:themeColor="text1"/>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"_Toc23406" </w:instrText>
          </w:r>
          <w:r>
            <w:fldChar w:fldCharType="separate"/>
          </w:r>
          <w:r>
            <w:rPr>
              <w:rFonts w:eastAsia="楷体_GB2312"/>
              <w:bCs/>
              <w:color w:val="000000" w:themeColor="text1"/>
              <w:sz w:val="32"/>
              <w:szCs w:val="32"/>
              <w14:textFill>
                <w14:solidFill>
                  <w14:schemeClr w14:val="tx1"/>
                </w14:solidFill>
              </w14:textFill>
            </w:rPr>
            <w:t>第四十五章 促进高质量充分就业</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_Toc23406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137</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"_Toc15182" </w:instrText>
          </w:r>
          <w:r>
            <w:fldChar w:fldCharType="separate"/>
          </w:r>
          <w:r>
            <w:rPr>
              <w:rFonts w:eastAsia="楷体_GB2312"/>
              <w:bCs/>
              <w:color w:val="000000" w:themeColor="text1"/>
              <w:sz w:val="32"/>
              <w:szCs w:val="32"/>
              <w14:textFill>
                <w14:solidFill>
                  <w14:schemeClr w14:val="tx1"/>
                </w14:solidFill>
              </w14:textFill>
            </w:rPr>
            <w:t>第四十六章 稳步提高居民收入水平</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_Toc15182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140</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"_Toc20257" </w:instrText>
          </w:r>
          <w:r>
            <w:fldChar w:fldCharType="separate"/>
          </w:r>
          <w:r>
            <w:rPr>
              <w:rFonts w:eastAsia="楷体_GB2312"/>
              <w:bCs/>
              <w:color w:val="000000" w:themeColor="text1"/>
              <w:sz w:val="32"/>
              <w:szCs w:val="32"/>
              <w14:textFill>
                <w14:solidFill>
                  <w14:schemeClr w14:val="tx1"/>
                </w14:solidFill>
              </w14:textFill>
            </w:rPr>
            <w:t>第四十七章 办好人民满意的教育</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_Toc20257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141</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"_Toc30783" </w:instrText>
          </w:r>
          <w:r>
            <w:fldChar w:fldCharType="separate"/>
          </w:r>
          <w:r>
            <w:rPr>
              <w:rFonts w:eastAsia="楷体_GB2312"/>
              <w:color w:val="000000" w:themeColor="text1"/>
              <w:sz w:val="32"/>
              <w:szCs w:val="32"/>
              <w14:textFill>
                <w14:solidFill>
                  <w14:schemeClr w14:val="tx1"/>
                </w14:solidFill>
              </w14:textFill>
            </w:rPr>
            <w:t>第四十八章 健全多层次社会保障体系</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_Toc30783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144</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"_Toc4690" </w:instrText>
          </w:r>
          <w:r>
            <w:fldChar w:fldCharType="separate"/>
          </w:r>
          <w:r>
            <w:rPr>
              <w:rFonts w:eastAsia="楷体_GB2312"/>
              <w:bCs/>
              <w:color w:val="000000" w:themeColor="text1"/>
              <w:sz w:val="32"/>
              <w:szCs w:val="32"/>
              <w14:textFill>
                <w14:solidFill>
                  <w14:schemeClr w14:val="tx1"/>
                </w14:solidFill>
              </w14:textFill>
            </w:rPr>
            <w:t>第四十九章 加快建设健康怀化</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_Toc4690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146</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"_Toc31304" </w:instrText>
          </w:r>
          <w:r>
            <w:fldChar w:fldCharType="separate"/>
          </w:r>
          <w:r>
            <w:rPr>
              <w:rFonts w:eastAsia="楷体_GB2312"/>
              <w:bCs/>
              <w:color w:val="000000" w:themeColor="text1"/>
              <w:sz w:val="32"/>
              <w:szCs w:val="32"/>
              <w14:textFill>
                <w14:solidFill>
                  <w14:schemeClr w14:val="tx1"/>
                </w14:solidFill>
              </w14:textFill>
            </w:rPr>
            <w:t>第五十章 大力发展体育事业</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_Toc31304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150</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"_Toc31879" </w:instrText>
          </w:r>
          <w:r>
            <w:fldChar w:fldCharType="separate"/>
          </w:r>
          <w:r>
            <w:rPr>
              <w:rFonts w:eastAsia="楷体_GB2312"/>
              <w:bCs/>
              <w:color w:val="000000" w:themeColor="text1"/>
              <w:sz w:val="32"/>
              <w:szCs w:val="32"/>
              <w14:textFill>
                <w14:solidFill>
                  <w14:schemeClr w14:val="tx1"/>
                </w14:solidFill>
              </w14:textFill>
            </w:rPr>
            <w:t>第五十一章 促进人口高质量发展</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_Toc31879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151</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19"/>
            <w:tabs>
              <w:tab w:val="right" w:leader="dot" w:pos="8960"/>
            </w:tabs>
            <w:spacing w:line="580" w:lineRule="exact"/>
            <w:ind w:firstLine="0" w:firstLineChars="0"/>
            <w:rPr>
              <w:rFonts w:ascii="Times New Roman" w:hAnsi="Times New Roman"/>
              <w:color w:val="000000" w:themeColor="text1"/>
              <w14:textFill>
                <w14:solidFill>
                  <w14:schemeClr w14:val="tx1"/>
                </w14:solidFill>
              </w14:textFill>
            </w:rPr>
          </w:pPr>
          <w:r>
            <w:fldChar w:fldCharType="begin"/>
          </w:r>
          <w:r>
            <w:instrText xml:space="preserve"> HYPERLINK \l "_Toc29013" </w:instrText>
          </w:r>
          <w:r>
            <w:fldChar w:fldCharType="separate"/>
          </w:r>
          <w:r>
            <w:rPr>
              <w:rFonts w:ascii="Times New Roman" w:hAnsi="Times New Roman"/>
              <w:color w:val="000000" w:themeColor="text1"/>
              <w14:textFill>
                <w14:solidFill>
                  <w14:schemeClr w14:val="tx1"/>
                </w14:solidFill>
              </w14:textFill>
            </w:rPr>
            <w:t>第十五篇 促进人与自然和谐共生，全面建设美丽怀化</w:t>
          </w:r>
          <w:r>
            <w:rPr>
              <w:rFonts w:ascii="Times New Roman" w:hAnsi="Times New Roman"/>
              <w:color w:val="000000" w:themeColor="text1"/>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"_Toc25211" </w:instrText>
          </w:r>
          <w:r>
            <w:fldChar w:fldCharType="separate"/>
          </w:r>
          <w:r>
            <w:rPr>
              <w:rFonts w:eastAsia="楷体_GB2312"/>
              <w:color w:val="000000" w:themeColor="text1"/>
              <w:sz w:val="32"/>
              <w:szCs w:val="32"/>
              <w14:textFill>
                <w14:solidFill>
                  <w14:schemeClr w14:val="tx1"/>
                </w14:solidFill>
              </w14:textFill>
            </w:rPr>
            <w:t>第五十二章 加快建设生态产品价值实现先行区</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_Toc25211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155</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"_Toc6603" </w:instrText>
          </w:r>
          <w:r>
            <w:fldChar w:fldCharType="separate"/>
          </w:r>
          <w:r>
            <w:rPr>
              <w:rFonts w:eastAsia="楷体_GB2312"/>
              <w:color w:val="000000" w:themeColor="text1"/>
              <w:sz w:val="32"/>
              <w:szCs w:val="32"/>
              <w14:textFill>
                <w14:solidFill>
                  <w14:schemeClr w14:val="tx1"/>
                </w14:solidFill>
              </w14:textFill>
            </w:rPr>
            <w:t>第五十三章 持续深入推进污染防治攻坚</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_Toc6603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157</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"_Toc10054" </w:instrText>
          </w:r>
          <w:r>
            <w:fldChar w:fldCharType="separate"/>
          </w:r>
          <w:r>
            <w:rPr>
              <w:rFonts w:eastAsia="楷体_GB2312"/>
              <w:color w:val="000000" w:themeColor="text1"/>
              <w:sz w:val="32"/>
              <w:szCs w:val="32"/>
              <w14:textFill>
                <w14:solidFill>
                  <w14:schemeClr w14:val="tx1"/>
                </w14:solidFill>
              </w14:textFill>
            </w:rPr>
            <w:t>第五十四章 全面提升生态系统功能</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_Toc10054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159</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"_Toc10624" </w:instrText>
          </w:r>
          <w:r>
            <w:fldChar w:fldCharType="separate"/>
          </w:r>
          <w:r>
            <w:rPr>
              <w:rFonts w:eastAsia="楷体_GB2312"/>
              <w:color w:val="000000" w:themeColor="text1"/>
              <w:sz w:val="32"/>
              <w:szCs w:val="32"/>
              <w14:textFill>
                <w14:solidFill>
                  <w14:schemeClr w14:val="tx1"/>
                </w14:solidFill>
              </w14:textFill>
            </w:rPr>
            <w:t>第五十五章 扎实推进绿色低碳发展</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_Toc10624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161</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19"/>
            <w:tabs>
              <w:tab w:val="right" w:leader="dot" w:pos="8960"/>
            </w:tabs>
            <w:spacing w:line="580" w:lineRule="exact"/>
            <w:ind w:firstLine="0" w:firstLineChars="0"/>
            <w:rPr>
              <w:rFonts w:ascii="Times New Roman" w:hAnsi="Times New Roman"/>
              <w:color w:val="000000" w:themeColor="text1"/>
              <w:spacing w:val="6"/>
              <w14:textFill>
                <w14:solidFill>
                  <w14:schemeClr w14:val="tx1"/>
                </w14:solidFill>
              </w14:textFill>
            </w:rPr>
          </w:pPr>
          <w:r>
            <w:fldChar w:fldCharType="begin"/>
          </w:r>
          <w:r>
            <w:instrText xml:space="preserve"> HYPERLINK \l "_Toc5121" </w:instrText>
          </w:r>
          <w:r>
            <w:fldChar w:fldCharType="separate"/>
          </w:r>
          <w:r>
            <w:rPr>
              <w:rFonts w:ascii="Times New Roman" w:hAnsi="Times New Roman"/>
              <w:color w:val="000000" w:themeColor="text1"/>
              <w:spacing w:val="6"/>
              <w14:textFill>
                <w14:solidFill>
                  <w14:schemeClr w14:val="tx1"/>
                </w14:solidFill>
              </w14:textFill>
            </w:rPr>
            <w:t>第十六篇 全面贯彻总体国家安全观，建设更高水平平安怀化法治怀化</w:t>
          </w:r>
          <w:r>
            <w:rPr>
              <w:rFonts w:ascii="Times New Roman" w:hAnsi="Times New Roman"/>
              <w:color w:val="000000" w:themeColor="text1"/>
              <w:spacing w:val="6"/>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"_Toc27997" </w:instrText>
          </w:r>
          <w:r>
            <w:fldChar w:fldCharType="separate"/>
          </w:r>
          <w:r>
            <w:rPr>
              <w:rFonts w:eastAsia="楷体_GB2312"/>
              <w:color w:val="000000" w:themeColor="text1"/>
              <w:sz w:val="32"/>
              <w:szCs w:val="32"/>
              <w14:textFill>
                <w14:solidFill>
                  <w14:schemeClr w14:val="tx1"/>
                </w14:solidFill>
              </w14:textFill>
            </w:rPr>
            <w:t>第五十六章 加强政治安全能力建设</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_Toc27997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165</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"_Toc4444" </w:instrText>
          </w:r>
          <w:r>
            <w:fldChar w:fldCharType="separate"/>
          </w:r>
          <w:r>
            <w:rPr>
              <w:rFonts w:eastAsia="楷体_GB2312"/>
              <w:color w:val="000000" w:themeColor="text1"/>
              <w:sz w:val="32"/>
              <w:szCs w:val="32"/>
              <w14:textFill>
                <w14:solidFill>
                  <w14:schemeClr w14:val="tx1"/>
                </w14:solidFill>
              </w14:textFill>
            </w:rPr>
            <w:t>第五十七章 全面保障经济安全</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_Toc4444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167</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"_Toc25878" </w:instrText>
          </w:r>
          <w:r>
            <w:fldChar w:fldCharType="separate"/>
          </w:r>
          <w:r>
            <w:rPr>
              <w:rFonts w:eastAsia="楷体_GB2312"/>
              <w:color w:val="000000" w:themeColor="text1"/>
              <w:sz w:val="32"/>
              <w:szCs w:val="32"/>
              <w14:textFill>
                <w14:solidFill>
                  <w14:schemeClr w14:val="tx1"/>
                </w14:solidFill>
              </w14:textFill>
            </w:rPr>
            <w:t>第五十八章 维护社会安全稳定</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_Toc25878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169</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21"/>
            <w:tabs>
              <w:tab w:val="right" w:leader="dot" w:pos="8960"/>
            </w:tabs>
            <w:spacing w:line="580" w:lineRule="exact"/>
            <w:ind w:left="0" w:leftChars="0"/>
            <w:rPr>
              <w:rFonts w:eastAsia="仿宋_GB2312"/>
              <w:color w:val="000000" w:themeColor="text1"/>
              <w:sz w:val="32"/>
              <w:szCs w:val="32"/>
              <w14:textFill>
                <w14:solidFill>
                  <w14:schemeClr w14:val="tx1"/>
                </w14:solidFill>
              </w14:textFill>
            </w:rPr>
          </w:pPr>
          <w:r>
            <w:fldChar w:fldCharType="begin"/>
          </w:r>
          <w:r>
            <w:instrText xml:space="preserve"> HYPERLINK \l "_Toc31479" </w:instrText>
          </w:r>
          <w:r>
            <w:fldChar w:fldCharType="separate"/>
          </w:r>
          <w:r>
            <w:rPr>
              <w:rFonts w:eastAsia="楷体_GB2312"/>
              <w:color w:val="000000" w:themeColor="text1"/>
              <w:sz w:val="32"/>
              <w:szCs w:val="32"/>
              <w14:textFill>
                <w14:solidFill>
                  <w14:schemeClr w14:val="tx1"/>
                </w14:solidFill>
              </w14:textFill>
            </w:rPr>
            <w:t>第五十九章 推进社会主义民主法治建设</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_Toc31479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173</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19"/>
            <w:tabs>
              <w:tab w:val="right" w:leader="dot" w:pos="8960"/>
            </w:tabs>
            <w:spacing w:line="580" w:lineRule="exact"/>
            <w:ind w:firstLine="0" w:firstLineChars="0"/>
            <w:rPr>
              <w:rFonts w:ascii="Times New Roman" w:hAnsi="Times New Roman"/>
              <w:color w:val="000000" w:themeColor="text1"/>
              <w14:textFill>
                <w14:solidFill>
                  <w14:schemeClr w14:val="tx1"/>
                </w14:solidFill>
              </w14:textFill>
            </w:rPr>
          </w:pPr>
          <w:r>
            <w:fldChar w:fldCharType="begin"/>
          </w:r>
          <w:r>
            <w:instrText xml:space="preserve"> HYPERLINK \l "_Toc21916" </w:instrText>
          </w:r>
          <w:r>
            <w:fldChar w:fldCharType="separate"/>
          </w:r>
          <w:r>
            <w:rPr>
              <w:rFonts w:ascii="Times New Roman" w:hAnsi="Times New Roman"/>
              <w:color w:val="000000" w:themeColor="text1"/>
              <w14:textFill>
                <w14:solidFill>
                  <w14:schemeClr w14:val="tx1"/>
                </w14:solidFill>
              </w14:textFill>
            </w:rPr>
            <w:t>第十七篇 加强组织领导，确保规划宏伟蓝图顺利实施</w:t>
          </w:r>
          <w:r>
            <w:rPr>
              <w:rFonts w:ascii="Times New Roman" w:hAnsi="Times New Roman"/>
              <w:color w:val="000000" w:themeColor="text1"/>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"_Toc17027" </w:instrText>
          </w:r>
          <w:r>
            <w:fldChar w:fldCharType="separate"/>
          </w:r>
          <w:r>
            <w:rPr>
              <w:rFonts w:eastAsia="楷体_GB2312"/>
              <w:color w:val="000000" w:themeColor="text1"/>
              <w:sz w:val="32"/>
              <w:szCs w:val="32"/>
              <w14:textFill>
                <w14:solidFill>
                  <w14:schemeClr w14:val="tx1"/>
                </w14:solidFill>
              </w14:textFill>
            </w:rPr>
            <w:t>第六十章 加强党的全面领导</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_Toc17027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176</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21"/>
            <w:tabs>
              <w:tab w:val="right" w:leader="dot" w:pos="8960"/>
            </w:tabs>
            <w:spacing w:line="580" w:lineRule="exact"/>
            <w:ind w:left="0" w:leftChars="0"/>
            <w:rPr>
              <w:rFonts w:eastAsia="楷体_GB2312"/>
              <w:color w:val="000000" w:themeColor="text1"/>
              <w:sz w:val="32"/>
              <w:szCs w:val="32"/>
              <w14:textFill>
                <w14:solidFill>
                  <w14:schemeClr w14:val="tx1"/>
                </w14:solidFill>
              </w14:textFill>
            </w:rPr>
          </w:pPr>
          <w:r>
            <w:fldChar w:fldCharType="begin"/>
          </w:r>
          <w:r>
            <w:instrText xml:space="preserve"> HYPERLINK \l "_Toc2297" </w:instrText>
          </w:r>
          <w:r>
            <w:fldChar w:fldCharType="separate"/>
          </w:r>
          <w:r>
            <w:rPr>
              <w:rFonts w:eastAsia="楷体_GB2312"/>
              <w:color w:val="000000" w:themeColor="text1"/>
              <w:sz w:val="32"/>
              <w:szCs w:val="32"/>
              <w14:textFill>
                <w14:solidFill>
                  <w14:schemeClr w14:val="tx1"/>
                </w14:solidFill>
              </w14:textFill>
            </w:rPr>
            <w:t>第六十一章 突出规划战略导向作用</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_Toc2297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178</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21"/>
            <w:tabs>
              <w:tab w:val="right" w:leader="dot" w:pos="8960"/>
            </w:tabs>
            <w:spacing w:line="580" w:lineRule="exact"/>
            <w:ind w:left="0" w:leftChars="0"/>
            <w:rPr>
              <w:rFonts w:eastAsia="仿宋_GB2312"/>
              <w:color w:val="000000" w:themeColor="text1"/>
              <w:sz w:val="32"/>
              <w:szCs w:val="32"/>
              <w14:textFill>
                <w14:solidFill>
                  <w14:schemeClr w14:val="tx1"/>
                </w14:solidFill>
              </w14:textFill>
            </w:rPr>
          </w:pPr>
          <w:r>
            <w:fldChar w:fldCharType="begin"/>
          </w:r>
          <w:r>
            <w:instrText xml:space="preserve"> HYPERLINK \l "_Toc23423" </w:instrText>
          </w:r>
          <w:r>
            <w:fldChar w:fldCharType="separate"/>
          </w:r>
          <w:r>
            <w:rPr>
              <w:rFonts w:eastAsia="楷体_GB2312"/>
              <w:color w:val="000000" w:themeColor="text1"/>
              <w:sz w:val="32"/>
              <w:szCs w:val="32"/>
              <w14:textFill>
                <w14:solidFill>
                  <w14:schemeClr w14:val="tx1"/>
                </w14:solidFill>
              </w14:textFill>
            </w:rPr>
            <w:t>第六十二章 保障规划顺利实施</w:t>
          </w:r>
          <w:r>
            <w:rPr>
              <w:rFonts w:eastAsia="楷体_GB2312"/>
              <w:color w:val="000000" w:themeColor="text1"/>
              <w:sz w:val="32"/>
              <w:szCs w:val="32"/>
              <w14:textFill>
                <w14:solidFill>
                  <w14:schemeClr w14:val="tx1"/>
                </w14:solidFill>
              </w14:textFill>
            </w:rPr>
            <w:tab/>
          </w:r>
          <w:r>
            <w:rPr>
              <w:rFonts w:eastAsia="楷体_GB2312"/>
              <w:color w:val="000000" w:themeColor="text1"/>
              <w:sz w:val="32"/>
              <w:szCs w:val="32"/>
              <w14:textFill>
                <w14:solidFill>
                  <w14:schemeClr w14:val="tx1"/>
                </w14:solidFill>
              </w14:textFill>
            </w:rPr>
            <w:fldChar w:fldCharType="begin"/>
          </w:r>
          <w:r>
            <w:rPr>
              <w:rFonts w:eastAsia="楷体_GB2312"/>
              <w:color w:val="000000" w:themeColor="text1"/>
              <w:sz w:val="32"/>
              <w:szCs w:val="32"/>
              <w14:textFill>
                <w14:solidFill>
                  <w14:schemeClr w14:val="tx1"/>
                </w14:solidFill>
              </w14:textFill>
            </w:rPr>
            <w:instrText xml:space="preserve"> PAGEREF _Toc23423 \h </w:instrText>
          </w:r>
          <w:r>
            <w:rPr>
              <w:rFonts w:eastAsia="楷体_GB2312"/>
              <w:color w:val="000000" w:themeColor="text1"/>
              <w:sz w:val="32"/>
              <w:szCs w:val="32"/>
              <w14:textFill>
                <w14:solidFill>
                  <w14:schemeClr w14:val="tx1"/>
                </w14:solidFill>
              </w14:textFill>
            </w:rPr>
            <w:fldChar w:fldCharType="separate"/>
          </w:r>
          <w:r>
            <w:rPr>
              <w:rFonts w:eastAsia="楷体_GB2312"/>
              <w:color w:val="000000" w:themeColor="text1"/>
              <w:sz w:val="32"/>
              <w:szCs w:val="32"/>
              <w14:textFill>
                <w14:solidFill>
                  <w14:schemeClr w14:val="tx1"/>
                </w14:solidFill>
              </w14:textFill>
            </w:rPr>
            <w:t>179</w:t>
          </w:r>
          <w:r>
            <w:rPr>
              <w:rFonts w:eastAsia="楷体_GB2312"/>
              <w:color w:val="000000" w:themeColor="text1"/>
              <w:sz w:val="32"/>
              <w:szCs w:val="32"/>
              <w14:textFill>
                <w14:solidFill>
                  <w14:schemeClr w14:val="tx1"/>
                </w14:solidFill>
              </w14:textFill>
            </w:rPr>
            <w:fldChar w:fldCharType="end"/>
          </w:r>
          <w:r>
            <w:rPr>
              <w:rFonts w:eastAsia="楷体_GB2312"/>
              <w:color w:val="000000" w:themeColor="text1"/>
              <w:sz w:val="32"/>
              <w:szCs w:val="32"/>
              <w14:textFill>
                <w14:solidFill>
                  <w14:schemeClr w14:val="tx1"/>
                </w14:solidFill>
              </w14:textFill>
            </w:rPr>
            <w:fldChar w:fldCharType="end"/>
          </w:r>
        </w:p>
        <w:p>
          <w:pPr>
            <w:pStyle w:val="5"/>
            <w:tabs>
              <w:tab w:val="left" w:pos="675"/>
            </w:tabs>
            <w:spacing w:line="580" w:lineRule="exact"/>
            <w:jc w:val="both"/>
            <w:rPr>
              <w:rFonts w:eastAsia="仿宋_GB2312"/>
              <w:color w:val="000000" w:themeColor="text1"/>
              <w:szCs w:val="32"/>
              <w14:textFill>
                <w14:solidFill>
                  <w14:schemeClr w14:val="tx1"/>
                </w14:solidFill>
              </w14:textFill>
            </w:rPr>
            <w:sectPr>
              <w:pgSz w:w="11906" w:h="16838"/>
              <w:pgMar w:top="2098" w:right="1474" w:bottom="1871" w:left="1474" w:header="851" w:footer="992" w:gutter="0"/>
              <w:cols w:space="0" w:num="1"/>
              <w:docGrid w:type="lines" w:linePitch="312" w:charSpace="0"/>
            </w:sectPr>
          </w:pPr>
          <w:r>
            <w:rPr>
              <w:color w:val="000000" w:themeColor="text1"/>
              <w:szCs w:val="32"/>
              <w14:textFill>
                <w14:solidFill>
                  <w14:schemeClr w14:val="tx1"/>
                </w14:solidFill>
              </w14:textFill>
            </w:rPr>
            <w:fldChar w:fldCharType="end"/>
          </w:r>
        </w:p>
      </w:sdtContent>
    </w:sdt>
    <w:p>
      <w:pPr>
        <w:adjustRightInd w:val="0"/>
        <w:snapToGrid w:val="0"/>
        <w:spacing w:line="640" w:lineRule="exact"/>
        <w:jc w:val="center"/>
        <w:rPr>
          <w:rFonts w:eastAsia="方正小标宋_GBK"/>
          <w:color w:val="000000" w:themeColor="text1"/>
          <w:sz w:val="44"/>
          <w:szCs w:val="44"/>
          <w14:textFill>
            <w14:solidFill>
              <w14:schemeClr w14:val="tx1"/>
            </w14:solidFill>
          </w14:textFill>
        </w:rPr>
      </w:pPr>
      <w:r>
        <w:rPr>
          <w:rFonts w:ascii="Times New Roman" w:hAnsi="Times New Roman" w:eastAsia="方正小标宋_GBK" w:cs="Times New Roman"/>
          <w:color w:val="000000" w:themeColor="text1"/>
          <w:sz w:val="44"/>
          <w:szCs w:val="44"/>
          <w14:textFill>
            <w14:solidFill>
              <w14:schemeClr w14:val="tx1"/>
            </w14:solidFill>
          </w14:textFill>
        </w:rPr>
        <w:t>怀化市国民经济和社会发展</w:t>
      </w:r>
    </w:p>
    <w:p>
      <w:pPr>
        <w:adjustRightInd w:val="0"/>
        <w:snapToGrid w:val="0"/>
        <w:spacing w:line="640" w:lineRule="exact"/>
        <w:jc w:val="center"/>
        <w:rPr>
          <w:rFonts w:eastAsia="方正小标宋_GBK"/>
          <w:color w:val="000000" w:themeColor="text1"/>
          <w:sz w:val="44"/>
          <w:szCs w:val="44"/>
          <w14:textFill>
            <w14:solidFill>
              <w14:schemeClr w14:val="tx1"/>
            </w14:solidFill>
          </w14:textFill>
        </w:rPr>
      </w:pPr>
      <w:r>
        <w:rPr>
          <w:rFonts w:ascii="Times New Roman" w:hAnsi="Times New Roman" w:eastAsia="方正小标宋_GBK" w:cs="Times New Roman"/>
          <w:color w:val="000000" w:themeColor="text1"/>
          <w:sz w:val="44"/>
          <w:szCs w:val="44"/>
          <w14:textFill>
            <w14:solidFill>
              <w14:schemeClr w14:val="tx1"/>
            </w14:solidFill>
          </w14:textFill>
        </w:rPr>
        <w:t>第十五个五年规划纲要</w:t>
      </w:r>
    </w:p>
    <w:p>
      <w:pPr>
        <w:pStyle w:val="2"/>
        <w:rPr>
          <w:color w:val="000000" w:themeColor="text1"/>
          <w14:textFill>
            <w14:solidFill>
              <w14:schemeClr w14:val="tx1"/>
            </w14:solidFill>
          </w14:textFill>
        </w:rPr>
      </w:pPr>
    </w:p>
    <w:p>
      <w:pPr>
        <w:adjustRightInd w:val="0"/>
        <w:snapToGrid w:val="0"/>
        <w:spacing w:line="57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怀化市国民经济和社会发展第十五个五年（2026—2030年）规划纲要，根据《中共中央关于制定国民经济和社会发展第十五个五年规划的建议》《中共湖南省委关于制定湖南省国民经济和社会发展第十五个五年规划的建议》《中共怀化市委关于制定怀化市国民经济和社会发展第十五个五年规划的建议》编制，主要阐明全市经济社会发展战略，明确政府工作重点，引导规范各类经营主体行为，是“十五五”时期我市推进社会主义现代化建设的宏伟蓝图，是全市人民共同奋斗的行动纲领。</w:t>
      </w:r>
    </w:p>
    <w:p>
      <w:pPr>
        <w:pStyle w:val="45"/>
        <w:spacing w:beforeAutospacing="0" w:afterAutospacing="0" w:line="570" w:lineRule="exact"/>
        <w:ind w:left="420"/>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pStyle w:val="13"/>
        <w:rPr>
          <w:rFonts w:eastAsia="仿宋_GB2312"/>
          <w:color w:val="000000" w:themeColor="text1"/>
          <w14:textFill>
            <w14:solidFill>
              <w14:schemeClr w14:val="tx1"/>
            </w14:solidFill>
          </w14:textFill>
        </w:rPr>
      </w:pPr>
    </w:p>
    <w:p>
      <w:pPr>
        <w:pStyle w:val="13"/>
        <w:rPr>
          <w:rFonts w:eastAsia="仿宋_GB2312"/>
          <w:color w:val="000000" w:themeColor="text1"/>
          <w14:textFill>
            <w14:solidFill>
              <w14:schemeClr w14:val="tx1"/>
            </w14:solidFill>
          </w14:textFill>
        </w:rPr>
      </w:pPr>
    </w:p>
    <w:p>
      <w:pPr>
        <w:pStyle w:val="13"/>
        <w:rPr>
          <w:rFonts w:eastAsia="仿宋_GB2312"/>
          <w:color w:val="000000" w:themeColor="text1"/>
          <w14:textFill>
            <w14:solidFill>
              <w14:schemeClr w14:val="tx1"/>
            </w14:solidFill>
          </w14:textFill>
        </w:rPr>
      </w:pPr>
    </w:p>
    <w:p>
      <w:pPr>
        <w:pStyle w:val="13"/>
        <w:rPr>
          <w:rFonts w:eastAsia="仿宋_GB2312"/>
          <w:color w:val="000000" w:themeColor="text1"/>
          <w14:textFill>
            <w14:solidFill>
              <w14:schemeClr w14:val="tx1"/>
            </w14:solidFill>
          </w14:textFill>
        </w:rPr>
      </w:pPr>
    </w:p>
    <w:p>
      <w:pPr>
        <w:pStyle w:val="45"/>
        <w:ind w:left="420"/>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sectPr>
          <w:footerReference r:id="rId10" w:type="default"/>
          <w:pgSz w:w="11906" w:h="16838"/>
          <w:pgMar w:top="2098" w:right="1531" w:bottom="1871" w:left="1531" w:header="851" w:footer="992" w:gutter="0"/>
          <w:pgNumType w:start="1"/>
          <w:cols w:space="0" w:num="1"/>
          <w:docGrid w:type="lines" w:linePitch="312" w:charSpace="0"/>
        </w:sectPr>
      </w:pPr>
    </w:p>
    <w:p>
      <w:pPr>
        <w:pStyle w:val="9"/>
        <w:rPr>
          <w:rFonts w:eastAsia="仿宋_GB2312"/>
          <w:color w:val="000000" w:themeColor="text1"/>
          <w14:textFill>
            <w14:solidFill>
              <w14:schemeClr w14:val="tx1"/>
            </w14:solidFill>
          </w14:textFill>
        </w:rPr>
      </w:pPr>
    </w:p>
    <w:p>
      <w:pPr>
        <w:pStyle w:val="9"/>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pStyle w:val="9"/>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pStyle w:val="9"/>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pStyle w:val="9"/>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pStyle w:val="9"/>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pStyle w:val="9"/>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pStyle w:val="9"/>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pStyle w:val="9"/>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pStyle w:val="9"/>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pStyle w:val="9"/>
        <w:rPr>
          <w:rFonts w:eastAsia="仿宋_GB2312"/>
          <w:color w:val="000000" w:themeColor="text1"/>
          <w14:textFill>
            <w14:solidFill>
              <w14:schemeClr w14:val="tx1"/>
            </w14:solidFill>
          </w14:textFill>
        </w:rPr>
      </w:pPr>
    </w:p>
    <w:p>
      <w:pPr>
        <w:pStyle w:val="5"/>
        <w:spacing w:line="560" w:lineRule="exact"/>
        <w:rPr>
          <w:rFonts w:eastAsia="方正小标宋简体"/>
          <w:color w:val="000000" w:themeColor="text1"/>
          <w:sz w:val="36"/>
          <w:szCs w:val="36"/>
          <w14:textFill>
            <w14:solidFill>
              <w14:schemeClr w14:val="tx1"/>
            </w14:solidFill>
          </w14:textFill>
        </w:rPr>
        <w:sectPr>
          <w:footerReference r:id="rId11" w:type="default"/>
          <w:pgSz w:w="11906" w:h="16838"/>
          <w:pgMar w:top="2098" w:right="1361" w:bottom="1871" w:left="1531" w:header="851" w:footer="992" w:gutter="0"/>
          <w:pgNumType w:start="1"/>
          <w:cols w:space="0" w:num="1"/>
          <w:docGrid w:type="lines" w:linePitch="312" w:charSpace="0"/>
        </w:sectPr>
      </w:pPr>
    </w:p>
    <w:p>
      <w:pPr>
        <w:pStyle w:val="5"/>
        <w:keepNext w:val="0"/>
        <w:keepLines w:val="0"/>
        <w:spacing w:line="580" w:lineRule="exact"/>
        <w:rPr>
          <w:rFonts w:eastAsia="方正小标宋简体"/>
          <w:color w:val="000000" w:themeColor="text1"/>
          <w:spacing w:val="-6"/>
          <w:sz w:val="36"/>
          <w:szCs w:val="36"/>
          <w14:textFill>
            <w14:solidFill>
              <w14:schemeClr w14:val="tx1"/>
            </w14:solidFill>
          </w14:textFill>
        </w:rPr>
      </w:pPr>
      <w:bookmarkStart w:id="2" w:name="_Toc173"/>
      <w:r>
        <w:rPr>
          <w:rFonts w:eastAsia="方正小标宋简体"/>
          <w:color w:val="000000" w:themeColor="text1"/>
          <w:spacing w:val="-6"/>
          <w:sz w:val="36"/>
          <w:szCs w:val="36"/>
          <w14:textFill>
            <w14:solidFill>
              <w14:schemeClr w14:val="tx1"/>
            </w14:solidFill>
          </w14:textFill>
        </w:rPr>
        <w:t>第一篇 深入实施</w:t>
      </w:r>
      <w:r>
        <w:rPr>
          <w:rFonts w:eastAsia="仿宋_GB2312"/>
          <w:color w:val="000000" w:themeColor="text1"/>
          <w:spacing w:val="-6"/>
          <w:sz w:val="36"/>
          <w:szCs w:val="36"/>
          <w14:textFill>
            <w14:solidFill>
              <w14:schemeClr w14:val="tx1"/>
            </w14:solidFill>
          </w14:textFill>
        </w:rPr>
        <w:t>“</w:t>
      </w:r>
      <w:r>
        <w:rPr>
          <w:rFonts w:eastAsia="方正小标宋简体"/>
          <w:color w:val="000000" w:themeColor="text1"/>
          <w:spacing w:val="-6"/>
          <w:sz w:val="36"/>
          <w:szCs w:val="36"/>
          <w14:textFill>
            <w14:solidFill>
              <w14:schemeClr w14:val="tx1"/>
            </w14:solidFill>
          </w14:textFill>
        </w:rPr>
        <w:t>五新四城</w:t>
      </w:r>
      <w:r>
        <w:rPr>
          <w:rFonts w:eastAsia="仿宋_GB2312"/>
          <w:color w:val="000000" w:themeColor="text1"/>
          <w:spacing w:val="-6"/>
          <w:sz w:val="36"/>
          <w:szCs w:val="36"/>
          <w14:textFill>
            <w14:solidFill>
              <w14:schemeClr w14:val="tx1"/>
            </w14:solidFill>
          </w14:textFill>
        </w:rPr>
        <w:t>”</w:t>
      </w:r>
      <w:r>
        <w:rPr>
          <w:rFonts w:eastAsia="方正小标宋简体"/>
          <w:color w:val="000000" w:themeColor="text1"/>
          <w:spacing w:val="-6"/>
          <w:sz w:val="36"/>
          <w:szCs w:val="36"/>
          <w14:textFill>
            <w14:solidFill>
              <w14:schemeClr w14:val="tx1"/>
            </w14:solidFill>
          </w14:textFill>
        </w:rPr>
        <w:t>战略，奋力建设湘鄂渝黔桂</w:t>
      </w:r>
    </w:p>
    <w:p>
      <w:pPr>
        <w:pStyle w:val="5"/>
        <w:keepNext w:val="0"/>
        <w:keepLines w:val="0"/>
        <w:spacing w:line="580" w:lineRule="exact"/>
        <w:rPr>
          <w:rFonts w:eastAsia="方正小标宋简体"/>
          <w:color w:val="000000" w:themeColor="text1"/>
          <w:sz w:val="36"/>
          <w:szCs w:val="36"/>
          <w14:textFill>
            <w14:solidFill>
              <w14:schemeClr w14:val="tx1"/>
            </w14:solidFill>
          </w14:textFill>
        </w:rPr>
      </w:pPr>
      <w:r>
        <w:rPr>
          <w:rFonts w:eastAsia="方正小标宋简体"/>
          <w:color w:val="000000" w:themeColor="text1"/>
          <w:sz w:val="36"/>
          <w:szCs w:val="36"/>
          <w14:textFill>
            <w14:solidFill>
              <w14:schemeClr w14:val="tx1"/>
            </w14:solidFill>
          </w14:textFill>
        </w:rPr>
        <w:t>五省边际区域性中心城市</w:t>
      </w:r>
      <w:bookmarkEnd w:id="2"/>
    </w:p>
    <w:p>
      <w:pPr>
        <w:spacing w:line="580" w:lineRule="exact"/>
        <w:rPr>
          <w:rFonts w:eastAsia="仿宋_GB2312"/>
          <w:color w:val="000000" w:themeColor="text1"/>
          <w14:textFill>
            <w14:solidFill>
              <w14:schemeClr w14:val="tx1"/>
            </w14:solidFill>
          </w14:textFill>
        </w:rPr>
      </w:pPr>
    </w:p>
    <w:p>
      <w:pPr>
        <w:adjustRightInd w:val="0"/>
        <w:snapToGrid w:val="0"/>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十五五”时期是基本实现社会主义现代化夯实基础、全面发力的关键时期，也是锚定“三高四新”美好蓝图，推动“五新四城”战略走深走实，奋力建设湘鄂渝黔桂五省边际区域性中心城市的关键时期，在我市基本实现社会主义现代化进程中具有承前启后的重要地位。</w:t>
      </w:r>
    </w:p>
    <w:p>
      <w:pPr>
        <w:pStyle w:val="45"/>
        <w:spacing w:beforeAutospacing="0" w:afterAutospacing="0" w:line="580" w:lineRule="exact"/>
        <w:ind w:left="0" w:leftChars="0"/>
        <w:rPr>
          <w:rFonts w:eastAsia="仿宋_GB2312"/>
          <w:color w:val="000000" w:themeColor="text1"/>
          <w14:textFill>
            <w14:solidFill>
              <w14:schemeClr w14:val="tx1"/>
            </w14:solidFill>
          </w14:textFill>
        </w:rPr>
      </w:pPr>
    </w:p>
    <w:p>
      <w:pPr>
        <w:pStyle w:val="6"/>
        <w:keepNext w:val="0"/>
        <w:keepLines w:val="0"/>
        <w:spacing w:line="580" w:lineRule="exact"/>
        <w:rPr>
          <w:rFonts w:ascii="Times New Roman" w:hAnsi="Times New Roman" w:eastAsia="黑体" w:cs="Times New Roman"/>
          <w:color w:val="000000" w:themeColor="text1"/>
          <w:sz w:val="32"/>
          <w14:textFill>
            <w14:solidFill>
              <w14:schemeClr w14:val="tx1"/>
            </w14:solidFill>
          </w14:textFill>
        </w:rPr>
      </w:pPr>
      <w:bookmarkStart w:id="3" w:name="_Toc23957"/>
      <w:r>
        <w:rPr>
          <w:rFonts w:ascii="Times New Roman" w:hAnsi="Times New Roman" w:eastAsia="黑体" w:cs="Times New Roman"/>
          <w:color w:val="000000" w:themeColor="text1"/>
          <w:sz w:val="32"/>
          <w14:textFill>
            <w14:solidFill>
              <w14:schemeClr w14:val="tx1"/>
            </w14:solidFill>
          </w14:textFill>
        </w:rPr>
        <w:t>第一章 经济社会发展取得新成就</w:t>
      </w:r>
      <w:bookmarkEnd w:id="3"/>
    </w:p>
    <w:p>
      <w:pPr>
        <w:adjustRightInd w:val="0"/>
        <w:snapToGrid w:val="0"/>
        <w:spacing w:line="580" w:lineRule="exact"/>
        <w:rPr>
          <w:rFonts w:eastAsia="仿宋_GB2312"/>
          <w:color w:val="000000" w:themeColor="text1"/>
          <w:sz w:val="32"/>
          <w:szCs w:val="32"/>
          <w14:textFill>
            <w14:solidFill>
              <w14:schemeClr w14:val="tx1"/>
            </w14:solidFill>
          </w14:textFill>
        </w:rPr>
      </w:pPr>
    </w:p>
    <w:p>
      <w:pPr>
        <w:adjustRightInd w:val="0"/>
        <w:snapToGrid w:val="0"/>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十四五”时期怀化发展历程极不寻常、极不平凡，是发展步伐最快、城乡面貌变化最大、群众获得感最强、干事创业氛围最浓的时期之一。面对复杂多变的内外环境和艰巨繁重的改革发展稳定任务，在党中央和省委、省政府的坚强领导下，市委、市政府团结带领全市各族人民紧紧锚定“三高四新”美好蓝图，深入实施“五新四城”战略，奋起“二次创业”，抢抓机遇、迎难而上、砥砺前行，经受住世纪疫情严重冲击，有效应对经济下行压力、历史罕见暴雨洪灾影响，解决了一批群众关注关切的历史遗留问题，办成了一批事关长远发展的大事要事，推动“十四五”规划目标任务总体如期完成，怀化发展翻开了崭新篇章，为建设五省边际区域性中心城市奠定了坚实基础。</w:t>
      </w:r>
    </w:p>
    <w:p>
      <w:pPr>
        <w:adjustRightInd w:val="0"/>
        <w:snapToGrid w:val="0"/>
        <w:spacing w:line="580" w:lineRule="exact"/>
        <w:ind w:firstLine="643"/>
        <w:rPr>
          <w:rFonts w:eastAsia="仿宋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经济实力历史性跃升。</w:t>
      </w:r>
      <w:r>
        <w:rPr>
          <w:rFonts w:ascii="Times New Roman" w:hAnsi="Times New Roman" w:eastAsia="仿宋_GB2312" w:cs="Times New Roman"/>
          <w:color w:val="000000" w:themeColor="text1"/>
          <w:sz w:val="32"/>
          <w:szCs w:val="32"/>
          <w14:textFill>
            <w14:solidFill>
              <w14:schemeClr w14:val="tx1"/>
            </w14:solidFill>
          </w14:textFill>
        </w:rPr>
        <w:t>地区生产总值迈上两千亿级新台阶，达到2192亿元。人均GDP达到4.82万元，较2020年增长32.6%。三次产业比由2020年的15.6:28.6:55.8优化为13.8:31.5:54.7。经营主体净增14.6万户、达42.7万户，较2020年增长51.9%。“四上”企业突破3000家、达3171家，较2020年增长54%。千亿园区、上市公司实现破零。全国性综合交通枢纽、商贸服务型国家物流枢纽、国家复合型现代流通战略支点、国家粮食物流关键节点及国家级服务业标准化试点城市等“国字号”平台相继落户，张吉怀高铁及靖黎、芷铜、官新、沅辰高速公路等一批重大基础设施工程建成投用，对周边辐射引领带动作用进一步增强。</w:t>
      </w:r>
    </w:p>
    <w:p>
      <w:pPr>
        <w:adjustRightInd w:val="0"/>
        <w:snapToGrid w:val="0"/>
        <w:spacing w:line="560" w:lineRule="exact"/>
        <w:ind w:firstLine="643"/>
        <w:rPr>
          <w:rFonts w:eastAsia="楷体_GB2312"/>
          <w:b/>
          <w:bCs w:val="0"/>
          <w:color w:val="000000" w:themeColor="text1"/>
          <w:sz w:val="32"/>
          <w:szCs w:val="32"/>
          <w14:textFill>
            <w14:solidFill>
              <w14:schemeClr w14:val="tx1"/>
            </w14:solidFill>
          </w14:textFill>
        </w:rPr>
      </w:pPr>
      <w:r>
        <w:rPr>
          <w:rFonts w:eastAsia="楷体_GB2312"/>
          <w:b/>
          <w:bCs w:val="0"/>
          <w:color w:val="000000" w:themeColor="text1"/>
          <w:sz w:val="32"/>
          <w:szCs w:val="32"/>
          <w14:textFill>
            <w14:solidFill>
              <w14:schemeClr w14:val="tx1"/>
            </w14:solidFill>
          </w14:textFill>
        </w:rPr>
        <w:drawing>
          <wp:anchor distT="0" distB="0" distL="114300" distR="114300" simplePos="0" relativeHeight="251659264" behindDoc="0" locked="0" layoutInCell="1" allowOverlap="1">
            <wp:simplePos x="0" y="0"/>
            <wp:positionH relativeFrom="column">
              <wp:posOffset>-50800</wp:posOffset>
            </wp:positionH>
            <wp:positionV relativeFrom="paragraph">
              <wp:posOffset>242570</wp:posOffset>
            </wp:positionV>
            <wp:extent cx="5784215" cy="3728720"/>
            <wp:effectExtent l="0" t="0" r="26035" b="24130"/>
            <wp:wrapNone/>
            <wp:docPr id="19"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pPr>
        <w:adjustRightInd w:val="0"/>
        <w:snapToGrid w:val="0"/>
        <w:spacing w:line="560" w:lineRule="exact"/>
        <w:ind w:firstLine="643"/>
        <w:rPr>
          <w:rFonts w:eastAsia="楷体_GB2312"/>
          <w:b/>
          <w:bCs w:val="0"/>
          <w:color w:val="000000" w:themeColor="text1"/>
          <w:sz w:val="32"/>
          <w:szCs w:val="32"/>
          <w14:textFill>
            <w14:solidFill>
              <w14:schemeClr w14:val="tx1"/>
            </w14:solidFill>
          </w14:textFill>
        </w:rPr>
      </w:pPr>
    </w:p>
    <w:p>
      <w:pPr>
        <w:adjustRightInd w:val="0"/>
        <w:snapToGrid w:val="0"/>
        <w:spacing w:line="560" w:lineRule="exact"/>
        <w:ind w:firstLine="643"/>
        <w:rPr>
          <w:rFonts w:eastAsia="楷体_GB2312"/>
          <w:b/>
          <w:bCs w:val="0"/>
          <w:color w:val="000000" w:themeColor="text1"/>
          <w:sz w:val="32"/>
          <w:szCs w:val="32"/>
          <w14:textFill>
            <w14:solidFill>
              <w14:schemeClr w14:val="tx1"/>
            </w14:solidFill>
          </w14:textFill>
        </w:rPr>
      </w:pPr>
    </w:p>
    <w:p>
      <w:pPr>
        <w:adjustRightInd w:val="0"/>
        <w:snapToGrid w:val="0"/>
        <w:spacing w:line="560" w:lineRule="exact"/>
        <w:ind w:firstLine="643"/>
        <w:rPr>
          <w:rFonts w:eastAsia="楷体_GB2312"/>
          <w:b/>
          <w:bCs w:val="0"/>
          <w:color w:val="000000" w:themeColor="text1"/>
          <w:sz w:val="32"/>
          <w:szCs w:val="32"/>
          <w14:textFill>
            <w14:solidFill>
              <w14:schemeClr w14:val="tx1"/>
            </w14:solidFill>
          </w14:textFill>
        </w:rPr>
      </w:pPr>
    </w:p>
    <w:p>
      <w:pPr>
        <w:adjustRightInd w:val="0"/>
        <w:snapToGrid w:val="0"/>
        <w:spacing w:line="560" w:lineRule="exact"/>
        <w:ind w:firstLine="643"/>
        <w:rPr>
          <w:rFonts w:eastAsia="楷体_GB2312"/>
          <w:b/>
          <w:bCs w:val="0"/>
          <w:color w:val="000000" w:themeColor="text1"/>
          <w:sz w:val="32"/>
          <w:szCs w:val="32"/>
          <w14:textFill>
            <w14:solidFill>
              <w14:schemeClr w14:val="tx1"/>
            </w14:solidFill>
          </w14:textFill>
        </w:rPr>
      </w:pPr>
    </w:p>
    <w:p>
      <w:pPr>
        <w:adjustRightInd w:val="0"/>
        <w:snapToGrid w:val="0"/>
        <w:spacing w:line="560" w:lineRule="exact"/>
        <w:ind w:firstLine="643"/>
        <w:rPr>
          <w:rFonts w:eastAsia="楷体_GB2312"/>
          <w:b/>
          <w:bCs w:val="0"/>
          <w:color w:val="000000" w:themeColor="text1"/>
          <w:sz w:val="32"/>
          <w:szCs w:val="32"/>
          <w14:textFill>
            <w14:solidFill>
              <w14:schemeClr w14:val="tx1"/>
            </w14:solidFill>
          </w14:textFill>
        </w:rPr>
      </w:pPr>
    </w:p>
    <w:p>
      <w:pPr>
        <w:adjustRightInd w:val="0"/>
        <w:snapToGrid w:val="0"/>
        <w:spacing w:line="560" w:lineRule="exact"/>
        <w:ind w:firstLine="643"/>
        <w:rPr>
          <w:rFonts w:eastAsia="楷体_GB2312"/>
          <w:b/>
          <w:bCs w:val="0"/>
          <w:color w:val="000000" w:themeColor="text1"/>
          <w:sz w:val="32"/>
          <w:szCs w:val="32"/>
          <w14:textFill>
            <w14:solidFill>
              <w14:schemeClr w14:val="tx1"/>
            </w14:solidFill>
          </w14:textFill>
        </w:rPr>
      </w:pPr>
    </w:p>
    <w:p>
      <w:pPr>
        <w:adjustRightInd w:val="0"/>
        <w:snapToGrid w:val="0"/>
        <w:spacing w:line="560" w:lineRule="exact"/>
        <w:ind w:firstLine="643"/>
        <w:rPr>
          <w:rFonts w:eastAsia="楷体_GB2312"/>
          <w:b/>
          <w:bCs w:val="0"/>
          <w:color w:val="000000" w:themeColor="text1"/>
          <w:sz w:val="32"/>
          <w:szCs w:val="32"/>
          <w14:textFill>
            <w14:solidFill>
              <w14:schemeClr w14:val="tx1"/>
            </w14:solidFill>
          </w14:textFill>
        </w:rPr>
      </w:pPr>
    </w:p>
    <w:p>
      <w:pPr>
        <w:adjustRightInd w:val="0"/>
        <w:snapToGrid w:val="0"/>
        <w:spacing w:line="560" w:lineRule="exact"/>
        <w:rPr>
          <w:rFonts w:eastAsia="楷体_GB2312"/>
          <w:b/>
          <w:bCs w:val="0"/>
          <w:color w:val="000000" w:themeColor="text1"/>
          <w:sz w:val="32"/>
          <w:szCs w:val="32"/>
          <w14:textFill>
            <w14:solidFill>
              <w14:schemeClr w14:val="tx1"/>
            </w14:solidFill>
          </w14:textFill>
        </w:rPr>
      </w:pPr>
    </w:p>
    <w:p>
      <w:pPr>
        <w:adjustRightInd w:val="0"/>
        <w:snapToGrid w:val="0"/>
        <w:spacing w:before="312" w:beforeLines="100" w:line="570" w:lineRule="exact"/>
        <w:jc w:val="center"/>
        <w:rPr>
          <w:rFonts w:eastAsia="楷体_GB2312"/>
          <w:color w:val="000000" w:themeColor="text1"/>
          <w:sz w:val="32"/>
          <w:szCs w:val="32"/>
          <w14:textFill>
            <w14:solidFill>
              <w14:schemeClr w14:val="tx1"/>
            </w14:solidFill>
          </w14:textFill>
        </w:rPr>
      </w:pPr>
      <w:r>
        <w:rPr>
          <w:color w:val="000000" w:themeColor="text1"/>
          <w:sz w:val="32"/>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-257175</wp:posOffset>
                </wp:positionH>
                <wp:positionV relativeFrom="paragraph">
                  <wp:posOffset>151130</wp:posOffset>
                </wp:positionV>
                <wp:extent cx="933450" cy="469900"/>
                <wp:effectExtent l="0" t="0" r="0" b="0"/>
                <wp:wrapNone/>
                <wp:docPr id="20" name="文本框 20"/>
                <wp:cNvGraphicFramePr/>
                <a:graphic xmlns:a="http://schemas.openxmlformats.org/drawingml/2006/main">
                  <a:graphicData uri="http://schemas.microsoft.com/office/word/2010/wordprocessingShape">
                    <wps:wsp>
                      <wps:cNvSpPr txBox="true"/>
                      <wps:spPr>
                        <a:xfrm>
                          <a:off x="0" y="0"/>
                          <a:ext cx="933450" cy="4699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ind w:firstLine="320"/>
                              <w:rPr>
                                <w:sz w:val="16"/>
                                <w:szCs w:val="16"/>
                              </w:rPr>
                            </w:pPr>
                            <w:r>
                              <w:rPr>
                                <w:rFonts w:hint="eastAsia"/>
                                <w:sz w:val="16"/>
                                <w:szCs w:val="16"/>
                              </w:rPr>
                              <w:t>（亿元）</w:t>
                            </w:r>
                          </w:p>
                        </w:txbxContent>
                      </wps:txbx>
                      <wps:bodyPr rot="0" spcFirstLastPara="0" vertOverflow="overflow" horzOverflow="overflow" vert="horz" wrap="square" lIns="91440" tIns="45720" rIns="91440" bIns="4572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left:-20.25pt;margin-top:11.9pt;height:37pt;width:73.5pt;z-index:251660288;mso-width-relative:page;mso-height-relative:page;" filled="f" stroked="f" coordsize="21600,21600" o:gfxdata="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W&#10;AAAAZHJzL1BLAQIUABQAAAAIAIdO4kC18i8b2gAAAAkBAAAPAAAAAAAAAAEAIAAAADgAAABkcnMv&#10;ZG93bnJldi54bWxQSwECFAAUAAAACACHTuJAU20gRyQCAAArBAAADgAAAAAAAAABACAAAAA/AQAA&#10;ZHJzL2Uyb0RvYy54bWxQSwUGAAAAAAYABgBZAQAA1QUAAAAA&#10;">
                <v:fill on="f" focussize="0,0"/>
                <v:stroke on="f" weight="0.5pt"/>
                <v:imagedata o:title=""/>
                <o:lock v:ext="edit" aspectratio="f"/>
                <v:textbox>
                  <w:txbxContent>
                    <w:p>
                      <w:pPr>
                        <w:ind w:firstLine="320"/>
                        <w:rPr>
                          <w:sz w:val="16"/>
                          <w:szCs w:val="16"/>
                        </w:rPr>
                      </w:pPr>
                      <w:r>
                        <w:rPr>
                          <w:rFonts w:hint="eastAsia"/>
                          <w:sz w:val="16"/>
                          <w:szCs w:val="16"/>
                        </w:rPr>
                        <w:t>（亿元）</w:t>
                      </w:r>
                    </w:p>
                  </w:txbxContent>
                </v:textbox>
              </v:shape>
            </w:pict>
          </mc:Fallback>
        </mc:AlternateContent>
      </w:r>
    </w:p>
    <w:p>
      <w:pPr>
        <w:adjustRightInd w:val="0"/>
        <w:snapToGrid w:val="0"/>
        <w:spacing w:before="624" w:beforeLines="200" w:line="570" w:lineRule="exact"/>
        <w:jc w:val="center"/>
        <w:rPr>
          <w:rFonts w:eastAsia="楷体_GB2312"/>
          <w:color w:val="000000" w:themeColor="text1"/>
          <w:sz w:val="32"/>
          <w:szCs w:val="32"/>
          <w14:textFill>
            <w14:solidFill>
              <w14:schemeClr w14:val="tx1"/>
            </w14:solidFill>
          </w14:textFill>
        </w:rPr>
      </w:pPr>
      <w:r>
        <w:rPr>
          <w:rFonts w:ascii="Times New Roman" w:hAnsi="Times New Roman" w:eastAsia="楷体_GB2312" w:cs="Times New Roman"/>
          <w:bCs w:val="0"/>
          <w:color w:val="000000" w:themeColor="text1"/>
          <w:sz w:val="32"/>
          <w:szCs w:val="32"/>
          <w14:textFill>
            <w14:solidFill>
              <w14:schemeClr w14:val="tx1"/>
            </w14:solidFill>
          </w14:textFill>
        </w:rPr>
        <w:t>图1—1 怀化市地区生产总值增长</w:t>
      </w:r>
      <w:r>
        <w:rPr>
          <w:rFonts w:hint="eastAsia" w:eastAsia="楷体_GB2312" w:cs="Times New Roman"/>
          <w:bCs w:val="0"/>
          <w:color w:val="000000" w:themeColor="text1"/>
          <w:sz w:val="32"/>
          <w:szCs w:val="32"/>
          <w14:textFill>
            <w14:solidFill>
              <w14:schemeClr w14:val="tx1"/>
            </w14:solidFill>
          </w14:textFill>
        </w:rPr>
        <w:t>情况</w:t>
      </w:r>
    </w:p>
    <w:p>
      <w:pPr>
        <w:adjustRightInd w:val="0"/>
        <w:snapToGrid w:val="0"/>
        <w:spacing w:line="610" w:lineRule="exact"/>
        <w:ind w:firstLine="643"/>
        <w:rPr>
          <w:rFonts w:eastAsia="仿宋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开放能级跨越式突破。</w:t>
      </w:r>
      <w:r>
        <w:rPr>
          <w:rFonts w:ascii="Times New Roman" w:hAnsi="Times New Roman" w:eastAsia="仿宋_GB2312" w:cs="Times New Roman"/>
          <w:color w:val="000000" w:themeColor="text1"/>
          <w:sz w:val="32"/>
          <w:szCs w:val="32"/>
          <w14:textFill>
            <w14:solidFill>
              <w14:schemeClr w14:val="tx1"/>
            </w14:solidFill>
          </w14:textFill>
        </w:rPr>
        <w:t>怀化国际陆港成型成势，提前实现“三个一千”目标。成功获批联合国多功能国际口岸代码，构建“7大国际通道+200条运输线路”的立体网络，链接全球69个国家（地区）216个港口（站点），年港区货物吞吐量达1058万吨。进出口总额突破100亿元、达112亿元，是2020年的7.8倍，其中对东盟贸易增长超9倍。成功加入西部陆海新通道“13+2”省际协商合作机制，湖南RCEP经贸博览会永久落户怀化，成功举办第十一届全球湘商大会。引进“三类500强”企业项目143个，签约“湘商回归”项目623个，两</w:t>
      </w:r>
      <w:r>
        <w:rPr>
          <w:rFonts w:ascii="Times New Roman" w:hAnsi="Times New Roman" w:eastAsia="仿宋_GB2312" w:cs="Times New Roman"/>
          <w:color w:val="000000" w:themeColor="text1"/>
          <w:spacing w:val="6"/>
          <w:sz w:val="32"/>
          <w:szCs w:val="32"/>
          <w14:textFill>
            <w14:solidFill>
              <w14:schemeClr w14:val="tx1"/>
            </w14:solidFill>
          </w14:textFill>
        </w:rPr>
        <w:t>次荣获中国最具投资吸引力城市，逐渐从“内陆腹地”迈向“开放高地”。</w:t>
      </w:r>
    </w:p>
    <w:p>
      <w:pPr>
        <w:pStyle w:val="2"/>
      </w:pPr>
    </w:p>
    <w:p>
      <w:pPr>
        <w:pStyle w:val="13"/>
        <w:rPr>
          <w:rFonts w:eastAsia="仿宋_GB2312"/>
          <w:color w:val="000000" w:themeColor="text1"/>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661312" behindDoc="0" locked="0" layoutInCell="1" allowOverlap="1">
            <wp:simplePos x="0" y="0"/>
            <wp:positionH relativeFrom="column">
              <wp:posOffset>54610</wp:posOffset>
            </wp:positionH>
            <wp:positionV relativeFrom="paragraph">
              <wp:posOffset>73025</wp:posOffset>
            </wp:positionV>
            <wp:extent cx="5562600" cy="3286125"/>
            <wp:effectExtent l="0" t="0" r="19050" b="9525"/>
            <wp:wrapNone/>
            <wp:docPr id="21" name="图表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pPr>
        <w:pStyle w:val="13"/>
        <w:rPr>
          <w:rFonts w:eastAsia="仿宋_GB2312"/>
          <w:color w:val="000000" w:themeColor="text1"/>
          <w14:textFill>
            <w14:solidFill>
              <w14:schemeClr w14:val="tx1"/>
            </w14:solidFill>
          </w14:textFill>
        </w:rPr>
      </w:pPr>
    </w:p>
    <w:p>
      <w:pPr>
        <w:pStyle w:val="13"/>
        <w:rPr>
          <w:rFonts w:eastAsia="仿宋_GB2312"/>
          <w:color w:val="000000" w:themeColor="text1"/>
          <w14:textFill>
            <w14:solidFill>
              <w14:schemeClr w14:val="tx1"/>
            </w14:solidFill>
          </w14:textFill>
        </w:rPr>
      </w:pPr>
    </w:p>
    <w:p>
      <w:pPr>
        <w:pStyle w:val="13"/>
        <w:rPr>
          <w:rFonts w:eastAsia="仿宋_GB2312"/>
          <w:color w:val="000000" w:themeColor="text1"/>
          <w14:textFill>
            <w14:solidFill>
              <w14:schemeClr w14:val="tx1"/>
            </w14:solidFill>
          </w14:textFill>
        </w:rPr>
      </w:pPr>
    </w:p>
    <w:p>
      <w:pPr>
        <w:pStyle w:val="13"/>
        <w:rPr>
          <w:rFonts w:eastAsia="仿宋_GB2312"/>
          <w:color w:val="000000" w:themeColor="text1"/>
          <w14:textFill>
            <w14:solidFill>
              <w14:schemeClr w14:val="tx1"/>
            </w14:solidFill>
          </w14:textFill>
        </w:rPr>
      </w:pPr>
    </w:p>
    <w:p>
      <w:pPr>
        <w:pStyle w:val="13"/>
        <w:spacing w:after="0"/>
        <w:rPr>
          <w:rFonts w:eastAsia="仿宋_GB2312"/>
          <w:color w:val="000000" w:themeColor="text1"/>
          <w:sz w:val="15"/>
          <w:szCs w:val="11"/>
          <w14:textFill>
            <w14:solidFill>
              <w14:schemeClr w14:val="tx1"/>
            </w14:solidFill>
          </w14:textFill>
        </w:rPr>
      </w:pPr>
    </w:p>
    <w:p>
      <w:pPr>
        <w:adjustRightInd w:val="0"/>
        <w:snapToGrid w:val="0"/>
        <w:spacing w:before="780" w:beforeLines="250" w:line="570" w:lineRule="exact"/>
        <w:jc w:val="center"/>
        <w:rPr>
          <w:rFonts w:eastAsia="楷体_GB2312"/>
          <w:color w:val="000000" w:themeColor="text1"/>
          <w:sz w:val="32"/>
          <w:szCs w:val="32"/>
          <w14:textFill>
            <w14:solidFill>
              <w14:schemeClr w14:val="tx1"/>
            </w14:solidFill>
          </w14:textFill>
        </w:rPr>
      </w:pPr>
      <w:r>
        <w:rPr>
          <w:rFonts w:ascii="Times New Roman" w:hAnsi="Times New Roman" w:eastAsia="楷体_GB2312" w:cs="Times New Roman"/>
          <w:bCs w:val="0"/>
          <w:color w:val="000000" w:themeColor="text1"/>
          <w:sz w:val="32"/>
          <w:szCs w:val="32"/>
          <w14:textFill>
            <w14:solidFill>
              <w14:schemeClr w14:val="tx1"/>
            </w14:solidFill>
          </w14:textFill>
        </w:rPr>
        <w:t>图1—2 怀化国际陆港班列</w:t>
      </w:r>
      <w:r>
        <w:rPr>
          <w:rFonts w:hint="eastAsia" w:eastAsia="楷体_GB2312" w:cs="Times New Roman"/>
          <w:bCs w:val="0"/>
          <w:color w:val="000000" w:themeColor="text1"/>
          <w:sz w:val="32"/>
          <w:szCs w:val="32"/>
          <w14:textFill>
            <w14:solidFill>
              <w14:schemeClr w14:val="tx1"/>
            </w14:solidFill>
          </w14:textFill>
        </w:rPr>
        <w:t>开行</w:t>
      </w:r>
      <w:r>
        <w:rPr>
          <w:rFonts w:ascii="Times New Roman" w:hAnsi="Times New Roman" w:eastAsia="楷体_GB2312" w:cs="Times New Roman"/>
          <w:bCs w:val="0"/>
          <w:color w:val="000000" w:themeColor="text1"/>
          <w:sz w:val="32"/>
          <w:szCs w:val="32"/>
          <w14:textFill>
            <w14:solidFill>
              <w14:schemeClr w14:val="tx1"/>
            </w14:solidFill>
          </w14:textFill>
        </w:rPr>
        <w:t>增长</w:t>
      </w:r>
      <w:r>
        <w:rPr>
          <w:rFonts w:hint="eastAsia" w:eastAsia="楷体_GB2312" w:cs="Times New Roman"/>
          <w:bCs w:val="0"/>
          <w:color w:val="000000" w:themeColor="text1"/>
          <w:sz w:val="32"/>
          <w:szCs w:val="32"/>
          <w14:textFill>
            <w14:solidFill>
              <w14:schemeClr w14:val="tx1"/>
            </w14:solidFill>
          </w14:textFill>
        </w:rPr>
        <w:t>情况</w:t>
      </w:r>
    </w:p>
    <w:p>
      <w:pPr>
        <w:ind w:firstLine="643"/>
        <w:rPr>
          <w:rFonts w:ascii="Times New Roman" w:hAnsi="Times New Roman" w:eastAsia="楷体_GB2312" w:cs="Times New Roman"/>
          <w:b/>
          <w:color w:val="000000" w:themeColor="text1"/>
          <w:sz w:val="32"/>
          <w:szCs w:val="32"/>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71552" behindDoc="0" locked="0" layoutInCell="1" allowOverlap="1">
                <wp:simplePos x="0" y="0"/>
                <wp:positionH relativeFrom="column">
                  <wp:posOffset>940435</wp:posOffset>
                </wp:positionH>
                <wp:positionV relativeFrom="paragraph">
                  <wp:posOffset>1084580</wp:posOffset>
                </wp:positionV>
                <wp:extent cx="4400550" cy="4572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440055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ascii="楷体_GB2312" w:eastAsia="楷体_GB2312"/>
                                <w:sz w:val="32"/>
                                <w:szCs w:val="32"/>
                              </w:rPr>
                            </w:pPr>
                            <w:r>
                              <w:rPr>
                                <w:rFonts w:hint="eastAsia" w:ascii="楷体_GB2312" w:eastAsia="楷体_GB2312"/>
                                <w:sz w:val="32"/>
                                <w:szCs w:val="32"/>
                              </w:rPr>
                              <w:t>图1—2  怀化国际陆港班列开行增长情况</w:t>
                            </w:r>
                          </w:p>
                        </w:txbxContent>
                      </wps:txbx>
                      <wps:bodyPr rot="0" spcFirstLastPara="0" vertOverflow="overflow" horzOverflow="overflow" vert="horz" wrap="square" lIns="91440" tIns="45720" rIns="91440" bIns="4572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left:74.05pt;margin-top:85.4pt;height:36pt;width:346.5pt;z-index:251671552;mso-width-relative:page;mso-height-relative:page;" filled="f" stroked="f" coordsize="21600,21600" o:gfxdata="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BYAAABkcnMvUEsBAhQAFAAAAAgAh07iQEpn3gjaAAAACwEAAA8AAAAAAAAAAQAgAAAAOAAAAGRy&#10;cy9kb3ducmV2LnhtbFBLAQIUABQAAAAIAIdO4kAP9aiCJgIAADgEAAAOAAAAAAAAAAEAIAAAAD8B&#10;AABkcnMvZTJvRG9jLnhtbFBLBQYAAAAABgAGAFkBAADXBQAAAAA=&#10;">
                <v:fill on="f" focussize="0,0"/>
                <v:stroke on="f" weight="0.5pt"/>
                <v:imagedata o:title=""/>
                <o:lock v:ext="edit" aspectratio="f"/>
                <v:textbox>
                  <w:txbxContent>
                    <w:p>
                      <w:pPr>
                        <w:rPr>
                          <w:rFonts w:ascii="楷体_GB2312" w:eastAsia="楷体_GB2312"/>
                          <w:sz w:val="32"/>
                          <w:szCs w:val="32"/>
                        </w:rPr>
                      </w:pPr>
                      <w:r>
                        <w:rPr>
                          <w:rFonts w:hint="eastAsia" w:ascii="楷体_GB2312" w:eastAsia="楷体_GB2312"/>
                          <w:sz w:val="32"/>
                          <w:szCs w:val="32"/>
                        </w:rPr>
                        <w:t>图1—2  怀化国际陆港班列开行增长情况</w:t>
                      </w:r>
                    </w:p>
                  </w:txbxContent>
                </v:textbox>
              </v:shape>
            </w:pict>
          </mc:Fallback>
        </mc:AlternateContent>
      </w:r>
      <w:r>
        <w:rPr>
          <w:color w:val="000000" w:themeColor="text1"/>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-205105</wp:posOffset>
                </wp:positionH>
                <wp:positionV relativeFrom="paragraph">
                  <wp:posOffset>408940</wp:posOffset>
                </wp:positionV>
                <wp:extent cx="868045" cy="455295"/>
                <wp:effectExtent l="0" t="0" r="0" b="1905"/>
                <wp:wrapNone/>
                <wp:docPr id="22" name="文本框 22"/>
                <wp:cNvGraphicFramePr/>
                <a:graphic xmlns:a="http://schemas.openxmlformats.org/drawingml/2006/main">
                  <a:graphicData uri="http://schemas.microsoft.com/office/word/2010/wordprocessingShape">
                    <wps:wsp>
                      <wps:cNvSpPr txBox="true"/>
                      <wps:spPr>
                        <a:xfrm>
                          <a:off x="0" y="0"/>
                          <a:ext cx="868045" cy="4552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ind w:firstLine="400"/>
                              <w:rPr>
                                <w:sz w:val="20"/>
                                <w:szCs w:val="16"/>
                              </w:rPr>
                            </w:pPr>
                            <w:r>
                              <w:rPr>
                                <w:rFonts w:hint="eastAsia"/>
                                <w:sz w:val="20"/>
                                <w:szCs w:val="16"/>
                              </w:rPr>
                              <w:t>（列）</w:t>
                            </w:r>
                          </w:p>
                        </w:txbxContent>
                      </wps:txbx>
                      <wps:bodyPr rot="0" spcFirstLastPara="0" vertOverflow="overflow" horzOverflow="overflow" vert="horz" wrap="square" lIns="91440" tIns="45720" rIns="91440" bIns="4572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left:-16.15pt;margin-top:32.2pt;height:35.85pt;width:68.35pt;z-index:251662336;mso-width-relative:page;mso-height-relative:page;" filled="f" stroked="f" coordsize="21600,21600" o:gfxdata="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&#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BYAAABkcnMvUEsBAhQAFAAAAAgAh07iQNzutgHaAAAACgEAAA8AAAAAAAAAAQAgAAAAOAAAAGRy&#10;cy9kb3ducmV2LnhtbFBLAQIUABQAAAAIAIdO4kDuSKhlJgIAACsEAAAOAAAAAAAAAAEAIAAAAD8B&#10;AABkcnMvZTJvRG9jLnhtbFBLBQYAAAAABgAGAFkBAADXBQAAAAA=&#10;">
                <v:fill on="f" focussize="0,0"/>
                <v:stroke on="f" weight="0.5pt"/>
                <v:imagedata o:title=""/>
                <o:lock v:ext="edit" aspectratio="f"/>
                <v:textbox>
                  <w:txbxContent>
                    <w:p>
                      <w:pPr>
                        <w:ind w:firstLine="400"/>
                        <w:rPr>
                          <w:sz w:val="20"/>
                          <w:szCs w:val="16"/>
                        </w:rPr>
                      </w:pPr>
                      <w:r>
                        <w:rPr>
                          <w:rFonts w:hint="eastAsia"/>
                          <w:sz w:val="20"/>
                          <w:szCs w:val="16"/>
                        </w:rPr>
                        <w:t>（列）</w:t>
                      </w:r>
                    </w:p>
                  </w:txbxContent>
                </v:textbox>
              </v:shape>
            </w:pict>
          </mc:Fallback>
        </mc:AlternateContent>
      </w:r>
      <w:r>
        <w:rPr>
          <w:rFonts w:ascii="Times New Roman" w:hAnsi="Times New Roman" w:eastAsia="楷体_GB2312" w:cs="Times New Roman"/>
          <w:b/>
          <w:color w:val="000000" w:themeColor="text1"/>
          <w:sz w:val="32"/>
          <w:szCs w:val="32"/>
          <w14:textFill>
            <w14:solidFill>
              <w14:schemeClr w14:val="tx1"/>
            </w14:solidFill>
          </w14:textFill>
        </w:rPr>
        <w:br w:type="page"/>
      </w:r>
    </w:p>
    <w:p>
      <w:pPr>
        <w:spacing w:line="580" w:lineRule="exact"/>
        <w:ind w:firstLine="643"/>
        <w:rPr>
          <w:rFonts w:eastAsia="仿宋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特色产业</w:t>
      </w:r>
      <w:r>
        <w:rPr>
          <w:rFonts w:hint="eastAsia" w:eastAsia="楷体_GB2312" w:cs="Times New Roman"/>
          <w:b/>
          <w:color w:val="000000" w:themeColor="text1"/>
          <w:sz w:val="32"/>
          <w:szCs w:val="32"/>
          <w14:textFill>
            <w14:solidFill>
              <w14:schemeClr w14:val="tx1"/>
            </w14:solidFill>
          </w14:textFill>
        </w:rPr>
        <w:t>集群化突破</w:t>
      </w:r>
      <w:r>
        <w:rPr>
          <w:rFonts w:ascii="Times New Roman" w:hAnsi="Times New Roman" w:eastAsia="楷体_GB2312" w:cs="Times New Roman"/>
          <w:b/>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5+10”现代化产业体系初具雏形，3条特色产业链（产业）跻身省级核心产业布局，4条产业链入选省级重点产业名录。箱包皮具产业从无到有，完成全产业链布局，聚集链上企业近200家，形成年产3000万只箱包产业集群。“南方中药谷”集聚效应日益凸显，中药材种植面积全省第1，在全国首发青风藤、茯苓ISO国际标准。文旅产业借势第五届湖南旅游发展大会火爆出圈，</w:t>
      </w:r>
      <w:r>
        <w:rPr>
          <w:rFonts w:ascii="Times New Roman" w:hAnsi="Times New Roman" w:eastAsia="仿宋_GB2312" w:cs="Times New Roman"/>
          <w:color w:val="000000" w:themeColor="text1"/>
          <w:kern w:val="0"/>
          <w:sz w:val="32"/>
          <w:szCs w:val="32"/>
          <w14:textFill>
            <w14:solidFill>
              <w14:schemeClr w14:val="tx1"/>
            </w14:solidFill>
          </w14:textFill>
        </w:rPr>
        <w:t>“福地怀化</w:t>
      </w:r>
      <w:r>
        <w:rPr>
          <w:rFonts w:ascii="Times New Roman" w:hAnsi="Times New Roman" w:eastAsia="仿宋_GB2312" w:cs="Times New Roman"/>
          <w:color w:val="000000" w:themeColor="text1"/>
          <w:sz w:val="32"/>
          <w:szCs w:val="32"/>
          <w14:textFill>
            <w14:solidFill>
              <w14:schemeClr w14:val="tx1"/>
            </w14:solidFill>
          </w14:textFill>
        </w:rPr>
        <w:t>·懂你如家</w:t>
      </w:r>
      <w:r>
        <w:rPr>
          <w:rFonts w:ascii="Times New Roman" w:hAnsi="Times New Roman" w:eastAsia="仿宋_GB2312" w:cs="Times New Roman"/>
          <w:color w:val="000000" w:themeColor="text1"/>
          <w:kern w:val="0"/>
          <w:sz w:val="32"/>
          <w:szCs w:val="32"/>
          <w14:textFill>
            <w14:solidFill>
              <w14:schemeClr w14:val="tx1"/>
            </w14:solidFill>
          </w14:textFill>
        </w:rPr>
        <w:t>”等品牌声名远扬，</w:t>
      </w:r>
      <w:r>
        <w:rPr>
          <w:rFonts w:ascii="Times New Roman" w:hAnsi="Times New Roman" w:eastAsia="仿宋_GB2312" w:cs="Times New Roman"/>
          <w:color w:val="000000" w:themeColor="text1"/>
          <w:sz w:val="32"/>
          <w:szCs w:val="32"/>
          <w14:textFill>
            <w14:solidFill>
              <w14:schemeClr w14:val="tx1"/>
            </w14:solidFill>
          </w14:textFill>
        </w:rPr>
        <w:t>年接待游客数、游客总花费分别实现7000万人次、670亿元，较2020年增长83%、96%。</w:t>
      </w:r>
      <w:r>
        <w:rPr>
          <w:rFonts w:ascii="Times New Roman" w:hAnsi="Times New Roman" w:eastAsia="仿宋_GB2312" w:cs="Times New Roman"/>
          <w:color w:val="000000" w:themeColor="text1"/>
          <w:kern w:val="0"/>
          <w:sz w:val="32"/>
          <w:szCs w:val="32"/>
          <w14:textFill>
            <w14:solidFill>
              <w14:schemeClr w14:val="tx1"/>
            </w14:solidFill>
          </w14:textFill>
        </w:rPr>
        <w:t>规模以上工业企业突破1100家，制造业增加值占GDP比重从16.8%提升至</w:t>
      </w:r>
      <w:r>
        <w:rPr>
          <w:rFonts w:ascii="Times New Roman" w:hAnsi="Times New Roman" w:eastAsia="仿宋_GB2312" w:cs="Times New Roman"/>
          <w:color w:val="000000" w:themeColor="text1"/>
          <w:sz w:val="32"/>
          <w:szCs w:val="32"/>
          <w14:textFill>
            <w14:solidFill>
              <w14:schemeClr w14:val="tx1"/>
            </w14:solidFill>
          </w14:textFill>
        </w:rPr>
        <w:t>21.4</w:t>
      </w:r>
      <w:r>
        <w:rPr>
          <w:rFonts w:ascii="Times New Roman" w:hAnsi="Times New Roman" w:eastAsia="仿宋_GB2312" w:cs="Times New Roman"/>
          <w:color w:val="000000" w:themeColor="text1"/>
          <w:kern w:val="0"/>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高新技术企业达636家，较2020年增长73%。研发经费投入强度由1.86%提</w:t>
      </w:r>
      <w:r>
        <w:rPr>
          <w:rFonts w:hint="eastAsia" w:ascii="Times New Roman" w:hAnsi="Times New Roman" w:eastAsia="仿宋_GB2312" w:cs="Times New Roman"/>
          <w:color w:val="000000" w:themeColor="text1"/>
          <w:sz w:val="32"/>
          <w:szCs w:val="32"/>
          <w14:textFill>
            <w14:solidFill>
              <w14:schemeClr w14:val="tx1"/>
            </w14:solidFill>
          </w14:textFill>
        </w:rPr>
        <w:t>升至</w:t>
      </w:r>
      <w:r>
        <w:rPr>
          <w:rFonts w:ascii="Times New Roman" w:hAnsi="Times New Roman" w:eastAsia="仿宋_GB2312" w:cs="Times New Roman"/>
          <w:color w:val="000000" w:themeColor="text1"/>
          <w:sz w:val="32"/>
          <w:szCs w:val="32"/>
          <w14:textFill>
            <w14:solidFill>
              <w14:schemeClr w14:val="tx1"/>
            </w14:solidFill>
          </w14:textFill>
        </w:rPr>
        <w:t>2.52%，技术合同成交额较2020年增长近20倍。创造性开展“项目建设年”“招商引资年”系列活动，全面深化改革纵深推进，“身在怀化·办事简化”名片持续擦亮，营商环境持续优化。</w:t>
      </w:r>
    </w:p>
    <w:p>
      <w:pPr>
        <w:spacing w:line="580" w:lineRule="exact"/>
        <w:ind w:firstLine="643"/>
        <w:rPr>
          <w:rFonts w:eastAsia="仿宋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城乡区域协调性增强。</w:t>
      </w:r>
      <w:r>
        <w:rPr>
          <w:rFonts w:ascii="Times New Roman" w:hAnsi="Times New Roman" w:eastAsia="仿宋_GB2312" w:cs="Times New Roman"/>
          <w:color w:val="000000" w:themeColor="text1"/>
          <w:sz w:val="32"/>
          <w:szCs w:val="32"/>
          <w14:textFill>
            <w14:solidFill>
              <w14:schemeClr w14:val="tx1"/>
            </w14:solidFill>
          </w14:textFill>
        </w:rPr>
        <w:t>“一核两带三区”发展格局更加完善，鹤中一体化取得重大进展，中心城区人口、建成区面积分别达93.1万人、93.5平方公里，较2020年分别增</w:t>
      </w:r>
      <w:r>
        <w:rPr>
          <w:rFonts w:hint="eastAsia" w:ascii="Times New Roman" w:hAnsi="Times New Roman" w:eastAsia="仿宋_GB2312" w:cs="Times New Roman"/>
          <w:color w:val="000000" w:themeColor="text1"/>
          <w:sz w:val="32"/>
          <w:szCs w:val="32"/>
          <w14:textFill>
            <w14:solidFill>
              <w14:schemeClr w14:val="tx1"/>
            </w14:solidFill>
          </w14:textFill>
        </w:rPr>
        <w:t>加</w:t>
      </w:r>
      <w:r>
        <w:rPr>
          <w:rFonts w:ascii="Times New Roman" w:hAnsi="Times New Roman" w:eastAsia="仿宋_GB2312" w:cs="Times New Roman"/>
          <w:color w:val="000000" w:themeColor="text1"/>
          <w:sz w:val="32"/>
          <w:szCs w:val="32"/>
          <w14:textFill>
            <w14:solidFill>
              <w14:schemeClr w14:val="tx1"/>
            </w14:solidFill>
          </w14:textFill>
        </w:rPr>
        <w:t>15.8万人、15.1平方公里，半小时“城市通勤圈”、15分钟“便民生活圈”“政务服务圈”基本建成。创成全国民族团结进步示范市，第9次获评全国双拥模范城，入列全国文明城市提名城市。常住人口城镇化率达51.95%，较2020年提升4.75个百分点。GDP超百亿县从6个增加</w:t>
      </w:r>
      <w:r>
        <w:rPr>
          <w:rFonts w:hint="eastAsia" w:ascii="Times New Roman" w:hAnsi="Times New Roman" w:eastAsia="仿宋_GB2312" w:cs="Times New Roman"/>
          <w:color w:val="000000" w:themeColor="text1"/>
          <w:sz w:val="32"/>
          <w:szCs w:val="32"/>
          <w14:textFill>
            <w14:solidFill>
              <w14:schemeClr w14:val="tx1"/>
            </w14:solidFill>
          </w14:textFill>
        </w:rPr>
        <w:t>至</w:t>
      </w:r>
      <w:r>
        <w:rPr>
          <w:rFonts w:ascii="Times New Roman" w:hAnsi="Times New Roman" w:eastAsia="仿宋_GB2312" w:cs="Times New Roman"/>
          <w:color w:val="000000" w:themeColor="text1"/>
          <w:sz w:val="32"/>
          <w:szCs w:val="32"/>
          <w14:textFill>
            <w14:solidFill>
              <w14:schemeClr w14:val="tx1"/>
            </w14:solidFill>
          </w14:textFill>
        </w:rPr>
        <w:t>11个。脱贫攻坚成果持续巩固拓展，乡村全面振兴扎实推进，脱贫人口稳定就业34.42万人，农村供电可靠率、卫生厕所普及率、自来水普及率分别达99.94%、95.88%、93.47%。农村居民人均可支配收入增速连续五年居全省前列。获评全国以工代赈工作成效明显市，易地扶贫搬迁后续扶持工作获国务院督查激励。</w:t>
      </w:r>
    </w:p>
    <w:p>
      <w:pPr>
        <w:pStyle w:val="13"/>
        <w:rPr>
          <w:rFonts w:eastAsia="楷体_GB2312"/>
          <w:b/>
          <w:bCs w:val="0"/>
          <w:color w:val="000000" w:themeColor="text1"/>
          <w:sz w:val="32"/>
          <w:szCs w:val="32"/>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663360" behindDoc="0" locked="0" layoutInCell="1" allowOverlap="1">
            <wp:simplePos x="0" y="0"/>
            <wp:positionH relativeFrom="column">
              <wp:posOffset>-35560</wp:posOffset>
            </wp:positionH>
            <wp:positionV relativeFrom="paragraph">
              <wp:posOffset>250190</wp:posOffset>
            </wp:positionV>
            <wp:extent cx="5798820" cy="3503930"/>
            <wp:effectExtent l="0" t="0" r="11430" b="20320"/>
            <wp:wrapNone/>
            <wp:docPr id="23" name="图表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pPr>
        <w:pStyle w:val="13"/>
        <w:ind w:firstLine="643"/>
        <w:rPr>
          <w:rFonts w:eastAsia="楷体_GB2312"/>
          <w:b/>
          <w:bCs w:val="0"/>
          <w:color w:val="000000" w:themeColor="text1"/>
          <w:sz w:val="32"/>
          <w:szCs w:val="32"/>
          <w14:textFill>
            <w14:solidFill>
              <w14:schemeClr w14:val="tx1"/>
            </w14:solidFill>
          </w14:textFill>
        </w:rPr>
      </w:pPr>
    </w:p>
    <w:p>
      <w:pPr>
        <w:pStyle w:val="13"/>
        <w:ind w:firstLine="643"/>
        <w:rPr>
          <w:rFonts w:eastAsia="楷体_GB2312"/>
          <w:b/>
          <w:bCs w:val="0"/>
          <w:color w:val="000000" w:themeColor="text1"/>
          <w:sz w:val="32"/>
          <w:szCs w:val="32"/>
          <w14:textFill>
            <w14:solidFill>
              <w14:schemeClr w14:val="tx1"/>
            </w14:solidFill>
          </w14:textFill>
        </w:rPr>
      </w:pPr>
    </w:p>
    <w:p>
      <w:pPr>
        <w:pStyle w:val="13"/>
        <w:ind w:firstLine="643"/>
        <w:rPr>
          <w:rFonts w:eastAsia="楷体_GB2312"/>
          <w:b/>
          <w:bCs w:val="0"/>
          <w:color w:val="000000" w:themeColor="text1"/>
          <w:sz w:val="32"/>
          <w:szCs w:val="32"/>
          <w14:textFill>
            <w14:solidFill>
              <w14:schemeClr w14:val="tx1"/>
            </w14:solidFill>
          </w14:textFill>
        </w:rPr>
      </w:pPr>
    </w:p>
    <w:p>
      <w:pPr>
        <w:pStyle w:val="13"/>
        <w:ind w:firstLine="643"/>
        <w:rPr>
          <w:rFonts w:eastAsia="楷体_GB2312"/>
          <w:b/>
          <w:bCs w:val="0"/>
          <w:color w:val="000000" w:themeColor="text1"/>
          <w:sz w:val="32"/>
          <w:szCs w:val="32"/>
          <w14:textFill>
            <w14:solidFill>
              <w14:schemeClr w14:val="tx1"/>
            </w14:solidFill>
          </w14:textFill>
        </w:rPr>
      </w:pPr>
    </w:p>
    <w:p>
      <w:pPr>
        <w:pStyle w:val="14"/>
        <w:ind w:left="1680"/>
        <w:rPr>
          <w:rFonts w:ascii="Times New Roman"/>
          <w:color w:val="000000" w:themeColor="text1"/>
          <w14:textFill>
            <w14:solidFill>
              <w14:schemeClr w14:val="tx1"/>
            </w14:solidFill>
          </w14:textFill>
        </w:rPr>
      </w:pPr>
    </w:p>
    <w:p>
      <w:pPr>
        <w:spacing w:line="570" w:lineRule="exact"/>
        <w:jc w:val="center"/>
        <w:rPr>
          <w:rFonts w:eastAsia="楷体_GB2312"/>
          <w:b/>
          <w:bCs w:val="0"/>
          <w:color w:val="000000" w:themeColor="text1"/>
          <w:sz w:val="32"/>
          <w:szCs w:val="32"/>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-214630</wp:posOffset>
                </wp:positionH>
                <wp:positionV relativeFrom="paragraph">
                  <wp:posOffset>270510</wp:posOffset>
                </wp:positionV>
                <wp:extent cx="842645" cy="616585"/>
                <wp:effectExtent l="0" t="0" r="0" b="0"/>
                <wp:wrapNone/>
                <wp:docPr id="26" name="文本框 26"/>
                <wp:cNvGraphicFramePr/>
                <a:graphic xmlns:a="http://schemas.openxmlformats.org/drawingml/2006/main">
                  <a:graphicData uri="http://schemas.microsoft.com/office/word/2010/wordprocessingShape">
                    <wps:wsp>
                      <wps:cNvSpPr txBox="true"/>
                      <wps:spPr>
                        <a:xfrm>
                          <a:off x="0" y="0"/>
                          <a:ext cx="842645" cy="6165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ind w:firstLine="320"/>
                              <w:rPr>
                                <w:sz w:val="16"/>
                                <w:szCs w:val="16"/>
                              </w:rPr>
                            </w:pPr>
                            <w:r>
                              <w:rPr>
                                <w:rFonts w:hint="eastAsia"/>
                                <w:sz w:val="16"/>
                                <w:szCs w:val="16"/>
                              </w:rPr>
                              <w:t>（元）</w:t>
                            </w:r>
                          </w:p>
                        </w:txbxContent>
                      </wps:txbx>
                      <wps:bodyPr rot="0" spcFirstLastPara="0" vertOverflow="overflow" horzOverflow="overflow" vert="horz" wrap="square" lIns="91440" tIns="45720" rIns="91440" bIns="4572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left:-16.9pt;margin-top:21.3pt;height:48.55pt;width:66.35pt;z-index:251664384;mso-width-relative:page;mso-height-relative:page;" filled="f" stroked="f" coordsize="21600,21600" o:gfxdata="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&#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BYAAABkcnMvUEsBAhQAFAAAAAgAh07iQAY/s8HbAAAACQEAAA8AAAAAAAAAAQAgAAAAOAAAAGRy&#10;cy9kb3ducmV2LnhtbFBLAQIUABQAAAAIAIdO4kA9fBBlJQIAACsEAAAOAAAAAAAAAAEAIAAAAEAB&#10;AABkcnMvZTJvRG9jLnhtbFBLBQYAAAAABgAGAFkBAADXBQAAAAA=&#10;">
                <v:fill on="f" focussize="0,0"/>
                <v:stroke on="f" weight="0.5pt"/>
                <v:imagedata o:title=""/>
                <o:lock v:ext="edit" aspectratio="f"/>
                <v:textbox>
                  <w:txbxContent>
                    <w:p>
                      <w:pPr>
                        <w:ind w:firstLine="320"/>
                        <w:rPr>
                          <w:sz w:val="16"/>
                          <w:szCs w:val="16"/>
                        </w:rPr>
                      </w:pPr>
                      <w:r>
                        <w:rPr>
                          <w:rFonts w:hint="eastAsia"/>
                          <w:sz w:val="16"/>
                          <w:szCs w:val="16"/>
                        </w:rPr>
                        <w:t>（元）</w:t>
                      </w:r>
                    </w:p>
                  </w:txbxContent>
                </v:textbox>
              </v:shape>
            </w:pict>
          </mc:Fallback>
        </mc:AlternateContent>
      </w:r>
    </w:p>
    <w:p>
      <w:pPr>
        <w:spacing w:line="570" w:lineRule="exact"/>
        <w:jc w:val="center"/>
        <w:rPr>
          <w:rFonts w:eastAsia="楷体_GB2312"/>
          <w:b/>
          <w:bCs w:val="0"/>
          <w:color w:val="000000" w:themeColor="text1"/>
          <w:sz w:val="32"/>
          <w:szCs w:val="32"/>
          <w14:textFill>
            <w14:solidFill>
              <w14:schemeClr w14:val="tx1"/>
            </w14:solidFill>
          </w14:textFill>
        </w:rPr>
      </w:pPr>
    </w:p>
    <w:p>
      <w:pPr>
        <w:spacing w:before="468" w:beforeLines="150" w:line="570" w:lineRule="exact"/>
        <w:jc w:val="center"/>
        <w:rPr>
          <w:rFonts w:eastAsia="楷体_GB2312"/>
          <w:color w:val="000000" w:themeColor="text1"/>
          <w:sz w:val="32"/>
          <w:szCs w:val="32"/>
          <w14:textFill>
            <w14:solidFill>
              <w14:schemeClr w14:val="tx1"/>
            </w14:solidFill>
          </w14:textFill>
        </w:rPr>
      </w:pPr>
      <w:r>
        <w:rPr>
          <w:rFonts w:ascii="Times New Roman" w:hAnsi="Times New Roman" w:eastAsia="楷体_GB2312" w:cs="Times New Roman"/>
          <w:bCs w:val="0"/>
          <w:color w:val="000000" w:themeColor="text1"/>
          <w:sz w:val="32"/>
          <w:szCs w:val="32"/>
          <w14:textFill>
            <w14:solidFill>
              <w14:schemeClr w14:val="tx1"/>
            </w14:solidFill>
          </w14:textFill>
        </w:rPr>
        <w:t>图1—3 怀化市城乡居民收入增长</w:t>
      </w:r>
      <w:r>
        <w:rPr>
          <w:rFonts w:hint="eastAsia" w:ascii="Times New Roman" w:hAnsi="Times New Roman" w:eastAsia="楷体_GB2312" w:cs="Times New Roman"/>
          <w:bCs w:val="0"/>
          <w:color w:val="000000" w:themeColor="text1"/>
          <w:sz w:val="32"/>
          <w:szCs w:val="32"/>
          <w14:textFill>
            <w14:solidFill>
              <w14:schemeClr w14:val="tx1"/>
            </w14:solidFill>
          </w14:textFill>
        </w:rPr>
        <w:t>情况</w:t>
      </w:r>
    </w:p>
    <w:p>
      <w:pPr>
        <w:spacing w:before="312" w:beforeLines="100" w:line="580" w:lineRule="exact"/>
        <w:ind w:firstLine="643"/>
        <w:rPr>
          <w:rFonts w:eastAsia="仿宋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民生福祉全方位改善。</w:t>
      </w:r>
      <w:r>
        <w:rPr>
          <w:rFonts w:ascii="Times New Roman" w:hAnsi="Times New Roman" w:eastAsia="仿宋_GB2312" w:cs="Times New Roman"/>
          <w:color w:val="000000" w:themeColor="text1"/>
          <w:sz w:val="32"/>
          <w:szCs w:val="32"/>
          <w14:textFill>
            <w14:solidFill>
              <w14:schemeClr w14:val="tx1"/>
            </w14:solidFill>
          </w14:textFill>
        </w:rPr>
        <w:t>累计完成省市重点民生实事</w:t>
      </w:r>
      <w:r>
        <w:rPr>
          <w:rFonts w:hint="eastAsia" w:eastAsia="仿宋_GB2312" w:cs="Times New Roman"/>
          <w:color w:val="000000" w:themeColor="text1"/>
          <w:sz w:val="32"/>
          <w:szCs w:val="32"/>
          <w14:textFill>
            <w14:solidFill>
              <w14:schemeClr w14:val="tx1"/>
            </w14:solidFill>
          </w14:textFill>
        </w:rPr>
        <w:t>168</w:t>
      </w:r>
      <w:r>
        <w:rPr>
          <w:rFonts w:ascii="Times New Roman" w:hAnsi="Times New Roman" w:eastAsia="仿宋_GB2312" w:cs="Times New Roman"/>
          <w:color w:val="000000" w:themeColor="text1"/>
          <w:sz w:val="32"/>
          <w:szCs w:val="32"/>
          <w14:textFill>
            <w14:solidFill>
              <w14:schemeClr w14:val="tx1"/>
            </w14:solidFill>
          </w14:textFill>
        </w:rPr>
        <w:t>项，民生支出占比稳定在78%以上。城镇累计新增就业1</w:t>
      </w:r>
      <w:r>
        <w:rPr>
          <w:rFonts w:hint="eastAsia" w:eastAsia="仿宋_GB2312" w:cs="Times New Roman"/>
          <w:color w:val="000000" w:themeColor="text1"/>
          <w:sz w:val="32"/>
          <w:szCs w:val="32"/>
          <w14:textFill>
            <w14:solidFill>
              <w14:schemeClr w14:val="tx1"/>
            </w14:solidFill>
          </w14:textFill>
        </w:rPr>
        <w:t>9</w:t>
      </w:r>
      <w:r>
        <w:rPr>
          <w:rFonts w:ascii="Times New Roman" w:hAnsi="Times New Roman" w:eastAsia="仿宋_GB2312" w:cs="Times New Roman"/>
          <w:color w:val="000000" w:themeColor="text1"/>
          <w:sz w:val="32"/>
          <w:szCs w:val="32"/>
          <w14:textFill>
            <w14:solidFill>
              <w14:schemeClr w14:val="tx1"/>
            </w14:solidFill>
          </w14:textFill>
        </w:rPr>
        <w:t>万人、农村劳动力转移就业20.</w:t>
      </w:r>
      <w:r>
        <w:rPr>
          <w:rFonts w:hint="eastAsia" w:ascii="Times New Roman" w:hAnsi="Times New Roman" w:eastAsia="仿宋_GB2312" w:cs="Times New Roman"/>
          <w:color w:val="000000" w:themeColor="text1"/>
          <w:sz w:val="32"/>
          <w:szCs w:val="32"/>
          <w14:textFill>
            <w14:solidFill>
              <w14:schemeClr w14:val="tx1"/>
            </w14:solidFill>
          </w14:textFill>
        </w:rPr>
        <w:t>4</w:t>
      </w:r>
      <w:r>
        <w:rPr>
          <w:rFonts w:ascii="Times New Roman" w:hAnsi="Times New Roman" w:eastAsia="仿宋_GB2312" w:cs="Times New Roman"/>
          <w:color w:val="000000" w:themeColor="text1"/>
          <w:sz w:val="32"/>
          <w:szCs w:val="32"/>
          <w14:textFill>
            <w14:solidFill>
              <w14:schemeClr w14:val="tx1"/>
            </w14:solidFill>
          </w14:textFill>
        </w:rPr>
        <w:t>万人。新改扩建公办学校（幼儿园）164所，新建芙蓉学校16所、县域高中“徐特立项目”14个，新增学位10.</w:t>
      </w:r>
      <w:r>
        <w:rPr>
          <w:rFonts w:hint="eastAsia" w:eastAsia="仿宋_GB2312" w:cs="Times New Roman"/>
          <w:color w:val="000000" w:themeColor="text1"/>
          <w:sz w:val="32"/>
          <w:szCs w:val="32"/>
          <w14:textFill>
            <w14:solidFill>
              <w14:schemeClr w14:val="tx1"/>
            </w14:solidFill>
          </w14:textFill>
        </w:rPr>
        <w:t>4</w:t>
      </w:r>
      <w:r>
        <w:rPr>
          <w:rFonts w:ascii="Times New Roman" w:hAnsi="Times New Roman" w:eastAsia="仿宋_GB2312" w:cs="Times New Roman"/>
          <w:color w:val="000000" w:themeColor="text1"/>
          <w:sz w:val="32"/>
          <w:szCs w:val="32"/>
          <w14:textFill>
            <w14:solidFill>
              <w14:schemeClr w14:val="tx1"/>
            </w14:solidFill>
          </w14:textFill>
        </w:rPr>
        <w:t>万个，高考本科录取率大幅度提升，“教联体”建设、教育阳光招生经验全国全省推介，全域入列全国义务教育发展基本均衡县。新设怀化工商职业技术学院。获批湖南省国家中医药综合改革示范区先导区，新增国家临床重点专科建设项目2个、省医学学科D类“筑峰”专科2个，三级公立医院由6家增至12家，156个乡镇卫生院、1200个村卫生室完成标准化建设。社会保障服务体系逐步健全，医保参保率稳定在96%以上。城乡低保救助指导标准分别增长48.0%、45.5%。养老服务体系更</w:t>
      </w:r>
      <w:r>
        <w:rPr>
          <w:rFonts w:ascii="Times New Roman" w:hAnsi="Times New Roman" w:eastAsia="仿宋_GB2312" w:cs="Times New Roman"/>
          <w:color w:val="000000" w:themeColor="text1"/>
          <w:spacing w:val="6"/>
          <w:sz w:val="32"/>
          <w:szCs w:val="32"/>
          <w14:textFill>
            <w14:solidFill>
              <w14:schemeClr w14:val="tx1"/>
            </w14:solidFill>
          </w14:textFill>
        </w:rPr>
        <w:t>加完善，“团寨养老”“幸福养老”“幸福小院”等模式全国推介。</w:t>
      </w:r>
    </w:p>
    <w:p>
      <w:pPr>
        <w:spacing w:line="580" w:lineRule="exact"/>
        <w:ind w:firstLine="643"/>
        <w:rPr>
          <w:rFonts w:eastAsia="仿宋_GB2312"/>
          <w:color w:val="000000" w:themeColor="text1"/>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生态品质大幅度提高。</w:t>
      </w:r>
      <w:r>
        <w:rPr>
          <w:rFonts w:ascii="Times New Roman" w:hAnsi="Times New Roman" w:eastAsia="仿宋_GB2312" w:cs="Times New Roman"/>
          <w:color w:val="000000" w:themeColor="text1"/>
          <w:sz w:val="32"/>
          <w:szCs w:val="32"/>
          <w14:textFill>
            <w14:solidFill>
              <w14:schemeClr w14:val="tx1"/>
            </w14:solidFill>
          </w14:textFill>
        </w:rPr>
        <w:t>获批全国首批生态产品价值实现机制试点地区，创新开展林权、碳汇、水权三类权益交易，打通“绿水青山”与“金山银山”的转化通道。全力打造全省清洁能源高地，清洁能源装机容量达734万千瓦。全市森林覆盖率达67.59%，林地面积达3069万亩、森林蓄积量达1.28亿立方米，生物多样性得到有效保护，治理水土流失面积142.2平方公里。空气环境质量连续五年达到国家二级标准。地表水考核断面均稳定达到Ⅱ类及以上，先后三年进入全国地级以上城市水质前30强。土壤污染风险得到有效管控。创建国家生态文明建设示范区6个。公众生态环境满意度连续三年全省第1。</w:t>
      </w:r>
    </w:p>
    <w:p>
      <w:pPr>
        <w:spacing w:line="580" w:lineRule="exact"/>
        <w:ind w:firstLine="643"/>
        <w:rPr>
          <w:rFonts w:eastAsia="仿宋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安全基石系统性夯实。</w:t>
      </w:r>
      <w:r>
        <w:rPr>
          <w:rFonts w:ascii="Times New Roman" w:hAnsi="Times New Roman" w:eastAsia="仿宋_GB2312" w:cs="Times New Roman"/>
          <w:color w:val="000000" w:themeColor="text1"/>
          <w:sz w:val="32"/>
          <w:szCs w:val="32"/>
          <w14:textFill>
            <w14:solidFill>
              <w14:schemeClr w14:val="tx1"/>
            </w14:solidFill>
          </w14:textFill>
        </w:rPr>
        <w:t>扛牢国家粮食安全政治责任，粮食总产量连年稳定在39亿斤以上。有效防范化解地方政府债务、地方金融机构、房地产等领域重大风险，保交楼保交房“双百”交付目标圆满完成，累计处遗办证9.3万本。有效应对低温雨雪冰冻、强降雨和超强台风等自然灾害，食品药品安全监管有力，信访工作法治化全面推进，公众安全感满意度连续四年保持全省前三。国防动员和后备力量建设扎实推进。统计、机关事务、民族宗教、妇女儿童、共青团、红十字会、气象、水文、移民等各项事业取得新进步！</w:t>
      </w:r>
    </w:p>
    <w:p>
      <w:pPr>
        <w:spacing w:line="600" w:lineRule="exact"/>
        <w:jc w:val="center"/>
        <w:rPr>
          <w:rFonts w:eastAsia="楷体_GB2312"/>
          <w:b/>
          <w:bCs w:val="0"/>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表1 怀化市</w:t>
      </w:r>
      <w:r>
        <w:rPr>
          <w:rFonts w:ascii="Times New Roman" w:hAnsi="Times New Roman" w:eastAsia="仿宋_GB2312" w:cs="Times New Roman"/>
          <w:b/>
          <w:color w:val="000000" w:themeColor="text1"/>
          <w:sz w:val="32"/>
          <w:szCs w:val="32"/>
          <w14:textFill>
            <w14:solidFill>
              <w14:schemeClr w14:val="tx1"/>
            </w14:solidFill>
          </w14:textFill>
        </w:rPr>
        <w:t>“</w:t>
      </w:r>
      <w:r>
        <w:rPr>
          <w:rFonts w:ascii="Times New Roman" w:hAnsi="Times New Roman" w:eastAsia="楷体_GB2312" w:cs="Times New Roman"/>
          <w:b/>
          <w:color w:val="000000" w:themeColor="text1"/>
          <w:sz w:val="32"/>
          <w:szCs w:val="32"/>
          <w14:textFill>
            <w14:solidFill>
              <w14:schemeClr w14:val="tx1"/>
            </w14:solidFill>
          </w14:textFill>
        </w:rPr>
        <w:t>十四五</w:t>
      </w:r>
      <w:r>
        <w:rPr>
          <w:rFonts w:ascii="Times New Roman" w:hAnsi="Times New Roman" w:eastAsia="仿宋_GB2312" w:cs="Times New Roman"/>
          <w:b/>
          <w:color w:val="000000" w:themeColor="text1"/>
          <w:sz w:val="32"/>
          <w:szCs w:val="32"/>
          <w14:textFill>
            <w14:solidFill>
              <w14:schemeClr w14:val="tx1"/>
            </w14:solidFill>
          </w14:textFill>
        </w:rPr>
        <w:t>”</w:t>
      </w:r>
      <w:r>
        <w:rPr>
          <w:rFonts w:ascii="Times New Roman" w:hAnsi="Times New Roman" w:eastAsia="楷体_GB2312" w:cs="Times New Roman"/>
          <w:b/>
          <w:color w:val="000000" w:themeColor="text1"/>
          <w:sz w:val="32"/>
          <w:szCs w:val="32"/>
          <w14:textFill>
            <w14:solidFill>
              <w14:schemeClr w14:val="tx1"/>
            </w14:solidFill>
          </w14:textFill>
        </w:rPr>
        <w:t>规划主要指标完成情况</w:t>
      </w:r>
    </w:p>
    <w:tbl>
      <w:tblPr>
        <w:tblStyle w:val="25"/>
        <w:tblW w:w="91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20"/>
        <w:gridCol w:w="599"/>
        <w:gridCol w:w="2837"/>
        <w:gridCol w:w="1006"/>
        <w:gridCol w:w="856"/>
        <w:gridCol w:w="1157"/>
        <w:gridCol w:w="1054"/>
        <w:gridCol w:w="10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9" w:hRule="atLeast"/>
          <w:tblHeader/>
          <w:jc w:val="center"/>
        </w:trPr>
        <w:tc>
          <w:tcPr>
            <w:tcW w:w="4056" w:type="dxa"/>
            <w:gridSpan w:val="3"/>
            <w:tcBorders>
              <w:top w:val="single" w:color="000000" w:sz="4" w:space="0"/>
              <w:left w:val="single" w:color="000000" w:sz="4" w:space="0"/>
              <w:bottom w:val="single" w:color="000000" w:sz="4" w:space="0"/>
            </w:tcBorders>
            <w:shd w:val="clear" w:color="auto" w:fill="auto"/>
            <w:vAlign w:val="center"/>
          </w:tcPr>
          <w:p>
            <w:pPr>
              <w:spacing w:line="280" w:lineRule="exact"/>
              <w:jc w:val="center"/>
              <w:rPr>
                <w:rFonts w:eastAsia="黑体"/>
                <w:color w:val="000000" w:themeColor="text1"/>
                <w:szCs w:val="21"/>
                <w14:textFill>
                  <w14:solidFill>
                    <w14:schemeClr w14:val="tx1"/>
                  </w14:solidFill>
                </w14:textFill>
              </w:rPr>
            </w:pPr>
            <w:r>
              <w:rPr>
                <w:rFonts w:ascii="Times New Roman" w:hAnsi="Times New Roman" w:eastAsia="黑体" w:cs="Times New Roman"/>
                <w:bCs w:val="0"/>
                <w:color w:val="000000" w:themeColor="text1"/>
                <w:szCs w:val="21"/>
                <w14:textFill>
                  <w14:solidFill>
                    <w14:schemeClr w14:val="tx1"/>
                  </w14:solidFill>
                </w14:textFill>
              </w:rPr>
              <w:t>指标名称</w:t>
            </w:r>
          </w:p>
        </w:tc>
        <w:tc>
          <w:tcPr>
            <w:tcW w:w="1006" w:type="dxa"/>
            <w:vMerge w:val="restart"/>
            <w:tcBorders>
              <w:top w:val="single" w:color="000000" w:sz="4" w:space="0"/>
              <w:left w:val="single" w:color="000000" w:sz="4" w:space="0"/>
            </w:tcBorders>
            <w:shd w:val="clear" w:color="auto" w:fill="auto"/>
            <w:vAlign w:val="center"/>
          </w:tcPr>
          <w:p>
            <w:pPr>
              <w:spacing w:line="280" w:lineRule="exact"/>
              <w:jc w:val="center"/>
              <w:rPr>
                <w:rFonts w:eastAsia="黑体"/>
                <w:color w:val="000000" w:themeColor="text1"/>
                <w:szCs w:val="21"/>
                <w14:textFill>
                  <w14:solidFill>
                    <w14:schemeClr w14:val="tx1"/>
                  </w14:solidFill>
                </w14:textFill>
              </w:rPr>
            </w:pPr>
            <w:r>
              <w:rPr>
                <w:rFonts w:ascii="Times New Roman" w:hAnsi="Times New Roman" w:eastAsia="黑体" w:cs="Times New Roman"/>
                <w:bCs w:val="0"/>
                <w:color w:val="000000" w:themeColor="text1"/>
                <w:szCs w:val="21"/>
                <w14:textFill>
                  <w14:solidFill>
                    <w14:schemeClr w14:val="tx1"/>
                  </w14:solidFill>
                </w14:textFill>
              </w:rPr>
              <w:t>2020年</w:t>
            </w:r>
          </w:p>
        </w:tc>
        <w:tc>
          <w:tcPr>
            <w:tcW w:w="2013" w:type="dxa"/>
            <w:gridSpan w:val="2"/>
            <w:tcBorders>
              <w:top w:val="single" w:color="000000" w:sz="4" w:space="0"/>
              <w:left w:val="single" w:color="000000" w:sz="4" w:space="0"/>
              <w:bottom w:val="single" w:color="000000" w:sz="4" w:space="0"/>
            </w:tcBorders>
            <w:shd w:val="clear" w:color="auto" w:fill="auto"/>
            <w:vAlign w:val="center"/>
          </w:tcPr>
          <w:p>
            <w:pPr>
              <w:spacing w:line="280" w:lineRule="exact"/>
              <w:jc w:val="center"/>
              <w:rPr>
                <w:rFonts w:eastAsia="黑体"/>
                <w:color w:val="000000" w:themeColor="text1"/>
                <w:szCs w:val="21"/>
                <w14:textFill>
                  <w14:solidFill>
                    <w14:schemeClr w14:val="tx1"/>
                  </w14:solidFill>
                </w14:textFill>
              </w:rPr>
            </w:pPr>
            <w:r>
              <w:rPr>
                <w:rFonts w:ascii="Times New Roman" w:hAnsi="Times New Roman" w:eastAsia="黑体" w:cs="Times New Roman"/>
                <w:bCs w:val="0"/>
                <w:color w:val="000000" w:themeColor="text1"/>
                <w:szCs w:val="21"/>
                <w14:textFill>
                  <w14:solidFill>
                    <w14:schemeClr w14:val="tx1"/>
                  </w14:solidFill>
                </w14:textFill>
              </w:rPr>
              <w:t>规划目标</w:t>
            </w:r>
          </w:p>
        </w:tc>
        <w:tc>
          <w:tcPr>
            <w:tcW w:w="2103" w:type="dxa"/>
            <w:gridSpan w:val="2"/>
            <w:tcBorders>
              <w:top w:val="single" w:color="000000" w:sz="4" w:space="0"/>
              <w:left w:val="single" w:color="000000" w:sz="4" w:space="0"/>
              <w:bottom w:val="single" w:color="000000" w:sz="4" w:space="0"/>
            </w:tcBorders>
            <w:shd w:val="clear" w:color="auto" w:fill="auto"/>
            <w:vAlign w:val="center"/>
          </w:tcPr>
          <w:p>
            <w:pPr>
              <w:spacing w:line="280" w:lineRule="exact"/>
              <w:jc w:val="center"/>
              <w:rPr>
                <w:rFonts w:eastAsia="黑体"/>
                <w:color w:val="000000" w:themeColor="text1"/>
                <w:szCs w:val="21"/>
                <w14:textFill>
                  <w14:solidFill>
                    <w14:schemeClr w14:val="tx1"/>
                  </w14:solidFill>
                </w14:textFill>
              </w:rPr>
            </w:pPr>
            <w:r>
              <w:rPr>
                <w:rFonts w:ascii="Times New Roman" w:hAnsi="Times New Roman" w:eastAsia="黑体" w:cs="Times New Roman"/>
                <w:bCs w:val="0"/>
                <w:color w:val="000000" w:themeColor="text1"/>
                <w:szCs w:val="21"/>
                <w14:textFill>
                  <w14:solidFill>
                    <w14:schemeClr w14:val="tx1"/>
                  </w14:solidFill>
                </w14:textFill>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7" w:hRule="atLeast"/>
          <w:tblHeader/>
          <w:jc w:val="center"/>
        </w:trPr>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黑体"/>
                <w:color w:val="000000" w:themeColor="text1"/>
                <w:szCs w:val="21"/>
                <w14:textFill>
                  <w14:solidFill>
                    <w14:schemeClr w14:val="tx1"/>
                  </w14:solidFill>
                </w14:textFill>
              </w:rPr>
            </w:pPr>
            <w:r>
              <w:rPr>
                <w:rFonts w:ascii="Times New Roman" w:hAnsi="Times New Roman" w:eastAsia="黑体" w:cs="Times New Roman"/>
                <w:bCs w:val="0"/>
                <w:color w:val="000000" w:themeColor="text1"/>
                <w:szCs w:val="21"/>
                <w14:textFill>
                  <w14:solidFill>
                    <w14:schemeClr w14:val="tx1"/>
                  </w14:solidFill>
                </w14:textFill>
              </w:rPr>
              <w:t>类别</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黑体"/>
                <w:color w:val="000000" w:themeColor="text1"/>
                <w:szCs w:val="21"/>
                <w14:textFill>
                  <w14:solidFill>
                    <w14:schemeClr w14:val="tx1"/>
                  </w14:solidFill>
                </w14:textFill>
              </w:rPr>
            </w:pPr>
            <w:r>
              <w:rPr>
                <w:rFonts w:ascii="Times New Roman" w:hAnsi="Times New Roman" w:eastAsia="黑体" w:cs="Times New Roman"/>
                <w:bCs w:val="0"/>
                <w:color w:val="000000" w:themeColor="text1"/>
                <w:szCs w:val="21"/>
                <w14:textFill>
                  <w14:solidFill>
                    <w14:schemeClr w14:val="tx1"/>
                  </w14:solidFill>
                </w14:textFill>
              </w:rPr>
              <w:t>序号</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黑体"/>
                <w:color w:val="000000" w:themeColor="text1"/>
                <w:szCs w:val="21"/>
                <w14:textFill>
                  <w14:solidFill>
                    <w14:schemeClr w14:val="tx1"/>
                  </w14:solidFill>
                </w14:textFill>
              </w:rPr>
            </w:pPr>
            <w:r>
              <w:rPr>
                <w:rFonts w:ascii="Times New Roman" w:hAnsi="Times New Roman" w:eastAsia="黑体" w:cs="Times New Roman"/>
                <w:bCs w:val="0"/>
                <w:color w:val="000000" w:themeColor="text1"/>
                <w:szCs w:val="21"/>
                <w14:textFill>
                  <w14:solidFill>
                    <w14:schemeClr w14:val="tx1"/>
                  </w14:solidFill>
                </w14:textFill>
              </w:rPr>
              <w:t>指标名称</w:t>
            </w:r>
          </w:p>
        </w:tc>
        <w:tc>
          <w:tcPr>
            <w:tcW w:w="1006" w:type="dxa"/>
            <w:vMerge w:val="continue"/>
            <w:tcBorders>
              <w:left w:val="single" w:color="000000" w:sz="4" w:space="0"/>
              <w:bottom w:val="single" w:color="000000" w:sz="4" w:space="0"/>
            </w:tcBorders>
            <w:shd w:val="clear" w:color="auto" w:fill="auto"/>
            <w:vAlign w:val="center"/>
          </w:tcPr>
          <w:p>
            <w:pPr>
              <w:spacing w:line="280" w:lineRule="exact"/>
              <w:ind w:firstLine="420"/>
              <w:jc w:val="center"/>
              <w:rPr>
                <w:rFonts w:eastAsia="黑体"/>
                <w:color w:val="000000" w:themeColor="text1"/>
                <w:szCs w:val="21"/>
                <w14:textFill>
                  <w14:solidFill>
                    <w14:schemeClr w14:val="tx1"/>
                  </w14:solidFill>
                </w14:textFill>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黑体"/>
                <w:color w:val="000000" w:themeColor="text1"/>
                <w:szCs w:val="21"/>
                <w14:textFill>
                  <w14:solidFill>
                    <w14:schemeClr w14:val="tx1"/>
                  </w14:solidFill>
                </w14:textFill>
              </w:rPr>
            </w:pPr>
            <w:r>
              <w:rPr>
                <w:rFonts w:ascii="Times New Roman" w:hAnsi="Times New Roman" w:eastAsia="黑体" w:cs="Times New Roman"/>
                <w:bCs w:val="0"/>
                <w:color w:val="000000" w:themeColor="text1"/>
                <w:szCs w:val="21"/>
                <w14:textFill>
                  <w14:solidFill>
                    <w14:schemeClr w14:val="tx1"/>
                  </w14:solidFill>
                </w14:textFill>
              </w:rPr>
              <w:t>2025年</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黑体"/>
                <w:color w:val="000000" w:themeColor="text1"/>
                <w:szCs w:val="21"/>
                <w14:textFill>
                  <w14:solidFill>
                    <w14:schemeClr w14:val="tx1"/>
                  </w14:solidFill>
                </w14:textFill>
              </w:rPr>
            </w:pPr>
            <w:r>
              <w:rPr>
                <w:rFonts w:ascii="Times New Roman" w:hAnsi="Times New Roman" w:eastAsia="黑体" w:cs="Times New Roman"/>
                <w:bCs w:val="0"/>
                <w:color w:val="000000" w:themeColor="text1"/>
                <w:szCs w:val="21"/>
                <w14:textFill>
                  <w14:solidFill>
                    <w14:schemeClr w14:val="tx1"/>
                  </w14:solidFill>
                </w14:textFill>
              </w:rPr>
              <w:t>年均增速[累计]</w:t>
            </w:r>
          </w:p>
        </w:tc>
        <w:tc>
          <w:tcPr>
            <w:tcW w:w="1054" w:type="dxa"/>
            <w:tcBorders>
              <w:top w:val="single" w:color="000000" w:sz="4" w:space="0"/>
              <w:left w:val="single" w:color="000000" w:sz="4" w:space="0"/>
              <w:bottom w:val="single" w:color="000000" w:sz="4" w:space="0"/>
              <w:right w:val="single" w:color="auto" w:sz="4" w:space="0"/>
            </w:tcBorders>
            <w:shd w:val="clear" w:color="auto" w:fill="auto"/>
            <w:vAlign w:val="center"/>
          </w:tcPr>
          <w:p>
            <w:pPr>
              <w:spacing w:line="280" w:lineRule="exact"/>
              <w:jc w:val="center"/>
              <w:rPr>
                <w:rFonts w:eastAsia="黑体"/>
                <w:color w:val="000000" w:themeColor="text1"/>
                <w:szCs w:val="21"/>
                <w14:textFill>
                  <w14:solidFill>
                    <w14:schemeClr w14:val="tx1"/>
                  </w14:solidFill>
                </w14:textFill>
              </w:rPr>
            </w:pPr>
            <w:r>
              <w:rPr>
                <w:rFonts w:ascii="Times New Roman" w:hAnsi="Times New Roman" w:eastAsia="黑体" w:cs="Times New Roman"/>
                <w:bCs w:val="0"/>
                <w:color w:val="000000" w:themeColor="text1"/>
                <w:szCs w:val="21"/>
                <w14:textFill>
                  <w14:solidFill>
                    <w14:schemeClr w14:val="tx1"/>
                  </w14:solidFill>
                </w14:textFill>
              </w:rPr>
              <w:t>2025年</w:t>
            </w:r>
          </w:p>
        </w:tc>
        <w:tc>
          <w:tcPr>
            <w:tcW w:w="1049" w:type="dxa"/>
            <w:tcBorders>
              <w:top w:val="single" w:color="000000" w:sz="4" w:space="0"/>
              <w:left w:val="single" w:color="auto" w:sz="4" w:space="0"/>
              <w:bottom w:val="single" w:color="000000" w:sz="4" w:space="0"/>
              <w:right w:val="single" w:color="000000" w:sz="4" w:space="0"/>
            </w:tcBorders>
            <w:shd w:val="clear" w:color="auto" w:fill="auto"/>
            <w:vAlign w:val="center"/>
          </w:tcPr>
          <w:p>
            <w:pPr>
              <w:spacing w:line="280" w:lineRule="exact"/>
              <w:jc w:val="center"/>
              <w:rPr>
                <w:rFonts w:eastAsia="黑体"/>
                <w:color w:val="000000" w:themeColor="text1"/>
                <w:szCs w:val="21"/>
                <w14:textFill>
                  <w14:solidFill>
                    <w14:schemeClr w14:val="tx1"/>
                  </w14:solidFill>
                </w14:textFill>
              </w:rPr>
            </w:pPr>
            <w:r>
              <w:rPr>
                <w:rFonts w:ascii="Times New Roman" w:hAnsi="Times New Roman" w:eastAsia="黑体" w:cs="Times New Roman"/>
                <w:bCs w:val="0"/>
                <w:color w:val="000000" w:themeColor="text1"/>
                <w:szCs w:val="21"/>
                <w14:textFill>
                  <w14:solidFill>
                    <w14:schemeClr w14:val="tx1"/>
                  </w14:solidFill>
                </w14:textFill>
              </w:rPr>
              <w:t>年均增速[累计]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18" w:hRule="atLeast"/>
          <w:jc w:val="center"/>
        </w:trPr>
        <w:tc>
          <w:tcPr>
            <w:tcW w:w="6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经济发展</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1</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地区生产总值增长（%）</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3.9</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7.5</w:t>
            </w:r>
          </w:p>
        </w:tc>
        <w:tc>
          <w:tcPr>
            <w:tcW w:w="1054" w:type="dxa"/>
            <w:tcBorders>
              <w:top w:val="single" w:color="000000" w:sz="4" w:space="0"/>
              <w:left w:val="single" w:color="000000" w:sz="4" w:space="0"/>
              <w:bottom w:val="single" w:color="000000" w:sz="4" w:space="0"/>
              <w:right w:val="single" w:color="auto" w:sz="4" w:space="0"/>
            </w:tcBorders>
            <w:shd w:val="clear" w:color="auto" w:fill="auto"/>
            <w:vAlign w:val="center"/>
          </w:tcPr>
          <w:p>
            <w:pPr>
              <w:spacing w:line="280" w:lineRule="exact"/>
              <w:jc w:val="center"/>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c>
          <w:tcPr>
            <w:tcW w:w="1049" w:type="dxa"/>
            <w:tcBorders>
              <w:top w:val="single" w:color="000000" w:sz="4" w:space="0"/>
              <w:left w:val="single" w:color="auto" w:sz="4" w:space="0"/>
              <w:bottom w:val="single" w:color="000000" w:sz="4" w:space="0"/>
              <w:right w:val="single" w:color="000000" w:sz="4" w:space="0"/>
            </w:tcBorders>
            <w:shd w:val="clear" w:color="auto" w:fill="auto"/>
            <w:vAlign w:val="center"/>
          </w:tcPr>
          <w:p>
            <w:pPr>
              <w:spacing w:line="280" w:lineRule="exact"/>
              <w:jc w:val="center"/>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0" w:hRule="atLeast"/>
          <w:jc w:val="center"/>
        </w:trPr>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ind w:firstLine="420"/>
              <w:jc w:val="center"/>
              <w:rPr>
                <w:rFonts w:eastAsia="仿宋_GB2312"/>
                <w:color w:val="000000" w:themeColor="text1"/>
                <w:szCs w:val="21"/>
                <w14:textFill>
                  <w14:solidFill>
                    <w14:schemeClr w14:val="tx1"/>
                  </w14:solidFill>
                </w14:textFill>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2</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全员劳动生产率增长（%）</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7</w:t>
            </w:r>
          </w:p>
        </w:tc>
        <w:tc>
          <w:tcPr>
            <w:tcW w:w="1054" w:type="dxa"/>
            <w:tcBorders>
              <w:top w:val="single" w:color="000000" w:sz="4" w:space="0"/>
              <w:left w:val="single" w:color="000000" w:sz="4" w:space="0"/>
              <w:bottom w:val="single" w:color="000000" w:sz="4" w:space="0"/>
              <w:right w:val="single" w:color="auto"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c>
          <w:tcPr>
            <w:tcW w:w="1049" w:type="dxa"/>
            <w:tcBorders>
              <w:top w:val="single" w:color="000000" w:sz="4" w:space="0"/>
              <w:left w:val="single" w:color="auto"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99" w:hRule="atLeast"/>
          <w:jc w:val="center"/>
        </w:trPr>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ind w:firstLine="420"/>
              <w:jc w:val="center"/>
              <w:rPr>
                <w:rFonts w:eastAsia="仿宋_GB2312"/>
                <w:color w:val="000000" w:themeColor="text1"/>
                <w:szCs w:val="21"/>
                <w14:textFill>
                  <w14:solidFill>
                    <w14:schemeClr w14:val="tx1"/>
                  </w14:solidFill>
                </w14:textFill>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3</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制造业增加值占地区生产总值比重（%）</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16</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19</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c>
          <w:tcPr>
            <w:tcW w:w="1054" w:type="dxa"/>
            <w:tcBorders>
              <w:top w:val="single" w:color="000000" w:sz="4" w:space="0"/>
              <w:left w:val="single" w:color="000000" w:sz="4" w:space="0"/>
              <w:bottom w:val="single" w:color="000000" w:sz="4" w:space="0"/>
              <w:right w:val="single" w:color="auto"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21.4</w:t>
            </w:r>
          </w:p>
        </w:tc>
        <w:tc>
          <w:tcPr>
            <w:tcW w:w="1049" w:type="dxa"/>
            <w:tcBorders>
              <w:top w:val="single" w:color="000000" w:sz="4" w:space="0"/>
              <w:left w:val="single" w:color="auto"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2" w:hRule="atLeast"/>
          <w:jc w:val="center"/>
        </w:trPr>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ind w:firstLine="420"/>
              <w:jc w:val="center"/>
              <w:rPr>
                <w:rFonts w:eastAsia="仿宋_GB2312"/>
                <w:color w:val="000000" w:themeColor="text1"/>
                <w:szCs w:val="21"/>
                <w14:textFill>
                  <w14:solidFill>
                    <w14:schemeClr w14:val="tx1"/>
                  </w14:solidFill>
                </w14:textFill>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4</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产业投资占固定资产投资比重（%）</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50</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60</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c>
          <w:tcPr>
            <w:tcW w:w="1054" w:type="dxa"/>
            <w:tcBorders>
              <w:top w:val="single" w:color="000000" w:sz="4" w:space="0"/>
              <w:left w:val="single" w:color="000000" w:sz="4" w:space="0"/>
              <w:bottom w:val="single" w:color="000000" w:sz="4" w:space="0"/>
              <w:right w:val="single" w:color="auto"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72.8</w:t>
            </w:r>
          </w:p>
        </w:tc>
        <w:tc>
          <w:tcPr>
            <w:tcW w:w="1049" w:type="dxa"/>
            <w:tcBorders>
              <w:top w:val="single" w:color="000000" w:sz="4" w:space="0"/>
              <w:left w:val="single" w:color="auto"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37" w:hRule="atLeast"/>
          <w:jc w:val="center"/>
        </w:trPr>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ind w:firstLine="420"/>
              <w:jc w:val="center"/>
              <w:rPr>
                <w:rFonts w:eastAsia="仿宋_GB2312"/>
                <w:color w:val="000000" w:themeColor="text1"/>
                <w:szCs w:val="21"/>
                <w14:textFill>
                  <w14:solidFill>
                    <w14:schemeClr w14:val="tx1"/>
                  </w14:solidFill>
                </w14:textFill>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5</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最终消费支出对地区生产总值贡献率（%）</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60</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c>
          <w:tcPr>
            <w:tcW w:w="1054" w:type="dxa"/>
            <w:tcBorders>
              <w:top w:val="single" w:color="000000" w:sz="4" w:space="0"/>
              <w:left w:val="single" w:color="000000" w:sz="4" w:space="0"/>
              <w:bottom w:val="single" w:color="000000" w:sz="4" w:space="0"/>
              <w:right w:val="single" w:color="auto"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不再公布</w:t>
            </w:r>
          </w:p>
        </w:tc>
        <w:tc>
          <w:tcPr>
            <w:tcW w:w="1049" w:type="dxa"/>
            <w:tcBorders>
              <w:top w:val="single" w:color="000000" w:sz="4" w:space="0"/>
              <w:left w:val="single" w:color="auto"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54" w:hRule="atLeast"/>
          <w:jc w:val="center"/>
        </w:trPr>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ind w:firstLine="420"/>
              <w:jc w:val="center"/>
              <w:rPr>
                <w:rFonts w:eastAsia="仿宋_GB2312"/>
                <w:color w:val="000000" w:themeColor="text1"/>
                <w:szCs w:val="21"/>
                <w14:textFill>
                  <w14:solidFill>
                    <w14:schemeClr w14:val="tx1"/>
                  </w14:solidFill>
                </w14:textFill>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6</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对外贸易依存度（%）</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0.73</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0.98</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c>
          <w:tcPr>
            <w:tcW w:w="1054" w:type="dxa"/>
            <w:tcBorders>
              <w:top w:val="single" w:color="000000" w:sz="4" w:space="0"/>
              <w:left w:val="single" w:color="000000" w:sz="4" w:space="0"/>
              <w:bottom w:val="single" w:color="000000" w:sz="4" w:space="0"/>
              <w:right w:val="single" w:color="auto"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5.1</w:t>
            </w:r>
          </w:p>
        </w:tc>
        <w:tc>
          <w:tcPr>
            <w:tcW w:w="1049" w:type="dxa"/>
            <w:tcBorders>
              <w:top w:val="single" w:color="000000" w:sz="4" w:space="0"/>
              <w:left w:val="single" w:color="auto"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19" w:hRule="atLeast"/>
          <w:jc w:val="center"/>
        </w:trPr>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ind w:firstLine="420"/>
              <w:jc w:val="center"/>
              <w:rPr>
                <w:rFonts w:eastAsia="仿宋_GB2312"/>
                <w:color w:val="000000" w:themeColor="text1"/>
                <w:szCs w:val="21"/>
                <w14:textFill>
                  <w14:solidFill>
                    <w14:schemeClr w14:val="tx1"/>
                  </w14:solidFill>
                </w14:textFill>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7</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地方一般公共预算收入占地区生产总值比重（%）</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5.96</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5.96</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c>
          <w:tcPr>
            <w:tcW w:w="1054" w:type="dxa"/>
            <w:tcBorders>
              <w:top w:val="single" w:color="000000" w:sz="4" w:space="0"/>
              <w:left w:val="single" w:color="000000" w:sz="4" w:space="0"/>
              <w:bottom w:val="single" w:color="000000" w:sz="4" w:space="0"/>
              <w:right w:val="single" w:color="auto"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5.7</w:t>
            </w:r>
          </w:p>
        </w:tc>
        <w:tc>
          <w:tcPr>
            <w:tcW w:w="1049" w:type="dxa"/>
            <w:tcBorders>
              <w:top w:val="single" w:color="000000" w:sz="4" w:space="0"/>
              <w:left w:val="single" w:color="auto"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3" w:hRule="atLeast"/>
          <w:jc w:val="center"/>
        </w:trPr>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ind w:firstLine="420"/>
              <w:jc w:val="center"/>
              <w:rPr>
                <w:rFonts w:eastAsia="仿宋_GB2312"/>
                <w:color w:val="000000" w:themeColor="text1"/>
                <w:szCs w:val="21"/>
                <w14:textFill>
                  <w14:solidFill>
                    <w14:schemeClr w14:val="tx1"/>
                  </w14:solidFill>
                </w14:textFill>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8</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常住人口城镇化率（%）</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47.18</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57</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c>
          <w:tcPr>
            <w:tcW w:w="1054" w:type="dxa"/>
            <w:tcBorders>
              <w:top w:val="single" w:color="000000" w:sz="4" w:space="0"/>
              <w:left w:val="single" w:color="000000" w:sz="4" w:space="0"/>
              <w:bottom w:val="single" w:color="000000" w:sz="4" w:space="0"/>
              <w:right w:val="single" w:color="auto"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51.95</w:t>
            </w:r>
          </w:p>
        </w:tc>
        <w:tc>
          <w:tcPr>
            <w:tcW w:w="1049" w:type="dxa"/>
            <w:tcBorders>
              <w:top w:val="single" w:color="000000" w:sz="4" w:space="0"/>
              <w:left w:val="single" w:color="auto"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10" w:hRule="atLeast"/>
          <w:jc w:val="center"/>
        </w:trPr>
        <w:tc>
          <w:tcPr>
            <w:tcW w:w="6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创新驱动</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9</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研发经费投入增长（%）</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≥9</w:t>
            </w:r>
          </w:p>
        </w:tc>
        <w:tc>
          <w:tcPr>
            <w:tcW w:w="1054" w:type="dxa"/>
            <w:tcBorders>
              <w:top w:val="single" w:color="000000" w:sz="4" w:space="0"/>
              <w:left w:val="single" w:color="000000" w:sz="4" w:space="0"/>
              <w:bottom w:val="single" w:color="000000" w:sz="4" w:space="0"/>
              <w:right w:val="single" w:color="auto"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c>
          <w:tcPr>
            <w:tcW w:w="1049" w:type="dxa"/>
            <w:tcBorders>
              <w:top w:val="single" w:color="000000" w:sz="4" w:space="0"/>
              <w:left w:val="single" w:color="auto"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13.3*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18" w:hRule="atLeast"/>
          <w:jc w:val="center"/>
        </w:trPr>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ind w:firstLine="420"/>
              <w:jc w:val="center"/>
              <w:rPr>
                <w:rFonts w:eastAsia="仿宋_GB2312"/>
                <w:color w:val="000000" w:themeColor="text1"/>
                <w:szCs w:val="21"/>
                <w14:textFill>
                  <w14:solidFill>
                    <w14:schemeClr w14:val="tx1"/>
                  </w14:solidFill>
                </w14:textFill>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10</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每万人口高价值发明专利拥有量（件）</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0.47</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＞1</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c>
          <w:tcPr>
            <w:tcW w:w="1054" w:type="dxa"/>
            <w:tcBorders>
              <w:top w:val="single" w:color="000000" w:sz="4" w:space="0"/>
              <w:left w:val="single" w:color="000000" w:sz="4" w:space="0"/>
              <w:bottom w:val="single" w:color="000000" w:sz="4" w:space="0"/>
              <w:right w:val="single" w:color="auto"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1.71</w:t>
            </w:r>
          </w:p>
        </w:tc>
        <w:tc>
          <w:tcPr>
            <w:tcW w:w="1049" w:type="dxa"/>
            <w:tcBorders>
              <w:top w:val="single" w:color="000000" w:sz="4" w:space="0"/>
              <w:left w:val="single" w:color="auto"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18" w:hRule="atLeast"/>
          <w:jc w:val="center"/>
        </w:trPr>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ind w:firstLine="420"/>
              <w:jc w:val="center"/>
              <w:rPr>
                <w:rFonts w:eastAsia="仿宋_GB2312"/>
                <w:color w:val="000000" w:themeColor="text1"/>
                <w:szCs w:val="21"/>
                <w14:textFill>
                  <w14:solidFill>
                    <w14:schemeClr w14:val="tx1"/>
                  </w14:solidFill>
                </w14:textFill>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11</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数字经济核心产业增加值占地区生产总值比重（%）</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3</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5</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c>
          <w:tcPr>
            <w:tcW w:w="1054" w:type="dxa"/>
            <w:tcBorders>
              <w:top w:val="single" w:color="000000" w:sz="4" w:space="0"/>
              <w:left w:val="single" w:color="000000" w:sz="4" w:space="0"/>
              <w:bottom w:val="single" w:color="000000" w:sz="4" w:space="0"/>
              <w:right w:val="single" w:color="auto"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4.7</w:t>
            </w:r>
          </w:p>
        </w:tc>
        <w:tc>
          <w:tcPr>
            <w:tcW w:w="1049" w:type="dxa"/>
            <w:tcBorders>
              <w:top w:val="single" w:color="000000" w:sz="4" w:space="0"/>
              <w:left w:val="single" w:color="auto"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84" w:hRule="atLeast"/>
          <w:jc w:val="center"/>
        </w:trPr>
        <w:tc>
          <w:tcPr>
            <w:tcW w:w="620" w:type="dxa"/>
            <w:vMerge w:val="restart"/>
            <w:tcBorders>
              <w:top w:val="single" w:color="000000" w:sz="4" w:space="0"/>
              <w:left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民生福祉</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12</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居民人均可支配收入增长（%）</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6.7</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7.5</w:t>
            </w:r>
          </w:p>
        </w:tc>
        <w:tc>
          <w:tcPr>
            <w:tcW w:w="1054" w:type="dxa"/>
            <w:tcBorders>
              <w:top w:val="single" w:color="000000" w:sz="4" w:space="0"/>
              <w:left w:val="single" w:color="000000" w:sz="4" w:space="0"/>
              <w:bottom w:val="single" w:color="000000" w:sz="4" w:space="0"/>
              <w:right w:val="single" w:color="auto"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c>
          <w:tcPr>
            <w:tcW w:w="1049" w:type="dxa"/>
            <w:tcBorders>
              <w:top w:val="single" w:color="000000" w:sz="4" w:space="0"/>
              <w:left w:val="single" w:color="auto"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6.9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9" w:hRule="atLeast"/>
          <w:jc w:val="center"/>
        </w:trPr>
        <w:tc>
          <w:tcPr>
            <w:tcW w:w="620" w:type="dxa"/>
            <w:vMerge w:val="continue"/>
            <w:tcBorders>
              <w:left w:val="single" w:color="000000" w:sz="4" w:space="0"/>
              <w:right w:val="single" w:color="000000" w:sz="4" w:space="0"/>
            </w:tcBorders>
            <w:shd w:val="clear" w:color="auto" w:fill="auto"/>
            <w:vAlign w:val="center"/>
          </w:tcPr>
          <w:p>
            <w:pPr>
              <w:spacing w:line="280" w:lineRule="exact"/>
              <w:ind w:firstLine="420"/>
              <w:jc w:val="center"/>
              <w:rPr>
                <w:rFonts w:eastAsia="仿宋_GB2312"/>
                <w:color w:val="000000" w:themeColor="text1"/>
                <w:szCs w:val="21"/>
                <w14:textFill>
                  <w14:solidFill>
                    <w14:schemeClr w14:val="tx1"/>
                  </w14:solidFill>
                </w14:textFill>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13</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城镇调查失业率（%）</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5.7</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＜5.6</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textAlignment w:val="center"/>
              <w:rPr>
                <w:rFonts w:eastAsia="仿宋_GB2312"/>
                <w:color w:val="000000" w:themeColor="text1"/>
                <w:szCs w:val="21"/>
                <w14:textFill>
                  <w14:solidFill>
                    <w14:schemeClr w14:val="tx1"/>
                  </w14:solidFill>
                </w14:textFill>
              </w:rPr>
            </w:pPr>
          </w:p>
        </w:tc>
        <w:tc>
          <w:tcPr>
            <w:tcW w:w="1054" w:type="dxa"/>
            <w:tcBorders>
              <w:top w:val="single" w:color="000000" w:sz="4" w:space="0"/>
              <w:left w:val="single" w:color="000000" w:sz="4" w:space="0"/>
              <w:bottom w:val="single" w:color="000000" w:sz="4" w:space="0"/>
              <w:right w:val="single" w:color="auto"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5.2</w:t>
            </w:r>
          </w:p>
        </w:tc>
        <w:tc>
          <w:tcPr>
            <w:tcW w:w="1049" w:type="dxa"/>
            <w:tcBorders>
              <w:top w:val="single" w:color="000000" w:sz="4" w:space="0"/>
              <w:left w:val="single" w:color="auto"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19" w:hRule="atLeast"/>
          <w:jc w:val="center"/>
        </w:trPr>
        <w:tc>
          <w:tcPr>
            <w:tcW w:w="620" w:type="dxa"/>
            <w:vMerge w:val="continue"/>
            <w:tcBorders>
              <w:left w:val="single" w:color="000000" w:sz="4" w:space="0"/>
              <w:right w:val="single" w:color="000000" w:sz="4" w:space="0"/>
            </w:tcBorders>
            <w:shd w:val="clear" w:color="auto" w:fill="auto"/>
            <w:vAlign w:val="center"/>
          </w:tcPr>
          <w:p>
            <w:pPr>
              <w:spacing w:line="280" w:lineRule="exact"/>
              <w:ind w:firstLine="420"/>
              <w:jc w:val="center"/>
              <w:rPr>
                <w:rFonts w:eastAsia="仿宋_GB2312"/>
                <w:color w:val="000000" w:themeColor="text1"/>
                <w:szCs w:val="21"/>
                <w14:textFill>
                  <w14:solidFill>
                    <w14:schemeClr w14:val="tx1"/>
                  </w14:solidFill>
                </w14:textFill>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14</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劳动年龄人口平均受教育年限（年）</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10</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12</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c>
          <w:tcPr>
            <w:tcW w:w="1054" w:type="dxa"/>
            <w:tcBorders>
              <w:top w:val="single" w:color="000000" w:sz="4" w:space="0"/>
              <w:left w:val="single" w:color="000000" w:sz="4" w:space="0"/>
              <w:bottom w:val="single" w:color="000000" w:sz="4" w:space="0"/>
              <w:right w:val="single" w:color="auto"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11.2</w:t>
            </w:r>
          </w:p>
        </w:tc>
        <w:tc>
          <w:tcPr>
            <w:tcW w:w="1049" w:type="dxa"/>
            <w:tcBorders>
              <w:top w:val="single" w:color="000000" w:sz="4" w:space="0"/>
              <w:left w:val="single" w:color="auto"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34" w:hRule="atLeast"/>
          <w:jc w:val="center"/>
        </w:trPr>
        <w:tc>
          <w:tcPr>
            <w:tcW w:w="620" w:type="dxa"/>
            <w:vMerge w:val="continue"/>
            <w:tcBorders>
              <w:left w:val="single" w:color="000000" w:sz="4" w:space="0"/>
              <w:right w:val="single" w:color="000000" w:sz="4" w:space="0"/>
            </w:tcBorders>
            <w:shd w:val="clear" w:color="auto" w:fill="auto"/>
            <w:vAlign w:val="center"/>
          </w:tcPr>
          <w:p>
            <w:pPr>
              <w:spacing w:line="280" w:lineRule="exact"/>
              <w:ind w:firstLine="420"/>
              <w:jc w:val="center"/>
              <w:rPr>
                <w:rFonts w:eastAsia="仿宋_GB2312"/>
                <w:color w:val="000000" w:themeColor="text1"/>
                <w:szCs w:val="21"/>
                <w14:textFill>
                  <w14:solidFill>
                    <w14:schemeClr w14:val="tx1"/>
                  </w14:solidFill>
                </w14:textFill>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15</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每千人口拥有执业（助理）医师数（人）</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2.83</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3.2</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c>
          <w:tcPr>
            <w:tcW w:w="1054" w:type="dxa"/>
            <w:tcBorders>
              <w:top w:val="single" w:color="000000" w:sz="4" w:space="0"/>
              <w:left w:val="single" w:color="000000" w:sz="4" w:space="0"/>
              <w:bottom w:val="single" w:color="000000" w:sz="4" w:space="0"/>
              <w:right w:val="single" w:color="auto"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3.55</w:t>
            </w:r>
          </w:p>
        </w:tc>
        <w:tc>
          <w:tcPr>
            <w:tcW w:w="1049" w:type="dxa"/>
            <w:tcBorders>
              <w:top w:val="single" w:color="000000" w:sz="4" w:space="0"/>
              <w:left w:val="single" w:color="auto"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21" w:hRule="atLeast"/>
          <w:jc w:val="center"/>
        </w:trPr>
        <w:tc>
          <w:tcPr>
            <w:tcW w:w="620" w:type="dxa"/>
            <w:vMerge w:val="continue"/>
            <w:tcBorders>
              <w:left w:val="single" w:color="000000" w:sz="4" w:space="0"/>
              <w:right w:val="single" w:color="000000" w:sz="4" w:space="0"/>
            </w:tcBorders>
            <w:shd w:val="clear" w:color="auto" w:fill="auto"/>
            <w:vAlign w:val="center"/>
          </w:tcPr>
          <w:p>
            <w:pPr>
              <w:spacing w:line="280" w:lineRule="exact"/>
              <w:ind w:firstLine="420"/>
              <w:jc w:val="center"/>
              <w:rPr>
                <w:rFonts w:eastAsia="仿宋_GB2312"/>
                <w:color w:val="000000" w:themeColor="text1"/>
                <w:szCs w:val="21"/>
                <w14:textFill>
                  <w14:solidFill>
                    <w14:schemeClr w14:val="tx1"/>
                  </w14:solidFill>
                </w14:textFill>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16</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基本养老保险参保率（%）</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90</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92</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c>
          <w:tcPr>
            <w:tcW w:w="1054" w:type="dxa"/>
            <w:tcBorders>
              <w:top w:val="single" w:color="000000" w:sz="4" w:space="0"/>
              <w:left w:val="single" w:color="000000" w:sz="4" w:space="0"/>
              <w:bottom w:val="single" w:color="000000" w:sz="4" w:space="0"/>
              <w:right w:val="single" w:color="auto"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96.4</w:t>
            </w:r>
          </w:p>
        </w:tc>
        <w:tc>
          <w:tcPr>
            <w:tcW w:w="1049" w:type="dxa"/>
            <w:tcBorders>
              <w:top w:val="single" w:color="000000" w:sz="4" w:space="0"/>
              <w:left w:val="single" w:color="auto"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0" w:hRule="atLeast"/>
          <w:jc w:val="center"/>
        </w:trPr>
        <w:tc>
          <w:tcPr>
            <w:tcW w:w="620" w:type="dxa"/>
            <w:vMerge w:val="continue"/>
            <w:tcBorders>
              <w:left w:val="single" w:color="000000" w:sz="4" w:space="0"/>
              <w:right w:val="single" w:color="000000" w:sz="4" w:space="0"/>
            </w:tcBorders>
            <w:shd w:val="clear" w:color="auto" w:fill="auto"/>
            <w:vAlign w:val="center"/>
          </w:tcPr>
          <w:p>
            <w:pPr>
              <w:spacing w:line="280" w:lineRule="exact"/>
              <w:ind w:firstLine="420"/>
              <w:jc w:val="center"/>
              <w:rPr>
                <w:rFonts w:eastAsia="仿宋_GB2312"/>
                <w:color w:val="000000" w:themeColor="text1"/>
                <w:szCs w:val="21"/>
                <w14:textFill>
                  <w14:solidFill>
                    <w14:schemeClr w14:val="tx1"/>
                  </w14:solidFill>
                </w14:textFill>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17</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每千人口拥有三岁以下婴幼儿托位数（个）</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0.9</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4</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c>
          <w:tcPr>
            <w:tcW w:w="1054" w:type="dxa"/>
            <w:tcBorders>
              <w:top w:val="single" w:color="000000" w:sz="4" w:space="0"/>
              <w:left w:val="single" w:color="000000" w:sz="4" w:space="0"/>
              <w:bottom w:val="single" w:color="000000" w:sz="4" w:space="0"/>
              <w:right w:val="single" w:color="auto"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4.62</w:t>
            </w:r>
          </w:p>
        </w:tc>
        <w:tc>
          <w:tcPr>
            <w:tcW w:w="1049" w:type="dxa"/>
            <w:tcBorders>
              <w:top w:val="single" w:color="000000" w:sz="4" w:space="0"/>
              <w:left w:val="single" w:color="auto"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1" w:hRule="atLeast"/>
          <w:jc w:val="center"/>
        </w:trPr>
        <w:tc>
          <w:tcPr>
            <w:tcW w:w="620" w:type="dxa"/>
            <w:vMerge w:val="continue"/>
            <w:tcBorders>
              <w:left w:val="single" w:color="000000" w:sz="4" w:space="0"/>
              <w:bottom w:val="single" w:color="000000" w:sz="4" w:space="0"/>
              <w:right w:val="single" w:color="000000" w:sz="4" w:space="0"/>
            </w:tcBorders>
            <w:shd w:val="clear" w:color="auto" w:fill="auto"/>
            <w:vAlign w:val="center"/>
          </w:tcPr>
          <w:p>
            <w:pPr>
              <w:spacing w:line="280" w:lineRule="exact"/>
              <w:ind w:firstLine="420"/>
              <w:jc w:val="center"/>
              <w:rPr>
                <w:rFonts w:eastAsia="仿宋_GB2312"/>
                <w:color w:val="000000" w:themeColor="text1"/>
                <w:szCs w:val="21"/>
                <w14:textFill>
                  <w14:solidFill>
                    <w14:schemeClr w14:val="tx1"/>
                  </w14:solidFill>
                </w14:textFill>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18</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人均预期寿命（岁）</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77.4</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78.5</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c>
          <w:tcPr>
            <w:tcW w:w="1054" w:type="dxa"/>
            <w:tcBorders>
              <w:top w:val="single" w:color="000000" w:sz="4" w:space="0"/>
              <w:left w:val="single" w:color="000000" w:sz="4" w:space="0"/>
              <w:bottom w:val="single" w:color="000000" w:sz="4" w:space="0"/>
              <w:right w:val="single" w:color="auto"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78.42</w:t>
            </w:r>
            <w:r>
              <w:rPr>
                <w:rFonts w:ascii="Times New Roman" w:hAnsi="Times New Roman" w:cs="Times New Roman"/>
                <w:color w:val="000000" w:themeColor="text1"/>
                <w:szCs w:val="21"/>
                <w14:textFill>
                  <w14:solidFill>
                    <w14:schemeClr w14:val="tx1"/>
                  </w14:solidFill>
                </w14:textFill>
              </w:rPr>
              <w:t>*</w:t>
            </w:r>
          </w:p>
        </w:tc>
        <w:tc>
          <w:tcPr>
            <w:tcW w:w="1049" w:type="dxa"/>
            <w:tcBorders>
              <w:top w:val="single" w:color="000000" w:sz="4" w:space="0"/>
              <w:left w:val="single" w:color="auto"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2" w:hRule="atLeast"/>
          <w:jc w:val="center"/>
        </w:trPr>
        <w:tc>
          <w:tcPr>
            <w:tcW w:w="620" w:type="dxa"/>
            <w:vMerge w:val="restart"/>
            <w:tcBorders>
              <w:top w:val="single" w:color="000000" w:sz="4" w:space="0"/>
              <w:left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绿色转型</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19</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单位地区生产总值能源消耗降幅（%）</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c>
          <w:tcPr>
            <w:tcW w:w="20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完成省下达任务</w:t>
            </w:r>
          </w:p>
        </w:tc>
        <w:tc>
          <w:tcPr>
            <w:tcW w:w="21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完成“十四五”任务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1" w:hRule="atLeast"/>
          <w:jc w:val="center"/>
        </w:trPr>
        <w:tc>
          <w:tcPr>
            <w:tcW w:w="620" w:type="dxa"/>
            <w:vMerge w:val="continue"/>
            <w:tcBorders>
              <w:left w:val="single" w:color="000000" w:sz="4" w:space="0"/>
              <w:right w:val="single" w:color="000000" w:sz="4" w:space="0"/>
            </w:tcBorders>
            <w:shd w:val="clear" w:color="auto" w:fill="auto"/>
            <w:vAlign w:val="center"/>
          </w:tcPr>
          <w:p>
            <w:pPr>
              <w:spacing w:line="280" w:lineRule="exact"/>
              <w:ind w:firstLine="420"/>
              <w:jc w:val="center"/>
              <w:rPr>
                <w:rFonts w:eastAsia="仿宋_GB2312"/>
                <w:color w:val="000000" w:themeColor="text1"/>
                <w:szCs w:val="21"/>
                <w14:textFill>
                  <w14:solidFill>
                    <w14:schemeClr w14:val="tx1"/>
                  </w14:solidFill>
                </w14:textFill>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20</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单位地区生产总值二氧化碳排放降幅（%）</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c>
          <w:tcPr>
            <w:tcW w:w="20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完成省下达任务</w:t>
            </w:r>
          </w:p>
        </w:tc>
        <w:tc>
          <w:tcPr>
            <w:tcW w:w="21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完成“十四五”任务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1" w:hRule="atLeast"/>
          <w:jc w:val="center"/>
        </w:trPr>
        <w:tc>
          <w:tcPr>
            <w:tcW w:w="620" w:type="dxa"/>
            <w:vMerge w:val="continue"/>
            <w:tcBorders>
              <w:left w:val="single" w:color="000000" w:sz="4" w:space="0"/>
              <w:right w:val="single" w:color="000000" w:sz="4" w:space="0"/>
            </w:tcBorders>
            <w:shd w:val="clear" w:color="auto" w:fill="auto"/>
            <w:vAlign w:val="center"/>
          </w:tcPr>
          <w:p>
            <w:pPr>
              <w:spacing w:line="280" w:lineRule="exact"/>
              <w:ind w:firstLine="420"/>
              <w:jc w:val="center"/>
              <w:rPr>
                <w:rFonts w:eastAsia="仿宋_GB2312"/>
                <w:color w:val="000000" w:themeColor="text1"/>
                <w:szCs w:val="21"/>
                <w14:textFill>
                  <w14:solidFill>
                    <w14:schemeClr w14:val="tx1"/>
                  </w14:solidFill>
                </w14:textFill>
              </w:rPr>
            </w:pPr>
          </w:p>
        </w:tc>
        <w:tc>
          <w:tcPr>
            <w:tcW w:w="599" w:type="dxa"/>
            <w:tcBorders>
              <w:top w:val="single" w:color="auto"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21</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县级及以上城市空气质量优良天数比例（%）</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≥95</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c>
          <w:tcPr>
            <w:tcW w:w="1054" w:type="dxa"/>
            <w:tcBorders>
              <w:top w:val="single" w:color="000000" w:sz="4" w:space="0"/>
              <w:left w:val="single" w:color="000000" w:sz="4" w:space="0"/>
              <w:bottom w:val="single" w:color="000000" w:sz="4" w:space="0"/>
              <w:right w:val="single" w:color="auto"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98</w:t>
            </w:r>
          </w:p>
        </w:tc>
        <w:tc>
          <w:tcPr>
            <w:tcW w:w="1049" w:type="dxa"/>
            <w:tcBorders>
              <w:top w:val="single" w:color="000000" w:sz="4" w:space="0"/>
              <w:left w:val="single" w:color="auto" w:sz="4" w:space="0"/>
              <w:bottom w:val="single" w:color="000000" w:sz="4" w:space="0"/>
              <w:right w:val="single" w:color="000000" w:sz="4" w:space="0"/>
            </w:tcBorders>
            <w:shd w:val="clear" w:color="auto" w:fill="auto"/>
            <w:vAlign w:val="center"/>
          </w:tcPr>
          <w:p>
            <w:pPr>
              <w:spacing w:line="280" w:lineRule="exact"/>
              <w:ind w:firstLine="420"/>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1" w:hRule="atLeast"/>
          <w:jc w:val="center"/>
        </w:trPr>
        <w:tc>
          <w:tcPr>
            <w:tcW w:w="620" w:type="dxa"/>
            <w:vMerge w:val="continue"/>
            <w:tcBorders>
              <w:left w:val="single" w:color="000000" w:sz="4" w:space="0"/>
              <w:right w:val="single" w:color="000000" w:sz="4" w:space="0"/>
            </w:tcBorders>
            <w:shd w:val="clear" w:color="auto" w:fill="auto"/>
            <w:vAlign w:val="center"/>
          </w:tcPr>
          <w:p>
            <w:pPr>
              <w:spacing w:line="280" w:lineRule="exact"/>
              <w:ind w:firstLine="420"/>
              <w:jc w:val="center"/>
              <w:rPr>
                <w:rFonts w:eastAsia="仿宋_GB2312"/>
                <w:color w:val="000000" w:themeColor="text1"/>
                <w:szCs w:val="21"/>
                <w14:textFill>
                  <w14:solidFill>
                    <w14:schemeClr w14:val="tx1"/>
                  </w14:solidFill>
                </w14:textFill>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22</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地表水达到或优于Ⅲ类水体比例（%）</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100</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100</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c>
          <w:tcPr>
            <w:tcW w:w="1054" w:type="dxa"/>
            <w:tcBorders>
              <w:top w:val="single" w:color="000000" w:sz="4" w:space="0"/>
              <w:left w:val="single" w:color="000000" w:sz="4" w:space="0"/>
              <w:bottom w:val="single" w:color="000000" w:sz="4" w:space="0"/>
              <w:right w:val="single" w:color="auto"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100</w:t>
            </w:r>
          </w:p>
        </w:tc>
        <w:tc>
          <w:tcPr>
            <w:tcW w:w="1049" w:type="dxa"/>
            <w:tcBorders>
              <w:top w:val="single" w:color="000000" w:sz="4" w:space="0"/>
              <w:left w:val="single" w:color="auto"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84" w:hRule="atLeast"/>
          <w:jc w:val="center"/>
        </w:trPr>
        <w:tc>
          <w:tcPr>
            <w:tcW w:w="620" w:type="dxa"/>
            <w:vMerge w:val="continue"/>
            <w:tcBorders>
              <w:left w:val="single" w:color="000000" w:sz="4" w:space="0"/>
              <w:bottom w:val="single" w:color="000000" w:sz="4" w:space="0"/>
              <w:right w:val="single" w:color="000000" w:sz="4" w:space="0"/>
            </w:tcBorders>
            <w:shd w:val="clear" w:color="auto" w:fill="auto"/>
            <w:vAlign w:val="center"/>
          </w:tcPr>
          <w:p>
            <w:pPr>
              <w:spacing w:line="280" w:lineRule="exact"/>
              <w:ind w:firstLine="420"/>
              <w:jc w:val="center"/>
              <w:rPr>
                <w:rFonts w:eastAsia="仿宋_GB2312"/>
                <w:color w:val="000000" w:themeColor="text1"/>
                <w:szCs w:val="21"/>
                <w14:textFill>
                  <w14:solidFill>
                    <w14:schemeClr w14:val="tx1"/>
                  </w14:solidFill>
                </w14:textFill>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23</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森林覆盖率（%）</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71</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≥71</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c>
          <w:tcPr>
            <w:tcW w:w="1054" w:type="dxa"/>
            <w:tcBorders>
              <w:top w:val="single" w:color="000000" w:sz="4" w:space="0"/>
              <w:left w:val="single" w:color="000000" w:sz="4" w:space="0"/>
              <w:bottom w:val="single" w:color="000000" w:sz="4" w:space="0"/>
              <w:right w:val="single" w:color="auto"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67.59*</w:t>
            </w:r>
          </w:p>
        </w:tc>
        <w:tc>
          <w:tcPr>
            <w:tcW w:w="1049" w:type="dxa"/>
            <w:tcBorders>
              <w:top w:val="single" w:color="000000" w:sz="4" w:space="0"/>
              <w:left w:val="single" w:color="auto"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3" w:hRule="atLeast"/>
          <w:jc w:val="center"/>
        </w:trPr>
        <w:tc>
          <w:tcPr>
            <w:tcW w:w="6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安全保障</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24</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粮食综合生产能力（万吨）</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194</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≥195</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c>
          <w:tcPr>
            <w:tcW w:w="1054" w:type="dxa"/>
            <w:tcBorders>
              <w:top w:val="single" w:color="000000" w:sz="4" w:space="0"/>
              <w:left w:val="single" w:color="000000" w:sz="4" w:space="0"/>
              <w:bottom w:val="single" w:color="000000" w:sz="4" w:space="0"/>
              <w:right w:val="single" w:color="auto"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199</w:t>
            </w:r>
          </w:p>
        </w:tc>
        <w:tc>
          <w:tcPr>
            <w:tcW w:w="1049" w:type="dxa"/>
            <w:tcBorders>
              <w:top w:val="single" w:color="000000" w:sz="4" w:space="0"/>
              <w:left w:val="single" w:color="auto"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2" w:hRule="atLeast"/>
          <w:jc w:val="center"/>
        </w:trPr>
        <w:tc>
          <w:tcPr>
            <w:tcW w:w="620" w:type="dxa"/>
            <w:vMerge w:val="continue"/>
            <w:tcBorders>
              <w:left w:val="single" w:color="000000" w:sz="4" w:space="0"/>
              <w:right w:val="single" w:color="000000" w:sz="4" w:space="0"/>
            </w:tcBorders>
            <w:shd w:val="clear" w:color="auto" w:fill="auto"/>
            <w:vAlign w:val="center"/>
          </w:tcPr>
          <w:p>
            <w:pPr>
              <w:spacing w:line="280" w:lineRule="exact"/>
              <w:ind w:firstLine="420"/>
              <w:jc w:val="center"/>
              <w:rPr>
                <w:rFonts w:eastAsia="仿宋_GB2312"/>
                <w:color w:val="000000" w:themeColor="text1"/>
                <w:szCs w:val="21"/>
                <w14:textFill>
                  <w14:solidFill>
                    <w14:schemeClr w14:val="tx1"/>
                  </w14:solidFill>
                </w14:textFill>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25</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pacing w:val="6"/>
                <w:szCs w:val="21"/>
                <w14:textFill>
                  <w14:solidFill>
                    <w14:schemeClr w14:val="tx1"/>
                  </w14:solidFill>
                </w14:textFill>
              </w:rPr>
              <w:t>能源综合生产能力（万吨标准煤）</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302.9</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345.2</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c>
          <w:tcPr>
            <w:tcW w:w="1054" w:type="dxa"/>
            <w:tcBorders>
              <w:top w:val="single" w:color="000000" w:sz="4" w:space="0"/>
              <w:left w:val="single" w:color="000000" w:sz="4" w:space="0"/>
              <w:bottom w:val="single" w:color="000000" w:sz="4" w:space="0"/>
              <w:right w:val="single" w:color="auto"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238</w:t>
            </w:r>
          </w:p>
        </w:tc>
        <w:tc>
          <w:tcPr>
            <w:tcW w:w="1049" w:type="dxa"/>
            <w:tcBorders>
              <w:top w:val="single" w:color="000000" w:sz="4" w:space="0"/>
              <w:left w:val="single" w:color="auto"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19" w:hRule="atLeast"/>
          <w:jc w:val="center"/>
        </w:trPr>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ind w:firstLine="420"/>
              <w:jc w:val="center"/>
              <w:rPr>
                <w:rFonts w:eastAsia="仿宋_GB2312"/>
                <w:color w:val="000000" w:themeColor="text1"/>
                <w:szCs w:val="21"/>
                <w14:textFill>
                  <w14:solidFill>
                    <w14:schemeClr w14:val="tx1"/>
                  </w14:solidFill>
                </w14:textFill>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26</w:t>
            </w:r>
          </w:p>
        </w:tc>
        <w:tc>
          <w:tcPr>
            <w:tcW w:w="283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亿元GDP生产安全事故死亡率（人/亿元）</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[-25%]</w:t>
            </w:r>
          </w:p>
        </w:tc>
        <w:tc>
          <w:tcPr>
            <w:tcW w:w="1054" w:type="dxa"/>
            <w:tcBorders>
              <w:top w:val="single" w:color="000000" w:sz="4" w:space="0"/>
              <w:left w:val="single" w:color="000000" w:sz="4" w:space="0"/>
              <w:bottom w:val="single" w:color="000000" w:sz="4" w:space="0"/>
              <w:right w:val="single" w:color="auto"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w:t>
            </w:r>
          </w:p>
        </w:tc>
        <w:tc>
          <w:tcPr>
            <w:tcW w:w="1049" w:type="dxa"/>
            <w:tcBorders>
              <w:top w:val="single" w:color="000000" w:sz="4" w:space="0"/>
              <w:left w:val="single" w:color="auto" w:sz="4" w:space="0"/>
              <w:bottom w:val="single" w:color="000000" w:sz="4" w:space="0"/>
              <w:right w:val="single" w:color="000000" w:sz="4" w:space="0"/>
            </w:tcBorders>
            <w:shd w:val="clear" w:color="auto" w:fill="auto"/>
            <w:vAlign w:val="center"/>
          </w:tcPr>
          <w:p>
            <w:pPr>
              <w:spacing w:line="280" w:lineRule="exact"/>
              <w:jc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[-22.6%]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78" w:hRule="atLeast"/>
          <w:jc w:val="center"/>
        </w:trPr>
        <w:tc>
          <w:tcPr>
            <w:tcW w:w="91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1.加*表示为2024年数据。</w:t>
            </w:r>
          </w:p>
          <w:p>
            <w:pPr>
              <w:spacing w:line="260" w:lineRule="exact"/>
              <w:jc w:val="left"/>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2.根据国家统计局统一部署，不再公布省市层面的最终消费支出对地区生产总值贡献率。</w:t>
            </w:r>
          </w:p>
          <w:p>
            <w:pPr>
              <w:spacing w:line="260" w:lineRule="exact"/>
              <w:jc w:val="left"/>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3.森林覆盖率</w:t>
            </w:r>
            <w:r>
              <w:rPr>
                <w:rFonts w:ascii="Times New Roman" w:hAnsi="Times New Roman" w:eastAsia="仿宋_GB2312" w:cs="Times New Roman"/>
                <w:bCs w:val="0"/>
                <w:color w:val="000000" w:themeColor="text1"/>
                <w:szCs w:val="21"/>
                <w:lang w:val="en"/>
                <w14:textFill>
                  <w14:solidFill>
                    <w14:schemeClr w14:val="tx1"/>
                  </w14:solidFill>
                </w14:textFill>
              </w:rPr>
              <w:t>，</w:t>
            </w:r>
            <w:r>
              <w:rPr>
                <w:rFonts w:ascii="Times New Roman" w:hAnsi="Times New Roman" w:eastAsia="仿宋_GB2312" w:cs="Times New Roman"/>
                <w:bCs w:val="0"/>
                <w:color w:val="000000" w:themeColor="text1"/>
                <w:szCs w:val="21"/>
                <w14:textFill>
                  <w14:solidFill>
                    <w14:schemeClr w14:val="tx1"/>
                  </w14:solidFill>
                </w14:textFill>
              </w:rPr>
              <w:t>根据自然资源部、国家林草局的相关文件，该项指标的统计口径发生调整，2025年规划目标值为原口径。</w:t>
            </w:r>
          </w:p>
          <w:p>
            <w:pPr>
              <w:spacing w:line="260" w:lineRule="exact"/>
              <w:jc w:val="left"/>
              <w:textAlignment w:val="center"/>
              <w:rPr>
                <w:rFonts w:eastAsia="仿宋_GB2312"/>
                <w:color w:val="000000" w:themeColor="text1"/>
                <w:szCs w:val="21"/>
                <w14:textFill>
                  <w14:solidFill>
                    <w14:schemeClr w14:val="tx1"/>
                  </w14:solidFill>
                </w14:textFill>
              </w:rPr>
            </w:pPr>
            <w:r>
              <w:rPr>
                <w:rFonts w:ascii="Times New Roman" w:hAnsi="Times New Roman" w:eastAsia="仿宋_GB2312" w:cs="Times New Roman"/>
                <w:bCs w:val="0"/>
                <w:color w:val="000000" w:themeColor="text1"/>
                <w:szCs w:val="21"/>
                <w14:textFill>
                  <w14:solidFill>
                    <w14:schemeClr w14:val="tx1"/>
                  </w14:solidFill>
                </w14:textFill>
              </w:rPr>
              <w:t>4.［］表示累计数。</w:t>
            </w:r>
          </w:p>
        </w:tc>
      </w:tr>
    </w:tbl>
    <w:p>
      <w:pPr>
        <w:pStyle w:val="6"/>
        <w:spacing w:line="580" w:lineRule="exact"/>
        <w:rPr>
          <w:rFonts w:ascii="Times New Roman" w:hAnsi="Times New Roman" w:eastAsia="黑体" w:cs="Times New Roman"/>
          <w:color w:val="000000" w:themeColor="text1"/>
          <w:sz w:val="32"/>
          <w14:textFill>
            <w14:solidFill>
              <w14:schemeClr w14:val="tx1"/>
            </w14:solidFill>
          </w14:textFill>
        </w:rPr>
      </w:pPr>
      <w:bookmarkStart w:id="4" w:name="_Toc32323"/>
    </w:p>
    <w:p>
      <w:pPr>
        <w:pStyle w:val="6"/>
        <w:spacing w:line="580" w:lineRule="exact"/>
        <w:rPr>
          <w:rFonts w:ascii="Times New Roman" w:hAnsi="Times New Roman" w:eastAsia="黑体" w:cs="Times New Roman"/>
          <w:color w:val="000000" w:themeColor="text1"/>
          <w:sz w:val="32"/>
          <w14:textFill>
            <w14:solidFill>
              <w14:schemeClr w14:val="tx1"/>
            </w14:solidFill>
          </w14:textFill>
        </w:rPr>
      </w:pPr>
      <w:r>
        <w:rPr>
          <w:rFonts w:ascii="Times New Roman" w:hAnsi="Times New Roman" w:eastAsia="黑体" w:cs="Times New Roman"/>
          <w:color w:val="000000" w:themeColor="text1"/>
          <w:sz w:val="32"/>
          <w14:textFill>
            <w14:solidFill>
              <w14:schemeClr w14:val="tx1"/>
            </w14:solidFill>
          </w14:textFill>
        </w:rPr>
        <w:t>第二章 把握机遇应对新变局</w:t>
      </w:r>
      <w:bookmarkEnd w:id="4"/>
    </w:p>
    <w:p>
      <w:pPr>
        <w:adjustRightInd w:val="0"/>
        <w:snapToGrid w:val="0"/>
        <w:spacing w:line="580" w:lineRule="exact"/>
        <w:jc w:val="center"/>
        <w:rPr>
          <w:rFonts w:eastAsia="仿宋_GB2312"/>
          <w:b/>
          <w:bCs w:val="0"/>
          <w:color w:val="000000" w:themeColor="text1"/>
          <w:sz w:val="32"/>
          <w:szCs w:val="32"/>
          <w14:textFill>
            <w14:solidFill>
              <w14:schemeClr w14:val="tx1"/>
            </w14:solidFill>
          </w14:textFill>
        </w:rPr>
      </w:pPr>
    </w:p>
    <w:p>
      <w:pPr>
        <w:adjustRightInd w:val="0"/>
        <w:snapToGrid w:val="0"/>
        <w:spacing w:line="580" w:lineRule="exact"/>
        <w:ind w:firstLine="643"/>
        <w:rPr>
          <w:rFonts w:eastAsia="仿宋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从国际看，</w:t>
      </w:r>
      <w:r>
        <w:rPr>
          <w:rFonts w:ascii="Times New Roman" w:hAnsi="Times New Roman" w:eastAsia="仿宋_GB2312" w:cs="Times New Roman"/>
          <w:color w:val="000000" w:themeColor="text1"/>
          <w:sz w:val="32"/>
          <w:szCs w:val="32"/>
          <w14:textFill>
            <w14:solidFill>
              <w14:schemeClr w14:val="tx1"/>
            </w14:solidFill>
          </w14:textFill>
        </w:rPr>
        <w:t>世界百年变局加速演进。一方面，地缘冲突易发多发，单边主义、保护主义抬头，霸权主义和强权政治威胁上升，国际经济贸易秩序遇到严峻挑战，对外贸易面临诸多不确定性。另一方面，以人工智能、5G、量子计算、生物技术等为代表的新一轮科技革命和产业变革加速突破，必然催生新技术、新业态、新模式，带来新的发展机遇和挑战。</w:t>
      </w:r>
    </w:p>
    <w:p>
      <w:pPr>
        <w:adjustRightInd w:val="0"/>
        <w:snapToGrid w:val="0"/>
        <w:spacing w:line="580" w:lineRule="exact"/>
        <w:ind w:firstLine="643"/>
        <w:rPr>
          <w:rFonts w:eastAsia="仿宋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从国内看，</w:t>
      </w:r>
      <w:r>
        <w:rPr>
          <w:rFonts w:ascii="Times New Roman" w:hAnsi="Times New Roman" w:eastAsia="仿宋_GB2312" w:cs="Times New Roman"/>
          <w:color w:val="000000" w:themeColor="text1"/>
          <w:sz w:val="32"/>
          <w:szCs w:val="32"/>
          <w14:textFill>
            <w14:solidFill>
              <w14:schemeClr w14:val="tx1"/>
            </w14:solidFill>
          </w14:textFill>
        </w:rPr>
        <w:t>我国经济基础稳、优势多、韧性强、潜能大，长期向好的支撑条件和基本趋势没有变，中国特色社会主义制度优</w:t>
      </w:r>
      <w:r>
        <w:rPr>
          <w:rFonts w:ascii="Times New Roman" w:hAnsi="Times New Roman" w:eastAsia="仿宋_GB2312" w:cs="Times New Roman"/>
          <w:color w:val="000000" w:themeColor="text1"/>
          <w:spacing w:val="-6"/>
          <w:sz w:val="32"/>
          <w:szCs w:val="32"/>
          <w14:textFill>
            <w14:solidFill>
              <w14:schemeClr w14:val="tx1"/>
            </w14:solidFill>
          </w14:textFill>
        </w:rPr>
        <w:t>势、超大规模市场优势、完整产业体系优势、丰富人才资源优势更加彰显，国家重大战略纵深推进和宏观政策实施创造更多有利因素。</w:t>
      </w:r>
    </w:p>
    <w:p>
      <w:pPr>
        <w:adjustRightInd w:val="0"/>
        <w:snapToGrid w:val="0"/>
        <w:spacing w:line="580" w:lineRule="exact"/>
        <w:ind w:firstLine="643"/>
        <w:rPr>
          <w:rFonts w:eastAsia="仿宋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从省内及周边区域看，</w:t>
      </w:r>
      <w:r>
        <w:rPr>
          <w:rFonts w:ascii="Times New Roman" w:hAnsi="Times New Roman" w:eastAsia="仿宋_GB2312" w:cs="Times New Roman"/>
          <w:color w:val="000000" w:themeColor="text1"/>
          <w:sz w:val="32"/>
          <w:szCs w:val="32"/>
          <w14:textFill>
            <w14:solidFill>
              <w14:schemeClr w14:val="tx1"/>
            </w14:solidFill>
          </w14:textFill>
        </w:rPr>
        <w:t>长三角、粤港澳、成渝、长株潭等区域的引擎带动作用不断增强，在集聚资源的同时，也通过辐射效应促进周边区域协同发展。国家积极推动跨区域行政合作与体制机制创新，深化规划统筹、产业协作与利益共享。在此背景下，怀化与省内毗邻市州及贵州铜仁、黔东南等地区的竞争合作关系将日益紧密，成为未来五年区域经济发展的主旋律。</w:t>
      </w:r>
    </w:p>
    <w:p>
      <w:pPr>
        <w:adjustRightInd w:val="0"/>
        <w:snapToGrid w:val="0"/>
        <w:spacing w:line="580" w:lineRule="exact"/>
        <w:ind w:firstLine="643"/>
        <w:rPr>
          <w:rFonts w:eastAsia="仿宋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从自身看，</w:t>
      </w:r>
      <w:r>
        <w:rPr>
          <w:rFonts w:ascii="Times New Roman" w:hAnsi="Times New Roman" w:eastAsia="仿宋_GB2312" w:cs="Times New Roman"/>
          <w:color w:val="000000" w:themeColor="text1"/>
          <w:sz w:val="32"/>
          <w:szCs w:val="32"/>
          <w14:textFill>
            <w14:solidFill>
              <w14:schemeClr w14:val="tx1"/>
            </w14:solidFill>
          </w14:textFill>
        </w:rPr>
        <w:t>怀化拥有“一点一部”区位优势，面临中部地区崛起、西部大开发、西部陆海新通道等国家战略机遇。怀化国际陆港进入快速发展阶段，基本形成“依托双通道、对接两大洋、服务双循环”开放格局，国际和区域合作地位进一步提高。作为湘南湘西承接产业转移示范区的重要组成部分，有望在国家建设战略腹地和关键产业备份过程中，积极承接沿海地区产业转移。随着“5+10”现代化产业体系、鹤中一体化、文旅融合、生态产品价值实现等厚植发展新优势，建设湘鄂渝黔桂五省边际区域性中心城市其时已至、其势已成。但同时也要看到，发展不平衡不充分问题仍然突出，产业基础较为薄弱，产业转型升级任务艰巨，基础设施和民生保障仍有短板，安全风险隐患复杂交织，发展质效还有待进一步提升。</w:t>
      </w:r>
    </w:p>
    <w:p>
      <w:pPr>
        <w:adjustRightInd w:val="0"/>
        <w:snapToGrid w:val="0"/>
        <w:spacing w:line="580" w:lineRule="exact"/>
        <w:ind w:firstLine="643"/>
        <w:rPr>
          <w:rFonts w:eastAsia="仿宋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综合判断，</w:t>
      </w:r>
      <w:r>
        <w:rPr>
          <w:rFonts w:ascii="Times New Roman" w:hAnsi="Times New Roman" w:eastAsia="仿宋_GB2312" w:cs="Times New Roman"/>
          <w:color w:val="000000" w:themeColor="text1"/>
          <w:sz w:val="32"/>
          <w:szCs w:val="32"/>
          <w14:textFill>
            <w14:solidFill>
              <w14:schemeClr w14:val="tx1"/>
            </w14:solidFill>
          </w14:textFill>
        </w:rPr>
        <w:t>“十五五”时期是战略机遇叠加、发展动能集聚的关键五年，也是风险挑战交织、转型升级攻坚的五年，机遇与挑</w:t>
      </w:r>
      <w:r>
        <w:rPr>
          <w:rFonts w:ascii="Times New Roman" w:hAnsi="Times New Roman" w:eastAsia="仿宋_GB2312" w:cs="Times New Roman"/>
          <w:color w:val="000000" w:themeColor="text1"/>
          <w:spacing w:val="-6"/>
          <w:sz w:val="32"/>
          <w:szCs w:val="32"/>
          <w14:textFill>
            <w14:solidFill>
              <w14:schemeClr w14:val="tx1"/>
            </w14:solidFill>
          </w14:textFill>
        </w:rPr>
        <w:t>战并存，但机遇大于挑战。必须增强机遇意识和风险意识，牢牢把握高质量发展这个首要任务，准确识变、科学应变、主动求变，在服务国省大局中彰显怀化担当，奋力谱写中国式现代化怀化新篇章。</w:t>
      </w:r>
    </w:p>
    <w:p>
      <w:pPr>
        <w:adjustRightInd w:val="0"/>
        <w:snapToGrid w:val="0"/>
        <w:spacing w:line="580" w:lineRule="exact"/>
        <w:ind w:firstLine="640"/>
        <w:rPr>
          <w:rFonts w:eastAsia="仿宋_GB2312"/>
          <w:color w:val="000000" w:themeColor="text1"/>
          <w:sz w:val="32"/>
          <w:szCs w:val="32"/>
          <w14:textFill>
            <w14:solidFill>
              <w14:schemeClr w14:val="tx1"/>
            </w14:solidFill>
          </w14:textFill>
        </w:rPr>
      </w:pPr>
    </w:p>
    <w:p>
      <w:pPr>
        <w:pStyle w:val="6"/>
        <w:spacing w:line="580" w:lineRule="exact"/>
        <w:rPr>
          <w:rFonts w:ascii="Times New Roman" w:hAnsi="Times New Roman" w:eastAsia="黑体" w:cs="Times New Roman"/>
          <w:color w:val="000000" w:themeColor="text1"/>
          <w:sz w:val="32"/>
          <w14:textFill>
            <w14:solidFill>
              <w14:schemeClr w14:val="tx1"/>
            </w14:solidFill>
          </w14:textFill>
        </w:rPr>
      </w:pPr>
      <w:bookmarkStart w:id="5" w:name="_Toc17652"/>
      <w:r>
        <w:rPr>
          <w:rFonts w:ascii="Times New Roman" w:hAnsi="Times New Roman" w:eastAsia="黑体" w:cs="Times New Roman"/>
          <w:color w:val="000000" w:themeColor="text1"/>
          <w:sz w:val="32"/>
          <w14:textFill>
            <w14:solidFill>
              <w14:schemeClr w14:val="tx1"/>
            </w14:solidFill>
          </w14:textFill>
        </w:rPr>
        <w:t>第三章 谋篇布局谱写新蓝图</w:t>
      </w:r>
      <w:bookmarkEnd w:id="5"/>
    </w:p>
    <w:p>
      <w:pPr>
        <w:pStyle w:val="7"/>
        <w:spacing w:line="580" w:lineRule="exact"/>
        <w:rPr>
          <w:rFonts w:eastAsia="仿宋_GB2312"/>
          <w:color w:val="000000" w:themeColor="text1"/>
          <w:sz w:val="32"/>
          <w14:textFill>
            <w14:solidFill>
              <w14:schemeClr w14:val="tx1"/>
            </w14:solidFill>
          </w14:textFill>
        </w:rPr>
      </w:pPr>
    </w:p>
    <w:p>
      <w:pPr>
        <w:pStyle w:val="7"/>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第一节 指导思想</w:t>
      </w:r>
    </w:p>
    <w:p>
      <w:pPr>
        <w:adjustRightInd w:val="0"/>
        <w:snapToGrid w:val="0"/>
        <w:spacing w:line="580" w:lineRule="exact"/>
        <w:ind w:firstLine="640"/>
        <w:rPr>
          <w:rFonts w:eastAsia="仿宋_GB2312"/>
          <w:color w:val="000000" w:themeColor="text1"/>
          <w:sz w:val="32"/>
          <w:szCs w:val="32"/>
          <w14:textFill>
            <w14:solidFill>
              <w14:schemeClr w14:val="tx1"/>
            </w14:solidFill>
          </w14:textFill>
        </w:rPr>
      </w:pPr>
    </w:p>
    <w:p>
      <w:pPr>
        <w:adjustRightInd w:val="0"/>
        <w:snapToGrid w:val="0"/>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坚持马克思列宁主义、毛泽东思想、邓小平理论、“三个代表”重要思想、科学发展观，全面贯彻习近平新时代中国特色社会主义思想，深入贯彻党的二十大和二十届历次全会精神，全面落实习近平总书记关于湖南工作的重要讲话和指示批示精神，锚定“三高四新”美好蓝图，统筹推进“五位一体”总体布局，协调推进“四个全面”战略布局，完整准确全面贯彻新发展理念，主动服务和融入新发展格局，坚持稳中求进工作总基调，坚持以经济建设为中心，以推动高质量发展为主题，以改革创新为根本动力，以满足人民日益增长的美好生活需要为根本目的，以全面从严治党为根本保障，推动经济实现质的有效提升和量的合理增长，推动人的全面发展、全体人民共同富裕迈出坚实步伐，确保我市基本实现社会主义现代化取得决定性进展。</w:t>
      </w:r>
    </w:p>
    <w:p>
      <w:pPr>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br w:type="page"/>
      </w:r>
    </w:p>
    <w:p>
      <w:pPr>
        <w:pStyle w:val="7"/>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第二节 基本原则</w:t>
      </w:r>
    </w:p>
    <w:p>
      <w:pPr>
        <w:spacing w:line="580" w:lineRule="exact"/>
        <w:ind w:firstLine="640"/>
        <w:rPr>
          <w:rFonts w:eastAsia="仿宋_GB2312"/>
          <w:color w:val="000000" w:themeColor="text1"/>
          <w:sz w:val="32"/>
          <w:szCs w:val="32"/>
          <w14:textFill>
            <w14:solidFill>
              <w14:schemeClr w14:val="tx1"/>
            </w14:solidFill>
          </w14:textFill>
        </w:rPr>
      </w:pPr>
    </w:p>
    <w:p>
      <w:pPr>
        <w:topLinePunct/>
        <w:spacing w:line="580" w:lineRule="exact"/>
        <w:ind w:firstLine="643"/>
        <w:rPr>
          <w:rFonts w:eastAsia="仿宋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——坚持党的全面领导。</w:t>
      </w:r>
      <w:r>
        <w:rPr>
          <w:rFonts w:ascii="Times New Roman" w:hAnsi="Times New Roman" w:eastAsia="仿宋_GB2312" w:cs="Times New Roman"/>
          <w:color w:val="000000" w:themeColor="text1"/>
          <w:sz w:val="32"/>
          <w:szCs w:val="32"/>
          <w14:textFill>
            <w14:solidFill>
              <w14:schemeClr w14:val="tx1"/>
            </w14:solidFill>
          </w14:textFill>
        </w:rPr>
        <w:t>坚决维护党中央权威和集中统一领导，提高党把方向、谋大局、定政策、促改革能力，把党的领导贯穿经济社会发展各方面全过程，为我市社会主义现代化建设提供根本保证。</w:t>
      </w:r>
    </w:p>
    <w:p>
      <w:pPr>
        <w:topLinePunct/>
        <w:spacing w:line="580" w:lineRule="exact"/>
        <w:ind w:firstLine="643"/>
        <w:rPr>
          <w:rFonts w:eastAsia="仿宋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——坚持人民至上。</w:t>
      </w:r>
      <w:r>
        <w:rPr>
          <w:rFonts w:ascii="Times New Roman" w:hAnsi="Times New Roman" w:eastAsia="仿宋_GB2312" w:cs="Times New Roman"/>
          <w:color w:val="000000" w:themeColor="text1"/>
          <w:sz w:val="32"/>
          <w:szCs w:val="32"/>
          <w14:textFill>
            <w14:solidFill>
              <w14:schemeClr w14:val="tx1"/>
            </w14:solidFill>
          </w14:textFill>
        </w:rPr>
        <w:t>尊重人民主体地位，紧紧依靠人民，坚持共同富裕，促进社会公平正义，增进民生福祉，维护人民根本利益，用心用情办好民生实事，不断提高人民生活水平，让现代化建设成果更多更公平惠及全体人民。</w:t>
      </w:r>
    </w:p>
    <w:p>
      <w:pPr>
        <w:topLinePunct/>
        <w:spacing w:line="580" w:lineRule="exact"/>
        <w:ind w:firstLine="643"/>
        <w:rPr>
          <w:rFonts w:eastAsia="仿宋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——坚持高质量发展。</w:t>
      </w:r>
      <w:r>
        <w:rPr>
          <w:rFonts w:ascii="Times New Roman" w:hAnsi="Times New Roman" w:eastAsia="仿宋_GB2312" w:cs="Times New Roman"/>
          <w:color w:val="000000" w:themeColor="text1"/>
          <w:sz w:val="32"/>
          <w:szCs w:val="32"/>
          <w14:textFill>
            <w14:solidFill>
              <w14:schemeClr w14:val="tx1"/>
            </w14:solidFill>
          </w14:textFill>
        </w:rPr>
        <w:t>以新发展理念引领发展，因地制宜发展新质生产力，统筹扩大内需和深化供给侧结构性改革，加快培育新动能，促进经济结构优化升级，做优增量、盘活存量，推动经济持续健康发展和社会全面进步。</w:t>
      </w:r>
    </w:p>
    <w:p>
      <w:pPr>
        <w:topLinePunct/>
        <w:spacing w:line="580" w:lineRule="exact"/>
        <w:ind w:firstLine="643"/>
        <w:rPr>
          <w:rFonts w:eastAsia="仿宋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——坚持全面深化改革。</w:t>
      </w:r>
      <w:r>
        <w:rPr>
          <w:rFonts w:ascii="Times New Roman" w:hAnsi="Times New Roman" w:eastAsia="仿宋_GB2312" w:cs="Times New Roman"/>
          <w:color w:val="000000" w:themeColor="text1"/>
          <w:sz w:val="32"/>
          <w:szCs w:val="32"/>
          <w14:textFill>
            <w14:solidFill>
              <w14:schemeClr w14:val="tx1"/>
            </w14:solidFill>
          </w14:textFill>
        </w:rPr>
        <w:t>聚焦制约高质量发展的深层次体制机制障碍，推动进一步全面深化改革走深走实。深入推进高水平对外开放，持续增强发展动力和社会活力。</w:t>
      </w:r>
    </w:p>
    <w:p>
      <w:pPr>
        <w:topLinePunct/>
        <w:spacing w:line="580" w:lineRule="exact"/>
        <w:ind w:firstLine="643"/>
        <w:rPr>
          <w:rFonts w:eastAsia="仿宋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——坚持有效市场和有为政府相结合。</w:t>
      </w:r>
      <w:r>
        <w:rPr>
          <w:rFonts w:ascii="Times New Roman" w:hAnsi="Times New Roman" w:eastAsia="仿宋_GB2312" w:cs="Times New Roman"/>
          <w:color w:val="000000" w:themeColor="text1"/>
          <w:sz w:val="32"/>
          <w:szCs w:val="32"/>
          <w14:textFill>
            <w14:solidFill>
              <w14:schemeClr w14:val="tx1"/>
            </w14:solidFill>
          </w14:textFill>
        </w:rPr>
        <w:t>充分发挥市场在资源配置中的决定性作用，更好发挥政府作用，构建统一、开放、竞争、有序的市场体系，持续优化营商环境，培育形成“放得活”又“管得好”的经济秩序。</w:t>
      </w:r>
    </w:p>
    <w:p>
      <w:pPr>
        <w:topLinePunct/>
        <w:spacing w:line="580" w:lineRule="exact"/>
        <w:ind w:firstLine="643"/>
        <w:rPr>
          <w:rFonts w:eastAsia="仿宋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——坚持统筹发展和安全。</w:t>
      </w:r>
      <w:r>
        <w:rPr>
          <w:rFonts w:ascii="Times New Roman" w:hAnsi="Times New Roman" w:eastAsia="仿宋_GB2312" w:cs="Times New Roman"/>
          <w:color w:val="000000" w:themeColor="text1"/>
          <w:sz w:val="32"/>
          <w:szCs w:val="32"/>
          <w14:textFill>
            <w14:solidFill>
              <w14:schemeClr w14:val="tx1"/>
            </w14:solidFill>
          </w14:textFill>
        </w:rPr>
        <w:t>在发展中固安全，在安全中谋发展，强化底线思维，健全社会治理体系，有效防范化解各类风险，增强经济和社会韧性，以新安全格局保障新发展格局。</w:t>
      </w:r>
    </w:p>
    <w:p>
      <w:pPr>
        <w:pStyle w:val="7"/>
        <w:spacing w:line="580" w:lineRule="exact"/>
        <w:rPr>
          <w:rFonts w:eastAsia="仿宋_GB2312"/>
          <w:color w:val="000000" w:themeColor="text1"/>
          <w:sz w:val="32"/>
          <w14:textFill>
            <w14:solidFill>
              <w14:schemeClr w14:val="tx1"/>
            </w14:solidFill>
          </w14:textFill>
        </w:rPr>
      </w:pPr>
    </w:p>
    <w:p>
      <w:pPr>
        <w:pStyle w:val="7"/>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第三节 总体思路</w:t>
      </w:r>
    </w:p>
    <w:p>
      <w:pPr>
        <w:spacing w:line="580" w:lineRule="exact"/>
        <w:ind w:firstLine="640"/>
        <w:rPr>
          <w:rFonts w:eastAsia="仿宋_GB2312"/>
          <w:color w:val="000000" w:themeColor="text1"/>
          <w:sz w:val="32"/>
          <w:szCs w:val="32"/>
          <w14:textFill>
            <w14:solidFill>
              <w14:schemeClr w14:val="tx1"/>
            </w14:solidFill>
          </w14:textFill>
        </w:rPr>
      </w:pPr>
    </w:p>
    <w:p>
      <w:pPr>
        <w:snapToGrid w:val="0"/>
        <w:spacing w:line="580" w:lineRule="exact"/>
        <w:ind w:firstLine="640"/>
        <w:rPr>
          <w:rFonts w:eastAsia="仿宋_GB2312"/>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紧紧围绕奋力建设五省边际区域性中心城市“总目标”，立足怀化作为西部陆海新通道和沪昆通道交汇点、中部地区崛起和西部大开发战略结合部的“两大区位优势”，充分激发深化改革、扩大开放、科技创新“三大动能”，扎实做好港、产、城、旅“四篇文章”，坚决守住粮食安全、安全生产、生态环境保护、地方政府债务风险、不发生规模性返贫“五大底线”，持续用力实施“五新四城”战略。</w:t>
      </w:r>
    </w:p>
    <w:p>
      <w:pPr>
        <w:pStyle w:val="2"/>
        <w:rPr>
          <w:color w:val="000000" w:themeColor="text1"/>
          <w14:textFill>
            <w14:solidFill>
              <w14:schemeClr w14:val="tx1"/>
            </w14:solidFill>
          </w14:textFill>
        </w:rPr>
      </w:pPr>
    </w:p>
    <w:p>
      <w:pPr>
        <w:pStyle w:val="7"/>
        <w:spacing w:line="56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第四节 发展目标</w:t>
      </w:r>
    </w:p>
    <w:p>
      <w:pPr>
        <w:spacing w:line="560" w:lineRule="exact"/>
        <w:ind w:firstLine="640"/>
        <w:rPr>
          <w:rFonts w:eastAsia="仿宋_GB2312"/>
          <w:color w:val="000000" w:themeColor="text1"/>
          <w:sz w:val="32"/>
          <w:szCs w:val="32"/>
          <w14:textFill>
            <w14:solidFill>
              <w14:schemeClr w14:val="tx1"/>
            </w14:solidFill>
          </w14:textFill>
        </w:rPr>
      </w:pPr>
    </w:p>
    <w:p>
      <w:pPr>
        <w:adjustRightInd w:val="0"/>
        <w:snapToGrid w:val="0"/>
        <w:spacing w:line="560" w:lineRule="exact"/>
        <w:ind w:firstLine="643"/>
        <w:rPr>
          <w:rFonts w:eastAsia="仿宋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——奋力建设湘鄂渝黔桂五省边际区域性中心城市。</w:t>
      </w:r>
      <w:r>
        <w:rPr>
          <w:rFonts w:ascii="Times New Roman" w:hAnsi="Times New Roman" w:eastAsia="仿宋_GB2312" w:cs="Times New Roman"/>
          <w:color w:val="000000" w:themeColor="text1"/>
          <w:sz w:val="32"/>
          <w:szCs w:val="32"/>
          <w14:textFill>
            <w14:solidFill>
              <w14:schemeClr w14:val="tx1"/>
            </w14:solidFill>
          </w14:textFill>
        </w:rPr>
        <w:t>经济总量力争迈上3000亿元新台阶，高质量发展取得显著成效，经济发展质效稳步提升、潜力充分发挥、结构持续优化，发展协调性显著增强。新型工业化、信息化、城镇化、农业现代化取得重大进展，加快建成区域性商贸物流中心、教育和医疗中心、消费和旅游集散中心，产业引领力、对外辐射力、人口承载力明显提升。</w:t>
      </w:r>
    </w:p>
    <w:p>
      <w:pPr>
        <w:adjustRightInd w:val="0"/>
        <w:snapToGrid w:val="0"/>
        <w:spacing w:line="560" w:lineRule="exact"/>
        <w:ind w:firstLine="643"/>
        <w:rPr>
          <w:rFonts w:eastAsia="仿宋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——加快建成开放活力之城。</w:t>
      </w:r>
      <w:r>
        <w:rPr>
          <w:rFonts w:ascii="Times New Roman" w:hAnsi="Times New Roman" w:eastAsia="仿宋_GB2312" w:cs="Times New Roman"/>
          <w:color w:val="000000" w:themeColor="text1"/>
          <w:sz w:val="32"/>
          <w:szCs w:val="32"/>
          <w14:textFill>
            <w14:solidFill>
              <w14:schemeClr w14:val="tx1"/>
            </w14:solidFill>
          </w14:textFill>
        </w:rPr>
        <w:t>进一步全面深化改革取得新突破，怀化国际陆港建成一流国际陆港，怀化东盟货运集结中心成型成势，内陆开放型经济体制更加完善，全方位、多层次、宽领域的对外开放新格局基本形成。</w:t>
      </w:r>
    </w:p>
    <w:p>
      <w:pPr>
        <w:adjustRightInd w:val="0"/>
        <w:snapToGrid w:val="0"/>
        <w:spacing w:line="560" w:lineRule="exact"/>
        <w:ind w:firstLine="643"/>
        <w:rPr>
          <w:rFonts w:eastAsia="仿宋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——加快建成创新创业之城。</w:t>
      </w:r>
      <w:r>
        <w:rPr>
          <w:rFonts w:ascii="Times New Roman" w:hAnsi="Times New Roman" w:eastAsia="仿宋_GB2312" w:cs="Times New Roman"/>
          <w:color w:val="000000" w:themeColor="text1"/>
          <w:sz w:val="32"/>
          <w:szCs w:val="32"/>
          <w14:textFill>
            <w14:solidFill>
              <w14:schemeClr w14:val="tx1"/>
            </w14:solidFill>
          </w14:textFill>
        </w:rPr>
        <w:t>现代化产业体系基本建成，一批具有区域竞争力的产业集群发展壮大，百亿企业、千亿产业、千亿园区实现突破。科技创新综合实力和创新体系效能大幅提升，创新创业环境全面优化。</w:t>
      </w:r>
    </w:p>
    <w:p>
      <w:pPr>
        <w:adjustRightInd w:val="0"/>
        <w:snapToGrid w:val="0"/>
        <w:spacing w:line="560" w:lineRule="exact"/>
        <w:ind w:firstLine="643"/>
        <w:rPr>
          <w:rFonts w:eastAsia="仿宋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——加快建成生态文旅之城。</w:t>
      </w:r>
      <w:r>
        <w:rPr>
          <w:rFonts w:ascii="Times New Roman" w:hAnsi="Times New Roman" w:eastAsia="仿宋_GB2312" w:cs="Times New Roman"/>
          <w:color w:val="000000" w:themeColor="text1"/>
          <w:sz w:val="32"/>
          <w:szCs w:val="32"/>
          <w14:textFill>
            <w14:solidFill>
              <w14:schemeClr w14:val="tx1"/>
            </w14:solidFill>
          </w14:textFill>
        </w:rPr>
        <w:t>生态产品价值实现先行区建设取得显著成效，绿色生产生活方式基本形成，主要污染物排放总量继续下降，生态环境更加美丽。文化创新创造活力更加强劲，文化和科技、文化和旅游融合度持续提升，旅游总花费突破千亿，建成全国一流旅游度假目的地。</w:t>
      </w:r>
    </w:p>
    <w:p>
      <w:pPr>
        <w:adjustRightInd w:val="0"/>
        <w:snapToGrid w:val="0"/>
        <w:spacing w:line="560" w:lineRule="exact"/>
        <w:ind w:firstLine="643"/>
        <w:rPr>
          <w:rFonts w:eastAsia="仿宋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——加快建成宜居智慧之城。</w:t>
      </w:r>
      <w:r>
        <w:rPr>
          <w:rFonts w:ascii="Times New Roman" w:hAnsi="Times New Roman" w:eastAsia="仿宋_GB2312" w:cs="Times New Roman"/>
          <w:color w:val="000000" w:themeColor="text1"/>
          <w:sz w:val="32"/>
          <w:szCs w:val="32"/>
          <w14:textFill>
            <w14:solidFill>
              <w14:schemeClr w14:val="tx1"/>
            </w14:solidFill>
          </w14:textFill>
        </w:rPr>
        <w:t>高质量充分就业取得新进展，居民收入稳步增长，基本公共服务均等化水平明显提升，人民生活品质不断提高。社会文明程度进一步提高，重点领域风险得到有效防范化解，安全屏障更加巩固，平安怀化、法治怀化建设取得新成效。城市数字化转型全领域推进，城市公共设施基本实现数字化改造、智能化运营。</w:t>
      </w:r>
    </w:p>
    <w:p>
      <w:pPr>
        <w:adjustRightInd w:val="0"/>
        <w:snapToGrid w:val="0"/>
        <w:spacing w:line="56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在此基础上再奋斗五年，到二〇三五年全市经济总量再上新台阶，综合实力大幅跃升，区域性中心城市地位更加凸显，人民生活更加幸福美好，基本实现社会主义现代化。</w:t>
      </w:r>
    </w:p>
    <w:p>
      <w:pPr>
        <w:spacing w:after="156" w:afterLines="50" w:line="600" w:lineRule="exact"/>
        <w:jc w:val="center"/>
        <w:rPr>
          <w:rFonts w:eastAsia="楷体_GB2312"/>
          <w:b/>
          <w:bCs w:val="0"/>
          <w:color w:val="000000" w:themeColor="text1"/>
          <w:sz w:val="32"/>
          <w:szCs w:val="32"/>
          <w14:textFill>
            <w14:solidFill>
              <w14:schemeClr w14:val="tx1"/>
            </w14:solidFill>
          </w14:textFill>
        </w:rPr>
      </w:pPr>
    </w:p>
    <w:p>
      <w:pPr>
        <w:ind w:firstLine="643"/>
        <w:rPr>
          <w:rFonts w:eastAsia="楷体_GB2312"/>
          <w:b/>
          <w:bCs w:val="0"/>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br w:type="page"/>
      </w:r>
    </w:p>
    <w:p>
      <w:pPr>
        <w:spacing w:after="156" w:afterLines="50" w:line="600" w:lineRule="exact"/>
        <w:jc w:val="center"/>
        <w:rPr>
          <w:rFonts w:eastAsia="楷体_GB2312"/>
          <w:b/>
          <w:bCs w:val="0"/>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表2 怀化市</w:t>
      </w:r>
      <w:r>
        <w:rPr>
          <w:rFonts w:ascii="Times New Roman" w:hAnsi="Times New Roman" w:eastAsia="仿宋_GB2312" w:cs="Times New Roman"/>
          <w:b/>
          <w:color w:val="000000" w:themeColor="text1"/>
          <w:sz w:val="32"/>
          <w:szCs w:val="32"/>
          <w14:textFill>
            <w14:solidFill>
              <w14:schemeClr w14:val="tx1"/>
            </w14:solidFill>
          </w14:textFill>
        </w:rPr>
        <w:t>“</w:t>
      </w:r>
      <w:r>
        <w:rPr>
          <w:rFonts w:ascii="Times New Roman" w:hAnsi="Times New Roman" w:eastAsia="楷体_GB2312" w:cs="Times New Roman"/>
          <w:b/>
          <w:color w:val="000000" w:themeColor="text1"/>
          <w:sz w:val="32"/>
          <w:szCs w:val="32"/>
          <w14:textFill>
            <w14:solidFill>
              <w14:schemeClr w14:val="tx1"/>
            </w14:solidFill>
          </w14:textFill>
        </w:rPr>
        <w:t>十五五</w:t>
      </w:r>
      <w:r>
        <w:rPr>
          <w:rFonts w:ascii="Times New Roman" w:hAnsi="Times New Roman" w:eastAsia="仿宋_GB2312" w:cs="Times New Roman"/>
          <w:b/>
          <w:color w:val="000000" w:themeColor="text1"/>
          <w:sz w:val="32"/>
          <w:szCs w:val="32"/>
          <w14:textFill>
            <w14:solidFill>
              <w14:schemeClr w14:val="tx1"/>
            </w14:solidFill>
          </w14:textFill>
        </w:rPr>
        <w:t>”</w:t>
      </w:r>
      <w:r>
        <w:rPr>
          <w:rFonts w:ascii="Times New Roman" w:hAnsi="Times New Roman" w:eastAsia="楷体_GB2312" w:cs="Times New Roman"/>
          <w:b/>
          <w:color w:val="000000" w:themeColor="text1"/>
          <w:sz w:val="32"/>
          <w:szCs w:val="32"/>
          <w14:textFill>
            <w14:solidFill>
              <w14:schemeClr w14:val="tx1"/>
            </w14:solidFill>
          </w14:textFill>
        </w:rPr>
        <w:t>经济社会发展主要指标</w:t>
      </w:r>
    </w:p>
    <w:tbl>
      <w:tblPr>
        <w:tblStyle w:val="25"/>
        <w:tblW w:w="527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8"/>
        <w:gridCol w:w="674"/>
        <w:gridCol w:w="2202"/>
        <w:gridCol w:w="2682"/>
        <w:gridCol w:w="1217"/>
        <w:gridCol w:w="1481"/>
        <w:gridCol w:w="9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5" w:hRule="atLeast"/>
          <w:tblHeader/>
        </w:trPr>
        <w:tc>
          <w:tcPr>
            <w:tcW w:w="252" w:type="pct"/>
            <w:vAlign w:val="center"/>
          </w:tcPr>
          <w:p>
            <w:pPr>
              <w:widowControl/>
              <w:jc w:val="center"/>
              <w:rPr>
                <w:rFonts w:eastAsia="黑体"/>
                <w:color w:val="000000" w:themeColor="text1"/>
                <w:kern w:val="0"/>
                <w:szCs w:val="21"/>
                <w14:textFill>
                  <w14:solidFill>
                    <w14:schemeClr w14:val="tx1"/>
                  </w14:solidFill>
                </w14:textFill>
              </w:rPr>
            </w:pPr>
            <w:r>
              <w:rPr>
                <w:rFonts w:ascii="Times New Roman" w:hAnsi="Times New Roman" w:eastAsia="黑体" w:cs="Times New Roman"/>
                <w:bCs w:val="0"/>
                <w:color w:val="000000" w:themeColor="text1"/>
                <w:kern w:val="0"/>
                <w:szCs w:val="21"/>
                <w14:textFill>
                  <w14:solidFill>
                    <w14:schemeClr w14:val="tx1"/>
                  </w14:solidFill>
                </w14:textFill>
              </w:rPr>
              <w:t>类别</w:t>
            </w:r>
          </w:p>
        </w:tc>
        <w:tc>
          <w:tcPr>
            <w:tcW w:w="348" w:type="pct"/>
            <w:vAlign w:val="center"/>
          </w:tcPr>
          <w:p>
            <w:pPr>
              <w:widowControl/>
              <w:jc w:val="center"/>
              <w:rPr>
                <w:rFonts w:eastAsia="黑体"/>
                <w:color w:val="000000" w:themeColor="text1"/>
                <w:kern w:val="0"/>
                <w:szCs w:val="21"/>
                <w14:textFill>
                  <w14:solidFill>
                    <w14:schemeClr w14:val="tx1"/>
                  </w14:solidFill>
                </w14:textFill>
              </w:rPr>
            </w:pPr>
            <w:r>
              <w:rPr>
                <w:rFonts w:ascii="Times New Roman" w:hAnsi="Times New Roman" w:eastAsia="黑体" w:cs="Times New Roman"/>
                <w:bCs w:val="0"/>
                <w:color w:val="000000" w:themeColor="text1"/>
                <w:kern w:val="0"/>
                <w:szCs w:val="21"/>
                <w14:textFill>
                  <w14:solidFill>
                    <w14:schemeClr w14:val="tx1"/>
                  </w14:solidFill>
                </w14:textFill>
              </w:rPr>
              <w:t>序号</w:t>
            </w:r>
          </w:p>
        </w:tc>
        <w:tc>
          <w:tcPr>
            <w:tcW w:w="2524" w:type="pct"/>
            <w:gridSpan w:val="2"/>
            <w:vAlign w:val="center"/>
          </w:tcPr>
          <w:p>
            <w:pPr>
              <w:widowControl/>
              <w:jc w:val="center"/>
              <w:rPr>
                <w:rFonts w:eastAsia="黑体"/>
                <w:color w:val="000000" w:themeColor="text1"/>
                <w:kern w:val="0"/>
                <w:szCs w:val="21"/>
                <w14:textFill>
                  <w14:solidFill>
                    <w14:schemeClr w14:val="tx1"/>
                  </w14:solidFill>
                </w14:textFill>
              </w:rPr>
            </w:pPr>
            <w:r>
              <w:rPr>
                <w:rFonts w:ascii="Times New Roman" w:hAnsi="Times New Roman" w:eastAsia="黑体" w:cs="Times New Roman"/>
                <w:bCs w:val="0"/>
                <w:color w:val="000000" w:themeColor="text1"/>
                <w:kern w:val="0"/>
                <w:szCs w:val="21"/>
                <w14:textFill>
                  <w14:solidFill>
                    <w14:schemeClr w14:val="tx1"/>
                  </w14:solidFill>
                </w14:textFill>
              </w:rPr>
              <w:t>指标名称</w:t>
            </w:r>
          </w:p>
        </w:tc>
        <w:tc>
          <w:tcPr>
            <w:tcW w:w="629" w:type="pct"/>
            <w:vAlign w:val="center"/>
          </w:tcPr>
          <w:p>
            <w:pPr>
              <w:widowControl/>
              <w:jc w:val="center"/>
              <w:rPr>
                <w:rFonts w:eastAsia="黑体"/>
                <w:color w:val="000000" w:themeColor="text1"/>
                <w:kern w:val="0"/>
                <w:szCs w:val="21"/>
                <w14:textFill>
                  <w14:solidFill>
                    <w14:schemeClr w14:val="tx1"/>
                  </w14:solidFill>
                </w14:textFill>
              </w:rPr>
            </w:pPr>
            <w:r>
              <w:rPr>
                <w:rFonts w:ascii="Times New Roman" w:hAnsi="Times New Roman" w:eastAsia="黑体" w:cs="Times New Roman"/>
                <w:bCs w:val="0"/>
                <w:color w:val="000000" w:themeColor="text1"/>
                <w:kern w:val="0"/>
                <w:szCs w:val="21"/>
                <w14:textFill>
                  <w14:solidFill>
                    <w14:schemeClr w14:val="tx1"/>
                  </w14:solidFill>
                </w14:textFill>
              </w:rPr>
              <w:t>基期值</w:t>
            </w:r>
          </w:p>
          <w:p>
            <w:pPr>
              <w:widowControl/>
              <w:jc w:val="center"/>
              <w:rPr>
                <w:rFonts w:eastAsia="黑体"/>
                <w:color w:val="000000" w:themeColor="text1"/>
                <w:kern w:val="0"/>
                <w:szCs w:val="21"/>
                <w14:textFill>
                  <w14:solidFill>
                    <w14:schemeClr w14:val="tx1"/>
                  </w14:solidFill>
                </w14:textFill>
              </w:rPr>
            </w:pPr>
            <w:r>
              <w:rPr>
                <w:rFonts w:ascii="Times New Roman" w:hAnsi="Times New Roman" w:eastAsia="黑体" w:cs="Times New Roman"/>
                <w:bCs w:val="0"/>
                <w:color w:val="000000" w:themeColor="text1"/>
                <w:kern w:val="0"/>
                <w:szCs w:val="21"/>
                <w14:textFill>
                  <w14:solidFill>
                    <w14:schemeClr w14:val="tx1"/>
                  </w14:solidFill>
                </w14:textFill>
              </w:rPr>
              <w:t>（2025年）</w:t>
            </w:r>
          </w:p>
        </w:tc>
        <w:tc>
          <w:tcPr>
            <w:tcW w:w="765" w:type="pct"/>
            <w:vAlign w:val="center"/>
          </w:tcPr>
          <w:p>
            <w:pPr>
              <w:widowControl/>
              <w:jc w:val="center"/>
              <w:rPr>
                <w:rFonts w:eastAsia="黑体"/>
                <w:color w:val="000000" w:themeColor="text1"/>
                <w:kern w:val="0"/>
                <w:szCs w:val="21"/>
                <w14:textFill>
                  <w14:solidFill>
                    <w14:schemeClr w14:val="tx1"/>
                  </w14:solidFill>
                </w14:textFill>
              </w:rPr>
            </w:pPr>
            <w:r>
              <w:rPr>
                <w:rFonts w:ascii="Times New Roman" w:hAnsi="Times New Roman" w:eastAsia="黑体" w:cs="Times New Roman"/>
                <w:bCs w:val="0"/>
                <w:color w:val="000000" w:themeColor="text1"/>
                <w:kern w:val="0"/>
                <w:szCs w:val="21"/>
                <w14:textFill>
                  <w14:solidFill>
                    <w14:schemeClr w14:val="tx1"/>
                  </w14:solidFill>
                </w14:textFill>
              </w:rPr>
              <w:t>目标值</w:t>
            </w:r>
          </w:p>
          <w:p>
            <w:pPr>
              <w:widowControl/>
              <w:jc w:val="center"/>
              <w:rPr>
                <w:rFonts w:eastAsia="黑体"/>
                <w:color w:val="000000" w:themeColor="text1"/>
                <w:kern w:val="0"/>
                <w:szCs w:val="21"/>
                <w14:textFill>
                  <w14:solidFill>
                    <w14:schemeClr w14:val="tx1"/>
                  </w14:solidFill>
                </w14:textFill>
              </w:rPr>
            </w:pPr>
            <w:r>
              <w:rPr>
                <w:rFonts w:ascii="Times New Roman" w:hAnsi="Times New Roman" w:eastAsia="黑体" w:cs="Times New Roman"/>
                <w:bCs w:val="0"/>
                <w:color w:val="000000" w:themeColor="text1"/>
                <w:kern w:val="0"/>
                <w:szCs w:val="21"/>
                <w14:textFill>
                  <w14:solidFill>
                    <w14:schemeClr w14:val="tx1"/>
                  </w14:solidFill>
                </w14:textFill>
              </w:rPr>
              <w:t>（2030年）</w:t>
            </w:r>
          </w:p>
        </w:tc>
        <w:tc>
          <w:tcPr>
            <w:tcW w:w="479" w:type="pct"/>
            <w:vAlign w:val="center"/>
          </w:tcPr>
          <w:p>
            <w:pPr>
              <w:widowControl/>
              <w:jc w:val="center"/>
              <w:rPr>
                <w:rFonts w:eastAsia="黑体"/>
                <w:color w:val="000000" w:themeColor="text1"/>
                <w:kern w:val="0"/>
                <w:szCs w:val="21"/>
                <w14:textFill>
                  <w14:solidFill>
                    <w14:schemeClr w14:val="tx1"/>
                  </w14:solidFill>
                </w14:textFill>
              </w:rPr>
            </w:pPr>
            <w:r>
              <w:rPr>
                <w:rFonts w:ascii="Times New Roman" w:hAnsi="Times New Roman" w:eastAsia="黑体" w:cs="Times New Roman"/>
                <w:bCs w:val="0"/>
                <w:color w:val="000000" w:themeColor="text1"/>
                <w:kern w:val="0"/>
                <w:szCs w:val="21"/>
                <w14:textFill>
                  <w14:solidFill>
                    <w14:schemeClr w14:val="tx1"/>
                  </w14:solidFill>
                </w14:textFill>
              </w:rPr>
              <w:t>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2" w:hRule="atLeast"/>
        </w:trPr>
        <w:tc>
          <w:tcPr>
            <w:tcW w:w="252" w:type="pct"/>
            <w:vMerge w:val="restar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经济发展</w:t>
            </w:r>
          </w:p>
        </w:tc>
        <w:tc>
          <w:tcPr>
            <w:tcW w:w="348"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1</w:t>
            </w:r>
          </w:p>
        </w:tc>
        <w:tc>
          <w:tcPr>
            <w:tcW w:w="2524" w:type="pct"/>
            <w:gridSpan w:val="2"/>
            <w:vAlign w:val="center"/>
          </w:tcPr>
          <w:p>
            <w:pPr>
              <w:widowControl/>
              <w:spacing w:line="280" w:lineRule="exact"/>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地区生产总值（GDP）增长（%）</w:t>
            </w:r>
          </w:p>
        </w:tc>
        <w:tc>
          <w:tcPr>
            <w:tcW w:w="629"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5.7</w:t>
            </w:r>
          </w:p>
        </w:tc>
        <w:tc>
          <w:tcPr>
            <w:tcW w:w="765"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年均6—6.5</w:t>
            </w:r>
          </w:p>
        </w:tc>
        <w:tc>
          <w:tcPr>
            <w:tcW w:w="479"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hRule="atLeast"/>
        </w:trPr>
        <w:tc>
          <w:tcPr>
            <w:tcW w:w="252" w:type="pct"/>
            <w:vMerge w:val="continue"/>
            <w:vAlign w:val="center"/>
          </w:tcPr>
          <w:p>
            <w:pPr>
              <w:widowControl/>
              <w:spacing w:line="280" w:lineRule="exact"/>
              <w:jc w:val="center"/>
              <w:rPr>
                <w:color w:val="000000" w:themeColor="text1"/>
                <w:kern w:val="0"/>
                <w:szCs w:val="21"/>
                <w14:textFill>
                  <w14:solidFill>
                    <w14:schemeClr w14:val="tx1"/>
                  </w14:solidFill>
                </w14:textFill>
              </w:rPr>
            </w:pPr>
          </w:p>
        </w:tc>
        <w:tc>
          <w:tcPr>
            <w:tcW w:w="348"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2</w:t>
            </w:r>
          </w:p>
        </w:tc>
        <w:tc>
          <w:tcPr>
            <w:tcW w:w="2524" w:type="pct"/>
            <w:gridSpan w:val="2"/>
            <w:vAlign w:val="center"/>
          </w:tcPr>
          <w:p>
            <w:pPr>
              <w:widowControl/>
              <w:spacing w:line="280" w:lineRule="exact"/>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全员劳动生产率增长（%）</w:t>
            </w:r>
          </w:p>
        </w:tc>
        <w:tc>
          <w:tcPr>
            <w:tcW w:w="629"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w:t>
            </w:r>
          </w:p>
        </w:tc>
        <w:tc>
          <w:tcPr>
            <w:tcW w:w="765"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高于GDP</w:t>
            </w:r>
          </w:p>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增长</w:t>
            </w:r>
          </w:p>
        </w:tc>
        <w:tc>
          <w:tcPr>
            <w:tcW w:w="479"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1" w:hRule="atLeast"/>
        </w:trPr>
        <w:tc>
          <w:tcPr>
            <w:tcW w:w="252" w:type="pct"/>
            <w:vMerge w:val="continue"/>
            <w:vAlign w:val="center"/>
          </w:tcPr>
          <w:p>
            <w:pPr>
              <w:widowControl/>
              <w:spacing w:line="280" w:lineRule="exact"/>
              <w:jc w:val="center"/>
              <w:rPr>
                <w:color w:val="000000" w:themeColor="text1"/>
                <w:kern w:val="0"/>
                <w:szCs w:val="21"/>
                <w14:textFill>
                  <w14:solidFill>
                    <w14:schemeClr w14:val="tx1"/>
                  </w14:solidFill>
                </w14:textFill>
              </w:rPr>
            </w:pPr>
          </w:p>
        </w:tc>
        <w:tc>
          <w:tcPr>
            <w:tcW w:w="348"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3</w:t>
            </w:r>
          </w:p>
        </w:tc>
        <w:tc>
          <w:tcPr>
            <w:tcW w:w="2524" w:type="pct"/>
            <w:gridSpan w:val="2"/>
            <w:vAlign w:val="center"/>
          </w:tcPr>
          <w:p>
            <w:pPr>
              <w:widowControl/>
              <w:spacing w:line="280" w:lineRule="exact"/>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常住人口城镇化率（%）</w:t>
            </w:r>
          </w:p>
        </w:tc>
        <w:tc>
          <w:tcPr>
            <w:tcW w:w="629"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51.95</w:t>
            </w:r>
          </w:p>
        </w:tc>
        <w:tc>
          <w:tcPr>
            <w:tcW w:w="765"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55.5</w:t>
            </w:r>
          </w:p>
        </w:tc>
        <w:tc>
          <w:tcPr>
            <w:tcW w:w="479"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hRule="atLeast"/>
        </w:trPr>
        <w:tc>
          <w:tcPr>
            <w:tcW w:w="252" w:type="pct"/>
            <w:vMerge w:val="continue"/>
            <w:vAlign w:val="center"/>
          </w:tcPr>
          <w:p>
            <w:pPr>
              <w:widowControl/>
              <w:spacing w:line="280" w:lineRule="exact"/>
              <w:jc w:val="center"/>
              <w:rPr>
                <w:color w:val="000000" w:themeColor="text1"/>
                <w:kern w:val="0"/>
                <w:szCs w:val="21"/>
                <w14:textFill>
                  <w14:solidFill>
                    <w14:schemeClr w14:val="tx1"/>
                  </w14:solidFill>
                </w14:textFill>
              </w:rPr>
            </w:pPr>
          </w:p>
        </w:tc>
        <w:tc>
          <w:tcPr>
            <w:tcW w:w="348"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4</w:t>
            </w:r>
          </w:p>
        </w:tc>
        <w:tc>
          <w:tcPr>
            <w:tcW w:w="2524" w:type="pct"/>
            <w:gridSpan w:val="2"/>
            <w:vAlign w:val="center"/>
          </w:tcPr>
          <w:p>
            <w:pPr>
              <w:widowControl/>
              <w:spacing w:line="280" w:lineRule="exact"/>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对外贸易依存度（%）</w:t>
            </w:r>
          </w:p>
        </w:tc>
        <w:tc>
          <w:tcPr>
            <w:tcW w:w="629"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5.1</w:t>
            </w:r>
          </w:p>
        </w:tc>
        <w:tc>
          <w:tcPr>
            <w:tcW w:w="765"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7</w:t>
            </w:r>
          </w:p>
        </w:tc>
        <w:tc>
          <w:tcPr>
            <w:tcW w:w="479"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8" w:hRule="atLeast"/>
        </w:trPr>
        <w:tc>
          <w:tcPr>
            <w:tcW w:w="252" w:type="pct"/>
            <w:vMerge w:val="continue"/>
            <w:vAlign w:val="center"/>
          </w:tcPr>
          <w:p>
            <w:pPr>
              <w:widowControl/>
              <w:spacing w:line="280" w:lineRule="exact"/>
              <w:jc w:val="center"/>
              <w:rPr>
                <w:color w:val="000000" w:themeColor="text1"/>
                <w:kern w:val="0"/>
                <w:szCs w:val="21"/>
                <w14:textFill>
                  <w14:solidFill>
                    <w14:schemeClr w14:val="tx1"/>
                  </w14:solidFill>
                </w14:textFill>
              </w:rPr>
            </w:pPr>
          </w:p>
        </w:tc>
        <w:tc>
          <w:tcPr>
            <w:tcW w:w="348"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5</w:t>
            </w:r>
          </w:p>
        </w:tc>
        <w:tc>
          <w:tcPr>
            <w:tcW w:w="2524" w:type="pct"/>
            <w:gridSpan w:val="2"/>
            <w:vAlign w:val="center"/>
          </w:tcPr>
          <w:p>
            <w:pPr>
              <w:widowControl/>
              <w:spacing w:line="280" w:lineRule="exact"/>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高技术制造业增加值占规模工业增加值比重（%）</w:t>
            </w:r>
          </w:p>
        </w:tc>
        <w:tc>
          <w:tcPr>
            <w:tcW w:w="629"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14.5</w:t>
            </w:r>
          </w:p>
        </w:tc>
        <w:tc>
          <w:tcPr>
            <w:tcW w:w="765"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17</w:t>
            </w:r>
          </w:p>
        </w:tc>
        <w:tc>
          <w:tcPr>
            <w:tcW w:w="479"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0" w:hRule="atLeast"/>
        </w:trPr>
        <w:tc>
          <w:tcPr>
            <w:tcW w:w="252" w:type="pct"/>
            <w:vMerge w:val="restar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创新驱动</w:t>
            </w:r>
          </w:p>
        </w:tc>
        <w:tc>
          <w:tcPr>
            <w:tcW w:w="348"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6</w:t>
            </w:r>
          </w:p>
        </w:tc>
        <w:tc>
          <w:tcPr>
            <w:tcW w:w="2524" w:type="pct"/>
            <w:gridSpan w:val="2"/>
            <w:vAlign w:val="center"/>
          </w:tcPr>
          <w:p>
            <w:pPr>
              <w:widowControl/>
              <w:spacing w:line="280" w:lineRule="exact"/>
              <w:rPr>
                <w:bCs w:val="0"/>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全社会研发经费投入增长（%）</w:t>
            </w:r>
          </w:p>
        </w:tc>
        <w:tc>
          <w:tcPr>
            <w:tcW w:w="629" w:type="pct"/>
            <w:vAlign w:val="center"/>
          </w:tcPr>
          <w:p>
            <w:pPr>
              <w:widowControl/>
              <w:spacing w:line="280" w:lineRule="exact"/>
              <w:jc w:val="center"/>
              <w:rPr>
                <w:bCs w:val="0"/>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w:t>
            </w:r>
          </w:p>
        </w:tc>
        <w:tc>
          <w:tcPr>
            <w:tcW w:w="765" w:type="pct"/>
            <w:vAlign w:val="center"/>
          </w:tcPr>
          <w:p>
            <w:pPr>
              <w:widowControl/>
              <w:spacing w:line="280" w:lineRule="exact"/>
              <w:jc w:val="center"/>
              <w:rPr>
                <w:bCs w:val="0"/>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年均5以上</w:t>
            </w:r>
          </w:p>
        </w:tc>
        <w:tc>
          <w:tcPr>
            <w:tcW w:w="479" w:type="pct"/>
            <w:vAlign w:val="center"/>
          </w:tcPr>
          <w:p>
            <w:pPr>
              <w:widowControl/>
              <w:spacing w:line="280" w:lineRule="exact"/>
              <w:jc w:val="center"/>
              <w:rPr>
                <w:bCs w:val="0"/>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3" w:hRule="atLeast"/>
        </w:trPr>
        <w:tc>
          <w:tcPr>
            <w:tcW w:w="252" w:type="pct"/>
            <w:vMerge w:val="continue"/>
            <w:vAlign w:val="center"/>
          </w:tcPr>
          <w:p>
            <w:pPr>
              <w:widowControl/>
              <w:spacing w:line="280" w:lineRule="exact"/>
              <w:jc w:val="center"/>
              <w:rPr>
                <w:color w:val="000000" w:themeColor="text1"/>
                <w:kern w:val="0"/>
                <w:szCs w:val="21"/>
                <w14:textFill>
                  <w14:solidFill>
                    <w14:schemeClr w14:val="tx1"/>
                  </w14:solidFill>
                </w14:textFill>
              </w:rPr>
            </w:pPr>
          </w:p>
        </w:tc>
        <w:tc>
          <w:tcPr>
            <w:tcW w:w="348"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7</w:t>
            </w:r>
          </w:p>
        </w:tc>
        <w:tc>
          <w:tcPr>
            <w:tcW w:w="2524" w:type="pct"/>
            <w:gridSpan w:val="2"/>
            <w:vAlign w:val="center"/>
          </w:tcPr>
          <w:p>
            <w:pPr>
              <w:widowControl/>
              <w:spacing w:line="280" w:lineRule="exact"/>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每万人口高价值发明专利拥有量（件）</w:t>
            </w:r>
          </w:p>
        </w:tc>
        <w:tc>
          <w:tcPr>
            <w:tcW w:w="629"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1.71</w:t>
            </w:r>
          </w:p>
        </w:tc>
        <w:tc>
          <w:tcPr>
            <w:tcW w:w="765"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2</w:t>
            </w:r>
          </w:p>
        </w:tc>
        <w:tc>
          <w:tcPr>
            <w:tcW w:w="479"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3" w:hRule="atLeast"/>
        </w:trPr>
        <w:tc>
          <w:tcPr>
            <w:tcW w:w="252" w:type="pct"/>
            <w:vMerge w:val="continue"/>
            <w:vAlign w:val="center"/>
          </w:tcPr>
          <w:p>
            <w:pPr>
              <w:widowControl/>
              <w:spacing w:line="280" w:lineRule="exact"/>
              <w:jc w:val="center"/>
              <w:rPr>
                <w:color w:val="000000" w:themeColor="text1"/>
                <w:kern w:val="0"/>
                <w:szCs w:val="21"/>
                <w14:textFill>
                  <w14:solidFill>
                    <w14:schemeClr w14:val="tx1"/>
                  </w14:solidFill>
                </w14:textFill>
              </w:rPr>
            </w:pPr>
          </w:p>
        </w:tc>
        <w:tc>
          <w:tcPr>
            <w:tcW w:w="348"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8</w:t>
            </w:r>
          </w:p>
        </w:tc>
        <w:tc>
          <w:tcPr>
            <w:tcW w:w="2524" w:type="pct"/>
            <w:gridSpan w:val="2"/>
            <w:vAlign w:val="center"/>
          </w:tcPr>
          <w:p>
            <w:pPr>
              <w:widowControl/>
              <w:spacing w:line="280" w:lineRule="exact"/>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数字经济核心产业增加值占GDP比重（%）</w:t>
            </w:r>
          </w:p>
        </w:tc>
        <w:tc>
          <w:tcPr>
            <w:tcW w:w="629"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4.7</w:t>
            </w:r>
          </w:p>
        </w:tc>
        <w:tc>
          <w:tcPr>
            <w:tcW w:w="765"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10</w:t>
            </w:r>
          </w:p>
        </w:tc>
        <w:tc>
          <w:tcPr>
            <w:tcW w:w="479"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0" w:hRule="atLeast"/>
        </w:trPr>
        <w:tc>
          <w:tcPr>
            <w:tcW w:w="252" w:type="pct"/>
            <w:vMerge w:val="restar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民生福祉</w:t>
            </w:r>
          </w:p>
        </w:tc>
        <w:tc>
          <w:tcPr>
            <w:tcW w:w="348"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9</w:t>
            </w:r>
          </w:p>
        </w:tc>
        <w:tc>
          <w:tcPr>
            <w:tcW w:w="2524" w:type="pct"/>
            <w:gridSpan w:val="2"/>
            <w:vAlign w:val="center"/>
          </w:tcPr>
          <w:p>
            <w:pPr>
              <w:widowControl/>
              <w:spacing w:line="280" w:lineRule="exact"/>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城镇调查失业率（%）</w:t>
            </w:r>
          </w:p>
        </w:tc>
        <w:tc>
          <w:tcPr>
            <w:tcW w:w="629"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5.2</w:t>
            </w:r>
          </w:p>
        </w:tc>
        <w:tc>
          <w:tcPr>
            <w:tcW w:w="765"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＜5.5</w:t>
            </w:r>
          </w:p>
        </w:tc>
        <w:tc>
          <w:tcPr>
            <w:tcW w:w="479"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0" w:hRule="atLeast"/>
        </w:trPr>
        <w:tc>
          <w:tcPr>
            <w:tcW w:w="252" w:type="pct"/>
            <w:vMerge w:val="continue"/>
            <w:vAlign w:val="center"/>
          </w:tcPr>
          <w:p>
            <w:pPr>
              <w:widowControl/>
              <w:spacing w:line="280" w:lineRule="exact"/>
              <w:jc w:val="center"/>
              <w:rPr>
                <w:color w:val="000000" w:themeColor="text1"/>
                <w:kern w:val="0"/>
                <w:szCs w:val="21"/>
                <w14:textFill>
                  <w14:solidFill>
                    <w14:schemeClr w14:val="tx1"/>
                  </w14:solidFill>
                </w14:textFill>
              </w:rPr>
            </w:pPr>
          </w:p>
        </w:tc>
        <w:tc>
          <w:tcPr>
            <w:tcW w:w="348"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10</w:t>
            </w:r>
          </w:p>
        </w:tc>
        <w:tc>
          <w:tcPr>
            <w:tcW w:w="2524" w:type="pct"/>
            <w:gridSpan w:val="2"/>
            <w:vAlign w:val="center"/>
          </w:tcPr>
          <w:p>
            <w:pPr>
              <w:widowControl/>
              <w:spacing w:line="280" w:lineRule="exact"/>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居民人均可支配收入增长（%）</w:t>
            </w:r>
          </w:p>
        </w:tc>
        <w:tc>
          <w:tcPr>
            <w:tcW w:w="629"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6.5</w:t>
            </w:r>
          </w:p>
        </w:tc>
        <w:tc>
          <w:tcPr>
            <w:tcW w:w="765"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与GDP增长   同步</w:t>
            </w:r>
          </w:p>
        </w:tc>
        <w:tc>
          <w:tcPr>
            <w:tcW w:w="479"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0" w:hRule="atLeast"/>
        </w:trPr>
        <w:tc>
          <w:tcPr>
            <w:tcW w:w="252" w:type="pct"/>
            <w:vMerge w:val="continue"/>
            <w:vAlign w:val="center"/>
          </w:tcPr>
          <w:p>
            <w:pPr>
              <w:widowControl/>
              <w:spacing w:line="280" w:lineRule="exact"/>
              <w:jc w:val="center"/>
              <w:rPr>
                <w:color w:val="000000" w:themeColor="text1"/>
                <w:kern w:val="0"/>
                <w:szCs w:val="21"/>
                <w14:textFill>
                  <w14:solidFill>
                    <w14:schemeClr w14:val="tx1"/>
                  </w14:solidFill>
                </w14:textFill>
              </w:rPr>
            </w:pPr>
          </w:p>
        </w:tc>
        <w:tc>
          <w:tcPr>
            <w:tcW w:w="348"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11</w:t>
            </w:r>
          </w:p>
        </w:tc>
        <w:tc>
          <w:tcPr>
            <w:tcW w:w="2524" w:type="pct"/>
            <w:gridSpan w:val="2"/>
            <w:vAlign w:val="center"/>
          </w:tcPr>
          <w:p>
            <w:pPr>
              <w:widowControl/>
              <w:spacing w:line="280" w:lineRule="exact"/>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劳动年龄人口平均受教育年限（年）</w:t>
            </w:r>
          </w:p>
        </w:tc>
        <w:tc>
          <w:tcPr>
            <w:tcW w:w="629"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11.2</w:t>
            </w:r>
          </w:p>
        </w:tc>
        <w:tc>
          <w:tcPr>
            <w:tcW w:w="765"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11.7</w:t>
            </w:r>
          </w:p>
        </w:tc>
        <w:tc>
          <w:tcPr>
            <w:tcW w:w="479" w:type="pct"/>
            <w:vAlign w:val="center"/>
          </w:tcPr>
          <w:p>
            <w:pPr>
              <w:widowControl/>
              <w:spacing w:line="280" w:lineRule="exact"/>
              <w:jc w:val="center"/>
              <w:rPr>
                <w:color w:val="000000" w:themeColor="text1"/>
                <w:kern w:val="0"/>
                <w:szCs w:val="21"/>
                <w14:textFill>
                  <w14:solidFill>
                    <w14:schemeClr w14:val="tx1"/>
                  </w14:solidFill>
                </w14:textFill>
              </w:rPr>
            </w:pPr>
            <w:r>
              <w:rPr>
                <w:rFonts w:hint="eastAsia" w:ascii="Times New Roman" w:hAnsi="Times New Roman" w:cs="Times New Roman"/>
                <w:color w:val="000000" w:themeColor="text1"/>
                <w:kern w:val="0"/>
                <w:szCs w:val="21"/>
                <w:lang w:eastAsia="zh-CN"/>
                <w14:textFill>
                  <w14:solidFill>
                    <w14:schemeClr w14:val="tx1"/>
                  </w14:solidFill>
                </w14:textFill>
              </w:rPr>
              <w:t>约束</w:t>
            </w:r>
            <w:r>
              <w:rPr>
                <w:rFonts w:ascii="Times New Roman" w:hAnsi="Times New Roman" w:cs="Times New Roman"/>
                <w:color w:val="000000" w:themeColor="text1"/>
                <w:kern w:val="0"/>
                <w:szCs w:val="21"/>
                <w14:textFill>
                  <w14:solidFill>
                    <w14:schemeClr w14:val="tx1"/>
                  </w14:solidFill>
                </w14:textFill>
              </w:rPr>
              <w:t>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7" w:hRule="atLeast"/>
        </w:trPr>
        <w:tc>
          <w:tcPr>
            <w:tcW w:w="252" w:type="pct"/>
            <w:vMerge w:val="continue"/>
            <w:vAlign w:val="center"/>
          </w:tcPr>
          <w:p>
            <w:pPr>
              <w:widowControl/>
              <w:spacing w:line="280" w:lineRule="exact"/>
              <w:jc w:val="center"/>
              <w:rPr>
                <w:color w:val="000000" w:themeColor="text1"/>
                <w:kern w:val="0"/>
                <w:szCs w:val="21"/>
                <w14:textFill>
                  <w14:solidFill>
                    <w14:schemeClr w14:val="tx1"/>
                  </w14:solidFill>
                </w14:textFill>
              </w:rPr>
            </w:pPr>
          </w:p>
        </w:tc>
        <w:tc>
          <w:tcPr>
            <w:tcW w:w="348" w:type="pct"/>
            <w:vMerge w:val="restar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12</w:t>
            </w:r>
          </w:p>
        </w:tc>
        <w:tc>
          <w:tcPr>
            <w:tcW w:w="1138" w:type="pct"/>
            <w:vMerge w:val="restart"/>
            <w:vAlign w:val="center"/>
          </w:tcPr>
          <w:p>
            <w:pPr>
              <w:widowControl/>
              <w:spacing w:line="280" w:lineRule="exact"/>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每千人口拥有医护人员数</w:t>
            </w:r>
          </w:p>
        </w:tc>
        <w:tc>
          <w:tcPr>
            <w:tcW w:w="1385" w:type="pct"/>
            <w:vAlign w:val="center"/>
          </w:tcPr>
          <w:p>
            <w:pPr>
              <w:widowControl/>
              <w:spacing w:line="280" w:lineRule="exact"/>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执业医师数（人）</w:t>
            </w:r>
          </w:p>
        </w:tc>
        <w:tc>
          <w:tcPr>
            <w:tcW w:w="629"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3.55</w:t>
            </w:r>
          </w:p>
        </w:tc>
        <w:tc>
          <w:tcPr>
            <w:tcW w:w="765"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3.7左右</w:t>
            </w:r>
          </w:p>
        </w:tc>
        <w:tc>
          <w:tcPr>
            <w:tcW w:w="479" w:type="pct"/>
            <w:vMerge w:val="restar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5" w:hRule="atLeast"/>
        </w:trPr>
        <w:tc>
          <w:tcPr>
            <w:tcW w:w="252" w:type="pct"/>
            <w:vMerge w:val="continue"/>
            <w:vAlign w:val="center"/>
          </w:tcPr>
          <w:p>
            <w:pPr>
              <w:widowControl/>
              <w:spacing w:line="280" w:lineRule="exact"/>
              <w:jc w:val="center"/>
              <w:rPr>
                <w:color w:val="000000" w:themeColor="text1"/>
                <w14:textFill>
                  <w14:solidFill>
                    <w14:schemeClr w14:val="tx1"/>
                  </w14:solidFill>
                </w14:textFill>
              </w:rPr>
            </w:pPr>
          </w:p>
        </w:tc>
        <w:tc>
          <w:tcPr>
            <w:tcW w:w="348" w:type="pct"/>
            <w:vMerge w:val="continue"/>
            <w:vAlign w:val="center"/>
          </w:tcPr>
          <w:p>
            <w:pPr>
              <w:widowControl/>
              <w:spacing w:line="280" w:lineRule="exact"/>
              <w:jc w:val="center"/>
              <w:rPr>
                <w:color w:val="000000" w:themeColor="text1"/>
                <w:kern w:val="0"/>
                <w:szCs w:val="21"/>
                <w14:textFill>
                  <w14:solidFill>
                    <w14:schemeClr w14:val="tx1"/>
                  </w14:solidFill>
                </w14:textFill>
              </w:rPr>
            </w:pPr>
          </w:p>
        </w:tc>
        <w:tc>
          <w:tcPr>
            <w:tcW w:w="1138" w:type="pct"/>
            <w:vMerge w:val="continue"/>
            <w:vAlign w:val="center"/>
          </w:tcPr>
          <w:p>
            <w:pPr>
              <w:widowControl/>
              <w:spacing w:line="280" w:lineRule="exact"/>
              <w:rPr>
                <w:color w:val="000000" w:themeColor="text1"/>
                <w:kern w:val="0"/>
                <w:szCs w:val="21"/>
                <w14:textFill>
                  <w14:solidFill>
                    <w14:schemeClr w14:val="tx1"/>
                  </w14:solidFill>
                </w14:textFill>
              </w:rPr>
            </w:pPr>
          </w:p>
        </w:tc>
        <w:tc>
          <w:tcPr>
            <w:tcW w:w="1385" w:type="pct"/>
            <w:vAlign w:val="center"/>
          </w:tcPr>
          <w:p>
            <w:pPr>
              <w:widowControl/>
              <w:spacing w:line="280" w:lineRule="exact"/>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注册护士数（人）</w:t>
            </w:r>
          </w:p>
        </w:tc>
        <w:tc>
          <w:tcPr>
            <w:tcW w:w="629"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4.6</w:t>
            </w:r>
          </w:p>
        </w:tc>
        <w:tc>
          <w:tcPr>
            <w:tcW w:w="765"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5.1左右</w:t>
            </w:r>
          </w:p>
        </w:tc>
        <w:tc>
          <w:tcPr>
            <w:tcW w:w="479" w:type="pct"/>
            <w:vMerge w:val="continue"/>
            <w:vAlign w:val="center"/>
          </w:tcPr>
          <w:p>
            <w:pPr>
              <w:widowControl/>
              <w:spacing w:line="280" w:lineRule="exact"/>
              <w:rPr>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5" w:hRule="atLeast"/>
        </w:trPr>
        <w:tc>
          <w:tcPr>
            <w:tcW w:w="252" w:type="pct"/>
            <w:vMerge w:val="continue"/>
            <w:vAlign w:val="center"/>
          </w:tcPr>
          <w:p>
            <w:pPr>
              <w:widowControl/>
              <w:spacing w:line="280" w:lineRule="exact"/>
              <w:jc w:val="center"/>
              <w:rPr>
                <w:color w:val="000000" w:themeColor="text1"/>
                <w:kern w:val="0"/>
                <w:szCs w:val="21"/>
                <w14:textFill>
                  <w14:solidFill>
                    <w14:schemeClr w14:val="tx1"/>
                  </w14:solidFill>
                </w14:textFill>
              </w:rPr>
            </w:pPr>
          </w:p>
        </w:tc>
        <w:tc>
          <w:tcPr>
            <w:tcW w:w="348"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13</w:t>
            </w:r>
          </w:p>
        </w:tc>
        <w:tc>
          <w:tcPr>
            <w:tcW w:w="2524" w:type="pct"/>
            <w:gridSpan w:val="2"/>
            <w:vAlign w:val="center"/>
          </w:tcPr>
          <w:p>
            <w:pPr>
              <w:widowControl/>
              <w:spacing w:line="280" w:lineRule="exact"/>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养老机构护理型床位占比（%）</w:t>
            </w:r>
          </w:p>
        </w:tc>
        <w:tc>
          <w:tcPr>
            <w:tcW w:w="629"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55</w:t>
            </w:r>
          </w:p>
        </w:tc>
        <w:tc>
          <w:tcPr>
            <w:tcW w:w="765"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76</w:t>
            </w:r>
          </w:p>
        </w:tc>
        <w:tc>
          <w:tcPr>
            <w:tcW w:w="479"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5" w:hRule="atLeast"/>
        </w:trPr>
        <w:tc>
          <w:tcPr>
            <w:tcW w:w="252" w:type="pct"/>
            <w:vMerge w:val="continue"/>
            <w:vAlign w:val="center"/>
          </w:tcPr>
          <w:p>
            <w:pPr>
              <w:widowControl/>
              <w:spacing w:line="280" w:lineRule="exact"/>
              <w:jc w:val="center"/>
              <w:rPr>
                <w:color w:val="000000" w:themeColor="text1"/>
                <w:kern w:val="0"/>
                <w:szCs w:val="21"/>
                <w14:textFill>
                  <w14:solidFill>
                    <w14:schemeClr w14:val="tx1"/>
                  </w14:solidFill>
                </w14:textFill>
              </w:rPr>
            </w:pPr>
          </w:p>
        </w:tc>
        <w:tc>
          <w:tcPr>
            <w:tcW w:w="348"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14</w:t>
            </w:r>
          </w:p>
        </w:tc>
        <w:tc>
          <w:tcPr>
            <w:tcW w:w="2524" w:type="pct"/>
            <w:gridSpan w:val="2"/>
            <w:vAlign w:val="center"/>
          </w:tcPr>
          <w:p>
            <w:pPr>
              <w:widowControl/>
              <w:spacing w:line="280" w:lineRule="exact"/>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3岁以下婴幼儿入托率提高（百分点）</w:t>
            </w:r>
          </w:p>
        </w:tc>
        <w:tc>
          <w:tcPr>
            <w:tcW w:w="629"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w:t>
            </w:r>
          </w:p>
        </w:tc>
        <w:tc>
          <w:tcPr>
            <w:tcW w:w="765"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[4]</w:t>
            </w:r>
          </w:p>
        </w:tc>
        <w:tc>
          <w:tcPr>
            <w:tcW w:w="479"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3" w:hRule="atLeast"/>
        </w:trPr>
        <w:tc>
          <w:tcPr>
            <w:tcW w:w="252" w:type="pct"/>
            <w:vMerge w:val="continue"/>
            <w:vAlign w:val="center"/>
          </w:tcPr>
          <w:p>
            <w:pPr>
              <w:widowControl/>
              <w:spacing w:line="280" w:lineRule="exact"/>
              <w:jc w:val="center"/>
              <w:rPr>
                <w:color w:val="000000" w:themeColor="text1"/>
                <w:kern w:val="0"/>
                <w:szCs w:val="21"/>
                <w14:textFill>
                  <w14:solidFill>
                    <w14:schemeClr w14:val="tx1"/>
                  </w14:solidFill>
                </w14:textFill>
              </w:rPr>
            </w:pPr>
          </w:p>
        </w:tc>
        <w:tc>
          <w:tcPr>
            <w:tcW w:w="348"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15</w:t>
            </w:r>
          </w:p>
        </w:tc>
        <w:tc>
          <w:tcPr>
            <w:tcW w:w="2524" w:type="pct"/>
            <w:gridSpan w:val="2"/>
            <w:vAlign w:val="center"/>
          </w:tcPr>
          <w:p>
            <w:pPr>
              <w:widowControl/>
              <w:spacing w:line="280" w:lineRule="exact"/>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人均预期寿命（岁）</w:t>
            </w:r>
          </w:p>
        </w:tc>
        <w:tc>
          <w:tcPr>
            <w:tcW w:w="629"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78.42</w:t>
            </w:r>
            <w:r>
              <w:rPr>
                <w:rFonts w:ascii="Times New Roman" w:hAnsi="Times New Roman" w:cs="Times New Roman"/>
                <w:color w:val="000000" w:themeColor="text1"/>
                <w:szCs w:val="21"/>
                <w14:textFill>
                  <w14:solidFill>
                    <w14:schemeClr w14:val="tx1"/>
                  </w14:solidFill>
                </w14:textFill>
              </w:rPr>
              <w:t>*</w:t>
            </w:r>
          </w:p>
        </w:tc>
        <w:tc>
          <w:tcPr>
            <w:tcW w:w="765"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80.2</w:t>
            </w:r>
          </w:p>
        </w:tc>
        <w:tc>
          <w:tcPr>
            <w:tcW w:w="479"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7" w:hRule="atLeast"/>
        </w:trPr>
        <w:tc>
          <w:tcPr>
            <w:tcW w:w="252" w:type="pct"/>
            <w:vMerge w:val="restar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绿色低碳</w:t>
            </w:r>
          </w:p>
        </w:tc>
        <w:tc>
          <w:tcPr>
            <w:tcW w:w="348"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16</w:t>
            </w:r>
          </w:p>
        </w:tc>
        <w:tc>
          <w:tcPr>
            <w:tcW w:w="2524" w:type="pct"/>
            <w:gridSpan w:val="2"/>
            <w:vAlign w:val="center"/>
          </w:tcPr>
          <w:p>
            <w:pPr>
              <w:widowControl/>
              <w:spacing w:line="280" w:lineRule="exact"/>
              <w:rPr>
                <w:bCs w:val="0"/>
                <w:color w:val="000000" w:themeColor="text1"/>
                <w:kern w:val="0"/>
                <w:szCs w:val="21"/>
                <w14:textFill>
                  <w14:solidFill>
                    <w14:schemeClr w14:val="tx1"/>
                  </w14:solidFill>
                </w14:textFill>
              </w:rPr>
            </w:pPr>
            <w:r>
              <w:rPr>
                <w:rFonts w:ascii="Times New Roman" w:hAnsi="Times New Roman" w:cs="Times New Roman"/>
                <w:color w:val="000000" w:themeColor="text1"/>
                <w:spacing w:val="-6"/>
                <w:kern w:val="0"/>
                <w:szCs w:val="21"/>
                <w14:textFill>
                  <w14:solidFill>
                    <w14:schemeClr w14:val="tx1"/>
                  </w14:solidFill>
                </w14:textFill>
              </w:rPr>
              <w:t>单位GDP二氧化碳排放降低（%）</w:t>
            </w:r>
          </w:p>
        </w:tc>
        <w:tc>
          <w:tcPr>
            <w:tcW w:w="629" w:type="pct"/>
            <w:vAlign w:val="center"/>
          </w:tcPr>
          <w:p>
            <w:pPr>
              <w:widowControl/>
              <w:spacing w:line="280" w:lineRule="exact"/>
              <w:jc w:val="center"/>
              <w:rPr>
                <w:bCs w:val="0"/>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w:t>
            </w:r>
          </w:p>
        </w:tc>
        <w:tc>
          <w:tcPr>
            <w:tcW w:w="765"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以省下达</w:t>
            </w:r>
          </w:p>
          <w:p>
            <w:pPr>
              <w:widowControl/>
              <w:spacing w:line="280" w:lineRule="exact"/>
              <w:jc w:val="center"/>
              <w:rPr>
                <w:bCs w:val="0"/>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任务为准</w:t>
            </w:r>
          </w:p>
        </w:tc>
        <w:tc>
          <w:tcPr>
            <w:tcW w:w="479" w:type="pct"/>
            <w:vAlign w:val="center"/>
          </w:tcPr>
          <w:p>
            <w:pPr>
              <w:widowControl/>
              <w:spacing w:line="280" w:lineRule="exact"/>
              <w:jc w:val="center"/>
              <w:rPr>
                <w:bCs w:val="0"/>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7" w:hRule="atLeast"/>
        </w:trPr>
        <w:tc>
          <w:tcPr>
            <w:tcW w:w="252" w:type="pct"/>
            <w:vMerge w:val="continue"/>
            <w:vAlign w:val="center"/>
          </w:tcPr>
          <w:p>
            <w:pPr>
              <w:widowControl/>
              <w:spacing w:line="280" w:lineRule="exact"/>
              <w:jc w:val="center"/>
              <w:rPr>
                <w:color w:val="000000" w:themeColor="text1"/>
                <w:kern w:val="0"/>
                <w:szCs w:val="21"/>
                <w14:textFill>
                  <w14:solidFill>
                    <w14:schemeClr w14:val="tx1"/>
                  </w14:solidFill>
                </w14:textFill>
              </w:rPr>
            </w:pPr>
          </w:p>
        </w:tc>
        <w:tc>
          <w:tcPr>
            <w:tcW w:w="348"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17</w:t>
            </w:r>
          </w:p>
        </w:tc>
        <w:tc>
          <w:tcPr>
            <w:tcW w:w="2524" w:type="pct"/>
            <w:gridSpan w:val="2"/>
            <w:vAlign w:val="center"/>
          </w:tcPr>
          <w:p>
            <w:pPr>
              <w:widowControl/>
              <w:spacing w:line="280" w:lineRule="exact"/>
              <w:rPr>
                <w:bCs w:val="0"/>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非化石能源占能源消费总量比重（%）</w:t>
            </w:r>
          </w:p>
        </w:tc>
        <w:tc>
          <w:tcPr>
            <w:tcW w:w="629" w:type="pct"/>
            <w:vAlign w:val="center"/>
          </w:tcPr>
          <w:p>
            <w:pPr>
              <w:widowControl/>
              <w:spacing w:line="280" w:lineRule="exact"/>
              <w:jc w:val="center"/>
              <w:rPr>
                <w:bCs w:val="0"/>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23.7</w:t>
            </w:r>
          </w:p>
        </w:tc>
        <w:tc>
          <w:tcPr>
            <w:tcW w:w="765"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以省下达</w:t>
            </w:r>
          </w:p>
          <w:p>
            <w:pPr>
              <w:widowControl/>
              <w:spacing w:line="280" w:lineRule="exact"/>
              <w:jc w:val="center"/>
              <w:rPr>
                <w:bCs w:val="0"/>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任务为准</w:t>
            </w:r>
          </w:p>
        </w:tc>
        <w:tc>
          <w:tcPr>
            <w:tcW w:w="479" w:type="pct"/>
            <w:vAlign w:val="center"/>
          </w:tcPr>
          <w:p>
            <w:pPr>
              <w:widowControl/>
              <w:spacing w:line="280" w:lineRule="exact"/>
              <w:jc w:val="center"/>
              <w:rPr>
                <w:bCs w:val="0"/>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7" w:hRule="atLeast"/>
        </w:trPr>
        <w:tc>
          <w:tcPr>
            <w:tcW w:w="252" w:type="pct"/>
            <w:vMerge w:val="continue"/>
            <w:vAlign w:val="center"/>
          </w:tcPr>
          <w:p>
            <w:pPr>
              <w:widowControl/>
              <w:spacing w:line="280" w:lineRule="exact"/>
              <w:jc w:val="center"/>
              <w:rPr>
                <w:color w:val="000000" w:themeColor="text1"/>
                <w:kern w:val="0"/>
                <w:szCs w:val="21"/>
                <w14:textFill>
                  <w14:solidFill>
                    <w14:schemeClr w14:val="tx1"/>
                  </w14:solidFill>
                </w14:textFill>
              </w:rPr>
            </w:pPr>
          </w:p>
        </w:tc>
        <w:tc>
          <w:tcPr>
            <w:tcW w:w="348"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18</w:t>
            </w:r>
          </w:p>
        </w:tc>
        <w:tc>
          <w:tcPr>
            <w:tcW w:w="2524" w:type="pct"/>
            <w:gridSpan w:val="2"/>
            <w:vAlign w:val="center"/>
          </w:tcPr>
          <w:p>
            <w:pPr>
              <w:widowControl/>
              <w:spacing w:line="280" w:lineRule="exact"/>
              <w:rPr>
                <w:bCs w:val="0"/>
                <w:color w:val="000000" w:themeColor="text1"/>
                <w:kern w:val="0"/>
                <w:szCs w:val="21"/>
                <w14:textFill>
                  <w14:solidFill>
                    <w14:schemeClr w14:val="tx1"/>
                  </w14:solidFill>
                </w14:textFill>
              </w:rPr>
            </w:pPr>
            <w:r>
              <w:rPr>
                <w:rFonts w:ascii="Times New Roman" w:hAnsi="Times New Roman" w:cs="Times New Roman"/>
                <w:color w:val="000000" w:themeColor="text1"/>
                <w:spacing w:val="-6"/>
                <w:kern w:val="0"/>
                <w:szCs w:val="21"/>
                <w14:textFill>
                  <w14:solidFill>
                    <w14:schemeClr w14:val="tx1"/>
                  </w14:solidFill>
                </w14:textFill>
              </w:rPr>
              <w:t>地级及以上城市细颗粒物（PM2.5）浓度（微克/立方米）</w:t>
            </w:r>
          </w:p>
        </w:tc>
        <w:tc>
          <w:tcPr>
            <w:tcW w:w="629" w:type="pct"/>
            <w:vAlign w:val="center"/>
          </w:tcPr>
          <w:p>
            <w:pPr>
              <w:widowControl/>
              <w:spacing w:line="280" w:lineRule="exact"/>
              <w:jc w:val="center"/>
              <w:rPr>
                <w:bCs w:val="0"/>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28.8</w:t>
            </w:r>
          </w:p>
        </w:tc>
        <w:tc>
          <w:tcPr>
            <w:tcW w:w="765"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以省下达</w:t>
            </w:r>
          </w:p>
          <w:p>
            <w:pPr>
              <w:widowControl/>
              <w:spacing w:line="280" w:lineRule="exact"/>
              <w:jc w:val="center"/>
              <w:rPr>
                <w:bCs w:val="0"/>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任务为准</w:t>
            </w:r>
          </w:p>
        </w:tc>
        <w:tc>
          <w:tcPr>
            <w:tcW w:w="479" w:type="pct"/>
            <w:vAlign w:val="center"/>
          </w:tcPr>
          <w:p>
            <w:pPr>
              <w:widowControl/>
              <w:spacing w:line="280" w:lineRule="exact"/>
              <w:jc w:val="center"/>
              <w:rPr>
                <w:bCs w:val="0"/>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7" w:hRule="atLeast"/>
        </w:trPr>
        <w:tc>
          <w:tcPr>
            <w:tcW w:w="252" w:type="pct"/>
            <w:vMerge w:val="continue"/>
            <w:vAlign w:val="center"/>
          </w:tcPr>
          <w:p>
            <w:pPr>
              <w:widowControl/>
              <w:spacing w:line="280" w:lineRule="exact"/>
              <w:jc w:val="center"/>
              <w:rPr>
                <w:color w:val="000000" w:themeColor="text1"/>
                <w:kern w:val="0"/>
                <w:szCs w:val="21"/>
                <w14:textFill>
                  <w14:solidFill>
                    <w14:schemeClr w14:val="tx1"/>
                  </w14:solidFill>
                </w14:textFill>
              </w:rPr>
            </w:pPr>
          </w:p>
        </w:tc>
        <w:tc>
          <w:tcPr>
            <w:tcW w:w="348"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19</w:t>
            </w:r>
          </w:p>
        </w:tc>
        <w:tc>
          <w:tcPr>
            <w:tcW w:w="2524" w:type="pct"/>
            <w:gridSpan w:val="2"/>
            <w:vAlign w:val="center"/>
          </w:tcPr>
          <w:p>
            <w:pPr>
              <w:widowControl/>
              <w:spacing w:line="280" w:lineRule="exact"/>
              <w:rPr>
                <w:bCs w:val="0"/>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优良水体比例（%）</w:t>
            </w:r>
          </w:p>
        </w:tc>
        <w:tc>
          <w:tcPr>
            <w:tcW w:w="629" w:type="pct"/>
            <w:vAlign w:val="center"/>
          </w:tcPr>
          <w:p>
            <w:pPr>
              <w:widowControl/>
              <w:spacing w:line="280" w:lineRule="exact"/>
              <w:jc w:val="center"/>
              <w:rPr>
                <w:bCs w:val="0"/>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100</w:t>
            </w:r>
          </w:p>
        </w:tc>
        <w:tc>
          <w:tcPr>
            <w:tcW w:w="765"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以省下达</w:t>
            </w:r>
          </w:p>
          <w:p>
            <w:pPr>
              <w:widowControl/>
              <w:spacing w:line="280" w:lineRule="exact"/>
              <w:jc w:val="center"/>
              <w:rPr>
                <w:bCs w:val="0"/>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任务为准</w:t>
            </w:r>
          </w:p>
        </w:tc>
        <w:tc>
          <w:tcPr>
            <w:tcW w:w="479" w:type="pct"/>
            <w:vAlign w:val="center"/>
          </w:tcPr>
          <w:p>
            <w:pPr>
              <w:widowControl/>
              <w:spacing w:line="280" w:lineRule="exact"/>
              <w:jc w:val="center"/>
              <w:rPr>
                <w:bCs w:val="0"/>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9" w:hRule="atLeast"/>
        </w:trPr>
        <w:tc>
          <w:tcPr>
            <w:tcW w:w="252" w:type="pct"/>
            <w:vMerge w:val="continue"/>
            <w:vAlign w:val="center"/>
          </w:tcPr>
          <w:p>
            <w:pPr>
              <w:widowControl/>
              <w:spacing w:line="280" w:lineRule="exact"/>
              <w:jc w:val="center"/>
              <w:rPr>
                <w:color w:val="000000" w:themeColor="text1"/>
                <w:kern w:val="0"/>
                <w:szCs w:val="21"/>
                <w14:textFill>
                  <w14:solidFill>
                    <w14:schemeClr w14:val="tx1"/>
                  </w14:solidFill>
                </w14:textFill>
              </w:rPr>
            </w:pPr>
          </w:p>
        </w:tc>
        <w:tc>
          <w:tcPr>
            <w:tcW w:w="348"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20</w:t>
            </w:r>
          </w:p>
        </w:tc>
        <w:tc>
          <w:tcPr>
            <w:tcW w:w="2524" w:type="pct"/>
            <w:gridSpan w:val="2"/>
            <w:vAlign w:val="center"/>
          </w:tcPr>
          <w:p>
            <w:pPr>
              <w:widowControl/>
              <w:spacing w:line="280" w:lineRule="exact"/>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森林覆盖率（%）</w:t>
            </w:r>
          </w:p>
        </w:tc>
        <w:tc>
          <w:tcPr>
            <w:tcW w:w="629"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67.59*</w:t>
            </w:r>
          </w:p>
        </w:tc>
        <w:tc>
          <w:tcPr>
            <w:tcW w:w="765"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67.7</w:t>
            </w:r>
          </w:p>
        </w:tc>
        <w:tc>
          <w:tcPr>
            <w:tcW w:w="479"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9" w:hRule="atLeast"/>
        </w:trPr>
        <w:tc>
          <w:tcPr>
            <w:tcW w:w="252" w:type="pct"/>
            <w:vMerge w:val="restar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安全保障</w:t>
            </w:r>
          </w:p>
        </w:tc>
        <w:tc>
          <w:tcPr>
            <w:tcW w:w="348"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21</w:t>
            </w:r>
          </w:p>
        </w:tc>
        <w:tc>
          <w:tcPr>
            <w:tcW w:w="2524" w:type="pct"/>
            <w:gridSpan w:val="2"/>
            <w:vAlign w:val="center"/>
          </w:tcPr>
          <w:p>
            <w:pPr>
              <w:widowControl/>
              <w:spacing w:line="280" w:lineRule="exact"/>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粮食综合生产能力（万吨）</w:t>
            </w:r>
          </w:p>
        </w:tc>
        <w:tc>
          <w:tcPr>
            <w:tcW w:w="629"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199</w:t>
            </w:r>
          </w:p>
        </w:tc>
        <w:tc>
          <w:tcPr>
            <w:tcW w:w="765"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200</w:t>
            </w:r>
          </w:p>
        </w:tc>
        <w:tc>
          <w:tcPr>
            <w:tcW w:w="479"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9" w:hRule="atLeast"/>
        </w:trPr>
        <w:tc>
          <w:tcPr>
            <w:tcW w:w="252" w:type="pct"/>
            <w:vMerge w:val="continue"/>
            <w:vAlign w:val="center"/>
          </w:tcPr>
          <w:p>
            <w:pPr>
              <w:widowControl/>
              <w:spacing w:line="280" w:lineRule="exact"/>
              <w:rPr>
                <w:color w:val="000000" w:themeColor="text1"/>
                <w:kern w:val="0"/>
                <w:szCs w:val="21"/>
                <w14:textFill>
                  <w14:solidFill>
                    <w14:schemeClr w14:val="tx1"/>
                  </w14:solidFill>
                </w14:textFill>
              </w:rPr>
            </w:pPr>
          </w:p>
        </w:tc>
        <w:tc>
          <w:tcPr>
            <w:tcW w:w="348"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22</w:t>
            </w:r>
          </w:p>
        </w:tc>
        <w:tc>
          <w:tcPr>
            <w:tcW w:w="2524" w:type="pct"/>
            <w:gridSpan w:val="2"/>
            <w:vAlign w:val="center"/>
          </w:tcPr>
          <w:p>
            <w:pPr>
              <w:widowControl/>
              <w:spacing w:line="280" w:lineRule="exact"/>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能源综合生产能力（万吨标准煤）</w:t>
            </w:r>
          </w:p>
        </w:tc>
        <w:tc>
          <w:tcPr>
            <w:tcW w:w="629"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607.3</w:t>
            </w:r>
          </w:p>
        </w:tc>
        <w:tc>
          <w:tcPr>
            <w:tcW w:w="765"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697</w:t>
            </w:r>
          </w:p>
        </w:tc>
        <w:tc>
          <w:tcPr>
            <w:tcW w:w="479"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8" w:hRule="atLeast"/>
        </w:trPr>
        <w:tc>
          <w:tcPr>
            <w:tcW w:w="252" w:type="pct"/>
            <w:vMerge w:val="continue"/>
            <w:vAlign w:val="center"/>
          </w:tcPr>
          <w:p>
            <w:pPr>
              <w:widowControl/>
              <w:spacing w:line="280" w:lineRule="exact"/>
              <w:rPr>
                <w:color w:val="000000" w:themeColor="text1"/>
                <w:kern w:val="0"/>
                <w:szCs w:val="21"/>
                <w14:textFill>
                  <w14:solidFill>
                    <w14:schemeClr w14:val="tx1"/>
                  </w14:solidFill>
                </w14:textFill>
              </w:rPr>
            </w:pPr>
          </w:p>
        </w:tc>
        <w:tc>
          <w:tcPr>
            <w:tcW w:w="348"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23</w:t>
            </w:r>
          </w:p>
        </w:tc>
        <w:tc>
          <w:tcPr>
            <w:tcW w:w="2524" w:type="pct"/>
            <w:gridSpan w:val="2"/>
            <w:vAlign w:val="center"/>
          </w:tcPr>
          <w:p>
            <w:pPr>
              <w:widowControl/>
              <w:spacing w:line="280" w:lineRule="exact"/>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亿元地区生产总值生产安全事故死亡率（人/亿元）</w:t>
            </w:r>
          </w:p>
        </w:tc>
        <w:tc>
          <w:tcPr>
            <w:tcW w:w="629"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0.0316</w:t>
            </w:r>
          </w:p>
        </w:tc>
        <w:tc>
          <w:tcPr>
            <w:tcW w:w="765"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[-31%]</w:t>
            </w:r>
          </w:p>
        </w:tc>
        <w:tc>
          <w:tcPr>
            <w:tcW w:w="479" w:type="pct"/>
            <w:vAlign w:val="center"/>
          </w:tcPr>
          <w:p>
            <w:pPr>
              <w:widowControl/>
              <w:spacing w:line="280" w:lineRule="exact"/>
              <w:jc w:val="center"/>
              <w:rPr>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5" w:hRule="atLeast"/>
        </w:trPr>
        <w:tc>
          <w:tcPr>
            <w:tcW w:w="5000" w:type="pct"/>
            <w:gridSpan w:val="7"/>
            <w:vAlign w:val="center"/>
          </w:tcPr>
          <w:p>
            <w:pPr>
              <w:widowControl/>
              <w:spacing w:line="280" w:lineRule="exact"/>
              <w:jc w:val="left"/>
              <w:rPr>
                <w:rFonts w:asciiTheme="minorEastAsia" w:hAnsiTheme="minorEastAsia"/>
                <w:color w:val="000000" w:themeColor="text1"/>
                <w:szCs w:val="21"/>
                <w14:textFill>
                  <w14:solidFill>
                    <w14:schemeClr w14:val="tx1"/>
                  </w14:solidFill>
                </w14:textFill>
              </w:rPr>
            </w:pPr>
            <w:r>
              <w:rPr>
                <w:rFonts w:cs="Times New Roman" w:asciiTheme="minorEastAsia" w:hAnsiTheme="minorEastAsia"/>
                <w:color w:val="000000" w:themeColor="text1"/>
                <w:szCs w:val="21"/>
                <w14:textFill>
                  <w14:solidFill>
                    <w14:schemeClr w14:val="tx1"/>
                  </w14:solidFill>
                </w14:textFill>
              </w:rPr>
              <w:t>1.[ ]为5年累计数。</w:t>
            </w:r>
            <w:r>
              <w:rPr>
                <w:rFonts w:hint="eastAsia" w:cs="Times New Roman" w:asciiTheme="minorEastAsia" w:hAnsiTheme="minorEastAsia"/>
                <w:color w:val="000000" w:themeColor="text1"/>
                <w:szCs w:val="21"/>
                <w14:textFill>
                  <w14:solidFill>
                    <w14:schemeClr w14:val="tx1"/>
                  </w14:solidFill>
                </w14:textFill>
              </w:rPr>
              <w:t>2.</w:t>
            </w:r>
            <w:r>
              <w:rPr>
                <w:rFonts w:cs="Times New Roman" w:asciiTheme="minorEastAsia" w:hAnsiTheme="minorEastAsia"/>
                <w:color w:val="000000" w:themeColor="text1"/>
                <w:szCs w:val="21"/>
                <w14:textFill>
                  <w14:solidFill>
                    <w14:schemeClr w14:val="tx1"/>
                  </w14:solidFill>
                </w14:textFill>
              </w:rPr>
              <w:t>带*的为2024年数据。</w:t>
            </w:r>
            <w:r>
              <w:rPr>
                <w:rFonts w:hint="eastAsia" w:cs="Times New Roman" w:asciiTheme="minorEastAsia" w:hAnsiTheme="minorEastAsia"/>
                <w:color w:val="000000" w:themeColor="text1"/>
                <w:szCs w:val="21"/>
                <w14:textFill>
                  <w14:solidFill>
                    <w14:schemeClr w14:val="tx1"/>
                  </w14:solidFill>
                </w14:textFill>
              </w:rPr>
              <w:t>3</w:t>
            </w:r>
            <w:r>
              <w:rPr>
                <w:rFonts w:cs="Times New Roman" w:asciiTheme="minorEastAsia" w:hAnsiTheme="minorEastAsia"/>
                <w:bCs w:val="0"/>
                <w:color w:val="000000" w:themeColor="text1"/>
                <w:szCs w:val="21"/>
                <w14:textFill>
                  <w14:solidFill>
                    <w14:schemeClr w14:val="tx1"/>
                  </w14:solidFill>
                </w14:textFill>
              </w:rPr>
              <w:t>.能源综合生产力统计口径对标省里进行调整。</w:t>
            </w:r>
          </w:p>
        </w:tc>
      </w:tr>
    </w:tbl>
    <w:p>
      <w:pPr>
        <w:ind w:firstLine="720"/>
        <w:rPr>
          <w:rFonts w:eastAsia="方正小标宋简体"/>
          <w:color w:val="000000" w:themeColor="text1"/>
          <w:sz w:val="36"/>
          <w:szCs w:val="36"/>
          <w14:textFill>
            <w14:solidFill>
              <w14:schemeClr w14:val="tx1"/>
            </w14:solidFill>
          </w14:textFill>
        </w:rPr>
      </w:pPr>
    </w:p>
    <w:p>
      <w:pPr>
        <w:pStyle w:val="5"/>
        <w:spacing w:line="580" w:lineRule="exact"/>
        <w:rPr>
          <w:rFonts w:eastAsia="方正小标宋简体"/>
          <w:color w:val="000000" w:themeColor="text1"/>
          <w:sz w:val="36"/>
          <w:szCs w:val="36"/>
          <w14:textFill>
            <w14:solidFill>
              <w14:schemeClr w14:val="tx1"/>
            </w14:solidFill>
          </w14:textFill>
        </w:rPr>
      </w:pPr>
      <w:bookmarkStart w:id="6" w:name="_Toc18912"/>
      <w:r>
        <w:rPr>
          <w:rFonts w:eastAsia="方正小标宋简体"/>
          <w:color w:val="000000" w:themeColor="text1"/>
          <w:sz w:val="36"/>
          <w:szCs w:val="36"/>
          <w14:textFill>
            <w14:solidFill>
              <w14:schemeClr w14:val="tx1"/>
            </w14:solidFill>
          </w14:textFill>
        </w:rPr>
        <w:t>第二篇 加快建设一流国际陆港，推动形成内外联动的   开放新格局</w:t>
      </w:r>
      <w:bookmarkEnd w:id="6"/>
    </w:p>
    <w:p>
      <w:pPr>
        <w:adjustRightInd w:val="0"/>
        <w:snapToGrid w:val="0"/>
        <w:spacing w:line="580" w:lineRule="exact"/>
        <w:ind w:firstLine="640"/>
        <w:rPr>
          <w:rFonts w:eastAsia="仿宋_GB2312"/>
          <w:color w:val="000000" w:themeColor="text1"/>
          <w:sz w:val="32"/>
          <w:szCs w:val="32"/>
          <w:shd w:val="clear" w:color="auto" w:fill="FFFFFF"/>
          <w14:textFill>
            <w14:solidFill>
              <w14:schemeClr w14:val="tx1"/>
            </w14:solidFill>
          </w14:textFill>
        </w:rPr>
      </w:pPr>
    </w:p>
    <w:p>
      <w:pPr>
        <w:adjustRightInd w:val="0"/>
        <w:snapToGrid w:val="0"/>
        <w:spacing w:line="580" w:lineRule="exact"/>
        <w:ind w:firstLine="640"/>
        <w:rPr>
          <w:rFonts w:eastAsia="仿宋_GB2312"/>
          <w:color w:val="000000" w:themeColor="text1"/>
          <w:sz w:val="32"/>
          <w:szCs w:val="32"/>
          <w:shd w:val="clear" w:color="auto" w:fill="FFFFFF"/>
          <w14:textFill>
            <w14:solidFill>
              <w14:schemeClr w14:val="tx1"/>
            </w14:solidFill>
          </w14:textFill>
        </w:rPr>
      </w:pPr>
      <w:r>
        <w:rPr>
          <w:rFonts w:ascii="Times New Roman" w:hAnsi="Times New Roman" w:eastAsia="仿宋_GB2312" w:cs="Times New Roman"/>
          <w:color w:val="000000" w:themeColor="text1"/>
          <w:sz w:val="32"/>
          <w:szCs w:val="32"/>
          <w:shd w:val="clear" w:color="auto" w:fill="FFFFFF"/>
          <w14:textFill>
            <w14:solidFill>
              <w14:schemeClr w14:val="tx1"/>
            </w14:solidFill>
          </w14:textFill>
        </w:rPr>
        <w:t>主动对接融入“一带一路”、西部陆海新通道、海南自由贸易港、粤港澳大湾区等国家重大战略，发挥怀化国际陆港战略支点作用，用好各类开放平台和资源，推动高水平“引进来”与“走出去”双向发力，构建全方位、多层次、宽领域的对外开放新格局，奋力建设内陆地区改革开放高地。</w:t>
      </w:r>
    </w:p>
    <w:p>
      <w:pPr>
        <w:pStyle w:val="6"/>
        <w:spacing w:line="580" w:lineRule="exact"/>
        <w:rPr>
          <w:rFonts w:ascii="Times New Roman" w:hAnsi="Times New Roman" w:eastAsia="黑体" w:cs="Times New Roman"/>
          <w:color w:val="000000" w:themeColor="text1"/>
          <w:sz w:val="32"/>
          <w14:textFill>
            <w14:solidFill>
              <w14:schemeClr w14:val="tx1"/>
            </w14:solidFill>
          </w14:textFill>
        </w:rPr>
      </w:pPr>
    </w:p>
    <w:p>
      <w:pPr>
        <w:pStyle w:val="6"/>
        <w:spacing w:line="580" w:lineRule="exact"/>
        <w:rPr>
          <w:rFonts w:ascii="Times New Roman" w:hAnsi="Times New Roman" w:eastAsia="黑体" w:cs="Times New Roman"/>
          <w:color w:val="000000" w:themeColor="text1"/>
          <w:sz w:val="32"/>
          <w14:textFill>
            <w14:solidFill>
              <w14:schemeClr w14:val="tx1"/>
            </w14:solidFill>
          </w14:textFill>
        </w:rPr>
      </w:pPr>
      <w:bookmarkStart w:id="7" w:name="_Toc30353"/>
      <w:r>
        <w:rPr>
          <w:rFonts w:ascii="Times New Roman" w:hAnsi="Times New Roman" w:eastAsia="黑体" w:cs="Times New Roman"/>
          <w:color w:val="000000" w:themeColor="text1"/>
          <w:sz w:val="32"/>
          <w14:textFill>
            <w14:solidFill>
              <w14:schemeClr w14:val="tx1"/>
            </w14:solidFill>
          </w14:textFill>
        </w:rPr>
        <w:t>第四章 大力提升陆港枢纽能级</w:t>
      </w:r>
      <w:bookmarkEnd w:id="7"/>
    </w:p>
    <w:p>
      <w:pPr>
        <w:pStyle w:val="7"/>
        <w:spacing w:line="580" w:lineRule="exact"/>
        <w:rPr>
          <w:rFonts w:eastAsia="仿宋_GB2312"/>
          <w:color w:val="000000" w:themeColor="text1"/>
          <w:sz w:val="32"/>
          <w14:textFill>
            <w14:solidFill>
              <w14:schemeClr w14:val="tx1"/>
            </w14:solidFill>
          </w14:textFill>
        </w:rPr>
      </w:pPr>
    </w:p>
    <w:p>
      <w:pPr>
        <w:pStyle w:val="7"/>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第一节 优化陆港功能布局</w:t>
      </w:r>
    </w:p>
    <w:p>
      <w:pPr>
        <w:spacing w:line="580" w:lineRule="exact"/>
        <w:ind w:firstLine="640"/>
        <w:rPr>
          <w:rFonts w:eastAsia="仿宋_GB2312"/>
          <w:color w:val="000000" w:themeColor="text1"/>
          <w:sz w:val="32"/>
          <w:szCs w:val="32"/>
          <w14:textFill>
            <w14:solidFill>
              <w14:schemeClr w14:val="tx1"/>
            </w14:solidFill>
          </w14:textFill>
        </w:rPr>
      </w:pPr>
    </w:p>
    <w:p>
      <w:pPr>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充分发挥怀化作为东盟班列主要货源地和重要物流枢纽节点优势，构建以怀化国际陆港主港为核心，会同、新晃两大分港为支撑，其他县（市、区）衔接联动的“1+2+N”陆港发展体系。围绕打造现代化一流国际陆港的目标，主港统筹规划口岸物流、国际商贸、加工贸易三大主体功能区。口岸物流区重点建设保税物流中心（B型）、海关指定监管场地、公铁联运货运站场、省际货运物流集散中心、国际班列集结中心等设施。国际商贸区重点建设内外贸综合服务中心、跨境电商孵化中心、RCEP跨境交易展示中心等平台，承担国际供应链组织、区域分拨调度、高端服务集成及创新策源等功能。加工贸易区重点建设临港产业园，发展区域转口贸易和加工制造。会同分港重点扩大箱包、竹木、家具等特色产业规模，链接湘西南地区，有效集散南向货源。新晃分港重点推动矿产精深加工和特色农产品加工产业转型升级，辐射湘黔交界区域，有效集散西向货源。其他县（市、区）依托本地物流园区，加强与陆港枢纽的有机衔接，发挥比较优势，实现错位发展，共同构建高效联动的货物集疏运网络。推动形成以怀化国际陆港为中心，辐射中西部地区和东盟国家的国际化物流服务圈，建成湖南省改革开放高地标志性工程。</w:t>
      </w:r>
    </w:p>
    <w:p>
      <w:pPr>
        <w:pStyle w:val="2"/>
        <w:rPr>
          <w:color w:val="000000" w:themeColor="text1"/>
          <w14:textFill>
            <w14:solidFill>
              <w14:schemeClr w14:val="tx1"/>
            </w14:solidFill>
          </w14:textFill>
        </w:rPr>
      </w:pPr>
    </w:p>
    <w:p>
      <w:pPr>
        <w:adjustRightInd w:val="0"/>
        <w:snapToGrid w:val="0"/>
        <w:jc w:val="left"/>
        <w:rPr>
          <w:rFonts w:eastAsia="国标楷体"/>
          <w:color w:val="000000" w:themeColor="text1"/>
          <w:sz w:val="32"/>
          <w:szCs w:val="32"/>
          <w14:textFill>
            <w14:solidFill>
              <w14:schemeClr w14:val="tx1"/>
            </w14:solidFill>
          </w14:textFill>
        </w:rPr>
      </w:pPr>
      <w:r>
        <w:rPr>
          <w:color w:val="000000" w:themeColor="text1"/>
          <w14:textFill>
            <w14:solidFill>
              <w14:schemeClr w14:val="tx1"/>
            </w14:solidFill>
          </w14:textFill>
        </w:rPr>
        <w:drawing>
          <wp:inline distT="0" distB="0" distL="0" distR="0">
            <wp:extent cx="5921375" cy="3950970"/>
            <wp:effectExtent l="0" t="0" r="3175" b="11430"/>
            <wp:docPr id="333807318"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33807318" name="图片 2"/>
                    <pic:cNvPicPr>
                      <a:picLocks noChangeAspect="true" noChangeArrowheads="true"/>
                    </pic:cNvPicPr>
                  </pic:nvPicPr>
                  <pic:blipFill>
                    <a:blip r:embed="rId19" cstate="print">
                      <a:extLst>
                        <a:ext uri="{28A0092B-C50C-407E-A947-70E740481C1C}">
                          <a14:useLocalDpi xmlns:a14="http://schemas.microsoft.com/office/drawing/2010/main" val="false"/>
                        </a:ext>
                      </a:extLst>
                    </a:blip>
                    <a:srcRect/>
                    <a:stretch>
                      <a:fillRect/>
                    </a:stretch>
                  </pic:blipFill>
                  <pic:spPr>
                    <a:xfrm>
                      <a:off x="0" y="0"/>
                      <a:ext cx="5921375" cy="3950970"/>
                    </a:xfrm>
                    <a:prstGeom prst="rect">
                      <a:avLst/>
                    </a:prstGeom>
                    <a:noFill/>
                    <a:ln>
                      <a:noFill/>
                    </a:ln>
                  </pic:spPr>
                </pic:pic>
              </a:graphicData>
            </a:graphic>
          </wp:inline>
        </w:drawing>
      </w:r>
    </w:p>
    <w:p>
      <w:pPr>
        <w:widowControl/>
        <w:jc w:val="center"/>
        <w:rPr>
          <w:rFonts w:eastAsia="楷体_GB2312"/>
          <w:color w:val="000000" w:themeColor="text1"/>
          <w:sz w:val="32"/>
          <w:szCs w:val="32"/>
          <w14:textFill>
            <w14:solidFill>
              <w14:schemeClr w14:val="tx1"/>
            </w14:solidFill>
          </w14:textFill>
        </w:rPr>
      </w:pPr>
      <w:r>
        <w:rPr>
          <w:rFonts w:ascii="Times New Roman" w:hAnsi="Times New Roman" w:eastAsia="楷体_GB2312" w:cs="Times New Roman"/>
          <w:color w:val="000000" w:themeColor="text1"/>
          <w:sz w:val="32"/>
          <w:szCs w:val="32"/>
          <w14:textFill>
            <w14:solidFill>
              <w14:schemeClr w14:val="tx1"/>
            </w14:solidFill>
          </w14:textFill>
        </w:rPr>
        <w:t>图2—1 怀化国际陆港发展体系示意图</w:t>
      </w:r>
    </w:p>
    <w:p>
      <w:pPr>
        <w:pStyle w:val="7"/>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第二节 完善陆港基础设施</w:t>
      </w:r>
    </w:p>
    <w:p>
      <w:pPr>
        <w:spacing w:line="580" w:lineRule="exact"/>
        <w:ind w:firstLine="640"/>
        <w:rPr>
          <w:rFonts w:eastAsia="仿宋_GB2312"/>
          <w:color w:val="000000" w:themeColor="text1"/>
          <w:sz w:val="32"/>
          <w:szCs w:val="32"/>
          <w:shd w:val="clear" w:color="auto" w:fill="FFFFFF"/>
          <w14:textFill>
            <w14:solidFill>
              <w14:schemeClr w14:val="tx1"/>
            </w14:solidFill>
          </w14:textFill>
        </w:rPr>
      </w:pPr>
    </w:p>
    <w:p>
      <w:pPr>
        <w:spacing w:line="620" w:lineRule="exact"/>
        <w:ind w:firstLine="641"/>
        <w:rPr>
          <w:rFonts w:eastAsia="仿宋_GB2312"/>
          <w:color w:val="000000" w:themeColor="text1"/>
          <w:sz w:val="32"/>
          <w:szCs w:val="32"/>
          <w:shd w:val="clear" w:color="auto" w:fill="FFFFFF"/>
          <w14:textFill>
            <w14:solidFill>
              <w14:schemeClr w14:val="tx1"/>
            </w14:solidFill>
          </w14:textFill>
        </w:rPr>
      </w:pPr>
      <w:r>
        <w:rPr>
          <w:rFonts w:ascii="Times New Roman" w:hAnsi="Times New Roman" w:eastAsia="仿宋_GB2312" w:cs="Times New Roman"/>
          <w:color w:val="000000" w:themeColor="text1"/>
          <w:sz w:val="32"/>
          <w:szCs w:val="32"/>
          <w:shd w:val="clear" w:color="auto" w:fill="FFFFFF"/>
          <w14:textFill>
            <w14:solidFill>
              <w14:schemeClr w14:val="tx1"/>
            </w14:solidFill>
          </w14:textFill>
        </w:rPr>
        <w:t>加快建设西部陆海新通道怀化国际陆港项目，夯实港区基础设施建设，大力完善集疏运体系，提升多式联运衔接能力。加快构建协同运输体系，推动铁路专用线应建尽建、能接尽接，提速高速公路、干线公路及连接线建设，加密县域快速物流通道，畅通货运服务“最后一公里”。规划建设陆空联运专用通道及中转分拨中心，加强与芷江航空港联动，推动流程衔接与信息共享。推动沅水航道、㵲水航道贯通，加快全线航运码头建设。持续推进货运堆场、物流仓储、冷链仓储、多式联运等配套建设，完善口岸查验场地、设备及指定监管设施，提升口岸通关能力。加快港区综合服务设施建设，统筹布局5G、物联网等新型基础设施，建设数字孪生港区管理平台，推动运营管理智能化、绿色化发展。</w:t>
      </w:r>
    </w:p>
    <w:tbl>
      <w:tblPr>
        <w:tblStyle w:val="25"/>
        <w:tblpPr w:leftFromText="180" w:rightFromText="180" w:vertAnchor="text" w:horzAnchor="page" w:tblpXSpec="center" w:tblpY="302"/>
        <w:tblOverlap w:val="never"/>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071" w:type="dxa"/>
            <w:tcBorders>
              <w:bottom w:val="single" w:color="auto" w:sz="4" w:space="0"/>
            </w:tcBorders>
            <w:vAlign w:val="center"/>
          </w:tcPr>
          <w:p>
            <w:pPr>
              <w:adjustRightInd w:val="0"/>
              <w:snapToGrid w:val="0"/>
              <w:spacing w:line="490" w:lineRule="exact"/>
              <w:jc w:val="center"/>
              <w:rPr>
                <w:rFonts w:eastAsia="黑体"/>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专栏2—1 怀化国际陆港基础设施提质工程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28" w:hRule="atLeast"/>
          <w:jc w:val="center"/>
        </w:trPr>
        <w:tc>
          <w:tcPr>
            <w:tcW w:w="9071" w:type="dxa"/>
            <w:tcBorders>
              <w:top w:val="single" w:color="auto" w:sz="4" w:space="0"/>
            </w:tcBorders>
            <w:vAlign w:val="center"/>
          </w:tcPr>
          <w:p>
            <w:pPr>
              <w:widowControl/>
              <w:adjustRightInd w:val="0"/>
              <w:snapToGrid w:val="0"/>
              <w:spacing w:line="500" w:lineRule="exact"/>
              <w:ind w:firstLine="643"/>
              <w:rPr>
                <w:rFonts w:eastAsia="楷体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1.交通基础设施。</w:t>
            </w:r>
            <w:r>
              <w:rPr>
                <w:rFonts w:ascii="Times New Roman" w:hAnsi="Times New Roman" w:eastAsia="楷体_GB2312" w:cs="Times New Roman"/>
                <w:bCs w:val="0"/>
                <w:color w:val="000000" w:themeColor="text1"/>
                <w:sz w:val="32"/>
                <w:szCs w:val="32"/>
                <w14:textFill>
                  <w14:solidFill>
                    <w14:schemeClr w14:val="tx1"/>
                  </w14:solidFill>
                </w14:textFill>
              </w:rPr>
              <w:t>建设怀化国际陆港铁路专用线（二期）及江坪铁路站场工程项目，加快鹤城、新晃、会同、辰溪等铁路专用线建设，</w:t>
            </w:r>
            <w:r>
              <w:rPr>
                <w:rFonts w:hint="eastAsia" w:eastAsia="楷体_GB2312" w:cs="Times New Roman"/>
                <w:bCs w:val="0"/>
                <w:color w:val="000000" w:themeColor="text1"/>
                <w:sz w:val="32"/>
                <w:szCs w:val="32"/>
                <w14:textFill>
                  <w14:solidFill>
                    <w14:schemeClr w14:val="tx1"/>
                  </w14:solidFill>
                </w14:textFill>
              </w:rPr>
              <w:t>实施</w:t>
            </w:r>
            <w:r>
              <w:rPr>
                <w:rFonts w:ascii="Times New Roman" w:hAnsi="Times New Roman" w:eastAsia="楷体_GB2312" w:cs="Times New Roman"/>
                <w:bCs w:val="0"/>
                <w:color w:val="000000" w:themeColor="text1"/>
                <w:sz w:val="32"/>
                <w:szCs w:val="32"/>
                <w14:textFill>
                  <w14:solidFill>
                    <w14:schemeClr w14:val="tx1"/>
                  </w14:solidFill>
                </w14:textFill>
              </w:rPr>
              <w:t>如意路大桥建设项目，续建G209会同坪村至林城公路改建工程，建设G209怀化国际陆港改线、G320中方至芷江段改线等项目。</w:t>
            </w:r>
          </w:p>
          <w:p>
            <w:pPr>
              <w:widowControl/>
              <w:adjustRightInd w:val="0"/>
              <w:snapToGrid w:val="0"/>
              <w:spacing w:line="500" w:lineRule="exact"/>
              <w:ind w:firstLine="643"/>
              <w:rPr>
                <w:rFonts w:eastAsia="楷体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2.港区功能设施。</w:t>
            </w:r>
            <w:r>
              <w:rPr>
                <w:rFonts w:ascii="Times New Roman" w:hAnsi="Times New Roman" w:eastAsia="楷体_GB2312" w:cs="Times New Roman"/>
                <w:color w:val="000000" w:themeColor="text1"/>
                <w:sz w:val="32"/>
                <w:szCs w:val="32"/>
                <w14:textFill>
                  <w14:solidFill>
                    <w14:schemeClr w14:val="tx1"/>
                  </w14:solidFill>
                </w14:textFill>
              </w:rPr>
              <w:t>建设陆港商贸服务综合物流枢纽及配套项目、陆港（北区）基础设施提质改造及配套建设项目、陆港（南区）新建基础设施及配套项目、陆港高标准仓储基地（二标段）项目、怀化智慧冷链物流中心、陆港零担物流园、陆港湘鄂赣省际货运物流集散中心，搭建</w:t>
            </w:r>
            <w:r>
              <w:rPr>
                <w:rFonts w:hint="eastAsia" w:eastAsia="楷体_GB2312" w:cs="Times New Roman"/>
                <w:color w:val="000000" w:themeColor="text1"/>
                <w:sz w:val="32"/>
                <w:szCs w:val="32"/>
                <w14:textFill>
                  <w14:solidFill>
                    <w14:schemeClr w14:val="tx1"/>
                  </w14:solidFill>
                </w14:textFill>
              </w:rPr>
              <w:t>怀化</w:t>
            </w:r>
            <w:r>
              <w:rPr>
                <w:rFonts w:ascii="Times New Roman" w:hAnsi="Times New Roman" w:eastAsia="楷体_GB2312" w:cs="Times New Roman"/>
                <w:color w:val="000000" w:themeColor="text1"/>
                <w:sz w:val="32"/>
                <w:szCs w:val="32"/>
                <w14:textFill>
                  <w14:solidFill>
                    <w14:schemeClr w14:val="tx1"/>
                  </w14:solidFill>
                </w14:textFill>
              </w:rPr>
              <w:t>国际陆港体系智慧信息平台。建设怀化国际粮食物流加工产业园、会同县连山工业园公铁联运物流园项目、陆港（会同）综合物流枢纽及配套基础设施项目、陆港新晃港大新物流园、陆港化工多式联运仓储物流港建设项目、怀化国际航空货运港（芷江）临空经济区、陆港</w:t>
            </w:r>
            <w:r>
              <w:rPr>
                <w:rFonts w:hint="eastAsia" w:eastAsia="楷体_GB2312" w:cs="Times New Roman"/>
                <w:color w:val="000000" w:themeColor="text1"/>
                <w:sz w:val="32"/>
                <w:szCs w:val="32"/>
                <w14:textFill>
                  <w14:solidFill>
                    <w14:schemeClr w14:val="tx1"/>
                  </w14:solidFill>
                </w14:textFill>
              </w:rPr>
              <w:t>（</w:t>
            </w:r>
            <w:r>
              <w:rPr>
                <w:rFonts w:ascii="Times New Roman" w:hAnsi="Times New Roman" w:eastAsia="楷体_GB2312" w:cs="Times New Roman"/>
                <w:color w:val="000000" w:themeColor="text1"/>
                <w:sz w:val="32"/>
                <w:szCs w:val="32"/>
                <w14:textFill>
                  <w14:solidFill>
                    <w14:schemeClr w14:val="tx1"/>
                  </w14:solidFill>
                </w14:textFill>
              </w:rPr>
              <w:t>辰溪</w:t>
            </w:r>
            <w:r>
              <w:rPr>
                <w:rFonts w:hint="eastAsia" w:eastAsia="楷体_GB2312" w:cs="Times New Roman"/>
                <w:color w:val="000000" w:themeColor="text1"/>
                <w:sz w:val="32"/>
                <w:szCs w:val="32"/>
                <w14:textFill>
                  <w14:solidFill>
                    <w14:schemeClr w14:val="tx1"/>
                  </w14:solidFill>
                </w14:textFill>
              </w:rPr>
              <w:t>）</w:t>
            </w:r>
            <w:r>
              <w:rPr>
                <w:rFonts w:ascii="Times New Roman" w:hAnsi="Times New Roman" w:eastAsia="楷体_GB2312" w:cs="Times New Roman"/>
                <w:color w:val="000000" w:themeColor="text1"/>
                <w:sz w:val="32"/>
                <w:szCs w:val="32"/>
                <w14:textFill>
                  <w14:solidFill>
                    <w14:schemeClr w14:val="tx1"/>
                  </w14:solidFill>
                </w14:textFill>
              </w:rPr>
              <w:t>公铁水多式联运及物流园。</w:t>
            </w:r>
          </w:p>
          <w:p>
            <w:pPr>
              <w:widowControl/>
              <w:adjustRightInd w:val="0"/>
              <w:snapToGrid w:val="0"/>
              <w:spacing w:line="500" w:lineRule="exact"/>
              <w:ind w:firstLine="643"/>
              <w:rPr>
                <w:rFonts w:eastAsia="楷体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3.港区综合服务设施。</w:t>
            </w:r>
            <w:r>
              <w:rPr>
                <w:rFonts w:ascii="Times New Roman" w:hAnsi="Times New Roman" w:eastAsia="楷体_GB2312" w:cs="Times New Roman"/>
                <w:bCs w:val="0"/>
                <w:color w:val="000000" w:themeColor="text1"/>
                <w:sz w:val="32"/>
                <w:szCs w:val="32"/>
                <w14:textFill>
                  <w14:solidFill>
                    <w14:schemeClr w14:val="tx1"/>
                  </w14:solidFill>
                </w14:textFill>
              </w:rPr>
              <w:t>建设陆港智慧城市运营项目、</w:t>
            </w:r>
            <w:r>
              <w:rPr>
                <w:rFonts w:ascii="Times New Roman" w:hAnsi="Times New Roman" w:eastAsia="楷体_GB2312" w:cs="Times New Roman"/>
                <w:color w:val="000000" w:themeColor="text1"/>
                <w:sz w:val="32"/>
                <w:szCs w:val="32"/>
                <w14:textFill>
                  <w14:solidFill>
                    <w14:schemeClr w14:val="tx1"/>
                  </w14:solidFill>
                </w14:textFill>
              </w:rPr>
              <w:t>陆港现代服务业产业孵化园项目、</w:t>
            </w:r>
            <w:r>
              <w:rPr>
                <w:rFonts w:ascii="Times New Roman" w:hAnsi="Times New Roman" w:eastAsia="楷体_GB2312" w:cs="Times New Roman"/>
                <w:bCs w:val="0"/>
                <w:color w:val="000000" w:themeColor="text1"/>
                <w:sz w:val="32"/>
                <w:szCs w:val="32"/>
                <w14:textFill>
                  <w14:solidFill>
                    <w14:schemeClr w14:val="tx1"/>
                  </w14:solidFill>
                </w14:textFill>
              </w:rPr>
              <w:t>内外贸综合服务中心项目、</w:t>
            </w:r>
            <w:r>
              <w:rPr>
                <w:rFonts w:ascii="Times New Roman" w:hAnsi="Times New Roman" w:eastAsia="楷体_GB2312" w:cs="Times New Roman"/>
                <w:color w:val="000000" w:themeColor="text1"/>
                <w:sz w:val="32"/>
                <w:szCs w:val="32"/>
                <w14:textFill>
                  <w14:solidFill>
                    <w14:schemeClr w14:val="tx1"/>
                  </w14:solidFill>
                </w14:textFill>
              </w:rPr>
              <w:t>陆港零碳园区项目、</w:t>
            </w:r>
            <w:r>
              <w:rPr>
                <w:rFonts w:ascii="Times New Roman" w:hAnsi="Times New Roman" w:eastAsia="楷体_GB2312" w:cs="Times New Roman"/>
                <w:bCs w:val="0"/>
                <w:color w:val="000000" w:themeColor="text1"/>
                <w:sz w:val="32"/>
                <w:szCs w:val="32"/>
                <w14:textFill>
                  <w14:solidFill>
                    <w14:schemeClr w14:val="tx1"/>
                  </w14:solidFill>
                </w14:textFill>
              </w:rPr>
              <w:t>AI陆港智能应用合作中心项目、陆港重卡智慧停车场项目、陆港光储充低碳城市能源网建设项目，</w:t>
            </w:r>
            <w:r>
              <w:rPr>
                <w:rFonts w:ascii="Times New Roman" w:hAnsi="Times New Roman" w:eastAsia="楷体_GB2312" w:cs="Times New Roman"/>
                <w:color w:val="000000" w:themeColor="text1"/>
                <w:sz w:val="32"/>
                <w:szCs w:val="32"/>
                <w14:textFill>
                  <w14:solidFill>
                    <w14:schemeClr w14:val="tx1"/>
                  </w14:solidFill>
                </w14:textFill>
              </w:rPr>
              <w:t>合理布局加油加气、维修保养、停车场等配套服务设施</w:t>
            </w:r>
            <w:r>
              <w:rPr>
                <w:rFonts w:ascii="Times New Roman" w:hAnsi="Times New Roman" w:eastAsia="楷体_GB2312" w:cs="Times New Roman"/>
                <w:bCs w:val="0"/>
                <w:color w:val="000000" w:themeColor="text1"/>
                <w:sz w:val="32"/>
                <w:szCs w:val="32"/>
                <w14:textFill>
                  <w14:solidFill>
                    <w14:schemeClr w14:val="tx1"/>
                  </w14:solidFill>
                </w14:textFill>
              </w:rPr>
              <w:t>。</w:t>
            </w:r>
          </w:p>
        </w:tc>
      </w:tr>
    </w:tbl>
    <w:p>
      <w:pPr>
        <w:pStyle w:val="7"/>
        <w:spacing w:line="580" w:lineRule="exact"/>
        <w:rPr>
          <w:rFonts w:eastAsia="仿宋_GB2312"/>
          <w:color w:val="000000" w:themeColor="text1"/>
          <w:sz w:val="32"/>
          <w14:textFill>
            <w14:solidFill>
              <w14:schemeClr w14:val="tx1"/>
            </w14:solidFill>
          </w14:textFill>
        </w:rPr>
      </w:pPr>
    </w:p>
    <w:p>
      <w:pPr>
        <w:pStyle w:val="7"/>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第三节 提升组织运营能力</w:t>
      </w:r>
    </w:p>
    <w:p>
      <w:pPr>
        <w:spacing w:line="580" w:lineRule="exact"/>
        <w:ind w:firstLine="640"/>
        <w:rPr>
          <w:rFonts w:eastAsia="仿宋_GB2312"/>
          <w:color w:val="000000" w:themeColor="text1"/>
          <w:sz w:val="32"/>
          <w:szCs w:val="32"/>
          <w14:textFill>
            <w14:solidFill>
              <w14:schemeClr w14:val="tx1"/>
            </w14:solidFill>
          </w14:textFill>
        </w:rPr>
      </w:pPr>
    </w:p>
    <w:p>
      <w:pPr>
        <w:spacing w:line="62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bCs w:val="0"/>
          <w:color w:val="000000" w:themeColor="text1"/>
          <w:sz w:val="32"/>
          <w:szCs w:val="32"/>
          <w14:textFill>
            <w14:solidFill>
              <w14:schemeClr w14:val="tx1"/>
            </w14:solidFill>
          </w14:textFill>
        </w:rPr>
        <w:t>推动东盟货运集结中心迭代升级，打造东盟国际供应链组织中心，完善跨境电商集拼、进口商品集采及中部地区冷链物流集散等功能。推动班列实现常态化、网络化、品牌化运营，加快</w:t>
      </w:r>
      <w:r>
        <w:rPr>
          <w:rFonts w:ascii="Times New Roman" w:hAnsi="Times New Roman" w:eastAsia="仿宋_GB2312" w:cs="Times New Roman"/>
          <w:color w:val="000000" w:themeColor="text1"/>
          <w:sz w:val="32"/>
          <w:szCs w:val="32"/>
          <w14:textFill>
            <w14:solidFill>
              <w14:schemeClr w14:val="tx1"/>
            </w14:solidFill>
          </w14:textFill>
        </w:rPr>
        <w:t>建设面向东盟、中亚的国际物流组织平台，创新“跨境电商+国际班列+海外仓”一体化运营模式。推动RCEP多式联运中心运营提质，</w:t>
      </w:r>
      <w:r>
        <w:rPr>
          <w:rFonts w:ascii="Times New Roman" w:hAnsi="Times New Roman" w:eastAsia="仿宋_GB2312" w:cs="Times New Roman"/>
          <w:bCs w:val="0"/>
          <w:color w:val="000000" w:themeColor="text1"/>
          <w:sz w:val="32"/>
          <w:szCs w:val="32"/>
          <w14:textFill>
            <w14:solidFill>
              <w14:schemeClr w14:val="tx1"/>
            </w14:solidFill>
          </w14:textFill>
        </w:rPr>
        <w:t>建立与</w:t>
      </w:r>
      <w:r>
        <w:rPr>
          <w:rFonts w:hint="eastAsia" w:eastAsia="仿宋_GB2312" w:cs="Times New Roman"/>
          <w:bCs w:val="0"/>
          <w:color w:val="000000" w:themeColor="text1"/>
          <w:sz w:val="32"/>
          <w:szCs w:val="32"/>
          <w14:textFill>
            <w14:solidFill>
              <w14:schemeClr w14:val="tx1"/>
            </w14:solidFill>
          </w14:textFill>
        </w:rPr>
        <w:t>沿海</w:t>
      </w:r>
      <w:r>
        <w:rPr>
          <w:rFonts w:ascii="Times New Roman" w:hAnsi="Times New Roman" w:eastAsia="仿宋_GB2312" w:cs="Times New Roman"/>
          <w:bCs w:val="0"/>
          <w:color w:val="000000" w:themeColor="text1"/>
          <w:sz w:val="32"/>
          <w:szCs w:val="32"/>
          <w14:textFill>
            <w14:solidFill>
              <w14:schemeClr w14:val="tx1"/>
            </w14:solidFill>
          </w14:textFill>
        </w:rPr>
        <w:t>出口港全面对标的货物运输标准体系，</w:t>
      </w:r>
      <w:r>
        <w:rPr>
          <w:rFonts w:ascii="Times New Roman" w:hAnsi="Times New Roman" w:eastAsia="仿宋_GB2312" w:cs="Times New Roman"/>
          <w:color w:val="000000" w:themeColor="text1"/>
          <w:sz w:val="32"/>
          <w:szCs w:val="32"/>
          <w14:textFill>
            <w14:solidFill>
              <w14:schemeClr w14:val="tx1"/>
            </w14:solidFill>
          </w14:textFill>
        </w:rPr>
        <w:t>优化跨境物流组织，提高班列运行效率和服务水平。打造冷链特色陆港，</w:t>
      </w:r>
      <w:r>
        <w:rPr>
          <w:rFonts w:ascii="Times New Roman" w:hAnsi="Times New Roman" w:eastAsia="仿宋_GB2312" w:cs="Times New Roman"/>
          <w:bCs w:val="0"/>
          <w:color w:val="000000" w:themeColor="text1"/>
          <w:sz w:val="32"/>
          <w:szCs w:val="32"/>
          <w14:textFill>
            <w14:solidFill>
              <w14:schemeClr w14:val="tx1"/>
            </w14:solidFill>
          </w14:textFill>
        </w:rPr>
        <w:t>加快</w:t>
      </w:r>
      <w:r>
        <w:rPr>
          <w:rFonts w:hint="eastAsia" w:ascii="Times New Roman" w:hAnsi="Times New Roman" w:eastAsia="仿宋_GB2312" w:cs="Times New Roman"/>
          <w:bCs w:val="0"/>
          <w:color w:val="000000" w:themeColor="text1"/>
          <w:sz w:val="32"/>
          <w:szCs w:val="32"/>
          <w14:textFill>
            <w14:solidFill>
              <w14:schemeClr w14:val="tx1"/>
            </w14:solidFill>
          </w14:textFill>
        </w:rPr>
        <w:t>国家</w:t>
      </w:r>
      <w:r>
        <w:rPr>
          <w:rFonts w:ascii="Times New Roman" w:hAnsi="Times New Roman" w:eastAsia="仿宋_GB2312" w:cs="Times New Roman"/>
          <w:bCs w:val="0"/>
          <w:color w:val="000000" w:themeColor="text1"/>
          <w:sz w:val="32"/>
          <w:szCs w:val="32"/>
          <w14:textFill>
            <w14:solidFill>
              <w14:schemeClr w14:val="tx1"/>
            </w14:solidFill>
          </w14:textFill>
        </w:rPr>
        <w:t>骨干冷链物流基地建设，打造生鲜产品集散交易中心，</w:t>
      </w:r>
      <w:r>
        <w:rPr>
          <w:rFonts w:ascii="Times New Roman" w:hAnsi="Times New Roman" w:eastAsia="仿宋_GB2312" w:cs="Times New Roman"/>
          <w:color w:val="000000" w:themeColor="text1"/>
          <w:sz w:val="32"/>
          <w:szCs w:val="32"/>
          <w14:textFill>
            <w14:solidFill>
              <w14:schemeClr w14:val="tx1"/>
            </w14:solidFill>
          </w14:textFill>
        </w:rPr>
        <w:t>在东盟布局海外冷链仓，搭建智慧冷链云平台，完善跨境冷链服务体系。积极争取国家智慧口岸建设政策支持。着力建设AI陆港，应用智能装卸系统，建设统一调度平台，实现全流程自动化作业和数字化管理，打造“数据融合+决策调度+控制反馈”的智慧集散新模式，</w:t>
      </w:r>
      <w:r>
        <w:rPr>
          <w:rFonts w:ascii="Times New Roman" w:hAnsi="Times New Roman" w:eastAsia="仿宋_GB2312" w:cs="Times New Roman"/>
          <w:color w:val="000000" w:themeColor="text1"/>
          <w:sz w:val="32"/>
          <w:szCs w:val="32"/>
          <w:lang w:val="en"/>
          <w14:textFill>
            <w14:solidFill>
              <w14:schemeClr w14:val="tx1"/>
            </w14:solidFill>
          </w14:textFill>
        </w:rPr>
        <w:t>融入共建数字陆海新通道。</w:t>
      </w:r>
    </w:p>
    <w:tbl>
      <w:tblPr>
        <w:tblStyle w:val="2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071" w:type="dxa"/>
            <w:tcBorders>
              <w:bottom w:val="single" w:color="auto" w:sz="4" w:space="0"/>
            </w:tcBorders>
            <w:vAlign w:val="center"/>
          </w:tcPr>
          <w:p>
            <w:pPr>
              <w:adjustRightInd w:val="0"/>
              <w:snapToGrid w:val="0"/>
              <w:spacing w:line="490" w:lineRule="exact"/>
              <w:jc w:val="center"/>
              <w:rPr>
                <w:rFonts w:eastAsia="黑体"/>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专栏2—2 东盟货运集结中心建设工程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45" w:hRule="atLeast"/>
          <w:jc w:val="center"/>
        </w:trPr>
        <w:tc>
          <w:tcPr>
            <w:tcW w:w="9071" w:type="dxa"/>
            <w:tcBorders>
              <w:top w:val="single" w:color="auto" w:sz="4" w:space="0"/>
            </w:tcBorders>
            <w:vAlign w:val="center"/>
          </w:tcPr>
          <w:p>
            <w:pPr>
              <w:widowControl/>
              <w:spacing w:line="480" w:lineRule="exact"/>
              <w:ind w:firstLine="643"/>
              <w:rPr>
                <w:rFonts w:eastAsia="楷体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1.东盟班列集结中心。</w:t>
            </w:r>
            <w:r>
              <w:rPr>
                <w:rFonts w:ascii="Times New Roman" w:hAnsi="Times New Roman" w:eastAsia="楷体_GB2312" w:cs="Times New Roman"/>
                <w:bCs w:val="0"/>
                <w:color w:val="000000" w:themeColor="text1"/>
                <w:sz w:val="32"/>
                <w:szCs w:val="32"/>
                <w14:textFill>
                  <w14:solidFill>
                    <w14:schemeClr w14:val="tx1"/>
                  </w14:solidFill>
                </w14:textFill>
              </w:rPr>
              <w:t>建设陆港运营管理服务中心。谋划开行</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怀化—北部湾港—越南胡志明港/海防港、泰国林查班港</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定制化精品联运线路，开辟直达泰国曼谷、越南河内、老挝万象、柬埔寨金边、缅甸仰光等城市的定制化品牌专列。建设铁路集装箱共享堆场，配套海关监管功能。</w:t>
            </w:r>
          </w:p>
          <w:p>
            <w:pPr>
              <w:widowControl/>
              <w:spacing w:line="480" w:lineRule="exact"/>
              <w:ind w:firstLine="643"/>
              <w:rPr>
                <w:rFonts w:eastAsia="楷体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2.跨境电商集拼中心。</w:t>
            </w:r>
            <w:r>
              <w:rPr>
                <w:rFonts w:ascii="Times New Roman" w:hAnsi="Times New Roman" w:eastAsia="楷体_GB2312" w:cs="Times New Roman"/>
                <w:bCs w:val="0"/>
                <w:color w:val="000000" w:themeColor="text1"/>
                <w:sz w:val="32"/>
                <w:szCs w:val="32"/>
                <w14:textFill>
                  <w14:solidFill>
                    <w14:schemeClr w14:val="tx1"/>
                  </w14:solidFill>
                </w14:textFill>
              </w:rPr>
              <w:t>建设陆港跨境电商综合服务平台，定期开展跨境电商招商对接会，建设电商平台区域运营中心。</w:t>
            </w:r>
          </w:p>
          <w:p>
            <w:pPr>
              <w:widowControl/>
              <w:spacing w:line="480" w:lineRule="exact"/>
              <w:ind w:firstLine="643"/>
              <w:rPr>
                <w:rFonts w:eastAsia="楷体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3.进口商品集采中心。</w:t>
            </w:r>
            <w:r>
              <w:rPr>
                <w:rFonts w:ascii="Times New Roman" w:hAnsi="Times New Roman" w:eastAsia="楷体_GB2312" w:cs="Times New Roman"/>
                <w:bCs w:val="0"/>
                <w:color w:val="000000" w:themeColor="text1"/>
                <w:sz w:val="32"/>
                <w:szCs w:val="32"/>
                <w14:textFill>
                  <w14:solidFill>
                    <w14:schemeClr w14:val="tx1"/>
                  </w14:solidFill>
                </w14:textFill>
              </w:rPr>
              <w:t>建设东盟进口商品展示交易中心，设立水果、粮油等交易专区，配套保税仓储与冷链设施。建设</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东盟—怀化—中部</w:t>
            </w:r>
            <w:r>
              <w:rPr>
                <w:rFonts w:hint="eastAsia" w:eastAsia="楷体_GB2312" w:cs="Times New Roman"/>
                <w:bCs w:val="0"/>
                <w:color w:val="000000" w:themeColor="text1"/>
                <w:sz w:val="32"/>
                <w:szCs w:val="32"/>
                <w14:textFill>
                  <w14:solidFill>
                    <w14:schemeClr w14:val="tx1"/>
                  </w14:solidFill>
                </w14:textFill>
              </w:rPr>
              <w:t>地区</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供应链协同平台，推动与广西钦州港、云南磨憨口岸合作建立进口商品直采通道。</w:t>
            </w:r>
          </w:p>
          <w:p>
            <w:pPr>
              <w:widowControl/>
              <w:spacing w:line="480" w:lineRule="exact"/>
              <w:ind w:firstLine="643"/>
              <w:rPr>
                <w:rFonts w:eastAsia="楷体_GB2312"/>
                <w:bCs w:val="0"/>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4.中部地区冷链物流集散中心。</w:t>
            </w:r>
            <w:r>
              <w:rPr>
                <w:rFonts w:ascii="Times New Roman" w:hAnsi="Times New Roman" w:eastAsia="楷体_GB2312" w:cs="Times New Roman"/>
                <w:bCs w:val="0"/>
                <w:color w:val="000000" w:themeColor="text1"/>
                <w:sz w:val="32"/>
                <w:szCs w:val="32"/>
                <w14:textFill>
                  <w14:solidFill>
                    <w14:schemeClr w14:val="tx1"/>
                  </w14:solidFill>
                </w14:textFill>
              </w:rPr>
              <w:t>开通</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万象—昆明—怀化</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河内—凭祥—怀化</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跨境冷链专列，开行</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昆明—怀化</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怀化—长沙</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冷链班列，推动东盟热带水果、</w:t>
            </w:r>
            <w:r>
              <w:rPr>
                <w:rFonts w:ascii="Times New Roman" w:hAnsi="Times New Roman" w:eastAsia="楷体_GB2312" w:cs="Times New Roman"/>
                <w:color w:val="000000" w:themeColor="text1"/>
                <w:sz w:val="32"/>
                <w:szCs w:val="32"/>
                <w14:textFill>
                  <w14:solidFill>
                    <w14:schemeClr w14:val="tx1"/>
                  </w14:solidFill>
                </w14:textFill>
              </w:rPr>
              <w:t>肉类、冰鲜水产品</w:t>
            </w:r>
            <w:r>
              <w:rPr>
                <w:rFonts w:ascii="Times New Roman" w:hAnsi="Times New Roman" w:eastAsia="楷体_GB2312" w:cs="Times New Roman"/>
                <w:bCs w:val="0"/>
                <w:color w:val="000000" w:themeColor="text1"/>
                <w:sz w:val="32"/>
                <w:szCs w:val="32"/>
                <w14:textFill>
                  <w14:solidFill>
                    <w14:schemeClr w14:val="tx1"/>
                  </w14:solidFill>
                </w14:textFill>
              </w:rPr>
              <w:t>通过怀化集散。搭建智慧冷链云平台，布局海外冷链仓。</w:t>
            </w:r>
          </w:p>
        </w:tc>
      </w:tr>
    </w:tbl>
    <w:p>
      <w:pPr>
        <w:pStyle w:val="7"/>
        <w:spacing w:line="580" w:lineRule="exact"/>
        <w:rPr>
          <w:rFonts w:eastAsia="仿宋_GB2312"/>
          <w:color w:val="000000" w:themeColor="text1"/>
          <w:sz w:val="32"/>
          <w14:textFill>
            <w14:solidFill>
              <w14:schemeClr w14:val="tx1"/>
            </w14:solidFill>
          </w14:textFill>
        </w:rPr>
      </w:pPr>
    </w:p>
    <w:p>
      <w:pPr>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br w:type="page"/>
      </w:r>
    </w:p>
    <w:p>
      <w:pPr>
        <w:pStyle w:val="7"/>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第四节 发展壮大临港产业</w:t>
      </w:r>
    </w:p>
    <w:p>
      <w:pPr>
        <w:spacing w:line="580" w:lineRule="exact"/>
        <w:ind w:firstLine="640"/>
        <w:rPr>
          <w:rFonts w:eastAsia="仿宋_GB2312"/>
          <w:color w:val="000000" w:themeColor="text1"/>
          <w:sz w:val="32"/>
          <w:szCs w:val="32"/>
          <w:shd w:val="clear" w:color="auto" w:fill="FFFFFF"/>
          <w14:textFill>
            <w14:solidFill>
              <w14:schemeClr w14:val="tx1"/>
            </w14:solidFill>
          </w14:textFill>
        </w:rPr>
      </w:pPr>
    </w:p>
    <w:p>
      <w:pPr>
        <w:spacing w:line="540" w:lineRule="exact"/>
        <w:ind w:firstLine="640"/>
        <w:rPr>
          <w:rFonts w:eastAsia="仿宋_GB2312"/>
          <w:color w:val="000000" w:themeColor="text1"/>
          <w:sz w:val="32"/>
          <w:szCs w:val="32"/>
          <w:shd w:val="clear" w:color="auto" w:fill="FFFFFF"/>
          <w14:textFill>
            <w14:solidFill>
              <w14:schemeClr w14:val="tx1"/>
            </w14:solidFill>
          </w14:textFill>
        </w:rPr>
      </w:pPr>
      <w:r>
        <w:rPr>
          <w:rFonts w:ascii="Times New Roman" w:hAnsi="Times New Roman" w:eastAsia="仿宋_GB2312" w:cs="Times New Roman"/>
          <w:color w:val="000000" w:themeColor="text1"/>
          <w:sz w:val="32"/>
          <w:szCs w:val="32"/>
          <w:shd w:val="clear" w:color="auto" w:fill="FFFFFF"/>
          <w14:textFill>
            <w14:solidFill>
              <w14:schemeClr w14:val="tx1"/>
            </w14:solidFill>
          </w14:textFill>
        </w:rPr>
        <w:t>深化港产城一体化发展，促进通道、枢纽、商贸、产业深度融合，加快形成以临港加工制造业为主体、商贸服务业和现代物流业为两翼的临港产业体系。</w:t>
      </w:r>
      <w:r>
        <w:rPr>
          <w:rFonts w:ascii="Times New Roman" w:hAnsi="Times New Roman" w:eastAsia="仿宋_GB2312" w:cs="Times New Roman"/>
          <w:bCs w:val="0"/>
          <w:color w:val="000000" w:themeColor="text1"/>
          <w:sz w:val="32"/>
          <w:szCs w:val="32"/>
          <w:shd w:val="clear" w:color="auto" w:fill="FFFFFF"/>
          <w14:textFill>
            <w14:solidFill>
              <w14:schemeClr w14:val="tx1"/>
            </w14:solidFill>
          </w14:textFill>
        </w:rPr>
        <w:t>重点建设箱包皮具、绿色矿业、竹业、生物基新材料、机械装备等加工制造基地，加快建设绿色食品产业园和绿色产业中心，大力发展预制菜、休闲食品等农林产品精深加工产业。深化“东盟资源+怀化加工+RCEP市场”模式，支持竹木加工、矿产品加工、粮油加工等专业园区建设，大力发展木薯、橡胶、钾肥、碎米等大宗商品来料加工。推动32个专业市场提质升级，打造国际陆港专业市场商圈。</w:t>
      </w:r>
      <w:r>
        <w:rPr>
          <w:rFonts w:ascii="Times New Roman" w:hAnsi="Times New Roman" w:eastAsia="仿宋_GB2312" w:cs="Times New Roman"/>
          <w:bCs w:val="0"/>
          <w:color w:val="000000" w:themeColor="text1"/>
          <w:sz w:val="32"/>
          <w:szCs w:val="32"/>
          <w14:textFill>
            <w14:solidFill>
              <w14:schemeClr w14:val="tx1"/>
            </w14:solidFill>
          </w14:textFill>
        </w:rPr>
        <w:t>建设国际邮件快件集约式监管中心，</w:t>
      </w:r>
      <w:r>
        <w:rPr>
          <w:rFonts w:ascii="Times New Roman" w:hAnsi="Times New Roman" w:eastAsia="仿宋_GB2312" w:cs="Times New Roman"/>
          <w:bCs w:val="0"/>
          <w:color w:val="000000" w:themeColor="text1"/>
          <w:sz w:val="32"/>
          <w:szCs w:val="32"/>
          <w:shd w:val="clear" w:color="auto" w:fill="FFFFFF"/>
          <w14:textFill>
            <w14:solidFill>
              <w14:schemeClr w14:val="tx1"/>
            </w14:solidFill>
          </w14:textFill>
        </w:rPr>
        <w:t>争取快递快运头部企业布局区域分拨中心，提升商贸集散与物流组织能力。积极融入共建西部陆海新通道“氢走廊”，布局建设油、电、氢一体化综合能源补给站，推广氢能集卡等示范应用。</w:t>
      </w:r>
      <w:r>
        <w:rPr>
          <w:rFonts w:ascii="Times New Roman" w:hAnsi="Times New Roman" w:eastAsia="仿宋_GB2312" w:cs="Times New Roman"/>
          <w:color w:val="000000" w:themeColor="text1"/>
          <w:sz w:val="32"/>
          <w:szCs w:val="32"/>
          <w:shd w:val="clear" w:color="auto" w:fill="FFFFFF"/>
          <w14:textFill>
            <w14:solidFill>
              <w14:schemeClr w14:val="tx1"/>
            </w14:solidFill>
          </w14:textFill>
        </w:rPr>
        <w:t>到2030年，力争实现港区总产值1500亿元，班列发运货物中本地货源占比提升至30%以上，培育形成1个千亿</w:t>
      </w:r>
      <w:r>
        <w:rPr>
          <w:rFonts w:hint="eastAsia" w:eastAsia="仿宋_GB2312" w:cs="Times New Roman"/>
          <w:color w:val="000000" w:themeColor="text1"/>
          <w:sz w:val="32"/>
          <w:szCs w:val="32"/>
          <w:shd w:val="clear" w:color="auto" w:fill="FFFFFF"/>
          <w14:textFill>
            <w14:solidFill>
              <w14:schemeClr w14:val="tx1"/>
            </w14:solidFill>
          </w14:textFill>
        </w:rPr>
        <w:t>级</w:t>
      </w:r>
      <w:r>
        <w:rPr>
          <w:rFonts w:ascii="Times New Roman" w:hAnsi="Times New Roman" w:eastAsia="仿宋_GB2312" w:cs="Times New Roman"/>
          <w:color w:val="000000" w:themeColor="text1"/>
          <w:sz w:val="32"/>
          <w:szCs w:val="32"/>
          <w:shd w:val="clear" w:color="auto" w:fill="FFFFFF"/>
          <w14:textFill>
            <w14:solidFill>
              <w14:schemeClr w14:val="tx1"/>
            </w14:solidFill>
          </w14:textFill>
        </w:rPr>
        <w:t>临港产业集群。</w:t>
      </w:r>
    </w:p>
    <w:p>
      <w:pPr>
        <w:pStyle w:val="6"/>
        <w:keepNext w:val="0"/>
        <w:keepLines w:val="0"/>
        <w:spacing w:line="580" w:lineRule="exact"/>
        <w:rPr>
          <w:rFonts w:ascii="Times New Roman" w:hAnsi="Times New Roman" w:eastAsia="黑体" w:cs="Times New Roman"/>
          <w:color w:val="000000" w:themeColor="text1"/>
          <w:sz w:val="32"/>
          <w14:textFill>
            <w14:solidFill>
              <w14:schemeClr w14:val="tx1"/>
            </w14:solidFill>
          </w14:textFill>
        </w:rPr>
      </w:pPr>
      <w:bookmarkStart w:id="8" w:name="_Toc10964"/>
    </w:p>
    <w:p>
      <w:pPr>
        <w:pStyle w:val="6"/>
        <w:keepNext w:val="0"/>
        <w:keepLines w:val="0"/>
        <w:spacing w:line="580" w:lineRule="exact"/>
        <w:rPr>
          <w:rFonts w:ascii="Times New Roman" w:hAnsi="Times New Roman" w:eastAsia="黑体" w:cs="Times New Roman"/>
          <w:color w:val="000000" w:themeColor="text1"/>
          <w:sz w:val="32"/>
          <w14:textFill>
            <w14:solidFill>
              <w14:schemeClr w14:val="tx1"/>
            </w14:solidFill>
          </w14:textFill>
        </w:rPr>
      </w:pPr>
      <w:r>
        <w:rPr>
          <w:rFonts w:ascii="Times New Roman" w:hAnsi="Times New Roman" w:eastAsia="黑体" w:cs="Times New Roman"/>
          <w:color w:val="000000" w:themeColor="text1"/>
          <w:sz w:val="32"/>
          <w14:textFill>
            <w14:solidFill>
              <w14:schemeClr w14:val="tx1"/>
            </w14:solidFill>
          </w14:textFill>
        </w:rPr>
        <w:t>第五章 持续深化区域开放合作</w:t>
      </w:r>
      <w:bookmarkEnd w:id="8"/>
    </w:p>
    <w:p>
      <w:pPr>
        <w:pStyle w:val="7"/>
        <w:keepNext w:val="0"/>
        <w:keepLines w:val="0"/>
        <w:spacing w:line="580" w:lineRule="exact"/>
        <w:rPr>
          <w:rFonts w:eastAsia="仿宋_GB2312"/>
          <w:color w:val="000000" w:themeColor="text1"/>
          <w:sz w:val="32"/>
          <w14:textFill>
            <w14:solidFill>
              <w14:schemeClr w14:val="tx1"/>
            </w14:solidFill>
          </w14:textFill>
        </w:rPr>
      </w:pPr>
    </w:p>
    <w:p>
      <w:pPr>
        <w:pStyle w:val="7"/>
        <w:keepNext w:val="0"/>
        <w:keepLines w:val="0"/>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第一节 拓展国际贸易通道</w:t>
      </w:r>
    </w:p>
    <w:p>
      <w:pPr>
        <w:pStyle w:val="7"/>
        <w:keepNext w:val="0"/>
        <w:keepLines w:val="0"/>
        <w:spacing w:line="580" w:lineRule="exact"/>
        <w:rPr>
          <w:rFonts w:eastAsia="仿宋_GB2312"/>
          <w:color w:val="000000" w:themeColor="text1"/>
          <w:sz w:val="32"/>
          <w14:textFill>
            <w14:solidFill>
              <w14:schemeClr w14:val="tx1"/>
            </w14:solidFill>
          </w14:textFill>
        </w:rPr>
      </w:pPr>
    </w:p>
    <w:p>
      <w:pPr>
        <w:spacing w:line="580" w:lineRule="exact"/>
        <w:ind w:firstLine="640"/>
        <w:rPr>
          <w:rFonts w:eastAsia="仿宋_GB2312"/>
          <w:color w:val="000000" w:themeColor="text1"/>
          <w:sz w:val="32"/>
          <w:szCs w:val="32"/>
          <w14:textFill>
            <w14:solidFill>
              <w14:schemeClr w14:val="tx1"/>
            </w14:solidFill>
          </w14:textFill>
        </w:rPr>
        <w:sectPr>
          <w:footerReference r:id="rId12" w:type="default"/>
          <w:pgSz w:w="11906" w:h="16838"/>
          <w:pgMar w:top="2098" w:right="1474" w:bottom="1701" w:left="1474" w:header="851" w:footer="992" w:gutter="0"/>
          <w:pgNumType w:start="1"/>
          <w:cols w:space="720" w:num="1"/>
          <w:docGrid w:type="lines" w:linePitch="312" w:charSpace="0"/>
        </w:sectPr>
      </w:pPr>
      <w:r>
        <w:rPr>
          <w:rFonts w:ascii="Times New Roman" w:hAnsi="Times New Roman" w:eastAsia="仿宋_GB2312" w:cs="Times New Roman"/>
          <w:color w:val="000000" w:themeColor="text1"/>
          <w:sz w:val="32"/>
          <w:szCs w:val="32"/>
          <w14:textFill>
            <w14:solidFill>
              <w14:schemeClr w14:val="tx1"/>
            </w14:solidFill>
          </w14:textFill>
        </w:rPr>
        <w:t>依托西部陆海新通道、沪昆通道，积极拓展国际物流大通道，形成东接东北亚、西连中亚和欧洲、南通东盟和非洲、北抵俄蒙的四向拓展网络。“向南”加密中老、中越班列开行频次，巩固中部地区中老班列领先优势，深化与老挝塔纳伦港、泰国林查班港、越南胡志明港及海防港、柬埔寨西哈努克港、新加坡港等东盟主要港口合作；对接桂琼粤港澳港口群，依托北部湾港、湛江港、广州港、洋浦港等港口，开通“铁海联运—远洋航线”，有效链接东盟、非洲及欧洲市场。“向东”衔接岳阳城陵矶港，对接长江流域港口及长三角港口群，开辟“怀化—长三角—全球”中转线路，拓展至日韩、北美及北极远洋航线。“向西”融入中欧班列运输体系，拓展与中亚、欧洲及南亚的物流合作，探索开通经新疆阿拉山口/霍尔果斯至中亚五国及欧洲的国际跨境铁路班列。“向北”对接新亚欧大陆桥，延伸链接内蒙边境口岸，建设怀化经二连浩特/满洲里口岸至俄罗斯、蒙古的国际通道，对接中蒙俄经济走廊，探索打造面向俄罗斯、中亚及欧洲的多线通道。“向上”争取开通芷江机场货运航线，申建航空口岸，与怀化国际陆港构建高效协同的</w:t>
      </w:r>
      <w:r>
        <w:rPr>
          <w:rFonts w:ascii="Times New Roman" w:hAnsi="Times New Roman" w:eastAsia="仿宋_GB2312" w:cs="Times New Roman"/>
          <w:bCs w:val="0"/>
          <w:color w:val="000000" w:themeColor="text1"/>
          <w:sz w:val="32"/>
          <w:szCs w:val="32"/>
          <w14:textFill>
            <w14:solidFill>
              <w14:schemeClr w14:val="tx1"/>
            </w14:solidFill>
          </w14:textFill>
        </w:rPr>
        <w:t>空中运输体系。</w:t>
      </w:r>
      <w:r>
        <w:rPr>
          <w:rFonts w:ascii="Times New Roman" w:hAnsi="Times New Roman" w:eastAsia="仿宋_GB2312" w:cs="Times New Roman"/>
          <w:color w:val="000000" w:themeColor="text1"/>
          <w:sz w:val="32"/>
          <w:szCs w:val="32"/>
          <w14:textFill>
            <w14:solidFill>
              <w14:schemeClr w14:val="tx1"/>
            </w14:solidFill>
          </w14:textFill>
        </w:rPr>
        <w:t>到2030年，力争实现年度开行班列1500列以上，年货运吞吐量1500万吨以上。</w:t>
      </w:r>
    </w:p>
    <w:p>
      <w:pPr>
        <w:pStyle w:val="7"/>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第二节 深化跨省区域合作</w:t>
      </w:r>
    </w:p>
    <w:p>
      <w:pPr>
        <w:spacing w:line="580" w:lineRule="exact"/>
        <w:ind w:firstLine="640"/>
        <w:rPr>
          <w:rFonts w:eastAsia="仿宋_GB2312"/>
          <w:color w:val="000000" w:themeColor="text1"/>
          <w:sz w:val="32"/>
          <w:szCs w:val="32"/>
          <w14:textFill>
            <w14:solidFill>
              <w14:schemeClr w14:val="tx1"/>
            </w14:solidFill>
          </w14:textFill>
        </w:rPr>
      </w:pPr>
    </w:p>
    <w:p>
      <w:pPr>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落实西部陆海新通道“13+2”省际协商合作机制，探索建立健全区域间货源统筹、产业协作、市场互通、利益共享等机制。</w:t>
      </w:r>
      <w:r>
        <w:rPr>
          <w:rFonts w:ascii="Times New Roman" w:hAnsi="Times New Roman" w:eastAsia="仿宋_GB2312" w:cs="Times New Roman"/>
          <w:bCs w:val="0"/>
          <w:color w:val="000000" w:themeColor="text1"/>
          <w:sz w:val="32"/>
          <w:szCs w:val="32"/>
          <w14:textFill>
            <w14:solidFill>
              <w14:schemeClr w14:val="tx1"/>
            </w14:solidFill>
          </w14:textFill>
        </w:rPr>
        <w:t>强化与北部湾港及广西全域协同联动，将怀化打造为北部湾港“第二港区”，深化与广西在产业、会展、商务、人才交流等领域合作。</w:t>
      </w:r>
      <w:r>
        <w:rPr>
          <w:rFonts w:ascii="Times New Roman" w:hAnsi="Times New Roman" w:eastAsia="仿宋_GB2312" w:cs="Times New Roman"/>
          <w:color w:val="000000" w:themeColor="text1"/>
          <w:sz w:val="32"/>
          <w:szCs w:val="32"/>
          <w14:textFill>
            <w14:solidFill>
              <w14:schemeClr w14:val="tx1"/>
            </w14:solidFill>
          </w14:textFill>
        </w:rPr>
        <w:t>参与共建渝穗通道，深化与成渝地区双城经济圈的战略协作，聚焦电子信息、装备制造、能源化工、新材料、汽摩零配件等重点产业领域，推动落地一批产业协作项目，合作建设“飞地园区”，将怀化打造为成渝地区双城经济圈向东南延伸、辐射中部地区与东盟市场的重要战略支点与合作伙伴。积极对接粤港澳大湾区，合作发展能源、原材料等大宗商品交易和物流，建设服务大湾区的“中央厨房”与“菜篮子”基地。加强与海南洋浦港“港港联动”，协同完善“洋浦—湛江—怀化”水水中转及海铁联运物流通道体系，合作发展中转集拼、航运物流等业务。深化湘鄂渝黔毗邻地区合作，加强特色农产品、中药材、矿产资源等领域贸易往来，共同构建跨省物流联动体系，合作共建无水港和区域物流合作联盟。加快沪昆通道建设，积极嵌入长三角新能源汽车、生物医药、高端装备等产业集群，吸引长三角企业来怀设立零部件生产基地、仓储物流分中心，承接产业梯度转移。</w:t>
      </w:r>
    </w:p>
    <w:p>
      <w:pPr>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br w:type="page"/>
      </w:r>
    </w:p>
    <w:p>
      <w:pPr>
        <w:pStyle w:val="7"/>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第三节 加强省内城市协同合作</w:t>
      </w:r>
    </w:p>
    <w:p>
      <w:pPr>
        <w:spacing w:line="580" w:lineRule="exact"/>
        <w:ind w:firstLine="640"/>
        <w:rPr>
          <w:rFonts w:eastAsia="仿宋_GB2312"/>
          <w:color w:val="000000" w:themeColor="text1"/>
          <w:sz w:val="32"/>
          <w:szCs w:val="32"/>
          <w14:textFill>
            <w14:solidFill>
              <w14:schemeClr w14:val="tx1"/>
            </w14:solidFill>
          </w14:textFill>
        </w:rPr>
      </w:pPr>
    </w:p>
    <w:p>
      <w:pPr>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主动对接长株潭都市圈，加强在先进制造、科技创新、商贸物流等领域的协作，积极承接产业转移与创新资源外溢。推动与长沙、株洲、湘潭等城市在中欧班列组织、跨境电商发展、冷链物流网络建设等方面实现资源整合与线路共享，共同拓展国际市场。加强与长沙、衡阳、岳阳、常德等物流枢纽城市的合作，加快构建衔接顺畅、运行高效的省内多式联运网络体系。深化与湘西州、张家界等周边市州在文旅融合、农产品贸易等领域的合作，共同培育区域特色产业集群，共建区域物流共同体，推动形成优势互补、协同联动的区域发展格局。</w:t>
      </w:r>
      <w:r>
        <w:rPr>
          <w:rFonts w:ascii="Times New Roman" w:hAnsi="Times New Roman" w:eastAsia="仿宋_GB2312" w:cs="Times New Roman"/>
          <w:bCs w:val="0"/>
          <w:color w:val="000000" w:themeColor="text1"/>
          <w:sz w:val="32"/>
          <w:szCs w:val="32"/>
          <w14:textFill>
            <w14:solidFill>
              <w14:schemeClr w14:val="tx1"/>
            </w14:solidFill>
          </w14:textFill>
        </w:rPr>
        <w:t>加强</w:t>
      </w:r>
      <w:r>
        <w:rPr>
          <w:rFonts w:hint="eastAsia" w:ascii="Times New Roman" w:hAnsi="Times New Roman" w:eastAsia="仿宋_GB2312" w:cs="Times New Roman"/>
          <w:bCs w:val="0"/>
          <w:color w:val="000000" w:themeColor="text1"/>
          <w:sz w:val="32"/>
          <w:szCs w:val="32"/>
          <w14:textFill>
            <w14:solidFill>
              <w14:schemeClr w14:val="tx1"/>
            </w14:solidFill>
          </w14:textFill>
        </w:rPr>
        <w:t>市内各</w:t>
      </w:r>
      <w:r>
        <w:rPr>
          <w:rFonts w:ascii="Times New Roman" w:hAnsi="Times New Roman" w:eastAsia="仿宋_GB2312" w:cs="Times New Roman"/>
          <w:bCs w:val="0"/>
          <w:color w:val="000000" w:themeColor="text1"/>
          <w:sz w:val="32"/>
          <w:szCs w:val="32"/>
          <w14:textFill>
            <w14:solidFill>
              <w14:schemeClr w14:val="tx1"/>
            </w14:solidFill>
          </w14:textFill>
        </w:rPr>
        <w:t>县市区产业联动和分工协作，打造具有核心竞争力的外向型产业集群。</w:t>
      </w:r>
    </w:p>
    <w:p>
      <w:pPr>
        <w:pStyle w:val="13"/>
        <w:rPr>
          <w:color w:val="000000" w:themeColor="text1"/>
          <w14:textFill>
            <w14:solidFill>
              <w14:schemeClr w14:val="tx1"/>
            </w14:solidFill>
          </w14:textFill>
        </w:rPr>
      </w:pPr>
    </w:p>
    <w:p>
      <w:pPr>
        <w:pStyle w:val="6"/>
        <w:spacing w:line="580" w:lineRule="exact"/>
        <w:rPr>
          <w:rFonts w:ascii="Times New Roman" w:hAnsi="Times New Roman" w:eastAsia="黑体" w:cs="Times New Roman"/>
          <w:color w:val="000000" w:themeColor="text1"/>
          <w:sz w:val="32"/>
          <w14:textFill>
            <w14:solidFill>
              <w14:schemeClr w14:val="tx1"/>
            </w14:solidFill>
          </w14:textFill>
        </w:rPr>
      </w:pPr>
      <w:bookmarkStart w:id="9" w:name="_Toc22777"/>
      <w:r>
        <w:rPr>
          <w:rFonts w:ascii="Times New Roman" w:hAnsi="Times New Roman" w:eastAsia="黑体" w:cs="Times New Roman"/>
          <w:color w:val="000000" w:themeColor="text1"/>
          <w:sz w:val="32"/>
          <w14:textFill>
            <w14:solidFill>
              <w14:schemeClr w14:val="tx1"/>
            </w14:solidFill>
          </w14:textFill>
        </w:rPr>
        <w:t>第六章 稳步扩大制度型开放</w:t>
      </w:r>
      <w:bookmarkEnd w:id="9"/>
    </w:p>
    <w:p>
      <w:pPr>
        <w:pStyle w:val="7"/>
        <w:spacing w:line="580" w:lineRule="exact"/>
        <w:rPr>
          <w:rFonts w:eastAsia="仿宋_GB2312"/>
          <w:color w:val="000000" w:themeColor="text1"/>
          <w:sz w:val="32"/>
          <w14:textFill>
            <w14:solidFill>
              <w14:schemeClr w14:val="tx1"/>
            </w14:solidFill>
          </w14:textFill>
        </w:rPr>
      </w:pPr>
    </w:p>
    <w:p>
      <w:pPr>
        <w:pStyle w:val="7"/>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第一节 申建高能级开放平台</w:t>
      </w:r>
    </w:p>
    <w:p>
      <w:pPr>
        <w:spacing w:line="580" w:lineRule="exact"/>
        <w:ind w:firstLine="640"/>
        <w:rPr>
          <w:rFonts w:eastAsia="仿宋_GB2312"/>
          <w:color w:val="000000" w:themeColor="text1"/>
          <w:sz w:val="32"/>
          <w:szCs w:val="32"/>
          <w:shd w:val="clear" w:color="auto" w:fill="FFFFFF"/>
          <w14:textFill>
            <w14:solidFill>
              <w14:schemeClr w14:val="tx1"/>
            </w14:solidFill>
          </w14:textFill>
        </w:rPr>
      </w:pPr>
    </w:p>
    <w:p>
      <w:pPr>
        <w:spacing w:line="56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shd w:val="clear" w:color="auto" w:fill="FFFFFF"/>
          <w14:textFill>
            <w14:solidFill>
              <w14:schemeClr w14:val="tx1"/>
            </w14:solidFill>
          </w14:textFill>
        </w:rPr>
        <w:t>积极申建跨境电商综合试验区，加快推进跨境电商产业园建设，配套完善仓储、物流、通关、金融等全链条配套功能，促进跨境电商产业集聚与创新发展。加快申建进境粮食、水果、肉类、冰鲜水产品等海关指定监管场地及保税物流中心（B型）等国家级开放平台。重点发展农产品精深加工、高端装备保税维修、跨境电商保税仓储等业务，推动保税功能与港口运营深度融合。加强与中国—东盟博览会合作，创新发展湖南（怀化）RCEP经贸博览会，推动从</w:t>
      </w:r>
      <w:r>
        <w:rPr>
          <w:rFonts w:hint="eastAsia" w:eastAsia="仿宋_GB2312" w:cs="Times New Roman"/>
          <w:color w:val="000000" w:themeColor="text1"/>
          <w:sz w:val="32"/>
          <w:szCs w:val="32"/>
          <w:shd w:val="clear" w:color="auto" w:fill="FFFFFF"/>
          <w14:textFill>
            <w14:solidFill>
              <w14:schemeClr w14:val="tx1"/>
            </w14:solidFill>
          </w14:textFill>
        </w:rPr>
        <w:t>单一</w:t>
      </w:r>
      <w:r>
        <w:rPr>
          <w:rFonts w:ascii="Times New Roman" w:hAnsi="Times New Roman" w:eastAsia="仿宋_GB2312" w:cs="Times New Roman"/>
          <w:color w:val="000000" w:themeColor="text1"/>
          <w:sz w:val="32"/>
          <w:szCs w:val="32"/>
          <w:shd w:val="clear" w:color="auto" w:fill="FFFFFF"/>
          <w14:textFill>
            <w14:solidFill>
              <w14:schemeClr w14:val="tx1"/>
            </w14:solidFill>
          </w14:textFill>
        </w:rPr>
        <w:t>交易性平台向综合性生态升级。规划建设集贸易、展示、洽谈、服务于一体的RCEP对外经贸服务中心，重点提供原产地证书办理、贸易规则咨询、跨境结算等一站式服务。积极争取设立国际邮件互换局，拓展国际快递业务，提升国际物流服务能力。</w:t>
      </w:r>
    </w:p>
    <w:p>
      <w:pPr>
        <w:pStyle w:val="7"/>
        <w:spacing w:line="560" w:lineRule="exact"/>
        <w:rPr>
          <w:rFonts w:eastAsia="仿宋_GB2312"/>
          <w:color w:val="000000" w:themeColor="text1"/>
          <w:sz w:val="32"/>
          <w14:textFill>
            <w14:solidFill>
              <w14:schemeClr w14:val="tx1"/>
            </w14:solidFill>
          </w14:textFill>
        </w:rPr>
      </w:pPr>
    </w:p>
    <w:p>
      <w:pPr>
        <w:pStyle w:val="7"/>
        <w:spacing w:line="56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第二节 创新跨境贸易便利化制度</w:t>
      </w:r>
    </w:p>
    <w:p>
      <w:pPr>
        <w:spacing w:line="560" w:lineRule="exact"/>
        <w:ind w:firstLine="640"/>
        <w:rPr>
          <w:rFonts w:eastAsia="仿宋_GB2312"/>
          <w:color w:val="000000" w:themeColor="text1"/>
          <w:sz w:val="32"/>
          <w:szCs w:val="32"/>
          <w:shd w:val="clear" w:color="auto" w:fill="FFFFFF"/>
          <w14:textFill>
            <w14:solidFill>
              <w14:schemeClr w14:val="tx1"/>
            </w14:solidFill>
          </w14:textFill>
        </w:rPr>
      </w:pPr>
    </w:p>
    <w:p>
      <w:pPr>
        <w:topLinePunct/>
        <w:spacing w:line="560" w:lineRule="exact"/>
        <w:ind w:firstLine="640"/>
        <w:rPr>
          <w:rFonts w:eastAsia="仿宋_GB2312"/>
          <w:color w:val="000000" w:themeColor="text1"/>
          <w:spacing w:val="-6"/>
          <w:sz w:val="32"/>
          <w:szCs w:val="32"/>
          <w:shd w:val="clear" w:color="auto" w:fill="FFFFFF"/>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积极对接国际高标准经贸规则，深化RCEP等规则精准应用，开展西部陆海新通道进口货物转关试点，推动跨境融资租赁、易货贸易、转口贸易等经贸合作，探索建设RCEP（怀化）经贸合作示范区，高水平建设湖南自贸区怀化协同联动区。</w:t>
      </w:r>
      <w:r>
        <w:rPr>
          <w:rFonts w:ascii="Times New Roman" w:hAnsi="Times New Roman" w:eastAsia="仿宋_GB2312" w:cs="Times New Roman"/>
          <w:color w:val="000000" w:themeColor="text1"/>
          <w:sz w:val="32"/>
          <w:szCs w:val="32"/>
          <w14:textFill>
            <w14:solidFill>
              <w14:schemeClr w14:val="tx1"/>
            </w14:solidFill>
          </w14:textFill>
        </w:rPr>
        <w:t>用好中国—东盟自贸区3.0版升级政策，扩大与东盟国家在数字经济、绿色经济、供应链等领域合作，探索建设“两国双园”项目。依托国际贸易“单一窗口”，打造全链条综合服务平台</w:t>
      </w:r>
      <w:r>
        <w:rPr>
          <w:rFonts w:hint="eastAsia"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shd w:val="clear" w:color="auto" w:fill="FFFFFF"/>
          <w14:textFill>
            <w14:solidFill>
              <w14:schemeClr w14:val="tx1"/>
            </w14:solidFill>
          </w14:textFill>
        </w:rPr>
        <w:t>推动与东盟国家及西部陆海新通道沿线节点互联互通，实现“一次申报、多地通关”。</w:t>
      </w:r>
      <w:r>
        <w:rPr>
          <w:rFonts w:ascii="Times New Roman" w:hAnsi="Times New Roman" w:eastAsia="仿宋_GB2312" w:cs="Times New Roman"/>
          <w:color w:val="000000" w:themeColor="text1"/>
          <w:spacing w:val="-6"/>
          <w:sz w:val="32"/>
          <w:szCs w:val="32"/>
          <w:shd w:val="clear" w:color="auto" w:fill="FFFFFF"/>
          <w14:textFill>
            <w14:solidFill>
              <w14:schemeClr w14:val="tx1"/>
            </w14:solidFill>
          </w14:textFill>
        </w:rPr>
        <w:t>加快推进智慧海关建设，推广应用“顺势监管”“嵌入式监管”等新型监管模式，构建跨境贸易溯源体系，实现货物全程可追溯。全面实施“提前申报”“两步申报”“直装直提”“铁路快通”等便利化措施，探索低风险货物“秒级通关”，设立跨境电商监管中心。</w:t>
      </w:r>
    </w:p>
    <w:p>
      <w:pPr>
        <w:pStyle w:val="7"/>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第三节 完善开放型经济体制机制</w:t>
      </w:r>
    </w:p>
    <w:p>
      <w:pPr>
        <w:spacing w:line="580" w:lineRule="exact"/>
        <w:ind w:firstLine="640"/>
        <w:rPr>
          <w:rFonts w:eastAsia="仿宋_GB2312"/>
          <w:color w:val="000000" w:themeColor="text1"/>
          <w:sz w:val="32"/>
          <w:szCs w:val="32"/>
          <w:shd w:val="clear" w:color="auto" w:fill="FFFFFF"/>
          <w14:textFill>
            <w14:solidFill>
              <w14:schemeClr w14:val="tx1"/>
            </w14:solidFill>
          </w14:textFill>
        </w:rPr>
      </w:pPr>
    </w:p>
    <w:p>
      <w:pPr>
        <w:spacing w:line="540" w:lineRule="exact"/>
        <w:ind w:firstLine="640"/>
        <w:rPr>
          <w:rFonts w:eastAsia="仿宋_GB2312"/>
          <w:color w:val="000000" w:themeColor="text1"/>
          <w:sz w:val="32"/>
          <w:szCs w:val="32"/>
          <w:shd w:val="clear" w:color="auto" w:fill="FFFFFF"/>
          <w14:textFill>
            <w14:solidFill>
              <w14:schemeClr w14:val="tx1"/>
            </w14:solidFill>
          </w14:textFill>
        </w:rPr>
      </w:pPr>
      <w:r>
        <w:rPr>
          <w:rFonts w:ascii="Times New Roman" w:hAnsi="Times New Roman" w:eastAsia="仿宋_GB2312" w:cs="Times New Roman"/>
          <w:color w:val="000000" w:themeColor="text1"/>
          <w:sz w:val="32"/>
          <w:szCs w:val="32"/>
          <w:shd w:val="clear" w:color="auto" w:fill="FFFFFF"/>
          <w14:textFill>
            <w14:solidFill>
              <w14:schemeClr w14:val="tx1"/>
            </w14:solidFill>
          </w14:textFill>
        </w:rPr>
        <w:t>持续完善支持怀化国际陆港建设的制度体系。探索与北部湾港建立统一箱管标准及检验检疫证书互认机制。</w:t>
      </w:r>
      <w:r>
        <w:rPr>
          <w:rFonts w:ascii="Times New Roman" w:hAnsi="Times New Roman" w:eastAsia="仿宋_GB2312" w:cs="Times New Roman"/>
          <w:color w:val="000000" w:themeColor="text1"/>
          <w:sz w:val="32"/>
          <w:szCs w:val="32"/>
          <w14:textFill>
            <w14:solidFill>
              <w14:schemeClr w14:val="tx1"/>
            </w14:solidFill>
          </w14:textFill>
        </w:rPr>
        <w:t>搭建集征信服务、跨境结算、综合融资等多功能陆港特色金融服务平台，大力发展供应链金融，挖掘可转让货物单证的金融应用场景，</w:t>
      </w:r>
      <w:r>
        <w:rPr>
          <w:rFonts w:ascii="Times New Roman" w:hAnsi="Times New Roman" w:eastAsia="仿宋_GB2312" w:cs="Times New Roman"/>
          <w:color w:val="000000" w:themeColor="text1"/>
          <w:sz w:val="32"/>
          <w:szCs w:val="32"/>
          <w:shd w:val="clear" w:color="auto" w:fill="FFFFFF"/>
          <w14:textFill>
            <w14:solidFill>
              <w14:schemeClr w14:val="tx1"/>
            </w14:solidFill>
          </w14:textFill>
        </w:rPr>
        <w:t>同步打造国际法律仲裁服务港，引进国际知名仲裁</w:t>
      </w:r>
      <w:r>
        <w:rPr>
          <w:rFonts w:hint="eastAsia" w:eastAsia="仿宋_GB2312" w:cs="Times New Roman"/>
          <w:color w:val="000000" w:themeColor="text1"/>
          <w:sz w:val="32"/>
          <w:szCs w:val="32"/>
          <w:shd w:val="clear" w:color="auto" w:fill="FFFFFF"/>
          <w14:textFill>
            <w14:solidFill>
              <w14:schemeClr w14:val="tx1"/>
            </w14:solidFill>
          </w14:textFill>
        </w:rPr>
        <w:t>、</w:t>
      </w:r>
      <w:r>
        <w:rPr>
          <w:rFonts w:ascii="Times New Roman" w:hAnsi="Times New Roman" w:eastAsia="仿宋_GB2312" w:cs="Times New Roman"/>
          <w:color w:val="000000" w:themeColor="text1"/>
          <w:sz w:val="32"/>
          <w:szCs w:val="32"/>
          <w:shd w:val="clear" w:color="auto" w:fill="FFFFFF"/>
          <w14:textFill>
            <w14:solidFill>
              <w14:schemeClr w14:val="tx1"/>
            </w14:solidFill>
          </w14:textFill>
        </w:rPr>
        <w:t>调解机构，组建面向东盟的涉外法律服务中心，推进怀化国际陆港法务区专业化特色化发展。深化土地、劳动力、资本、技术、数据等要素市场化改革，保障陆港建设及临港产业发展的要素供给。完善开放型经济风险防控体系，建立跨境贸易、投资、金融等领域风险监测预警机制。强化海关特殊监管区域安全管理，健全危化品、冷链货物等特殊商品监管机制。</w:t>
      </w:r>
    </w:p>
    <w:p>
      <w:pPr>
        <w:pStyle w:val="45"/>
        <w:spacing w:beforeAutospacing="0" w:afterAutospacing="0" w:line="540" w:lineRule="exact"/>
        <w:ind w:left="0" w:leftChars="0"/>
        <w:rPr>
          <w:rFonts w:eastAsia="仿宋_GB2312"/>
          <w:color w:val="000000" w:themeColor="text1"/>
          <w14:textFill>
            <w14:solidFill>
              <w14:schemeClr w14:val="tx1"/>
            </w14:solidFill>
          </w14:textFill>
        </w:rPr>
      </w:pPr>
    </w:p>
    <w:p>
      <w:pPr>
        <w:spacing w:line="540" w:lineRule="exact"/>
        <w:jc w:val="center"/>
        <w:rPr>
          <w:rFonts w:eastAsia="仿宋_GB2312"/>
          <w:b/>
          <w:bCs w:val="0"/>
          <w:color w:val="000000" w:themeColor="text1"/>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第四节 加强外向型经济人才培养引进</w:t>
      </w:r>
    </w:p>
    <w:p>
      <w:pPr>
        <w:spacing w:line="540" w:lineRule="exact"/>
        <w:ind w:firstLine="640"/>
        <w:rPr>
          <w:rFonts w:eastAsia="仿宋_GB2312"/>
          <w:color w:val="000000" w:themeColor="text1"/>
          <w:sz w:val="32"/>
          <w:szCs w:val="32"/>
          <w:shd w:val="clear" w:color="auto" w:fill="FFFFFF"/>
          <w14:textFill>
            <w14:solidFill>
              <w14:schemeClr w14:val="tx1"/>
            </w14:solidFill>
          </w14:textFill>
        </w:rPr>
      </w:pPr>
    </w:p>
    <w:p>
      <w:pPr>
        <w:spacing w:line="560" w:lineRule="exact"/>
        <w:ind w:firstLine="640"/>
        <w:rPr>
          <w:rFonts w:eastAsia="仿宋_GB2312"/>
          <w:color w:val="000000" w:themeColor="text1"/>
          <w:sz w:val="32"/>
          <w:szCs w:val="32"/>
          <w:shd w:val="clear" w:color="auto" w:fill="FFFFFF"/>
          <w14:textFill>
            <w14:solidFill>
              <w14:schemeClr w14:val="tx1"/>
            </w14:solidFill>
          </w14:textFill>
        </w:rPr>
      </w:pPr>
      <w:r>
        <w:rPr>
          <w:rFonts w:ascii="Times New Roman" w:hAnsi="Times New Roman" w:eastAsia="仿宋_GB2312" w:cs="Times New Roman"/>
          <w:color w:val="000000" w:themeColor="text1"/>
          <w:sz w:val="32"/>
          <w:szCs w:val="32"/>
          <w:shd w:val="clear" w:color="auto" w:fill="FFFFFF"/>
          <w14:textFill>
            <w14:solidFill>
              <w14:schemeClr w14:val="tx1"/>
            </w14:solidFill>
          </w14:textFill>
        </w:rPr>
        <w:t>对标国内先进陆港经验，系统构建与国际接轨的人才培养、引进、使用与激励全链条机制。升级实施“港才计划”，在现有“港培生计划”基础上，聚焦国际贸易、跨境物流、国际金融、法律等临港产业急需领域，定向培育一批专业化、复合型人才。推动本地高校与陆港重点企业共建产业学院和实训基地，推广“订单式培养+实习实训+就业输送”一体化模式，将东盟贸易规则、多式联运实务等课程纳入教学内容。高标准建设国际人才港，集成人才公寓、培训中心、创新创业基地等功能载体，配套国际化教育、医疗、商业等生活服务设施。建立与国际接轨的薪酬待遇和生活保障制度，精准吸引全球优质人才资源，重点引进跨境电商运营、供应链管理等领域高端人才和紧缺人才。推行项目制、合约制等灵活用工模式，建立“候鸟专家”“周末工程师”等柔性引才机制。设立人才发展基金，精准支持人才创新创业活动。</w:t>
      </w:r>
    </w:p>
    <w:p>
      <w:pPr>
        <w:pStyle w:val="6"/>
        <w:keepNext w:val="0"/>
        <w:keepLines w:val="0"/>
        <w:spacing w:line="560" w:lineRule="exact"/>
        <w:rPr>
          <w:rFonts w:ascii="Times New Roman" w:hAnsi="Times New Roman" w:eastAsia="黑体" w:cs="Times New Roman"/>
          <w:color w:val="000000" w:themeColor="text1"/>
          <w:sz w:val="32"/>
          <w14:textFill>
            <w14:solidFill>
              <w14:schemeClr w14:val="tx1"/>
            </w14:solidFill>
          </w14:textFill>
        </w:rPr>
      </w:pPr>
      <w:bookmarkStart w:id="10" w:name="_Toc16367"/>
    </w:p>
    <w:p>
      <w:pPr>
        <w:pStyle w:val="6"/>
        <w:keepNext w:val="0"/>
        <w:keepLines w:val="0"/>
        <w:spacing w:line="560" w:lineRule="exact"/>
        <w:rPr>
          <w:rFonts w:ascii="Times New Roman" w:hAnsi="Times New Roman" w:eastAsia="黑体" w:cs="Times New Roman"/>
          <w:color w:val="000000" w:themeColor="text1"/>
          <w:sz w:val="32"/>
          <w14:textFill>
            <w14:solidFill>
              <w14:schemeClr w14:val="tx1"/>
            </w14:solidFill>
          </w14:textFill>
        </w:rPr>
      </w:pPr>
      <w:r>
        <w:rPr>
          <w:rFonts w:ascii="Times New Roman" w:hAnsi="Times New Roman" w:eastAsia="黑体" w:cs="Times New Roman"/>
          <w:color w:val="000000" w:themeColor="text1"/>
          <w:sz w:val="32"/>
          <w14:textFill>
            <w14:solidFill>
              <w14:schemeClr w14:val="tx1"/>
            </w14:solidFill>
          </w14:textFill>
        </w:rPr>
        <w:t>第七章 提升贸易投资合作质量水平</w:t>
      </w:r>
      <w:bookmarkEnd w:id="10"/>
    </w:p>
    <w:p>
      <w:pPr>
        <w:pStyle w:val="7"/>
        <w:keepNext w:val="0"/>
        <w:keepLines w:val="0"/>
        <w:spacing w:line="560" w:lineRule="exact"/>
        <w:rPr>
          <w:rFonts w:eastAsia="仿宋_GB2312"/>
          <w:color w:val="000000" w:themeColor="text1"/>
          <w:sz w:val="32"/>
          <w14:textFill>
            <w14:solidFill>
              <w14:schemeClr w14:val="tx1"/>
            </w14:solidFill>
          </w14:textFill>
        </w:rPr>
      </w:pPr>
    </w:p>
    <w:p>
      <w:pPr>
        <w:pStyle w:val="7"/>
        <w:keepNext w:val="0"/>
        <w:keepLines w:val="0"/>
        <w:spacing w:line="56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第一节 推动高质量引进来</w:t>
      </w:r>
    </w:p>
    <w:p>
      <w:pPr>
        <w:spacing w:line="560" w:lineRule="exact"/>
        <w:ind w:firstLine="640"/>
        <w:rPr>
          <w:rFonts w:eastAsia="仿宋_GB2312"/>
          <w:color w:val="000000" w:themeColor="text1"/>
          <w:sz w:val="32"/>
          <w:szCs w:val="32"/>
          <w14:textFill>
            <w14:solidFill>
              <w14:schemeClr w14:val="tx1"/>
            </w14:solidFill>
          </w14:textFill>
        </w:rPr>
      </w:pPr>
    </w:p>
    <w:p>
      <w:pPr>
        <w:spacing w:line="560" w:lineRule="exact"/>
        <w:ind w:firstLine="640"/>
        <w:jc w:val="left"/>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bCs w:val="0"/>
          <w:color w:val="000000" w:themeColor="text1"/>
          <w:sz w:val="32"/>
          <w:szCs w:val="32"/>
          <w14:textFill>
            <w14:solidFill>
              <w14:schemeClr w14:val="tx1"/>
            </w14:solidFill>
          </w14:textFill>
        </w:rPr>
        <w:t>严格执行外商投资准入前国民待遇加负面清单管理制度，切实推动“非禁即入”普遍落实。</w:t>
      </w:r>
      <w:r>
        <w:rPr>
          <w:rFonts w:ascii="Times New Roman" w:hAnsi="Times New Roman" w:eastAsia="仿宋_GB2312" w:cs="Times New Roman"/>
          <w:color w:val="000000" w:themeColor="text1"/>
          <w:sz w:val="32"/>
          <w:szCs w:val="40"/>
          <w14:textFill>
            <w14:solidFill>
              <w14:schemeClr w14:val="tx1"/>
            </w14:solidFill>
          </w14:textFill>
        </w:rPr>
        <w:t>精准开展产业招商，依托中药材、水果、油茶、茶叶等特色资源优势，引导国际资本投向</w:t>
      </w:r>
      <w:r>
        <w:rPr>
          <w:rFonts w:ascii="Times New Roman" w:hAnsi="Times New Roman" w:eastAsia="仿宋_GB2312" w:cs="Times New Roman"/>
          <w:bCs w:val="0"/>
          <w:color w:val="000000" w:themeColor="text1"/>
          <w:sz w:val="32"/>
          <w:szCs w:val="32"/>
          <w14:textFill>
            <w14:solidFill>
              <w14:schemeClr w14:val="tx1"/>
            </w14:solidFill>
          </w14:textFill>
        </w:rPr>
        <w:t>保健食品、植物提取</w:t>
      </w:r>
      <w:r>
        <w:rPr>
          <w:rFonts w:ascii="Times New Roman" w:hAnsi="Times New Roman" w:eastAsia="仿宋_GB2312" w:cs="Times New Roman"/>
          <w:color w:val="000000" w:themeColor="text1"/>
          <w:sz w:val="32"/>
          <w:szCs w:val="40"/>
          <w14:textFill>
            <w14:solidFill>
              <w14:schemeClr w14:val="tx1"/>
            </w14:solidFill>
          </w14:textFill>
        </w:rPr>
        <w:t>等领域。围绕本地及周边市场需求，鼓励外资企业在先进复合材料、绿色建材、汽车零部件等细分行业建立生产基地。推行外资企业一站式服务与全生命周期管理，健全市</w:t>
      </w:r>
      <w:r>
        <w:rPr>
          <w:rFonts w:hint="eastAsia" w:eastAsia="仿宋_GB2312" w:cs="Times New Roman"/>
          <w:color w:val="000000" w:themeColor="text1"/>
          <w:sz w:val="32"/>
          <w:szCs w:val="40"/>
          <w14:textFill>
            <w14:solidFill>
              <w14:schemeClr w14:val="tx1"/>
            </w14:solidFill>
          </w14:textFill>
        </w:rPr>
        <w:t>、</w:t>
      </w:r>
      <w:r>
        <w:rPr>
          <w:rFonts w:ascii="Times New Roman" w:hAnsi="Times New Roman" w:eastAsia="仿宋_GB2312" w:cs="Times New Roman"/>
          <w:color w:val="000000" w:themeColor="text1"/>
          <w:sz w:val="32"/>
          <w:szCs w:val="40"/>
          <w14:textFill>
            <w14:solidFill>
              <w14:schemeClr w14:val="tx1"/>
            </w14:solidFill>
          </w14:textFill>
        </w:rPr>
        <w:t>县重点外资项目、外资企业服务</w:t>
      </w:r>
      <w:r>
        <w:rPr>
          <w:rFonts w:hint="eastAsia" w:eastAsia="仿宋_GB2312" w:cs="Times New Roman"/>
          <w:color w:val="000000" w:themeColor="text1"/>
          <w:sz w:val="32"/>
          <w:szCs w:val="40"/>
          <w14:textFill>
            <w14:solidFill>
              <w14:schemeClr w14:val="tx1"/>
            </w14:solidFill>
          </w14:textFill>
        </w:rPr>
        <w:t>机制</w:t>
      </w:r>
      <w:r>
        <w:rPr>
          <w:rFonts w:ascii="Times New Roman" w:hAnsi="Times New Roman" w:eastAsia="仿宋_GB2312" w:cs="Times New Roman"/>
          <w:color w:val="000000" w:themeColor="text1"/>
          <w:sz w:val="32"/>
          <w:szCs w:val="40"/>
          <w14:textFill>
            <w14:solidFill>
              <w14:schemeClr w14:val="tx1"/>
            </w14:solidFill>
          </w14:textFill>
        </w:rPr>
        <w:t>。完善惠企政策直达机制，建设集中统一的惠企政策发布平台，推动普惠性政策“免申即享”。与国内外知名产业基金、股权投资机构合作，通过基金投资引导高科技外资项目落户怀化。</w:t>
      </w:r>
      <w:r>
        <w:rPr>
          <w:rFonts w:ascii="Times New Roman" w:hAnsi="Times New Roman" w:eastAsia="仿宋_GB2312" w:cs="Times New Roman"/>
          <w:bCs w:val="0"/>
          <w:color w:val="000000" w:themeColor="text1"/>
          <w:sz w:val="32"/>
          <w:szCs w:val="32"/>
          <w14:textFill>
            <w14:solidFill>
              <w14:schemeClr w14:val="tx1"/>
            </w14:solidFill>
          </w14:textFill>
        </w:rPr>
        <w:t>依法保护外资企业知识产权及其他合法权益，营造稳定、公平、透明、可预期的发展环境。</w:t>
      </w:r>
    </w:p>
    <w:p>
      <w:pPr>
        <w:pStyle w:val="2"/>
        <w:rPr>
          <w:color w:val="000000" w:themeColor="text1"/>
          <w14:textFill>
            <w14:solidFill>
              <w14:schemeClr w14:val="tx1"/>
            </w14:solidFill>
          </w14:textFill>
        </w:rPr>
      </w:pPr>
    </w:p>
    <w:p>
      <w:pPr>
        <w:pStyle w:val="7"/>
        <w:keepNext w:val="0"/>
        <w:keepLines w:val="0"/>
        <w:spacing w:line="56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第二节 实施高水平走出去</w:t>
      </w:r>
    </w:p>
    <w:p>
      <w:pPr>
        <w:spacing w:line="560" w:lineRule="exact"/>
        <w:ind w:firstLine="640"/>
        <w:jc w:val="left"/>
        <w:rPr>
          <w:rFonts w:eastAsia="仿宋_GB2312"/>
          <w:color w:val="000000" w:themeColor="text1"/>
          <w:sz w:val="32"/>
          <w:szCs w:val="32"/>
          <w:shd w:val="clear" w:color="auto" w:fill="FFFFFF"/>
          <w14:textFill>
            <w14:solidFill>
              <w14:schemeClr w14:val="tx1"/>
            </w14:solidFill>
          </w14:textFill>
        </w:rPr>
      </w:pPr>
    </w:p>
    <w:p>
      <w:pPr>
        <w:spacing w:line="600" w:lineRule="exact"/>
        <w:ind w:firstLine="640"/>
        <w:jc w:val="left"/>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bCs w:val="0"/>
          <w:color w:val="000000" w:themeColor="text1"/>
          <w:sz w:val="32"/>
          <w:szCs w:val="32"/>
          <w14:textFill>
            <w14:solidFill>
              <w14:schemeClr w14:val="tx1"/>
            </w14:solidFill>
          </w14:textFill>
        </w:rPr>
        <w:t>加强对外投资准入引导与合规审查，强化项目全过程监管，建立应急处置预案，推动境外投资健康有序发展。</w:t>
      </w:r>
      <w:r>
        <w:rPr>
          <w:rFonts w:ascii="Times New Roman" w:hAnsi="Times New Roman" w:eastAsia="仿宋_GB2312" w:cs="Times New Roman"/>
          <w:color w:val="000000" w:themeColor="text1"/>
          <w:sz w:val="32"/>
          <w:szCs w:val="32"/>
          <w:shd w:val="clear" w:color="auto" w:fill="FFFFFF"/>
          <w14:textFill>
            <w14:solidFill>
              <w14:schemeClr w14:val="tx1"/>
            </w14:solidFill>
          </w14:textFill>
        </w:rPr>
        <w:t>深入实施外向型企业培育工程，培育壮大外贸经营主体。</w:t>
      </w:r>
      <w:r>
        <w:rPr>
          <w:rFonts w:ascii="Times New Roman" w:hAnsi="Times New Roman" w:eastAsia="仿宋_GB2312" w:cs="Times New Roman"/>
          <w:color w:val="000000" w:themeColor="text1"/>
          <w:sz w:val="32"/>
          <w:szCs w:val="32"/>
          <w14:textFill>
            <w14:solidFill>
              <w14:schemeClr w14:val="tx1"/>
            </w14:solidFill>
          </w14:textFill>
        </w:rPr>
        <w:t>推动特色优势产业出海，支持油茶、冰糖橙、茶叶、竹木制品、魔芋等特色农产品生产企业在泰国、越南等东盟国家建立生产基地与营销网络，打造一批具有区域影响力的特色农产品外贸出口基地。</w:t>
      </w:r>
      <w:r>
        <w:rPr>
          <w:rFonts w:ascii="Times New Roman" w:hAnsi="Times New Roman" w:eastAsia="仿宋_GB2312" w:cs="Times New Roman"/>
          <w:bCs w:val="0"/>
          <w:color w:val="000000" w:themeColor="text1"/>
          <w:sz w:val="32"/>
          <w:szCs w:val="32"/>
          <w14:textFill>
            <w14:solidFill>
              <w14:schemeClr w14:val="tx1"/>
            </w14:solidFill>
          </w14:textFill>
        </w:rPr>
        <w:t>支持箱包皮具等本土优势企业抱团出海、拓展国际市场。</w:t>
      </w:r>
      <w:r>
        <w:rPr>
          <w:rFonts w:ascii="Times New Roman" w:hAnsi="Times New Roman" w:eastAsia="仿宋_GB2312" w:cs="Times New Roman"/>
          <w:color w:val="000000" w:themeColor="text1"/>
          <w:sz w:val="32"/>
          <w:szCs w:val="32"/>
          <w14:textFill>
            <w14:solidFill>
              <w14:schemeClr w14:val="tx1"/>
            </w14:solidFill>
          </w14:textFill>
        </w:rPr>
        <w:t>引导本地中医药企业在马来西亚、新加坡等国家投资设立“预配方”中药颗粒剂生产厂或中医中心，带动中药材及中成药出口。组织有实力的建筑企业承接“一带一路”共建国家基础设施项目，推动技术、标准和劳务协同输出。鼓励企业在东盟国家共建产业合作园区，延伸跨境产业链条。支持企业参加国际展会、经贸洽谈和商务考察等活动，拓展国际市场渠道。鼓励企业通过并购、重组等方式整合国际优质资源，培育具有跨国经营能力的本土龙</w:t>
      </w:r>
      <w:r>
        <w:rPr>
          <w:rFonts w:ascii="Times New Roman" w:hAnsi="Times New Roman" w:eastAsia="仿宋_GB2312" w:cs="Times New Roman"/>
          <w:color w:val="000000" w:themeColor="text1"/>
          <w:spacing w:val="6"/>
          <w:sz w:val="32"/>
          <w:szCs w:val="32"/>
          <w14:textFill>
            <w14:solidFill>
              <w14:schemeClr w14:val="tx1"/>
            </w14:solidFill>
          </w14:textFill>
        </w:rPr>
        <w:t>头企业。加快培育外贸综合服务企业，引进涉外法律、会计、咨询等专业服务机构。到2030年，</w:t>
      </w:r>
      <w:r>
        <w:rPr>
          <w:rFonts w:ascii="Times New Roman" w:hAnsi="Times New Roman" w:eastAsia="仿宋_GB2312" w:cs="Times New Roman"/>
          <w:bCs w:val="0"/>
          <w:color w:val="000000" w:themeColor="text1"/>
          <w:sz w:val="32"/>
          <w:szCs w:val="32"/>
          <w14:textFill>
            <w14:solidFill>
              <w14:schemeClr w14:val="tx1"/>
            </w14:solidFill>
          </w14:textFill>
        </w:rPr>
        <w:t>力争新增涉外法律服务机构20家以上、海外仓5个以上。</w:t>
      </w:r>
    </w:p>
    <w:p>
      <w:pPr>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br w:type="page"/>
      </w:r>
    </w:p>
    <w:p>
      <w:pPr>
        <w:pStyle w:val="7"/>
        <w:keepNext w:val="0"/>
        <w:keepLines w:val="0"/>
        <w:spacing w:line="56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第三节 优化贸易投资结构</w:t>
      </w:r>
    </w:p>
    <w:p>
      <w:pPr>
        <w:spacing w:line="560" w:lineRule="exact"/>
        <w:ind w:firstLine="640"/>
        <w:jc w:val="left"/>
        <w:rPr>
          <w:rFonts w:eastAsia="仿宋_GB2312"/>
          <w:color w:val="000000" w:themeColor="text1"/>
          <w:sz w:val="32"/>
          <w:szCs w:val="32"/>
          <w14:textFill>
            <w14:solidFill>
              <w14:schemeClr w14:val="tx1"/>
            </w14:solidFill>
          </w14:textFill>
        </w:rPr>
      </w:pPr>
    </w:p>
    <w:p>
      <w:pPr>
        <w:spacing w:line="560" w:lineRule="exact"/>
        <w:ind w:firstLine="640"/>
        <w:jc w:val="left"/>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提升贸易质量效益，重点推动电子信息设备、新材料制品、汽车零部件等高附加值、高技术含量产品出口，扩大优质农产品、先进技术设备、关键零部件等进口。促进投资结构优化，引导外资更多投向先进制造、现代服务、科技创新等领域。推动市场多元化和内外贸一体化，优化升级货物贸易，积极培育数字贸易、中间品贸易、绿色贸易等新增长点，促进跨境电商、市场采购贸易等集聚发展。大力发展服务贸易，落实跨境服务贸易负面清单。推动贸易投资一体化发展，拓展“跨境电商+海外仓+产业带”等新模式。到2030年，力争进出口总额年均增长8%以上，培育450家以上有进出口实绩的外贸经营主体。</w:t>
      </w:r>
    </w:p>
    <w:p>
      <w:pPr>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br w:type="page"/>
      </w:r>
    </w:p>
    <w:p>
      <w:pPr>
        <w:pStyle w:val="5"/>
        <w:spacing w:line="580" w:lineRule="exact"/>
        <w:rPr>
          <w:rFonts w:eastAsia="方正小标宋简体"/>
          <w:color w:val="000000" w:themeColor="text1"/>
          <w:spacing w:val="-6"/>
          <w:sz w:val="36"/>
          <w:szCs w:val="36"/>
          <w14:textFill>
            <w14:solidFill>
              <w14:schemeClr w14:val="tx1"/>
            </w14:solidFill>
          </w14:textFill>
        </w:rPr>
      </w:pPr>
      <w:bookmarkStart w:id="11" w:name="_Toc81"/>
      <w:r>
        <w:rPr>
          <w:rFonts w:eastAsia="方正小标宋简体"/>
          <w:color w:val="000000" w:themeColor="text1"/>
          <w:spacing w:val="-6"/>
          <w:sz w:val="36"/>
          <w:szCs w:val="36"/>
          <w14:textFill>
            <w14:solidFill>
              <w14:schemeClr w14:val="tx1"/>
            </w14:solidFill>
          </w14:textFill>
        </w:rPr>
        <w:t>第三篇 全力构建现代化产业体系，巩固壮大实体经济根基</w:t>
      </w:r>
      <w:bookmarkEnd w:id="11"/>
    </w:p>
    <w:p>
      <w:pPr>
        <w:adjustRightInd w:val="0"/>
        <w:snapToGrid w:val="0"/>
        <w:spacing w:line="580" w:lineRule="exact"/>
        <w:ind w:firstLine="640"/>
        <w:rPr>
          <w:rFonts w:eastAsia="仿宋_GB2312"/>
          <w:color w:val="000000" w:themeColor="text1"/>
          <w:sz w:val="32"/>
          <w:szCs w:val="32"/>
          <w14:textFill>
            <w14:solidFill>
              <w14:schemeClr w14:val="tx1"/>
            </w14:solidFill>
          </w14:textFill>
        </w:rPr>
      </w:pPr>
    </w:p>
    <w:p>
      <w:pPr>
        <w:adjustRightInd w:val="0"/>
        <w:snapToGrid w:val="0"/>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坚持智能化、绿色化、融合化方向，突出“特色”“产业链”“升级”三个重点，因地制宜发展新质生产力，推动实体经济和数字经济深度融合，加快传统产业技术改造和转型升级，培育壮大新兴产业，谋划发展未来产业，着力构建以先进制造业为骨干的现代化产业体系，持续培育一批百亿级、五百亿级产业集群，力争千亿级产业集群破零。</w:t>
      </w:r>
    </w:p>
    <w:p>
      <w:pPr>
        <w:pStyle w:val="6"/>
        <w:spacing w:line="580" w:lineRule="exact"/>
        <w:rPr>
          <w:rFonts w:ascii="Times New Roman" w:hAnsi="Times New Roman" w:eastAsia="黑体" w:cs="Times New Roman"/>
          <w:color w:val="000000" w:themeColor="text1"/>
          <w:sz w:val="32"/>
          <w14:textFill>
            <w14:solidFill>
              <w14:schemeClr w14:val="tx1"/>
            </w14:solidFill>
          </w14:textFill>
        </w:rPr>
      </w:pPr>
    </w:p>
    <w:p>
      <w:pPr>
        <w:pStyle w:val="6"/>
        <w:spacing w:line="580" w:lineRule="exact"/>
        <w:rPr>
          <w:rFonts w:ascii="Times New Roman" w:hAnsi="Times New Roman" w:eastAsia="黑体" w:cs="Times New Roman"/>
          <w:color w:val="000000" w:themeColor="text1"/>
          <w:sz w:val="32"/>
          <w14:textFill>
            <w14:solidFill>
              <w14:schemeClr w14:val="tx1"/>
            </w14:solidFill>
          </w14:textFill>
        </w:rPr>
      </w:pPr>
      <w:bookmarkStart w:id="12" w:name="_Toc17163"/>
      <w:r>
        <w:rPr>
          <w:rFonts w:ascii="Times New Roman" w:hAnsi="Times New Roman" w:eastAsia="黑体" w:cs="Times New Roman"/>
          <w:color w:val="000000" w:themeColor="text1"/>
          <w:sz w:val="32"/>
          <w14:textFill>
            <w14:solidFill>
              <w14:schemeClr w14:val="tx1"/>
            </w14:solidFill>
          </w14:textFill>
        </w:rPr>
        <w:t>第八章 强力推进特色优势产业和产业链建设</w:t>
      </w:r>
      <w:bookmarkEnd w:id="12"/>
    </w:p>
    <w:p>
      <w:pPr>
        <w:pStyle w:val="7"/>
        <w:spacing w:line="580" w:lineRule="exact"/>
        <w:rPr>
          <w:rFonts w:eastAsia="仿宋_GB2312"/>
          <w:color w:val="000000" w:themeColor="text1"/>
          <w:sz w:val="32"/>
          <w14:textFill>
            <w14:solidFill>
              <w14:schemeClr w14:val="tx1"/>
            </w14:solidFill>
          </w14:textFill>
        </w:rPr>
      </w:pPr>
    </w:p>
    <w:p>
      <w:pPr>
        <w:pStyle w:val="7"/>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第一节 推进</w:t>
      </w:r>
      <w:r>
        <w:rPr>
          <w:rFonts w:eastAsia="仿宋_GB2312"/>
          <w:color w:val="000000" w:themeColor="text1"/>
          <w:kern w:val="0"/>
          <w:sz w:val="32"/>
          <w14:textFill>
            <w14:solidFill>
              <w14:schemeClr w14:val="tx1"/>
            </w14:solidFill>
          </w14:textFill>
        </w:rPr>
        <w:t>箱包皮具产业链向品牌化、高端化升级</w:t>
      </w:r>
    </w:p>
    <w:p>
      <w:pPr>
        <w:adjustRightInd w:val="0"/>
        <w:snapToGrid w:val="0"/>
        <w:spacing w:line="580" w:lineRule="exact"/>
        <w:ind w:firstLine="640"/>
        <w:rPr>
          <w:rFonts w:eastAsia="仿宋_GB2312"/>
          <w:color w:val="000000" w:themeColor="text1"/>
          <w:sz w:val="32"/>
          <w:szCs w:val="32"/>
          <w14:textFill>
            <w14:solidFill>
              <w14:schemeClr w14:val="tx1"/>
            </w14:solidFill>
          </w14:textFill>
        </w:rPr>
      </w:pPr>
    </w:p>
    <w:p>
      <w:pPr>
        <w:pStyle w:val="2"/>
        <w:spacing w:line="580" w:lineRule="exact"/>
        <w:ind w:left="0" w:leftChars="0" w:firstLine="640"/>
        <w:rPr>
          <w:rFonts w:eastAsia="仿宋_GB2312"/>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整合产业优势资源，聚焦拉杆箱、包袋、皮具等细分领域，构建集研发设计、智能制造、展示贸易、电商直播、检测认证、供应链服务、跨境电商、智慧物流等功能为一体的现代化箱包产业电商集聚区。深入推进产业数字化改造，设立C2M数字经济创新服务中心，分类推进箱包皮具企业数字化转型升级。强化区域品牌建设，推行“‘怀化箱包’集体商标+企业商标”的“母子商标”管理模式，支持本土内外贸企业培育一批具备国际国内影响力的自主品牌。到2030年，力争实现产业链综合总产值150亿元以上，其中规模以上工业总产值60亿元以上；链上企业总数突破300家，规模以上工业企业达80家以上，全面建成具有全球知名度和竞争力的“国际箱包之都”。</w:t>
      </w:r>
    </w:p>
    <w:tbl>
      <w:tblPr>
        <w:tblStyle w:val="26"/>
        <w:tblpPr w:leftFromText="180" w:rightFromText="180" w:vertAnchor="text" w:horzAnchor="page" w:tblpX="1676" w:tblpY="2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9071" w:type="dxa"/>
            <w:vAlign w:val="center"/>
          </w:tcPr>
          <w:p>
            <w:pPr>
              <w:spacing w:line="570" w:lineRule="exact"/>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专栏3—1 箱包皮具产业链提升工程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13" w:hRule="atLeast"/>
        </w:trPr>
        <w:tc>
          <w:tcPr>
            <w:tcW w:w="9071" w:type="dxa"/>
            <w:vAlign w:val="center"/>
          </w:tcPr>
          <w:p>
            <w:pPr>
              <w:adjustRightInd w:val="0"/>
              <w:snapToGrid w:val="0"/>
              <w:spacing w:line="48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1.重点</w:t>
            </w:r>
            <w:r>
              <w:rPr>
                <w:rFonts w:hint="eastAsia" w:ascii="Times New Roman" w:hAnsi="Times New Roman" w:eastAsia="楷体_GB2312" w:cs="Times New Roman"/>
                <w:b/>
                <w:color w:val="000000" w:themeColor="text1"/>
                <w:sz w:val="32"/>
                <w:szCs w:val="32"/>
                <w14:textFill>
                  <w14:solidFill>
                    <w14:schemeClr w14:val="tx1"/>
                  </w14:solidFill>
                </w14:textFill>
              </w:rPr>
              <w:t>项目</w:t>
            </w:r>
            <w:r>
              <w:rPr>
                <w:rFonts w:ascii="Times New Roman" w:hAnsi="Times New Roman" w:eastAsia="楷体_GB2312" w:cs="Times New Roman"/>
                <w:b/>
                <w:color w:val="000000" w:themeColor="text1"/>
                <w:sz w:val="32"/>
                <w:szCs w:val="32"/>
                <w14:textFill>
                  <w14:solidFill>
                    <w14:schemeClr w14:val="tx1"/>
                  </w14:solidFill>
                </w14:textFill>
              </w:rPr>
              <w:t>建设。</w:t>
            </w:r>
            <w:r>
              <w:rPr>
                <w:rFonts w:ascii="Times New Roman" w:hAnsi="Times New Roman" w:eastAsia="楷体_GB2312" w:cs="Times New Roman"/>
                <w:bCs w:val="0"/>
                <w:color w:val="000000" w:themeColor="text1"/>
                <w:sz w:val="32"/>
                <w:szCs w:val="32"/>
                <w14:textFill>
                  <w14:solidFill>
                    <w14:schemeClr w14:val="tx1"/>
                  </w14:solidFill>
                </w14:textFill>
              </w:rPr>
              <w:t>建设</w:t>
            </w:r>
            <w:r>
              <w:rPr>
                <w:rFonts w:ascii="Times New Roman" w:hAnsi="Times New Roman" w:eastAsia="楷体_GB2312" w:cs="Times New Roman"/>
                <w:color w:val="000000" w:themeColor="text1"/>
                <w:sz w:val="32"/>
                <w:szCs w:val="32"/>
                <w14:textFill>
                  <w14:solidFill>
                    <w14:schemeClr w14:val="tx1"/>
                  </w14:solidFill>
                </w14:textFill>
              </w:rPr>
              <w:t>怀化国际陆港国际箱包产业园项目、会同拉杆箱产业集群项目、怀化高新区电镀箱包金属配件项目、中方县包袋专业园区项目、辰溪县专业包产业园项目、鹤城区户外旅行包产业园项目等项目。</w:t>
            </w:r>
          </w:p>
          <w:p>
            <w:pPr>
              <w:adjustRightInd w:val="0"/>
              <w:snapToGrid w:val="0"/>
              <w:spacing w:line="48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2.重点平台建设。</w:t>
            </w:r>
            <w:r>
              <w:rPr>
                <w:rFonts w:ascii="Times New Roman" w:hAnsi="Times New Roman" w:eastAsia="楷体_GB2312" w:cs="Times New Roman"/>
                <w:bCs w:val="0"/>
                <w:color w:val="000000" w:themeColor="text1"/>
                <w:sz w:val="32"/>
                <w:szCs w:val="32"/>
                <w14:textFill>
                  <w14:solidFill>
                    <w14:schemeClr w14:val="tx1"/>
                  </w14:solidFill>
                </w14:textFill>
              </w:rPr>
              <w:t>谋划</w:t>
            </w:r>
            <w:r>
              <w:rPr>
                <w:rFonts w:ascii="Times New Roman" w:hAnsi="Times New Roman" w:eastAsia="楷体_GB2312" w:cs="Times New Roman"/>
                <w:color w:val="000000" w:themeColor="text1"/>
                <w:sz w:val="32"/>
                <w:szCs w:val="32"/>
                <w14:textFill>
                  <w14:solidFill>
                    <w14:schemeClr w14:val="tx1"/>
                  </w14:solidFill>
                </w14:textFill>
              </w:rPr>
              <w:t>建设C2M数字经济创新服务平台、中检集团产品检测认证中心、箱包展示交易中心、箱包数字研发中心、国际贸易服务中心、国内电商直播中心、品牌孵化创新中心、智享物流仓储中心等平台。</w:t>
            </w:r>
          </w:p>
          <w:p>
            <w:pPr>
              <w:adjustRightInd w:val="0"/>
              <w:snapToGrid w:val="0"/>
              <w:spacing w:line="480" w:lineRule="exact"/>
              <w:ind w:firstLine="643"/>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3.重点技术攻关。</w:t>
            </w:r>
            <w:r>
              <w:rPr>
                <w:rFonts w:ascii="Times New Roman" w:hAnsi="Times New Roman" w:eastAsia="楷体_GB2312" w:cs="Times New Roman"/>
                <w:bCs w:val="0"/>
                <w:color w:val="000000" w:themeColor="text1"/>
                <w:sz w:val="32"/>
                <w:szCs w:val="32"/>
                <w14:textFill>
                  <w14:solidFill>
                    <w14:schemeClr w14:val="tx1"/>
                  </w14:solidFill>
                </w14:textFill>
              </w:rPr>
              <w:t>开展箱包包体高性能与复合新材料、箱包智能与功能集成材料设计、环保与生物基材料等研究。</w:t>
            </w:r>
          </w:p>
        </w:tc>
      </w:tr>
    </w:tbl>
    <w:p>
      <w:pPr>
        <w:pStyle w:val="7"/>
        <w:spacing w:line="560" w:lineRule="exact"/>
        <w:rPr>
          <w:rFonts w:eastAsia="仿宋_GB2312"/>
          <w:color w:val="000000" w:themeColor="text1"/>
          <w:sz w:val="32"/>
          <w14:textFill>
            <w14:solidFill>
              <w14:schemeClr w14:val="tx1"/>
            </w14:solidFill>
          </w14:textFill>
        </w:rPr>
      </w:pPr>
    </w:p>
    <w:p>
      <w:pPr>
        <w:pStyle w:val="7"/>
        <w:keepNext w:val="0"/>
        <w:keepLines w:val="0"/>
        <w:adjustRightInd/>
        <w:snapToGrid/>
        <w:spacing w:line="56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第二节 促进机械装备产业链集群发展</w:t>
      </w:r>
    </w:p>
    <w:p>
      <w:pPr>
        <w:spacing w:line="560" w:lineRule="exact"/>
        <w:ind w:firstLine="640"/>
        <w:rPr>
          <w:rFonts w:eastAsia="仿宋_GB2312"/>
          <w:color w:val="000000" w:themeColor="text1"/>
          <w:sz w:val="32"/>
          <w:szCs w:val="32"/>
          <w14:textFill>
            <w14:solidFill>
              <w14:schemeClr w14:val="tx1"/>
            </w14:solidFill>
          </w14:textFill>
        </w:rPr>
      </w:pPr>
    </w:p>
    <w:p>
      <w:pPr>
        <w:spacing w:line="56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聚焦桥梁及隧道挖掘成套装备、铁路养护装备、轨道交通装备等重点方向，提升系统集成能力，进一步壮大桥隧装备产业集群。围绕箱体制造、环保涂装等关键配套环节，引进专业化企业，增强本地配套能力，推动智能环卫装备产业规模化发展。针对丘陵山地农业需求，发展轻量化、多功能特色农机装备，突破关键部件技术瓶颈，加强北斗导航、无人驾驶等智能化技术融合应用，构建适用于山区作业的农业装备体系。推进金属表面处理中心建设，引导表面处理企业集聚发展，深化军民融合技术合作与产业对接。积极拓展东盟市场，开发适应热带气候与当地基础设施条件的中小型装备产品。到2030年，力争实现产业链规模以上工业总产值200亿元以上，培育国家级和省级中小企业特色产业集群各1个，建成国家级智能制造示范工厂和省级标杆车间各1个，培育年营业收入超10亿元的龙头企业3家。</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71" w:type="dxa"/>
            <w:vAlign w:val="center"/>
          </w:tcPr>
          <w:p>
            <w:pPr>
              <w:spacing w:line="490" w:lineRule="exact"/>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专栏3—2 机械装备产业链提升工程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71" w:type="dxa"/>
            <w:vAlign w:val="center"/>
          </w:tcPr>
          <w:p>
            <w:pPr>
              <w:widowControl/>
              <w:spacing w:line="48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1.重点项目建设。</w:t>
            </w:r>
            <w:r>
              <w:rPr>
                <w:rFonts w:ascii="Times New Roman" w:hAnsi="Times New Roman" w:eastAsia="楷体_GB2312" w:cs="Times New Roman"/>
                <w:color w:val="000000" w:themeColor="text1"/>
                <w:sz w:val="32"/>
                <w:szCs w:val="32"/>
                <w14:textFill>
                  <w14:solidFill>
                    <w14:schemeClr w14:val="tx1"/>
                  </w14:solidFill>
                </w14:textFill>
              </w:rPr>
              <w:t>建设辰溪红冲锻造生产线项目、辰溪阀门集群生产线项目、废旧金属回收循环综合利用项目、三一环卫二期项目、中南桥梁示范项目、高新区农机制造项目等项目。</w:t>
            </w:r>
          </w:p>
          <w:p>
            <w:pPr>
              <w:widowControl/>
              <w:spacing w:line="480" w:lineRule="exact"/>
              <w:ind w:firstLine="643"/>
              <w:rPr>
                <w:rFonts w:ascii="Times New Roman" w:hAnsi="Times New Roman" w:eastAsia="楷体_GB2312" w:cs="Times New Roman"/>
                <w:b/>
                <w:bCs w:val="0"/>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2.重点平台建设。</w:t>
            </w:r>
            <w:r>
              <w:rPr>
                <w:rFonts w:ascii="Times New Roman" w:hAnsi="Times New Roman" w:eastAsia="楷体_GB2312" w:cs="Times New Roman"/>
                <w:color w:val="000000" w:themeColor="text1"/>
                <w:sz w:val="32"/>
                <w:szCs w:val="32"/>
                <w14:textFill>
                  <w14:solidFill>
                    <w14:schemeClr w14:val="tx1"/>
                  </w14:solidFill>
                </w14:textFill>
              </w:rPr>
              <w:t>建设云箭（辰溪）数智表面处理中心、桥隧智能装备研发平台，谋划建设农机装备智能研发平台等平台。</w:t>
            </w:r>
          </w:p>
          <w:p>
            <w:pPr>
              <w:widowControl/>
              <w:spacing w:line="48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3.重点技术攻关。</w:t>
            </w:r>
            <w:r>
              <w:rPr>
                <w:rFonts w:ascii="Times New Roman" w:hAnsi="Times New Roman" w:eastAsia="楷体_GB2312" w:cs="Times New Roman"/>
                <w:color w:val="000000" w:themeColor="text1"/>
                <w:sz w:val="32"/>
                <w:szCs w:val="32"/>
                <w14:textFill>
                  <w14:solidFill>
                    <w14:schemeClr w14:val="tx1"/>
                  </w14:solidFill>
                </w14:textFill>
              </w:rPr>
              <w:t>开展电镀等金属表面处理、金属精密加工铸造工艺提升等研究，突破绿色农机核心技术，攻关特殊设备起重吊装及特种工程结构补强等技术。</w:t>
            </w:r>
          </w:p>
        </w:tc>
      </w:tr>
    </w:tbl>
    <w:p>
      <w:pPr>
        <w:pStyle w:val="7"/>
        <w:spacing w:line="560" w:lineRule="exact"/>
        <w:rPr>
          <w:rFonts w:eastAsia="仿宋_GB2312"/>
          <w:color w:val="000000" w:themeColor="text1"/>
          <w:sz w:val="32"/>
          <w14:textFill>
            <w14:solidFill>
              <w14:schemeClr w14:val="tx1"/>
            </w14:solidFill>
          </w14:textFill>
        </w:rPr>
      </w:pPr>
    </w:p>
    <w:p>
      <w:pPr>
        <w:pStyle w:val="7"/>
        <w:numPr>
          <w:ilvl w:val="0"/>
          <w:numId w:val="1"/>
        </w:numPr>
        <w:spacing w:line="56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大力发展新能源</w:t>
      </w:r>
      <w:r>
        <w:rPr>
          <w:rFonts w:hint="eastAsia" w:eastAsia="仿宋_GB2312"/>
          <w:color w:val="000000" w:themeColor="text1"/>
          <w:sz w:val="32"/>
          <w14:textFill>
            <w14:solidFill>
              <w14:schemeClr w14:val="tx1"/>
            </w14:solidFill>
          </w14:textFill>
        </w:rPr>
        <w:t>及其装备</w:t>
      </w:r>
      <w:r>
        <w:rPr>
          <w:rFonts w:eastAsia="仿宋_GB2312"/>
          <w:color w:val="000000" w:themeColor="text1"/>
          <w:sz w:val="32"/>
          <w14:textFill>
            <w14:solidFill>
              <w14:schemeClr w14:val="tx1"/>
            </w14:solidFill>
          </w14:textFill>
        </w:rPr>
        <w:t>产业链</w:t>
      </w:r>
    </w:p>
    <w:p>
      <w:pPr>
        <w:pStyle w:val="7"/>
        <w:spacing w:line="560" w:lineRule="exact"/>
        <w:rPr>
          <w:rFonts w:eastAsia="仿宋_GB2312"/>
          <w:color w:val="000000" w:themeColor="text1"/>
          <w:sz w:val="32"/>
          <w14:textFill>
            <w14:solidFill>
              <w14:schemeClr w14:val="tx1"/>
            </w14:solidFill>
          </w14:textFill>
        </w:rPr>
      </w:pPr>
    </w:p>
    <w:p>
      <w:pPr>
        <w:spacing w:line="56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以打造全省重要清洁能源生产基地、武陵山片区重要新能源装备制造基地和长时储能制造基地为目标，做大做强风电与储能产业，巩固提升电工装备与光伏产业，加快培育氢能产业。大力推进风电规模化开发，加快发展抽水蓄能、新型储能，拓展“分布式可再生能源+”应用场景。聚焦新能源装备制造，重点推进风电总装与零部件制造，布局关键辅助材料、智能运维、叶片回收利用等配套环节，建设山地风电实证基地。积极发展特种电缆制造、新型电力系统运维检修等产业，布局光伏特种玻璃及组件回收利用等产业。大力发展全钒液流电池和锂电池产业，探索风、光、水、生物质制氢技术。到2030年，力争实现产业链规模以上工业总产值240亿元以上，培育年营业收入超10亿企业2家、超5亿企业5家。</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71" w:type="dxa"/>
            <w:vAlign w:val="center"/>
          </w:tcPr>
          <w:p>
            <w:pPr>
              <w:spacing w:line="490" w:lineRule="exact"/>
              <w:ind w:firstLine="640"/>
              <w:jc w:val="center"/>
              <w:rPr>
                <w:rFonts w:eastAsia="仿宋_GB2312"/>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专栏3—3 新能源及</w:t>
            </w:r>
            <w:r>
              <w:rPr>
                <w:rFonts w:hint="eastAsia" w:eastAsia="黑体" w:cs="Times New Roman"/>
                <w:color w:val="000000" w:themeColor="text1"/>
                <w:sz w:val="32"/>
                <w:szCs w:val="32"/>
                <w14:textFill>
                  <w14:solidFill>
                    <w14:schemeClr w14:val="tx1"/>
                  </w14:solidFill>
                </w14:textFill>
              </w:rPr>
              <w:t>其</w:t>
            </w:r>
            <w:r>
              <w:rPr>
                <w:rFonts w:ascii="Times New Roman" w:hAnsi="Times New Roman" w:eastAsia="黑体" w:cs="Times New Roman"/>
                <w:color w:val="000000" w:themeColor="text1"/>
                <w:sz w:val="32"/>
                <w:szCs w:val="32"/>
                <w14:textFill>
                  <w14:solidFill>
                    <w14:schemeClr w14:val="tx1"/>
                  </w14:solidFill>
                </w14:textFill>
              </w:rPr>
              <w:t>装备制造产业链提升工程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71" w:type="dxa"/>
            <w:vAlign w:val="center"/>
          </w:tcPr>
          <w:p>
            <w:pPr>
              <w:widowControl/>
              <w:spacing w:line="480" w:lineRule="exact"/>
              <w:ind w:firstLine="643"/>
              <w:rPr>
                <w:rFonts w:eastAsia="楷体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1.重点项目建设。</w:t>
            </w:r>
            <w:r>
              <w:rPr>
                <w:rFonts w:ascii="Times New Roman" w:hAnsi="Times New Roman" w:eastAsia="楷体_GB2312" w:cs="Times New Roman"/>
                <w:color w:val="000000" w:themeColor="text1"/>
                <w:sz w:val="32"/>
                <w:szCs w:val="32"/>
                <w14:textFill>
                  <w14:solidFill>
                    <w14:schemeClr w14:val="tx1"/>
                  </w14:solidFill>
                </w14:textFill>
              </w:rPr>
              <w:t>建设全钒液流电池及钒电解液制造、电池变流器制造、固态电池制造、虚拟电厂等项目。</w:t>
            </w:r>
          </w:p>
          <w:p>
            <w:pPr>
              <w:widowControl/>
              <w:spacing w:line="480" w:lineRule="exact"/>
              <w:ind w:firstLine="643"/>
              <w:rPr>
                <w:rFonts w:eastAsia="楷体_GB2312"/>
                <w:b/>
                <w:bCs w:val="0"/>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2.重点平台建设。</w:t>
            </w:r>
            <w:r>
              <w:rPr>
                <w:rFonts w:ascii="Times New Roman" w:hAnsi="Times New Roman" w:eastAsia="楷体_GB2312" w:cs="Times New Roman"/>
                <w:color w:val="000000" w:themeColor="text1"/>
                <w:sz w:val="32"/>
                <w:szCs w:val="32"/>
                <w14:textFill>
                  <w14:solidFill>
                    <w14:schemeClr w14:val="tx1"/>
                  </w14:solidFill>
                </w14:textFill>
              </w:rPr>
              <w:t>建设风机集中运维平台、校企共建新能源研发平台、</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楷体_GB2312" w:cs="Times New Roman"/>
                <w:color w:val="000000" w:themeColor="text1"/>
                <w:sz w:val="32"/>
                <w:szCs w:val="32"/>
                <w14:textFill>
                  <w14:solidFill>
                    <w14:schemeClr w14:val="tx1"/>
                  </w14:solidFill>
                </w14:textFill>
              </w:rPr>
              <w:t>源网荷储</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楷体_GB2312" w:cs="Times New Roman"/>
                <w:color w:val="000000" w:themeColor="text1"/>
                <w:sz w:val="32"/>
                <w:szCs w:val="32"/>
                <w14:textFill>
                  <w14:solidFill>
                    <w14:schemeClr w14:val="tx1"/>
                  </w14:solidFill>
                </w14:textFill>
              </w:rPr>
              <w:t>聚合管理平台，谋划建设山地风电装备质量监督检验中心等平台</w:t>
            </w:r>
            <w:r>
              <w:rPr>
                <w:rFonts w:ascii="Times New Roman" w:hAnsi="Times New Roman" w:eastAsia="楷体_GB2312" w:cs="Times New Roman"/>
                <w:b/>
                <w:color w:val="000000" w:themeColor="text1"/>
                <w:sz w:val="32"/>
                <w:szCs w:val="32"/>
                <w14:textFill>
                  <w14:solidFill>
                    <w14:schemeClr w14:val="tx1"/>
                  </w14:solidFill>
                </w14:textFill>
              </w:rPr>
              <w:t>。</w:t>
            </w:r>
          </w:p>
          <w:p>
            <w:pPr>
              <w:widowControl/>
              <w:spacing w:line="480" w:lineRule="exact"/>
              <w:ind w:firstLine="643"/>
              <w:rPr>
                <w:rFonts w:eastAsia="楷体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3.重点技术攻关。</w:t>
            </w:r>
            <w:r>
              <w:rPr>
                <w:rFonts w:ascii="Times New Roman" w:hAnsi="Times New Roman" w:eastAsia="楷体_GB2312" w:cs="Times New Roman"/>
                <w:color w:val="000000" w:themeColor="text1"/>
                <w:sz w:val="32"/>
                <w:szCs w:val="32"/>
                <w14:textFill>
                  <w14:solidFill>
                    <w14:schemeClr w14:val="tx1"/>
                  </w14:solidFill>
                </w14:textFill>
              </w:rPr>
              <w:t>开展风机叶片回收、叶片抗冰、风电场功率精准预测、配电网智能传感、智能巡检机器人、在线监测与故障诊断技术、可调负荷控制终端、钙钛矿晶硅叠层电池、清洁高效的工业副产氢提纯制氢、制氢加氢一体化、绿电制绿氢（氨、醇）等研究</w:t>
            </w:r>
            <w:r>
              <w:rPr>
                <w:rFonts w:ascii="Times New Roman" w:hAnsi="Times New Roman" w:eastAsia="楷体_GB2312" w:cs="Times New Roman"/>
                <w:b/>
                <w:color w:val="000000" w:themeColor="text1"/>
                <w:sz w:val="32"/>
                <w:szCs w:val="32"/>
                <w14:textFill>
                  <w14:solidFill>
                    <w14:schemeClr w14:val="tx1"/>
                  </w14:solidFill>
                </w14:textFill>
              </w:rPr>
              <w:t>。</w:t>
            </w:r>
          </w:p>
        </w:tc>
      </w:tr>
    </w:tbl>
    <w:p>
      <w:pPr>
        <w:pStyle w:val="7"/>
        <w:spacing w:line="570" w:lineRule="exact"/>
        <w:rPr>
          <w:rFonts w:eastAsia="仿宋_GB2312"/>
          <w:color w:val="000000" w:themeColor="text1"/>
          <w:sz w:val="32"/>
          <w14:textFill>
            <w14:solidFill>
              <w14:schemeClr w14:val="tx1"/>
            </w14:solidFill>
          </w14:textFill>
        </w:rPr>
      </w:pPr>
    </w:p>
    <w:p>
      <w:pPr>
        <w:pStyle w:val="7"/>
        <w:spacing w:line="57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第四节 做优生物基新材料产业链</w:t>
      </w:r>
    </w:p>
    <w:p>
      <w:pPr>
        <w:spacing w:line="570" w:lineRule="exact"/>
        <w:ind w:firstLine="640"/>
        <w:rPr>
          <w:rFonts w:eastAsia="仿宋_GB2312"/>
          <w:color w:val="000000" w:themeColor="text1"/>
          <w:sz w:val="32"/>
          <w:szCs w:val="32"/>
          <w14:textFill>
            <w14:solidFill>
              <w14:schemeClr w14:val="tx1"/>
            </w14:solidFill>
          </w14:textFill>
        </w:rPr>
      </w:pPr>
    </w:p>
    <w:p>
      <w:pPr>
        <w:spacing w:line="570" w:lineRule="exact"/>
        <w:ind w:firstLine="640"/>
        <w:rPr>
          <w:rFonts w:eastAsia="仿宋"/>
          <w:color w:val="000000" w:themeColor="text1"/>
          <w:sz w:val="30"/>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大力发展木浆及纤维素衍生物、高纯度天然乳胶、电子级化学品、生物基降解材料等优势细分领域，推动生物质资源高效利用与化工材料高端化升级。推进标准化生物质原料基地建设，推广现代化采收预处理技术，拓展高端医疗器械、绿色包装、环保消费品、新能源材料等高附加值应用场景，提升产业协同效率。联合龙头企业、知名高校等，共建五省边际区域生物基新材料创新研究院，开展共性技术研发、成果中试熟化、标准制定与检测认证。到2030年，力争实现产业链规模以上工业总产值260亿</w:t>
      </w:r>
      <w:r>
        <w:rPr>
          <w:rFonts w:ascii="Times New Roman" w:hAnsi="Times New Roman" w:eastAsia="仿宋_GB2312" w:cs="Times New Roman"/>
          <w:color w:val="000000" w:themeColor="text1"/>
          <w:spacing w:val="-6"/>
          <w:sz w:val="32"/>
          <w:szCs w:val="32"/>
          <w14:textFill>
            <w14:solidFill>
              <w14:schemeClr w14:val="tx1"/>
            </w14:solidFill>
          </w14:textFill>
        </w:rPr>
        <w:t>元以上，培育年营业收入超10亿元企业5家、超5亿元企业7家。</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9071" w:type="dxa"/>
            <w:vAlign w:val="center"/>
          </w:tcPr>
          <w:p>
            <w:pPr>
              <w:spacing w:line="490" w:lineRule="exact"/>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专栏3—4 生物基新材料产业</w:t>
            </w:r>
            <w:r>
              <w:rPr>
                <w:rFonts w:hint="eastAsia" w:ascii="Times New Roman" w:hAnsi="Times New Roman" w:eastAsia="黑体" w:cs="Times New Roman"/>
                <w:color w:val="000000" w:themeColor="text1"/>
                <w:sz w:val="32"/>
                <w:szCs w:val="32"/>
                <w14:textFill>
                  <w14:solidFill>
                    <w14:schemeClr w14:val="tx1"/>
                  </w14:solidFill>
                </w14:textFill>
              </w:rPr>
              <w:t>链</w:t>
            </w:r>
            <w:r>
              <w:rPr>
                <w:rFonts w:ascii="Times New Roman" w:hAnsi="Times New Roman" w:eastAsia="黑体" w:cs="Times New Roman"/>
                <w:color w:val="000000" w:themeColor="text1"/>
                <w:sz w:val="32"/>
                <w:szCs w:val="32"/>
                <w14:textFill>
                  <w14:solidFill>
                    <w14:schemeClr w14:val="tx1"/>
                  </w14:solidFill>
                </w14:textFill>
              </w:rPr>
              <w:t>提升工程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9071" w:type="dxa"/>
          </w:tcPr>
          <w:p>
            <w:pPr>
              <w:widowControl/>
              <w:spacing w:line="48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1.重点项目建设。</w:t>
            </w:r>
            <w:r>
              <w:rPr>
                <w:rFonts w:ascii="Times New Roman" w:hAnsi="Times New Roman" w:eastAsia="楷体_GB2312" w:cs="Times New Roman"/>
                <w:color w:val="000000" w:themeColor="text1"/>
                <w:sz w:val="32"/>
                <w:szCs w:val="32"/>
                <w14:textFill>
                  <w14:solidFill>
                    <w14:schemeClr w14:val="tx1"/>
                  </w14:solidFill>
                </w14:textFill>
              </w:rPr>
              <w:t>建设麻阳新型高纯度脱蛋白天然乳胶材料项目、洪江区特种高分子材料产业基地项目、年产5万吨三氯氢硅项目、年产30万吨硫化工产品及能源综合利用项目、年产5.5万吨特种高分子材料项目等项目。</w:t>
            </w:r>
          </w:p>
          <w:p>
            <w:pPr>
              <w:widowControl/>
              <w:spacing w:line="48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2.重点平台建设。</w:t>
            </w:r>
            <w:r>
              <w:rPr>
                <w:rFonts w:ascii="Times New Roman" w:hAnsi="Times New Roman" w:eastAsia="楷体_GB2312" w:cs="Times New Roman"/>
                <w:color w:val="000000" w:themeColor="text1"/>
                <w:sz w:val="32"/>
                <w:szCs w:val="32"/>
                <w14:textFill>
                  <w14:solidFill>
                    <w14:schemeClr w14:val="tx1"/>
                  </w14:solidFill>
                </w14:textFill>
              </w:rPr>
              <w:t>建设五省边际区域生物基新材料创新研究院，在溆浦（维纶纤维）、麻阳（生物基橡胶）、洪江</w:t>
            </w:r>
            <w:r>
              <w:rPr>
                <w:rFonts w:hint="eastAsia" w:ascii="Times New Roman" w:hAnsi="Times New Roman" w:eastAsia="楷体_GB2312" w:cs="Times New Roman"/>
                <w:color w:val="000000" w:themeColor="text1"/>
                <w:sz w:val="32"/>
                <w:szCs w:val="32"/>
                <w14:textFill>
                  <w14:solidFill>
                    <w14:schemeClr w14:val="tx1"/>
                  </w14:solidFill>
                </w14:textFill>
              </w:rPr>
              <w:t>区</w:t>
            </w:r>
            <w:r>
              <w:rPr>
                <w:rFonts w:ascii="Times New Roman" w:hAnsi="Times New Roman" w:eastAsia="楷体_GB2312" w:cs="Times New Roman"/>
                <w:color w:val="000000" w:themeColor="text1"/>
                <w:sz w:val="32"/>
                <w:szCs w:val="32"/>
                <w14:textFill>
                  <w14:solidFill>
                    <w14:schemeClr w14:val="tx1"/>
                  </w14:solidFill>
                </w14:textFill>
              </w:rPr>
              <w:t>（精细化工）布局区域性产业技术促进中心等平台</w:t>
            </w:r>
            <w:r>
              <w:rPr>
                <w:rFonts w:ascii="Times New Roman" w:hAnsi="Times New Roman" w:eastAsia="楷体_GB2312" w:cs="Times New Roman"/>
                <w:bCs w:val="0"/>
                <w:color w:val="000000" w:themeColor="text1"/>
                <w:sz w:val="32"/>
                <w:szCs w:val="32"/>
                <w14:textFill>
                  <w14:solidFill>
                    <w14:schemeClr w14:val="tx1"/>
                  </w14:solidFill>
                </w14:textFill>
              </w:rPr>
              <w:t>。</w:t>
            </w:r>
          </w:p>
          <w:p>
            <w:pPr>
              <w:widowControl/>
              <w:spacing w:line="480" w:lineRule="exact"/>
              <w:ind w:firstLine="643"/>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3.重点技术攻关。</w:t>
            </w:r>
            <w:r>
              <w:rPr>
                <w:rFonts w:ascii="Times New Roman" w:hAnsi="Times New Roman" w:eastAsia="楷体_GB2312" w:cs="Times New Roman"/>
                <w:color w:val="000000" w:themeColor="text1"/>
                <w:sz w:val="32"/>
                <w:szCs w:val="32"/>
                <w14:textFill>
                  <w14:solidFill>
                    <w14:schemeClr w14:val="tx1"/>
                  </w14:solidFill>
                </w14:textFill>
              </w:rPr>
              <w:t>开展木质素高效提取及高值化利用、高纯度纤维素制备工艺优化、生物基降解材料耐热性与韧性提升、天然乳胶深度脱蛋白及稳定性提升、乳胶制品抗菌改性、电子级化学品超纯化、医药中间体绿色合成、化工副产物循环利用、生物质原料高效预处理、生物基材料与化工产品环保生产工艺集成等研究。</w:t>
            </w:r>
          </w:p>
        </w:tc>
      </w:tr>
    </w:tbl>
    <w:p>
      <w:pPr>
        <w:rPr>
          <w:rFonts w:eastAsia="仿宋_GB2312"/>
          <w:color w:val="000000" w:themeColor="text1"/>
          <w14:textFill>
            <w14:solidFill>
              <w14:schemeClr w14:val="tx1"/>
            </w14:solidFill>
          </w14:textFill>
        </w:rPr>
      </w:pPr>
    </w:p>
    <w:p>
      <w:pPr>
        <w:pStyle w:val="7"/>
        <w:spacing w:line="590" w:lineRule="exact"/>
        <w:rPr>
          <w:rFonts w:eastAsia="仿宋"/>
          <w:color w:val="000000" w:themeColor="text1"/>
          <w:sz w:val="30"/>
          <w:szCs w:val="22"/>
          <w14:textFill>
            <w14:solidFill>
              <w14:schemeClr w14:val="tx1"/>
            </w14:solidFill>
          </w14:textFill>
        </w:rPr>
      </w:pPr>
      <w:r>
        <w:rPr>
          <w:rFonts w:eastAsia="仿宋_GB2312"/>
          <w:color w:val="000000" w:themeColor="text1"/>
          <w:sz w:val="32"/>
          <w14:textFill>
            <w14:solidFill>
              <w14:schemeClr w14:val="tx1"/>
            </w14:solidFill>
          </w14:textFill>
        </w:rPr>
        <w:t>第五节 做强电子元器件产业链</w:t>
      </w:r>
    </w:p>
    <w:p>
      <w:pPr>
        <w:pStyle w:val="7"/>
        <w:spacing w:line="590" w:lineRule="exact"/>
        <w:ind w:firstLine="602" w:firstLineChars="200"/>
        <w:rPr>
          <w:rFonts w:eastAsia="仿宋"/>
          <w:color w:val="000000" w:themeColor="text1"/>
          <w:sz w:val="30"/>
          <w:szCs w:val="22"/>
          <w14:textFill>
            <w14:solidFill>
              <w14:schemeClr w14:val="tx1"/>
            </w14:solidFill>
          </w14:textFill>
        </w:rPr>
      </w:pPr>
    </w:p>
    <w:p>
      <w:pPr>
        <w:spacing w:line="61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大力发展电感、线圈、半导体等核心产业，稳步发展光电显示、无线充电模组等特色产业，培育新型被动元器件、电子材料配套等潜力产业，打造湖南省被动元器件产业集群。推进电感、电阻、小型变压器、电源模块等规模化生产，加强高密度大功率电感、微型精密传感器、新型显示材料等技术研发，重点突破高端磁性材料、电子专用材料供应瓶颈，推动PCB电路板本地化配置。面向汽车电子、新能源、消费电子等重点应用领域，加快研发适配需求的微型电感器、高频电容器、智能传感器、光电子器件等产品。搭建检验认证平台，持续优化生产工艺，提升产品优良率与可靠性。到2030年，力争实现产业链规模以上工业总产值150亿元以上，培育年营业收入超10亿元企业2家、超5亿元企业3家。</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9071" w:type="dxa"/>
            <w:vAlign w:val="center"/>
          </w:tcPr>
          <w:p>
            <w:pPr>
              <w:spacing w:line="460" w:lineRule="exact"/>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专栏3—5 电子元器件产业链提升工程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16" w:hRule="atLeast"/>
        </w:trPr>
        <w:tc>
          <w:tcPr>
            <w:tcW w:w="9071" w:type="dxa"/>
            <w:vAlign w:val="center"/>
          </w:tcPr>
          <w:p>
            <w:pPr>
              <w:widowControl/>
              <w:spacing w:line="51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1.重点项目建设</w:t>
            </w:r>
            <w:r>
              <w:rPr>
                <w:rFonts w:ascii="Times New Roman" w:hAnsi="Times New Roman" w:eastAsia="楷体_GB2312" w:cs="Times New Roman"/>
                <w:color w:val="000000" w:themeColor="text1"/>
                <w:sz w:val="32"/>
                <w:szCs w:val="32"/>
                <w14:textFill>
                  <w14:solidFill>
                    <w14:schemeClr w14:val="tx1"/>
                  </w14:solidFill>
                </w14:textFill>
              </w:rPr>
              <w:t>。建设沅陵沅翼微电二期项目、怀化国际陆港经开区展通电子信息产业制造基地项目、芷江传感器生产项目、沅陵志博信多层线路板生产项目、芷江光电显示器件生产项目、靖州光电通信设备制造项目、辰溪园区智造产城融合创新基地项目、高新区PCB电路板制造项目、被动元件制造项目、显示模组生产项目等项目。</w:t>
            </w:r>
          </w:p>
          <w:p>
            <w:pPr>
              <w:widowControl/>
              <w:spacing w:line="51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2.重点平台建设。</w:t>
            </w:r>
            <w:r>
              <w:rPr>
                <w:rFonts w:ascii="Times New Roman" w:hAnsi="Times New Roman" w:eastAsia="楷体_GB2312" w:cs="Times New Roman"/>
                <w:color w:val="000000" w:themeColor="text1"/>
                <w:sz w:val="32"/>
                <w:szCs w:val="32"/>
                <w14:textFill>
                  <w14:solidFill>
                    <w14:schemeClr w14:val="tx1"/>
                  </w14:solidFill>
                </w14:textFill>
              </w:rPr>
              <w:t>建设CNAS实验室、向华电子信息工程技术研究中心、怀化市电子元器件产业协会等平台，谋划布局电子产业承接</w:t>
            </w:r>
            <w:r>
              <w:rPr>
                <w:rFonts w:hint="eastAsia" w:ascii="Times New Roman" w:hAnsi="Times New Roman" w:eastAsia="楷体_GB2312" w:cs="Times New Roman"/>
                <w:color w:val="000000" w:themeColor="text1"/>
                <w:sz w:val="32"/>
                <w:szCs w:val="32"/>
                <w14:textFill>
                  <w14:solidFill>
                    <w14:schemeClr w14:val="tx1"/>
                  </w14:solidFill>
                </w14:textFill>
              </w:rPr>
              <w:t>等</w:t>
            </w:r>
            <w:r>
              <w:rPr>
                <w:rFonts w:ascii="Times New Roman" w:hAnsi="Times New Roman" w:eastAsia="楷体_GB2312" w:cs="Times New Roman"/>
                <w:color w:val="000000" w:themeColor="text1"/>
                <w:sz w:val="32"/>
                <w:szCs w:val="32"/>
                <w14:textFill>
                  <w14:solidFill>
                    <w14:schemeClr w14:val="tx1"/>
                  </w14:solidFill>
                </w14:textFill>
              </w:rPr>
              <w:t>平台。</w:t>
            </w:r>
          </w:p>
          <w:p>
            <w:pPr>
              <w:widowControl/>
              <w:spacing w:line="51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3.重点技术攻关。</w:t>
            </w:r>
            <w:r>
              <w:rPr>
                <w:rFonts w:ascii="Times New Roman" w:hAnsi="Times New Roman" w:eastAsia="楷体_GB2312" w:cs="Times New Roman"/>
                <w:color w:val="000000" w:themeColor="text1"/>
                <w:sz w:val="32"/>
                <w:szCs w:val="32"/>
                <w14:textFill>
                  <w14:solidFill>
                    <w14:schemeClr w14:val="tx1"/>
                  </w14:solidFill>
                </w14:textFill>
              </w:rPr>
              <w:t>开展磁粉芯材料、合金软磁材料、智能制程装备、电感结构优化、封装与散热一体化设计、可靠性试验方法等技术攻关。</w:t>
            </w:r>
          </w:p>
        </w:tc>
      </w:tr>
    </w:tbl>
    <w:p>
      <w:pPr>
        <w:pStyle w:val="7"/>
        <w:spacing w:line="57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第六节 做大绿色矿业产业链</w:t>
      </w:r>
    </w:p>
    <w:p>
      <w:pPr>
        <w:pStyle w:val="7"/>
        <w:spacing w:line="570" w:lineRule="exact"/>
        <w:rPr>
          <w:rFonts w:eastAsia="仿宋_GB2312"/>
          <w:color w:val="000000" w:themeColor="text1"/>
          <w:sz w:val="32"/>
          <w14:textFill>
            <w14:solidFill>
              <w14:schemeClr w14:val="tx1"/>
            </w14:solidFill>
          </w14:textFill>
        </w:rPr>
      </w:pPr>
    </w:p>
    <w:p>
      <w:pPr>
        <w:spacing w:line="590" w:lineRule="exact"/>
        <w:ind w:firstLine="640"/>
        <w:rPr>
          <w:rFonts w:eastAsia="仿宋_GB2312"/>
          <w:color w:val="000000" w:themeColor="text1"/>
          <w:spacing w:val="-6"/>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抢抓新一轮找矿突破战略行动等机遇，推动绿色矿业集约发展。开展大比例尺区域矿产地质调查，提高矿山安全建设和智能化水平，提升矿产品供给能力。黄金产业，推动现有金矿复工复产、扩产扩能，延伸产业链条，提高产品附加值，提高“辰州福1875”品牌影响力。重晶石产业，延伸以精细化学钡材料为主的产业链条，生产以碳酸钡、硫酸钡为原料的高端钡盐产品。硅砂产业，延伸石英砂下游加工链条，生产石英坩埚、信息显示玻璃、光伏玻璃、药用玻璃、节能玻璃等高附加值产品，打造“中国南部硅都”。电石产业，引进基于电石为原料的下游产品生产线，打造中南地区最大的电石、BDO、维纶生产基地。建材产业，引入石材深加工龙头企业，形成矿山提供荒料、园区荒料深加工、统一对外销售的全产业链。钒产业，推动形成从钒矿开采到电解液制备、电堆装配、系统集成至应用的完整高效产业链条。到2030年，力争产业链规模以上工业总产值</w:t>
      </w:r>
      <w:r>
        <w:rPr>
          <w:rFonts w:hint="eastAsia" w:eastAsia="仿宋_GB2312" w:cs="Times New Roman"/>
          <w:color w:val="000000" w:themeColor="text1"/>
          <w:sz w:val="32"/>
          <w:szCs w:val="32"/>
          <w14:textFill>
            <w14:solidFill>
              <w14:schemeClr w14:val="tx1"/>
            </w14:solidFill>
          </w14:textFill>
        </w:rPr>
        <w:t>突破</w:t>
      </w:r>
      <w:r>
        <w:rPr>
          <w:rFonts w:ascii="Times New Roman" w:hAnsi="Times New Roman" w:eastAsia="仿宋_GB2312" w:cs="Times New Roman"/>
          <w:color w:val="000000" w:themeColor="text1"/>
          <w:sz w:val="32"/>
          <w:szCs w:val="32"/>
          <w14:textFill>
            <w14:solidFill>
              <w14:schemeClr w14:val="tx1"/>
            </w14:solidFill>
          </w14:textFill>
        </w:rPr>
        <w:t>1000亿元，培育</w:t>
      </w:r>
      <w:r>
        <w:rPr>
          <w:rFonts w:hint="eastAsia" w:ascii="Times New Roman" w:hAnsi="Times New Roman" w:eastAsia="仿宋_GB2312" w:cs="Times New Roman"/>
          <w:color w:val="000000" w:themeColor="text1"/>
          <w:sz w:val="32"/>
          <w:szCs w:val="32"/>
          <w14:textFill>
            <w14:solidFill>
              <w14:schemeClr w14:val="tx1"/>
            </w14:solidFill>
          </w14:textFill>
        </w:rPr>
        <w:t>产值</w:t>
      </w:r>
      <w:r>
        <w:rPr>
          <w:rFonts w:ascii="Times New Roman" w:hAnsi="Times New Roman" w:eastAsia="仿宋_GB2312" w:cs="Times New Roman"/>
          <w:color w:val="000000" w:themeColor="text1"/>
          <w:sz w:val="32"/>
          <w:szCs w:val="32"/>
          <w14:textFill>
            <w14:solidFill>
              <w14:schemeClr w14:val="tx1"/>
            </w14:solidFill>
          </w14:textFill>
        </w:rPr>
        <w:t>超300</w:t>
      </w:r>
      <w:r>
        <w:rPr>
          <w:rFonts w:ascii="Times New Roman" w:hAnsi="Times New Roman" w:eastAsia="仿宋_GB2312" w:cs="Times New Roman"/>
          <w:color w:val="000000" w:themeColor="text1"/>
          <w:spacing w:val="-6"/>
          <w:sz w:val="32"/>
          <w:szCs w:val="32"/>
          <w14:textFill>
            <w14:solidFill>
              <w14:schemeClr w14:val="tx1"/>
            </w14:solidFill>
          </w14:textFill>
        </w:rPr>
        <w:t>亿元企业1家、超100亿元企业4家，矿业精深加工产品产值占比达80%以上。</w:t>
      </w:r>
    </w:p>
    <w:p>
      <w:pPr>
        <w:pStyle w:val="2"/>
        <w:ind w:firstLine="616"/>
        <w:rPr>
          <w:rFonts w:eastAsia="仿宋_GB2312"/>
          <w:color w:val="000000" w:themeColor="text1"/>
          <w:spacing w:val="-6"/>
          <w:sz w:val="32"/>
          <w:szCs w:val="32"/>
          <w14:textFill>
            <w14:solidFill>
              <w14:schemeClr w14:val="tx1"/>
            </w14:solidFill>
          </w14:textFill>
        </w:rPr>
      </w:pPr>
    </w:p>
    <w:p>
      <w:pPr>
        <w:ind w:firstLine="616"/>
        <w:rPr>
          <w:rFonts w:eastAsia="仿宋_GB2312"/>
          <w:color w:val="000000" w:themeColor="text1"/>
          <w:spacing w:val="-6"/>
          <w:sz w:val="32"/>
          <w:szCs w:val="32"/>
          <w14:textFill>
            <w14:solidFill>
              <w14:schemeClr w14:val="tx1"/>
            </w14:solidFill>
          </w14:textFill>
        </w:rPr>
      </w:pPr>
    </w:p>
    <w:p>
      <w:pPr>
        <w:pStyle w:val="2"/>
        <w:rPr>
          <w:color w:val="000000" w:themeColor="text1"/>
          <w14:textFill>
            <w14:solidFill>
              <w14:schemeClr w14:val="tx1"/>
            </w14:solidFill>
          </w14:textFill>
        </w:rPr>
      </w:pP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9071" w:type="dxa"/>
            <w:vAlign w:val="center"/>
          </w:tcPr>
          <w:p>
            <w:pPr>
              <w:pStyle w:val="24"/>
              <w:spacing w:line="490" w:lineRule="exact"/>
              <w:ind w:firstLine="64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专栏3—6 绿色矿业产业链提升工程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071" w:type="dxa"/>
            <w:vAlign w:val="center"/>
          </w:tcPr>
          <w:p>
            <w:pPr>
              <w:widowControl/>
              <w:spacing w:line="48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1.重点项目建设。</w:t>
            </w:r>
            <w:r>
              <w:rPr>
                <w:rFonts w:ascii="Times New Roman" w:hAnsi="Times New Roman" w:eastAsia="楷体_GB2312" w:cs="Times New Roman"/>
                <w:color w:val="000000" w:themeColor="text1"/>
                <w:sz w:val="32"/>
                <w:szCs w:val="32"/>
                <w14:textFill>
                  <w14:solidFill>
                    <w14:schemeClr w14:val="tx1"/>
                  </w14:solidFill>
                </w14:textFill>
              </w:rPr>
              <w:t>建设辰州工业新区金锑全产业链项目、山能环保三期项目、鸿新实业二期项目、新晃红星化工年产20万吨精细钡盐项目、辰溪（扩建）年产40万吨电石及配套氧化钙整合改造升级项目、中石考克年产500万吨钙基新材料项目、芷江钒矿资源全产业链项目、中方饰面花岗岩石材加工产业园项目等项目</w:t>
            </w:r>
            <w:r>
              <w:rPr>
                <w:rFonts w:ascii="Times New Roman" w:hAnsi="Times New Roman" w:eastAsia="楷体_GB2312" w:cs="Times New Roman"/>
                <w:bCs w:val="0"/>
                <w:color w:val="000000" w:themeColor="text1"/>
                <w:sz w:val="32"/>
                <w:szCs w:val="32"/>
                <w14:textFill>
                  <w14:solidFill>
                    <w14:schemeClr w14:val="tx1"/>
                  </w14:solidFill>
                </w14:textFill>
              </w:rPr>
              <w:t>。</w:t>
            </w:r>
          </w:p>
          <w:p>
            <w:pPr>
              <w:widowControl/>
              <w:spacing w:line="48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2.重点平台建设。</w:t>
            </w:r>
            <w:r>
              <w:rPr>
                <w:rFonts w:ascii="Times New Roman" w:hAnsi="Times New Roman" w:eastAsia="楷体_GB2312" w:cs="Times New Roman"/>
                <w:bCs w:val="0"/>
                <w:color w:val="000000" w:themeColor="text1"/>
                <w:sz w:val="32"/>
                <w:szCs w:val="32"/>
                <w14:textFill>
                  <w14:solidFill>
                    <w14:schemeClr w14:val="tx1"/>
                  </w14:solidFill>
                </w14:textFill>
              </w:rPr>
              <w:t>申建硅砂产业</w:t>
            </w:r>
            <w:r>
              <w:rPr>
                <w:rFonts w:ascii="Times New Roman" w:hAnsi="Times New Roman" w:eastAsia="楷体_GB2312" w:cs="Times New Roman"/>
                <w:color w:val="000000" w:themeColor="text1"/>
                <w:sz w:val="32"/>
                <w:szCs w:val="32"/>
                <w14:textFill>
                  <w14:solidFill>
                    <w14:schemeClr w14:val="tx1"/>
                  </w14:solidFill>
                </w14:textFill>
              </w:rPr>
              <w:t>实验室、省级研发中心和检验检测中心，建设蓝伯化工与中南大学产学研平台、新晃检验检测分析中心等平台</w:t>
            </w:r>
            <w:r>
              <w:rPr>
                <w:rFonts w:ascii="Times New Roman" w:hAnsi="Times New Roman" w:eastAsia="楷体_GB2312" w:cs="Times New Roman"/>
                <w:bCs w:val="0"/>
                <w:color w:val="000000" w:themeColor="text1"/>
                <w:sz w:val="32"/>
                <w:szCs w:val="32"/>
                <w14:textFill>
                  <w14:solidFill>
                    <w14:schemeClr w14:val="tx1"/>
                  </w14:solidFill>
                </w14:textFill>
              </w:rPr>
              <w:t>。</w:t>
            </w:r>
          </w:p>
          <w:p>
            <w:pPr>
              <w:widowControl/>
              <w:spacing w:line="480" w:lineRule="exact"/>
              <w:ind w:firstLine="643"/>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3.重点技术攻关。</w:t>
            </w:r>
            <w:r>
              <w:rPr>
                <w:rFonts w:ascii="Times New Roman" w:hAnsi="Times New Roman" w:eastAsia="楷体_GB2312" w:cs="Times New Roman"/>
                <w:bCs w:val="0"/>
                <w:color w:val="000000" w:themeColor="text1"/>
                <w:sz w:val="32"/>
                <w:szCs w:val="32"/>
                <w14:textFill>
                  <w14:solidFill>
                    <w14:schemeClr w14:val="tx1"/>
                  </w14:solidFill>
                </w14:textFill>
              </w:rPr>
              <w:t>开展</w:t>
            </w:r>
            <w:r>
              <w:rPr>
                <w:rFonts w:ascii="Times New Roman" w:hAnsi="Times New Roman" w:eastAsia="楷体_GB2312" w:cs="Times New Roman"/>
                <w:color w:val="000000" w:themeColor="text1"/>
                <w:sz w:val="32"/>
                <w:szCs w:val="32"/>
                <w14:textFill>
                  <w14:solidFill>
                    <w14:schemeClr w14:val="tx1"/>
                  </w14:solidFill>
                </w14:textFill>
              </w:rPr>
              <w:t>矿产资源勘查开采技术集成、矿山低碳环保智能化开采装备研发、锑金精矿富氧底吹熔池熔炼、多金属综合回收和贵金属产品精深加工、基于脉石英矿开发高纯石英砂、超细锌粉及3D打印材料生产等研究</w:t>
            </w:r>
            <w:r>
              <w:rPr>
                <w:rFonts w:ascii="Times New Roman" w:hAnsi="Times New Roman" w:eastAsia="楷体_GB2312" w:cs="Times New Roman"/>
                <w:bCs w:val="0"/>
                <w:color w:val="000000" w:themeColor="text1"/>
                <w:sz w:val="32"/>
                <w:szCs w:val="32"/>
                <w14:textFill>
                  <w14:solidFill>
                    <w14:schemeClr w14:val="tx1"/>
                  </w14:solidFill>
                </w14:textFill>
              </w:rPr>
              <w:t>。</w:t>
            </w:r>
          </w:p>
        </w:tc>
      </w:tr>
    </w:tbl>
    <w:p>
      <w:pPr>
        <w:pStyle w:val="7"/>
        <w:spacing w:line="570" w:lineRule="exact"/>
        <w:rPr>
          <w:rFonts w:eastAsia="仿宋_GB2312"/>
          <w:color w:val="000000" w:themeColor="text1"/>
          <w:kern w:val="0"/>
          <w:sz w:val="32"/>
          <w14:textFill>
            <w14:solidFill>
              <w14:schemeClr w14:val="tx1"/>
            </w14:solidFill>
          </w14:textFill>
        </w:rPr>
      </w:pPr>
    </w:p>
    <w:p>
      <w:pPr>
        <w:pStyle w:val="7"/>
        <w:spacing w:line="530" w:lineRule="exact"/>
        <w:rPr>
          <w:rFonts w:eastAsia="仿宋_GB2312"/>
          <w:color w:val="000000" w:themeColor="text1"/>
          <w:kern w:val="0"/>
          <w:sz w:val="32"/>
          <w14:textFill>
            <w14:solidFill>
              <w14:schemeClr w14:val="tx1"/>
            </w14:solidFill>
          </w14:textFill>
        </w:rPr>
      </w:pPr>
      <w:r>
        <w:rPr>
          <w:rFonts w:eastAsia="仿宋_GB2312"/>
          <w:color w:val="000000" w:themeColor="text1"/>
          <w:kern w:val="0"/>
          <w:sz w:val="32"/>
          <w14:textFill>
            <w14:solidFill>
              <w14:schemeClr w14:val="tx1"/>
            </w14:solidFill>
          </w14:textFill>
        </w:rPr>
        <w:t>第七节 推动竹业产业链发展</w:t>
      </w:r>
    </w:p>
    <w:p>
      <w:pPr>
        <w:spacing w:line="530" w:lineRule="exact"/>
        <w:ind w:firstLine="642"/>
        <w:rPr>
          <w:rFonts w:eastAsia="仿宋_GB2312"/>
          <w:color w:val="000000" w:themeColor="text1"/>
          <w:sz w:val="32"/>
          <w:szCs w:val="32"/>
          <w14:textFill>
            <w14:solidFill>
              <w14:schemeClr w14:val="tx1"/>
            </w14:solidFill>
          </w14:textFill>
        </w:rPr>
      </w:pPr>
    </w:p>
    <w:p>
      <w:pPr>
        <w:spacing w:line="530" w:lineRule="exact"/>
        <w:ind w:firstLine="641"/>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推动“以竹代塑”为重点的新型全竹产业发展，打造全国竹基新材料制造及出口贸易基地。加强竹林低改、竹林路网、水肥一体化、高标准示范基地建设，培育竹林经营社会化服务组织，提升优质笋竹原材料供给能力。以竹基新材料为核心，重点发展竹纤维复合材料、新型竹板材、竹基碳材料等新兴产业，提升高端竹制家居与工艺用品、笋竹食品等传统产业</w:t>
      </w:r>
      <w:r>
        <w:rPr>
          <w:rFonts w:hint="eastAsia" w:eastAsia="仿宋_GB2312" w:cs="Times New Roman"/>
          <w:color w:val="000000" w:themeColor="text1"/>
          <w:sz w:val="32"/>
          <w:szCs w:val="32"/>
          <w14:textFill>
            <w14:solidFill>
              <w14:schemeClr w14:val="tx1"/>
            </w14:solidFill>
          </w14:textFill>
        </w:rPr>
        <w:t>附加值</w:t>
      </w:r>
      <w:r>
        <w:rPr>
          <w:rFonts w:ascii="Times New Roman" w:hAnsi="Times New Roman" w:eastAsia="仿宋_GB2312" w:cs="Times New Roman"/>
          <w:color w:val="000000" w:themeColor="text1"/>
          <w:sz w:val="32"/>
          <w:szCs w:val="32"/>
          <w14:textFill>
            <w14:solidFill>
              <w14:schemeClr w14:val="tx1"/>
            </w14:solidFill>
          </w14:textFill>
        </w:rPr>
        <w:t>。大力培育竹制品区域公用品牌。到2030年，力争实现产业链综合产值200亿元以上，其中规模以上工业总产值70亿元以上。</w:t>
      </w:r>
      <w:r>
        <w:rPr>
          <w:rFonts w:ascii="Times New Roman" w:hAnsi="Times New Roman" w:eastAsia="仿宋_GB2312" w:cs="Times New Roman"/>
          <w:color w:val="000000" w:themeColor="text1"/>
          <w:sz w:val="32"/>
          <w:szCs w:val="32"/>
          <w14:textFill>
            <w14:solidFill>
              <w14:schemeClr w14:val="tx1"/>
            </w14:solidFill>
          </w14:textFill>
        </w:rPr>
        <w:br w:type="page"/>
      </w:r>
    </w:p>
    <w:tbl>
      <w:tblPr>
        <w:tblStyle w:val="26"/>
        <w:tblpPr w:leftFromText="180" w:rightFromText="180" w:vertAnchor="text" w:horzAnchor="page" w:tblpX="1592" w:tblpY="13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9071" w:type="dxa"/>
            <w:vAlign w:val="center"/>
          </w:tcPr>
          <w:p>
            <w:pPr>
              <w:spacing w:line="490" w:lineRule="exact"/>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专栏3—7 竹业产业链提升工程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71" w:type="dxa"/>
          </w:tcPr>
          <w:p>
            <w:pPr>
              <w:widowControl/>
              <w:spacing w:line="480" w:lineRule="exact"/>
              <w:ind w:firstLine="643"/>
              <w:jc w:val="left"/>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1.重点项目建设。</w:t>
            </w:r>
            <w:r>
              <w:rPr>
                <w:rFonts w:ascii="Times New Roman" w:hAnsi="Times New Roman" w:eastAsia="楷体_GB2312" w:cs="Times New Roman"/>
                <w:color w:val="000000" w:themeColor="text1"/>
                <w:sz w:val="32"/>
                <w:szCs w:val="32"/>
                <w14:textFill>
                  <w14:solidFill>
                    <w14:schemeClr w14:val="tx1"/>
                  </w14:solidFill>
                </w14:textFill>
              </w:rPr>
              <w:t>建设怀化高新区九通竹基复合材料</w:t>
            </w:r>
            <w:r>
              <w:rPr>
                <w:rFonts w:hint="eastAsia" w:ascii="Times New Roman" w:hAnsi="Times New Roman" w:eastAsia="楷体_GB2312" w:cs="Times New Roman"/>
                <w:color w:val="000000" w:themeColor="text1"/>
                <w:sz w:val="32"/>
                <w:szCs w:val="32"/>
                <w14:textFill>
                  <w14:solidFill>
                    <w14:schemeClr w14:val="tx1"/>
                  </w14:solidFill>
                </w14:textFill>
              </w:rPr>
              <w:t>产业基地</w:t>
            </w:r>
            <w:r>
              <w:rPr>
                <w:rFonts w:ascii="Times New Roman" w:hAnsi="Times New Roman" w:eastAsia="楷体_GB2312" w:cs="Times New Roman"/>
                <w:color w:val="000000" w:themeColor="text1"/>
                <w:sz w:val="32"/>
                <w:szCs w:val="32"/>
                <w14:textFill>
                  <w14:solidFill>
                    <w14:schemeClr w14:val="tx1"/>
                  </w14:solidFill>
                </w14:textFill>
              </w:rPr>
              <w:t>项目、</w:t>
            </w:r>
            <w:r>
              <w:rPr>
                <w:rFonts w:ascii="Times New Roman" w:hAnsi="Times New Roman" w:eastAsia="楷体_GB2312" w:cs="Times New Roman"/>
                <w:bCs w:val="0"/>
                <w:color w:val="000000" w:themeColor="text1"/>
                <w:sz w:val="32"/>
                <w:szCs w:val="32"/>
                <w14:textFill>
                  <w14:solidFill>
                    <w14:schemeClr w14:val="tx1"/>
                  </w14:solidFill>
                </w14:textFill>
              </w:rPr>
              <w:t>洪江市竹循环经济产业园项目</w:t>
            </w:r>
            <w:r>
              <w:rPr>
                <w:rFonts w:ascii="Times New Roman" w:hAnsi="Times New Roman" w:eastAsia="楷体_GB2312" w:cs="Times New Roman"/>
                <w:color w:val="000000" w:themeColor="text1"/>
                <w:sz w:val="32"/>
                <w:szCs w:val="32"/>
                <w14:textFill>
                  <w14:solidFill>
                    <w14:schemeClr w14:val="tx1"/>
                  </w14:solidFill>
                </w14:textFill>
              </w:rPr>
              <w:t>、会同大庄竹材精深加工</w:t>
            </w:r>
            <w:r>
              <w:rPr>
                <w:rFonts w:hint="eastAsia" w:ascii="Times New Roman" w:hAnsi="Times New Roman" w:eastAsia="楷体_GB2312" w:cs="Times New Roman"/>
                <w:color w:val="000000" w:themeColor="text1"/>
                <w:sz w:val="32"/>
                <w:szCs w:val="32"/>
                <w14:textFill>
                  <w14:solidFill>
                    <w14:schemeClr w14:val="tx1"/>
                  </w14:solidFill>
                </w14:textFill>
              </w:rPr>
              <w:t>产业化</w:t>
            </w:r>
            <w:r>
              <w:rPr>
                <w:rFonts w:ascii="Times New Roman" w:hAnsi="Times New Roman" w:eastAsia="楷体_GB2312" w:cs="Times New Roman"/>
                <w:color w:val="000000" w:themeColor="text1"/>
                <w:sz w:val="32"/>
                <w:szCs w:val="32"/>
                <w14:textFill>
                  <w14:solidFill>
                    <w14:schemeClr w14:val="tx1"/>
                  </w14:solidFill>
                </w14:textFill>
              </w:rPr>
              <w:t>项目、会同县乡村振兴竹产业生态修复与综合利用</w:t>
            </w:r>
            <w:r>
              <w:rPr>
                <w:rFonts w:hint="eastAsia" w:ascii="Times New Roman" w:hAnsi="Times New Roman" w:eastAsia="楷体_GB2312" w:cs="Times New Roman"/>
                <w:color w:val="000000" w:themeColor="text1"/>
                <w:sz w:val="32"/>
                <w:szCs w:val="32"/>
                <w14:textFill>
                  <w14:solidFill>
                    <w14:schemeClr w14:val="tx1"/>
                  </w14:solidFill>
                </w14:textFill>
              </w:rPr>
              <w:t>示范</w:t>
            </w:r>
            <w:r>
              <w:rPr>
                <w:rFonts w:ascii="Times New Roman" w:hAnsi="Times New Roman" w:eastAsia="楷体_GB2312" w:cs="Times New Roman"/>
                <w:color w:val="000000" w:themeColor="text1"/>
                <w:sz w:val="32"/>
                <w:szCs w:val="32"/>
                <w14:textFill>
                  <w14:solidFill>
                    <w14:schemeClr w14:val="tx1"/>
                  </w14:solidFill>
                </w14:textFill>
              </w:rPr>
              <w:t>项目、靖州县年产12万吨竹纤维清洁高效制备项目、</w:t>
            </w:r>
            <w:r>
              <w:rPr>
                <w:rFonts w:ascii="Times New Roman" w:hAnsi="Times New Roman" w:eastAsia="楷体_GB2312" w:cs="Times New Roman"/>
                <w:bCs w:val="0"/>
                <w:color w:val="000000" w:themeColor="text1"/>
                <w:sz w:val="32"/>
                <w:szCs w:val="32"/>
                <w14:textFill>
                  <w14:solidFill>
                    <w14:schemeClr w14:val="tx1"/>
                  </w14:solidFill>
                </w14:textFill>
              </w:rPr>
              <w:t>洪江区钠电硬炭负极材料碳汽一体化项目、</w:t>
            </w:r>
            <w:r>
              <w:rPr>
                <w:rFonts w:ascii="Times New Roman" w:hAnsi="Times New Roman" w:eastAsia="楷体_GB2312" w:cs="Times New Roman"/>
                <w:color w:val="000000" w:themeColor="text1"/>
                <w:sz w:val="32"/>
                <w:szCs w:val="32"/>
                <w14:textFill>
                  <w14:solidFill>
                    <w14:schemeClr w14:val="tx1"/>
                  </w14:solidFill>
                </w14:textFill>
              </w:rPr>
              <w:t>洪江区竹资源保护利用和开发项目</w:t>
            </w:r>
            <w:r>
              <w:rPr>
                <w:rFonts w:ascii="Times New Roman" w:hAnsi="Times New Roman" w:eastAsia="楷体_GB2312" w:cs="Times New Roman"/>
                <w:bCs w:val="0"/>
                <w:color w:val="000000" w:themeColor="text1"/>
                <w:sz w:val="32"/>
                <w:szCs w:val="32"/>
                <w14:textFill>
                  <w14:solidFill>
                    <w14:schemeClr w14:val="tx1"/>
                  </w14:solidFill>
                </w14:textFill>
              </w:rPr>
              <w:t>等项目。</w:t>
            </w:r>
          </w:p>
          <w:p>
            <w:pPr>
              <w:widowControl/>
              <w:spacing w:line="480" w:lineRule="exact"/>
              <w:ind w:firstLine="643"/>
              <w:jc w:val="left"/>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2.重点平台建设。</w:t>
            </w:r>
            <w:r>
              <w:rPr>
                <w:rFonts w:ascii="Times New Roman" w:hAnsi="Times New Roman" w:eastAsia="楷体_GB2312" w:cs="Times New Roman"/>
                <w:color w:val="000000" w:themeColor="text1"/>
                <w:sz w:val="32"/>
                <w:szCs w:val="32"/>
                <w14:textFill>
                  <w14:solidFill>
                    <w14:schemeClr w14:val="tx1"/>
                  </w14:solidFill>
                </w14:textFill>
              </w:rPr>
              <w:t>申建省级竹产业科研平台，建设怀化市竹产业创新研究院、怀化市竹文化文创中心等平台。</w:t>
            </w:r>
          </w:p>
          <w:p>
            <w:pPr>
              <w:widowControl/>
              <w:spacing w:line="480" w:lineRule="exact"/>
              <w:ind w:firstLine="643"/>
              <w:jc w:val="left"/>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3.重点技术攻关。</w:t>
            </w:r>
            <w:r>
              <w:rPr>
                <w:rFonts w:ascii="Times New Roman" w:hAnsi="Times New Roman" w:eastAsia="楷体_GB2312" w:cs="Times New Roman"/>
                <w:color w:val="000000" w:themeColor="text1"/>
                <w:sz w:val="32"/>
                <w:szCs w:val="32"/>
                <w14:textFill>
                  <w14:solidFill>
                    <w14:schemeClr w14:val="tx1"/>
                  </w14:solidFill>
                </w14:textFill>
              </w:rPr>
              <w:t>开展毛竹低产林定向改培、毛竹纤维高效提取及高值化利用、竹纤维/可降解塑料复合材料生产、</w:t>
            </w:r>
            <w:r>
              <w:rPr>
                <w:rFonts w:ascii="Times New Roman" w:hAnsi="Times New Roman" w:eastAsia="楷体_GB2312" w:cs="Times New Roman"/>
                <w:bCs w:val="0"/>
                <w:color w:val="000000" w:themeColor="text1"/>
                <w:sz w:val="32"/>
                <w:szCs w:val="32"/>
                <w14:textFill>
                  <w14:solidFill>
                    <w14:schemeClr w14:val="tx1"/>
                  </w14:solidFill>
                </w14:textFill>
              </w:rPr>
              <w:t>竹基硬碳钠离子电池负极材料生产等</w:t>
            </w:r>
            <w:r>
              <w:rPr>
                <w:rFonts w:ascii="Times New Roman" w:hAnsi="Times New Roman" w:eastAsia="楷体_GB2312" w:cs="Times New Roman"/>
                <w:color w:val="000000" w:themeColor="text1"/>
                <w:sz w:val="32"/>
                <w:szCs w:val="32"/>
                <w14:textFill>
                  <w14:solidFill>
                    <w14:schemeClr w14:val="tx1"/>
                  </w14:solidFill>
                </w14:textFill>
              </w:rPr>
              <w:t>研究。</w:t>
            </w:r>
          </w:p>
        </w:tc>
      </w:tr>
    </w:tbl>
    <w:p>
      <w:pPr>
        <w:pStyle w:val="7"/>
        <w:spacing w:line="590" w:lineRule="exact"/>
        <w:rPr>
          <w:rFonts w:eastAsia="仿宋_GB2312"/>
          <w:color w:val="000000" w:themeColor="text1"/>
          <w:sz w:val="32"/>
          <w14:textFill>
            <w14:solidFill>
              <w14:schemeClr w14:val="tx1"/>
            </w14:solidFill>
          </w14:textFill>
        </w:rPr>
      </w:pPr>
    </w:p>
    <w:p>
      <w:pPr>
        <w:pStyle w:val="7"/>
        <w:spacing w:line="59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 xml:space="preserve">第八节 </w:t>
      </w:r>
      <w:r>
        <w:rPr>
          <w:rFonts w:eastAsia="仿宋_GB2312"/>
          <w:color w:val="000000" w:themeColor="text1"/>
          <w:kern w:val="0"/>
          <w:sz w:val="32"/>
          <w14:textFill>
            <w14:solidFill>
              <w14:schemeClr w14:val="tx1"/>
            </w14:solidFill>
          </w14:textFill>
        </w:rPr>
        <w:t>推动中医药产业</w:t>
      </w:r>
      <w:r>
        <w:rPr>
          <w:rFonts w:eastAsia="仿宋_GB2312"/>
          <w:color w:val="000000" w:themeColor="text1"/>
          <w:sz w:val="32"/>
          <w14:textFill>
            <w14:solidFill>
              <w14:schemeClr w14:val="tx1"/>
            </w14:solidFill>
          </w14:textFill>
        </w:rPr>
        <w:t>全链条建设</w:t>
      </w:r>
    </w:p>
    <w:p>
      <w:pPr>
        <w:pStyle w:val="7"/>
        <w:spacing w:line="590" w:lineRule="exact"/>
        <w:rPr>
          <w:rFonts w:eastAsia="仿宋_GB2312"/>
          <w:color w:val="000000" w:themeColor="text1"/>
          <w:sz w:val="32"/>
          <w14:textFill>
            <w14:solidFill>
              <w14:schemeClr w14:val="tx1"/>
            </w14:solidFill>
          </w14:textFill>
        </w:rPr>
      </w:pPr>
    </w:p>
    <w:p>
      <w:pPr>
        <w:spacing w:line="61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以“道地药材提质、产业链条升级、创新能力突破、品牌价值提升”为主线，统筹推进种植标准化、加工精深化、销售直供化、康养融合化、开放国际化协同发展，实行“三药”联动，大力开展中医药产业发展“八大行动”。加强道地药材优良品种选育、制种基地和种苗繁育基地建设，推广林下中药材生态培育模式。扶持壮大一批涵盖中成药、中药饮片、保健品、药食同源产品、医疗器械等领域的加工生产企业。提升靖州茯苓、新晃黄精交易市场集散能力，建设一批中药材单品种产地初加工交易集散市场。推进食药同源产品研发、推广，打造“怀味长寿药膳”品牌。擦亮“十大怀药”区域品牌，锻造“怀化黄精”“雪峰山天麻”等市级区域公用品牌。加强中药院内制剂、侗苗瑶医药、中药新药和原料药、大健康等产品研发和应用，开展消字号、健字号、械字号、妆字号等产品认证和生产。着力建设中国南方中药谷和面向东盟的中医药集散交易中心。到2030年，中药材种植面积稳定在200万亩以上，力争实现产业链综合总产值800亿元以上，其中规模以上工业总产值100亿元以上，规模以上工业企业超100家，产值过10亿元企业2家以上。</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9071" w:type="dxa"/>
            <w:vAlign w:val="center"/>
          </w:tcPr>
          <w:p>
            <w:pPr>
              <w:spacing w:line="490" w:lineRule="exact"/>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专栏3—8 中医药产业发展八大行动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07" w:hRule="atLeast"/>
        </w:trPr>
        <w:tc>
          <w:tcPr>
            <w:tcW w:w="9071" w:type="dxa"/>
          </w:tcPr>
          <w:p>
            <w:pPr>
              <w:widowControl/>
              <w:spacing w:line="48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1.规范标准种植行动。</w:t>
            </w:r>
            <w:r>
              <w:rPr>
                <w:rFonts w:ascii="Times New Roman" w:hAnsi="Times New Roman" w:eastAsia="楷体_GB2312" w:cs="Times New Roman"/>
                <w:color w:val="000000" w:themeColor="text1"/>
                <w:sz w:val="32"/>
                <w:szCs w:val="32"/>
                <w14:textFill>
                  <w14:solidFill>
                    <w14:schemeClr w14:val="tx1"/>
                  </w14:solidFill>
                </w14:textFill>
              </w:rPr>
              <w:t>建成一批知名药企</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楷体_GB2312" w:cs="Times New Roman"/>
                <w:color w:val="000000" w:themeColor="text1"/>
                <w:sz w:val="32"/>
                <w:szCs w:val="32"/>
                <w14:textFill>
                  <w14:solidFill>
                    <w14:schemeClr w14:val="tx1"/>
                  </w14:solidFill>
                </w14:textFill>
              </w:rPr>
              <w:t>定制药园</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楷体_GB2312" w:cs="Times New Roman"/>
                <w:color w:val="000000" w:themeColor="text1"/>
                <w:sz w:val="32"/>
                <w:szCs w:val="32"/>
                <w14:textFill>
                  <w14:solidFill>
                    <w14:schemeClr w14:val="tx1"/>
                  </w14:solidFill>
                </w14:textFill>
              </w:rPr>
              <w:t>，建成千亩生态种植示范基地100个以上、GAP种植基地20个以上。</w:t>
            </w:r>
          </w:p>
          <w:p>
            <w:pPr>
              <w:widowControl/>
              <w:spacing w:line="48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2.加工提质增效行动。</w:t>
            </w:r>
            <w:r>
              <w:rPr>
                <w:rFonts w:ascii="Times New Roman" w:hAnsi="Times New Roman" w:eastAsia="楷体_GB2312" w:cs="Times New Roman"/>
                <w:color w:val="000000" w:themeColor="text1"/>
                <w:sz w:val="32"/>
                <w:szCs w:val="32"/>
                <w14:textFill>
                  <w14:solidFill>
                    <w14:schemeClr w14:val="tx1"/>
                  </w14:solidFill>
                </w14:textFill>
              </w:rPr>
              <w:t>新增中医药规模以上企业40家以上，其中加工企业30家以上，建成怀化高新区中医药健康产业园。</w:t>
            </w:r>
          </w:p>
          <w:p>
            <w:pPr>
              <w:widowControl/>
              <w:spacing w:line="48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3.精准招商攻坚行动。</w:t>
            </w:r>
            <w:r>
              <w:rPr>
                <w:rFonts w:ascii="Times New Roman" w:hAnsi="Times New Roman" w:eastAsia="楷体_GB2312" w:cs="Times New Roman"/>
                <w:color w:val="000000" w:themeColor="text1"/>
                <w:sz w:val="32"/>
                <w:szCs w:val="32"/>
                <w14:textFill>
                  <w14:solidFill>
                    <w14:schemeClr w14:val="tx1"/>
                  </w14:solidFill>
                </w14:textFill>
              </w:rPr>
              <w:t>组建中医药产业基金，引进规模以上企业100家以上，其中头部企业10家以上。</w:t>
            </w:r>
          </w:p>
          <w:p>
            <w:pPr>
              <w:widowControl/>
              <w:spacing w:line="48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4.集散销售拓展行动。</w:t>
            </w:r>
            <w:r>
              <w:rPr>
                <w:rFonts w:ascii="Times New Roman" w:hAnsi="Times New Roman" w:eastAsia="楷体_GB2312" w:cs="Times New Roman"/>
                <w:bCs w:val="0"/>
                <w:color w:val="000000" w:themeColor="text1"/>
                <w:sz w:val="32"/>
                <w:szCs w:val="32"/>
                <w14:textFill>
                  <w14:solidFill>
                    <w14:schemeClr w14:val="tx1"/>
                  </w14:solidFill>
                </w14:textFill>
              </w:rPr>
              <w:t>加快溆浦山银花、洪江雪峰山天麻、通道钩藤等单品种产地初加工集散市场建设，规划建设沅陵黄柏、溆浦玉竹、芷江龙牙百合、辰溪金樱子等集散市场，建设怀化国际陆港中药材交易平台。</w:t>
            </w:r>
          </w:p>
          <w:p>
            <w:pPr>
              <w:widowControl/>
              <w:spacing w:line="48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5.“三药联动”发展行动。</w:t>
            </w:r>
            <w:r>
              <w:rPr>
                <w:rFonts w:ascii="Times New Roman" w:hAnsi="Times New Roman" w:eastAsia="楷体_GB2312" w:cs="Times New Roman"/>
                <w:bCs w:val="0"/>
                <w:color w:val="000000" w:themeColor="text1"/>
                <w:sz w:val="32"/>
                <w:szCs w:val="32"/>
                <w14:textFill>
                  <w14:solidFill>
                    <w14:schemeClr w14:val="tx1"/>
                  </w14:solidFill>
                </w14:textFill>
              </w:rPr>
              <w:t>深化湖南省国家中医药综合改革示范区先导区建设。推进怀化市中医医院区域中药制剂中心建设。建设市药膳产业发展研究中心，打造“怀味长寿药膳”品牌。推进怀仁五调康养园、会同神农大健康产业园、通道玉带河中药谷、麻阳苗药谷等</w:t>
            </w:r>
            <w:r>
              <w:rPr>
                <w:rFonts w:hint="eastAsia" w:ascii="Times New Roman" w:hAnsi="Times New Roman" w:eastAsia="楷体_GB2312" w:cs="Times New Roman"/>
                <w:bCs w:val="0"/>
                <w:color w:val="000000" w:themeColor="text1"/>
                <w:sz w:val="32"/>
                <w:szCs w:val="32"/>
                <w14:textFill>
                  <w14:solidFill>
                    <w14:schemeClr w14:val="tx1"/>
                  </w14:solidFill>
                </w14:textFill>
              </w:rPr>
              <w:t>医药结合、</w:t>
            </w:r>
            <w:r>
              <w:rPr>
                <w:rFonts w:ascii="Times New Roman" w:hAnsi="Times New Roman" w:eastAsia="楷体_GB2312" w:cs="Times New Roman"/>
                <w:bCs w:val="0"/>
                <w:color w:val="000000" w:themeColor="text1"/>
                <w:sz w:val="32"/>
                <w:szCs w:val="32"/>
                <w14:textFill>
                  <w14:solidFill>
                    <w14:schemeClr w14:val="tx1"/>
                  </w14:solidFill>
                </w14:textFill>
              </w:rPr>
              <w:t>药旅融合项目建设。</w:t>
            </w:r>
          </w:p>
          <w:p>
            <w:pPr>
              <w:widowControl/>
              <w:spacing w:line="48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6.特色品牌打造行动。</w:t>
            </w:r>
            <w:r>
              <w:rPr>
                <w:rFonts w:ascii="Times New Roman" w:hAnsi="Times New Roman" w:eastAsia="楷体_GB2312" w:cs="Times New Roman"/>
                <w:bCs w:val="0"/>
                <w:color w:val="000000" w:themeColor="text1"/>
                <w:sz w:val="32"/>
                <w:szCs w:val="32"/>
                <w14:textFill>
                  <w14:solidFill>
                    <w14:schemeClr w14:val="tx1"/>
                  </w14:solidFill>
                </w14:textFill>
              </w:rPr>
              <w:t>持续壮大靖州茯苓、新晃龙脑、芷江虫白蜡等特色优势品种产业链，推进黄精、天麻、山银花、玉竹、龙牙百合、淫羊藿、金樱子等重点品种发展，推动溆浦山银花、溆浦玉竹、会同淫羊藿、辰溪金樱子、芷江龙牙百合等重点品种入列全国名特优新农产品。</w:t>
            </w:r>
          </w:p>
          <w:p>
            <w:pPr>
              <w:widowControl/>
              <w:spacing w:line="48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7.科技创新研发行动。</w:t>
            </w:r>
            <w:r>
              <w:rPr>
                <w:rFonts w:ascii="Times New Roman" w:hAnsi="Times New Roman" w:eastAsia="楷体_GB2312" w:cs="Times New Roman"/>
                <w:color w:val="000000" w:themeColor="text1"/>
                <w:sz w:val="32"/>
                <w:szCs w:val="32"/>
                <w14:textFill>
                  <w14:solidFill>
                    <w14:schemeClr w14:val="tx1"/>
                  </w14:solidFill>
                </w14:textFill>
              </w:rPr>
              <w:t>做实建强</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楷体_GB2312" w:cs="Times New Roman"/>
                <w:color w:val="000000" w:themeColor="text1"/>
                <w:sz w:val="32"/>
                <w:szCs w:val="32"/>
                <w14:textFill>
                  <w14:solidFill>
                    <w14:schemeClr w14:val="tx1"/>
                  </w14:solidFill>
                </w14:textFill>
              </w:rPr>
              <w:t>两站两中心三院一基地</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楷体_GB2312" w:cs="Times New Roman"/>
                <w:color w:val="000000" w:themeColor="text1"/>
                <w:sz w:val="32"/>
                <w:szCs w:val="32"/>
                <w14:textFill>
                  <w14:solidFill>
                    <w14:schemeClr w14:val="tx1"/>
                  </w14:solidFill>
                </w14:textFill>
              </w:rPr>
              <w:t>科创平台，推进新产品开发和院内制剂研发转化。</w:t>
            </w:r>
          </w:p>
          <w:p>
            <w:pPr>
              <w:widowControl/>
              <w:spacing w:line="480" w:lineRule="exact"/>
              <w:ind w:firstLine="643"/>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8.要素保障提升行动。</w:t>
            </w:r>
            <w:r>
              <w:rPr>
                <w:rFonts w:ascii="Times New Roman" w:hAnsi="Times New Roman" w:eastAsia="楷体_GB2312" w:cs="Times New Roman"/>
                <w:color w:val="000000" w:themeColor="text1"/>
                <w:sz w:val="32"/>
                <w:szCs w:val="32"/>
                <w14:textFill>
                  <w14:solidFill>
                    <w14:schemeClr w14:val="tx1"/>
                  </w14:solidFill>
                </w14:textFill>
              </w:rPr>
              <w:t>加强中医药产业发展人才、资金、组织、技术等保障。</w:t>
            </w:r>
          </w:p>
        </w:tc>
      </w:tr>
    </w:tbl>
    <w:p>
      <w:pPr>
        <w:pStyle w:val="7"/>
        <w:spacing w:line="570" w:lineRule="exact"/>
        <w:rPr>
          <w:rFonts w:eastAsia="仿宋_GB2312"/>
          <w:color w:val="000000" w:themeColor="text1"/>
          <w:kern w:val="0"/>
          <w:sz w:val="32"/>
          <w14:textFill>
            <w14:solidFill>
              <w14:schemeClr w14:val="tx1"/>
            </w14:solidFill>
          </w14:textFill>
        </w:rPr>
      </w:pPr>
    </w:p>
    <w:p>
      <w:pPr>
        <w:pStyle w:val="7"/>
        <w:spacing w:line="570" w:lineRule="exact"/>
        <w:rPr>
          <w:rFonts w:eastAsia="仿宋_GB2312"/>
          <w:color w:val="000000" w:themeColor="text1"/>
          <w:kern w:val="0"/>
          <w:sz w:val="32"/>
          <w14:textFill>
            <w14:solidFill>
              <w14:schemeClr w14:val="tx1"/>
            </w14:solidFill>
          </w14:textFill>
        </w:rPr>
      </w:pPr>
      <w:r>
        <w:rPr>
          <w:rFonts w:eastAsia="仿宋_GB2312"/>
          <w:color w:val="000000" w:themeColor="text1"/>
          <w:kern w:val="0"/>
          <w:sz w:val="32"/>
          <w14:textFill>
            <w14:solidFill>
              <w14:schemeClr w14:val="tx1"/>
            </w14:solidFill>
          </w14:textFill>
        </w:rPr>
        <w:t>第九节 培育壮大种业产业链</w:t>
      </w:r>
    </w:p>
    <w:p>
      <w:pPr>
        <w:pStyle w:val="7"/>
        <w:spacing w:line="570" w:lineRule="exact"/>
        <w:rPr>
          <w:rFonts w:eastAsia="仿宋_GB2312"/>
          <w:color w:val="000000" w:themeColor="text1"/>
          <w:kern w:val="0"/>
          <w:sz w:val="32"/>
          <w14:textFill>
            <w14:solidFill>
              <w14:schemeClr w14:val="tx1"/>
            </w14:solidFill>
          </w14:textFill>
        </w:rPr>
      </w:pPr>
    </w:p>
    <w:p>
      <w:pPr>
        <w:widowControl/>
        <w:spacing w:line="55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聚焦第三代杂交水稻、特色畜禽品种改良、经济作物与中药材育种三大领域，推动种业创新成果转化运用，加快建设“国际种业之都”。推进杂交水稻制种“基地标准化、全程机械化、服务社会化、流程控制信息化、种子加工自动化”升级，开发专用型种子及衍生品。创建国家级生猪种源保障基地，建设柑橘、茶叶、中药材等良种繁育基地与林木种质资源保护中心，打造武陵山片区特色种业集群。建设“展示—交易—检测—物流”一体化种质资源交易集散中心。常态化举办种业会展与学术交流活动，打造种业对外开放合作示范区。到2030年，杂交水稻制种面积稳定在25万亩以上，力争实现产业链综合总产值140亿</w:t>
      </w:r>
      <w:r>
        <w:rPr>
          <w:rFonts w:ascii="Times New Roman" w:hAnsi="Times New Roman" w:eastAsia="仿宋_GB2312" w:cs="Times New Roman"/>
          <w:color w:val="000000" w:themeColor="text1"/>
          <w:spacing w:val="-6"/>
          <w:sz w:val="32"/>
          <w:szCs w:val="32"/>
          <w14:textFill>
            <w14:solidFill>
              <w14:schemeClr w14:val="tx1"/>
            </w14:solidFill>
          </w14:textFill>
        </w:rPr>
        <w:t>元以上，其中规模以上工业总产值38亿元以上，引进知名种业企业10家以上，技术合作覆盖“一带一路”沿线3个以上国家和地区。</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9071" w:type="dxa"/>
            <w:vAlign w:val="center"/>
          </w:tcPr>
          <w:p>
            <w:pPr>
              <w:spacing w:line="490" w:lineRule="exact"/>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专栏3—9 种业产业链提升工程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9" w:hRule="atLeast"/>
        </w:trPr>
        <w:tc>
          <w:tcPr>
            <w:tcW w:w="9071" w:type="dxa"/>
            <w:vAlign w:val="center"/>
          </w:tcPr>
          <w:p>
            <w:pPr>
              <w:widowControl/>
              <w:spacing w:line="44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1.重点项目建设。</w:t>
            </w:r>
            <w:r>
              <w:rPr>
                <w:rFonts w:ascii="Times New Roman" w:hAnsi="Times New Roman" w:eastAsia="楷体_GB2312" w:cs="Times New Roman"/>
                <w:color w:val="000000" w:themeColor="text1"/>
                <w:sz w:val="32"/>
                <w:szCs w:val="32"/>
                <w14:textFill>
                  <w14:solidFill>
                    <w14:schemeClr w14:val="tx1"/>
                  </w14:solidFill>
                </w14:textFill>
              </w:rPr>
              <w:t>建设会同县生猪育种创新基地项目、怀化</w:t>
            </w:r>
            <w:r>
              <w:rPr>
                <w:rFonts w:hint="eastAsia" w:ascii="宋体" w:hAnsi="宋体" w:eastAsia="宋体" w:cs="Times New Roman"/>
                <w:color w:val="000000" w:themeColor="text1"/>
                <w:sz w:val="32"/>
                <w:szCs w:val="32"/>
                <w14:textFill>
                  <w14:solidFill>
                    <w14:schemeClr w14:val="tx1"/>
                  </w14:solidFill>
                </w14:textFill>
              </w:rPr>
              <w:t>•</w:t>
            </w:r>
            <w:r>
              <w:rPr>
                <w:rFonts w:ascii="Times New Roman" w:hAnsi="Times New Roman" w:eastAsia="楷体_GB2312" w:cs="Times New Roman"/>
                <w:color w:val="000000" w:themeColor="text1"/>
                <w:sz w:val="32"/>
                <w:szCs w:val="32"/>
                <w14:textFill>
                  <w14:solidFill>
                    <w14:schemeClr w14:val="tx1"/>
                  </w14:solidFill>
                </w14:textFill>
              </w:rPr>
              <w:t>安江现代作物分子设计育种产业园项目、雪峰山—武陵山区域特</w:t>
            </w:r>
            <w:r>
              <w:rPr>
                <w:rFonts w:ascii="Times New Roman" w:hAnsi="Times New Roman" w:eastAsia="楷体_GB2312" w:cs="Times New Roman"/>
                <w:color w:val="000000" w:themeColor="text1"/>
                <w:spacing w:val="-11"/>
                <w:sz w:val="32"/>
                <w:szCs w:val="32"/>
                <w14:textFill>
                  <w14:solidFill>
                    <w14:schemeClr w14:val="tx1"/>
                  </w14:solidFill>
                </w14:textFill>
              </w:rPr>
              <w:t>色种质资源保护利用中心项目、杂交水稻制种基地提升项目、湘华鲮特色水产种业基地项目、</w:t>
            </w:r>
            <w:r>
              <w:rPr>
                <w:rFonts w:ascii="Times New Roman" w:hAnsi="Times New Roman" w:eastAsia="楷体_GB2312" w:cs="Times New Roman"/>
                <w:color w:val="000000" w:themeColor="text1"/>
                <w:sz w:val="32"/>
                <w:szCs w:val="32"/>
                <w14:textFill>
                  <w14:solidFill>
                    <w14:schemeClr w14:val="tx1"/>
                  </w14:solidFill>
                </w14:textFill>
              </w:rPr>
              <w:t>“德油”系列油茶良种繁育及栽培技术提升项目</w:t>
            </w:r>
            <w:r>
              <w:rPr>
                <w:rFonts w:ascii="Times New Roman" w:hAnsi="Times New Roman" w:eastAsia="楷体_GB2312" w:cs="Times New Roman"/>
                <w:color w:val="000000" w:themeColor="text1"/>
                <w:spacing w:val="-11"/>
                <w:sz w:val="32"/>
                <w:szCs w:val="32"/>
                <w14:textFill>
                  <w14:solidFill>
                    <w14:schemeClr w14:val="tx1"/>
                  </w14:solidFill>
                </w14:textFill>
              </w:rPr>
              <w:t>等项目。</w:t>
            </w:r>
          </w:p>
          <w:p>
            <w:pPr>
              <w:widowControl/>
              <w:spacing w:line="44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2.重点平台建设。</w:t>
            </w:r>
            <w:r>
              <w:rPr>
                <w:rFonts w:ascii="Times New Roman" w:hAnsi="Times New Roman" w:eastAsia="楷体_GB2312" w:cs="Times New Roman"/>
                <w:color w:val="000000" w:themeColor="text1"/>
                <w:sz w:val="32"/>
                <w:szCs w:val="32"/>
                <w14:textFill>
                  <w14:solidFill>
                    <w14:schemeClr w14:val="tx1"/>
                  </w14:solidFill>
                </w14:textFill>
              </w:rPr>
              <w:t>升级安江实验室、怀化作物分子设计育种研发中心，建成3个省级以上种业重点实验室或工程技术研究中心，建设怀化种业创新中心等平台。</w:t>
            </w:r>
          </w:p>
          <w:p>
            <w:pPr>
              <w:widowControl/>
              <w:spacing w:line="44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3.重点技术攻关。</w:t>
            </w:r>
            <w:r>
              <w:rPr>
                <w:rFonts w:ascii="Times New Roman" w:hAnsi="Times New Roman" w:eastAsia="楷体_GB2312" w:cs="Times New Roman"/>
                <w:color w:val="000000" w:themeColor="text1"/>
                <w:sz w:val="32"/>
                <w:szCs w:val="32"/>
                <w14:textFill>
                  <w14:solidFill>
                    <w14:schemeClr w14:val="tx1"/>
                  </w14:solidFill>
                </w14:textFill>
              </w:rPr>
              <w:t>开展第三代杂交水稻技术、湘西黑猪和雪峰乌骨鸡等畜禽品种改良与选育、柑橘和中药材等非主要农作物新品种研究。</w:t>
            </w:r>
          </w:p>
        </w:tc>
      </w:tr>
    </w:tbl>
    <w:p>
      <w:pPr>
        <w:pStyle w:val="7"/>
        <w:keepNext w:val="0"/>
        <w:keepLines w:val="0"/>
        <w:adjustRightInd/>
        <w:snapToGrid/>
        <w:spacing w:line="590" w:lineRule="exact"/>
        <w:rPr>
          <w:rFonts w:eastAsia="仿宋_GB2312"/>
          <w:color w:val="000000" w:themeColor="text1"/>
          <w:sz w:val="32"/>
          <w14:textFill>
            <w14:solidFill>
              <w14:schemeClr w14:val="tx1"/>
            </w14:solidFill>
          </w14:textFill>
        </w:rPr>
      </w:pPr>
    </w:p>
    <w:p>
      <w:pPr>
        <w:pStyle w:val="7"/>
        <w:keepNext w:val="0"/>
        <w:keepLines w:val="0"/>
        <w:adjustRightInd/>
        <w:snapToGrid/>
        <w:spacing w:line="59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第十节 加快发展食品产业链</w:t>
      </w:r>
    </w:p>
    <w:p>
      <w:pPr>
        <w:pStyle w:val="46"/>
        <w:spacing w:line="590" w:lineRule="exact"/>
        <w:ind w:firstLine="640"/>
        <w:rPr>
          <w:rFonts w:eastAsia="仿宋_GB2312"/>
          <w:color w:val="000000" w:themeColor="text1"/>
          <w:sz w:val="32"/>
          <w:szCs w:val="32"/>
          <w14:textFill>
            <w14:solidFill>
              <w14:schemeClr w14:val="tx1"/>
            </w14:solidFill>
          </w14:textFill>
        </w:rPr>
      </w:pPr>
    </w:p>
    <w:p>
      <w:pPr>
        <w:pStyle w:val="46"/>
        <w:spacing w:line="590" w:lineRule="exact"/>
        <w:ind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大力发展食品及农产品精深加工，打造“原料基地+精深加工+冷链物流+品牌营销”全产业链条。建设以芷江为核心区域的粮油产业集群，以麻阳、洪江为核心区域的冰糖橙产业集群，以沅陵为核心区域的碣滩茶产业集群，以芷江鸭、溆浦鹅、洪江雪峰乌骨鸡、辰溪稻花鱼、会同生猪、新晃黄牛肉为核心的畜禽产业集群，以沅陵、辰溪、溆浦、中方、鹤城、芷江为核心区域的油茶产业集群。建设怀化国际陆港经开区食品产业园等园区，引导知名食品企业集聚。发挥产业链首席专家工作室作用，攻关品种改良、精深加工、废弃物资源化利用等关键技术。持续打造“怀乡怀品”农产品区域公用品牌，争取在粤港澳、长三角等重点城市设立怀化特色</w:t>
      </w:r>
      <w:r>
        <w:rPr>
          <w:rFonts w:eastAsia="仿宋_GB2312"/>
          <w:color w:val="000000" w:themeColor="text1"/>
          <w:spacing w:val="-6"/>
          <w:sz w:val="32"/>
          <w:szCs w:val="32"/>
          <w14:textFill>
            <w14:solidFill>
              <w14:schemeClr w14:val="tx1"/>
            </w14:solidFill>
          </w14:textFill>
        </w:rPr>
        <w:t>食品展销中心。到2030年，力争实现产业链综合总产值930亿元以上，其中规模以上工业总产值210亿元以上，建成国家级特色产</w:t>
      </w:r>
      <w:r>
        <w:rPr>
          <w:rFonts w:eastAsia="仿宋_GB2312"/>
          <w:color w:val="000000" w:themeColor="text1"/>
          <w:spacing w:val="-11"/>
          <w:sz w:val="32"/>
          <w:szCs w:val="32"/>
          <w14:textFill>
            <w14:solidFill>
              <w14:schemeClr w14:val="tx1"/>
            </w14:solidFill>
          </w14:textFill>
        </w:rPr>
        <w:t>业集群（柑橘）1个、省级特色产业集群（茶叶、生猪、黄牛）3个。</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43" w:hRule="atLeast"/>
        </w:trPr>
        <w:tc>
          <w:tcPr>
            <w:tcW w:w="9080" w:type="dxa"/>
            <w:vAlign w:val="center"/>
          </w:tcPr>
          <w:p>
            <w:pPr>
              <w:spacing w:line="490" w:lineRule="exact"/>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专栏3—10 食品产业链提升工程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00" w:hRule="atLeast"/>
        </w:trPr>
        <w:tc>
          <w:tcPr>
            <w:tcW w:w="9080" w:type="dxa"/>
            <w:vAlign w:val="center"/>
          </w:tcPr>
          <w:p>
            <w:pPr>
              <w:adjustRightInd w:val="0"/>
              <w:snapToGrid w:val="0"/>
              <w:spacing w:line="50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1.重点项目建设。</w:t>
            </w:r>
            <w:r>
              <w:rPr>
                <w:rFonts w:ascii="Times New Roman" w:hAnsi="Times New Roman" w:eastAsia="楷体_GB2312" w:cs="Times New Roman"/>
                <w:bCs w:val="0"/>
                <w:color w:val="000000" w:themeColor="text1"/>
                <w:sz w:val="32"/>
                <w:szCs w:val="32"/>
                <w14:textFill>
                  <w14:solidFill>
                    <w14:schemeClr w14:val="tx1"/>
                  </w14:solidFill>
                </w14:textFill>
              </w:rPr>
              <w:t>建设高新区柑橘果汁、果胶精深加工项目，芷江、麻阳10万亩柑橘品改项目，麻阳橙香园建设项目，溆浦鹅规模化养殖及加工项目，沅陵、会同低产茶园改造及茶产品精深加工项目等项目。</w:t>
            </w:r>
          </w:p>
          <w:p>
            <w:pPr>
              <w:adjustRightInd w:val="0"/>
              <w:snapToGrid w:val="0"/>
              <w:spacing w:line="50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2.重点平台建设。</w:t>
            </w:r>
            <w:r>
              <w:rPr>
                <w:rFonts w:ascii="Times New Roman" w:hAnsi="Times New Roman" w:eastAsia="楷体_GB2312" w:cs="Times New Roman"/>
                <w:bCs w:val="0"/>
                <w:color w:val="000000" w:themeColor="text1"/>
                <w:sz w:val="32"/>
                <w:szCs w:val="32"/>
                <w14:textFill>
                  <w14:solidFill>
                    <w14:schemeClr w14:val="tx1"/>
                  </w14:solidFill>
                </w14:textFill>
              </w:rPr>
              <w:t>建设食品加工产业技术研究院、食品安全与检测中心、冷链物流与保鲜技术中心、怀化智慧冷链物流中心，建设怀化国际陆港绿色食品产业园、中国供销·怀化三农产业园、</w:t>
            </w:r>
            <w:r>
              <w:rPr>
                <w:rFonts w:ascii="Times New Roman" w:hAnsi="Times New Roman" w:eastAsia="楷体_GB2312" w:cs="Times New Roman"/>
                <w:bCs w:val="0"/>
                <w:color w:val="000000" w:themeColor="text1"/>
                <w:spacing w:val="-6"/>
                <w:sz w:val="32"/>
                <w:szCs w:val="32"/>
                <w14:textFill>
                  <w14:solidFill>
                    <w14:schemeClr w14:val="tx1"/>
                  </w14:solidFill>
                </w14:textFill>
              </w:rPr>
              <w:t>高新产业区柑橘精深加工产业园、怀化国际粮油物流加工产业园等平台。</w:t>
            </w:r>
          </w:p>
          <w:p>
            <w:pPr>
              <w:adjustRightInd w:val="0"/>
              <w:snapToGrid w:val="0"/>
              <w:spacing w:line="50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3.重点技术攻关。</w:t>
            </w:r>
            <w:r>
              <w:rPr>
                <w:rFonts w:ascii="Times New Roman" w:hAnsi="Times New Roman" w:eastAsia="楷体_GB2312" w:cs="Times New Roman"/>
                <w:bCs w:val="0"/>
                <w:color w:val="000000" w:themeColor="text1"/>
                <w:sz w:val="32"/>
                <w:szCs w:val="32"/>
                <w14:textFill>
                  <w14:solidFill>
                    <w14:schemeClr w14:val="tx1"/>
                  </w14:solidFill>
                </w14:textFill>
              </w:rPr>
              <w:t>开展柑橘、刺葡萄保鲜与综合利用技术，果皮、果籽精深加工及提升资源利用率技术，农残、重金属、致病菌快速检测技术等研究。</w:t>
            </w:r>
          </w:p>
          <w:p>
            <w:pPr>
              <w:adjustRightInd w:val="0"/>
              <w:snapToGrid w:val="0"/>
              <w:spacing w:line="500" w:lineRule="exact"/>
              <w:ind w:firstLine="643"/>
              <w:rPr>
                <w:rFonts w:ascii="Times New Roman" w:hAnsi="Times New Roman" w:eastAsia="黑体"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4.市场品牌建设</w:t>
            </w:r>
            <w:r>
              <w:rPr>
                <w:rFonts w:ascii="Times New Roman" w:hAnsi="Times New Roman" w:eastAsia="楷体_GB2312" w:cs="Times New Roman"/>
                <w:bCs w:val="0"/>
                <w:color w:val="000000" w:themeColor="text1"/>
                <w:sz w:val="32"/>
                <w:szCs w:val="32"/>
                <w14:textFill>
                  <w14:solidFill>
                    <w14:schemeClr w14:val="tx1"/>
                  </w14:solidFill>
                </w14:textFill>
              </w:rPr>
              <w:t>。打造</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怀化冰糖橙</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hint="eastAsia"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怀化香米</w:t>
            </w:r>
            <w:r>
              <w:rPr>
                <w:rFonts w:hint="eastAsia"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两个市级区域公用品牌，</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沅陵碣滩茶</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hint="eastAsia"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麻阳冰糖橙</w:t>
            </w:r>
            <w:r>
              <w:rPr>
                <w:rFonts w:hint="eastAsia"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新晃黄牛肉</w:t>
            </w:r>
            <w:r>
              <w:rPr>
                <w:rFonts w:hint="eastAsia"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辰溪稻花鱼</w:t>
            </w:r>
            <w:r>
              <w:rPr>
                <w:rFonts w:hint="eastAsia"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芷江鸭</w:t>
            </w:r>
            <w:r>
              <w:rPr>
                <w:rFonts w:hint="eastAsia"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溆浦鹅</w:t>
            </w:r>
            <w:r>
              <w:rPr>
                <w:rFonts w:hint="eastAsia"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靖州杨梅</w:t>
            </w:r>
            <w:r>
              <w:rPr>
                <w:rFonts w:hint="eastAsia"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等县级区域公用品牌。</w:t>
            </w:r>
          </w:p>
        </w:tc>
      </w:tr>
    </w:tbl>
    <w:p>
      <w:pPr>
        <w:pStyle w:val="6"/>
        <w:keepNext w:val="0"/>
        <w:keepLines w:val="0"/>
        <w:spacing w:line="560" w:lineRule="exact"/>
        <w:rPr>
          <w:rFonts w:ascii="Times New Roman" w:hAnsi="Times New Roman" w:eastAsia="黑体" w:cs="Times New Roman"/>
          <w:color w:val="000000" w:themeColor="text1"/>
          <w:sz w:val="32"/>
          <w14:textFill>
            <w14:solidFill>
              <w14:schemeClr w14:val="tx1"/>
            </w14:solidFill>
          </w14:textFill>
        </w:rPr>
      </w:pPr>
      <w:bookmarkStart w:id="13" w:name="_Toc1068"/>
      <w:r>
        <w:rPr>
          <w:rFonts w:ascii="Times New Roman" w:hAnsi="Times New Roman" w:eastAsia="黑体" w:cs="Times New Roman"/>
          <w:color w:val="000000" w:themeColor="text1"/>
          <w:sz w:val="32"/>
          <w14:textFill>
            <w14:solidFill>
              <w14:schemeClr w14:val="tx1"/>
            </w14:solidFill>
          </w14:textFill>
        </w:rPr>
        <w:t>第九章 积极发展新兴产业和未来产业</w:t>
      </w:r>
      <w:bookmarkEnd w:id="13"/>
    </w:p>
    <w:p>
      <w:pPr>
        <w:pStyle w:val="7"/>
        <w:keepNext w:val="0"/>
        <w:keepLines w:val="0"/>
        <w:spacing w:line="560" w:lineRule="exact"/>
        <w:rPr>
          <w:rFonts w:eastAsia="仿宋_GB2312"/>
          <w:color w:val="000000" w:themeColor="text1"/>
          <w:sz w:val="32"/>
          <w14:textFill>
            <w14:solidFill>
              <w14:schemeClr w14:val="tx1"/>
            </w14:solidFill>
          </w14:textFill>
        </w:rPr>
      </w:pPr>
    </w:p>
    <w:p>
      <w:pPr>
        <w:pStyle w:val="7"/>
        <w:keepNext w:val="0"/>
        <w:keepLines w:val="0"/>
        <w:numPr>
          <w:ilvl w:val="0"/>
          <w:numId w:val="2"/>
        </w:numPr>
        <w:spacing w:line="56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培育壮大新兴产业</w:t>
      </w:r>
    </w:p>
    <w:p>
      <w:pPr>
        <w:spacing w:line="560" w:lineRule="exact"/>
        <w:rPr>
          <w:rFonts w:eastAsia="仿宋_GB2312"/>
          <w:color w:val="000000" w:themeColor="text1"/>
          <w:sz w:val="32"/>
          <w:szCs w:val="32"/>
          <w14:textFill>
            <w14:solidFill>
              <w14:schemeClr w14:val="tx1"/>
            </w14:solidFill>
          </w14:textFill>
        </w:rPr>
      </w:pPr>
    </w:p>
    <w:p>
      <w:pPr>
        <w:pStyle w:val="45"/>
        <w:spacing w:beforeAutospacing="0" w:afterAutospacing="0" w:line="578" w:lineRule="exact"/>
        <w:ind w:left="0" w:leftChars="0" w:firstLine="640"/>
        <w:textAlignment w:val="auto"/>
        <w:rPr>
          <w:rFonts w:eastAsia="仿宋_GB2312"/>
          <w:color w:val="000000" w:themeColor="text1"/>
          <w:spacing w:val="6"/>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持续壮大绿色智慧能源、低空经济、北斗应用、大健康、新型竹产业等新兴产业规模。建设“源网荷储”一体化项目，积极争取零碳园区、虚拟电厂和绿电直连建设，引育储能制造、碳资产管理等企业，推动能源产业向综合服务转型。建设一批县级起降点及全域低空通信导航网络，深化“低空+旅游+民生+政务”场景应用，规划建设低空经济产业园，构建“基建+场景+生态”低空经济发展模式。积极推动北斗应用，建设北斗智慧物流调度平台，</w:t>
      </w:r>
      <w:r>
        <w:rPr>
          <w:rFonts w:eastAsia="仿宋_GB2312"/>
          <w:color w:val="000000" w:themeColor="text1"/>
          <w:spacing w:val="6"/>
          <w:sz w:val="32"/>
          <w:szCs w:val="32"/>
          <w14:textFill>
            <w14:solidFill>
              <w14:schemeClr w14:val="tx1"/>
            </w14:solidFill>
          </w14:textFill>
        </w:rPr>
        <w:t>拓展智慧交通、防灾减灾等应用场景。积极培育大健康产业，加快中医药、健康食品用品等领域迭代升级，推动中医药产业从传统种植向现代化、智能化跃迁，推动现代医药、精准医疗等领域创新突破。攻克新型竹产业核心技术，发展高性能竹基材料及衍生产品。到2030年，战略性新兴产业综合总产值达500亿元以上。</w:t>
      </w:r>
    </w:p>
    <w:p>
      <w:pPr>
        <w:spacing w:line="578" w:lineRule="exact"/>
        <w:rPr>
          <w:color w:val="000000" w:themeColor="text1"/>
          <w14:textFill>
            <w14:solidFill>
              <w14:schemeClr w14:val="tx1"/>
            </w14:solidFill>
          </w14:textFill>
        </w:rPr>
      </w:pPr>
    </w:p>
    <w:p>
      <w:pPr>
        <w:pStyle w:val="7"/>
        <w:keepNext w:val="0"/>
        <w:keepLines w:val="0"/>
        <w:numPr>
          <w:ilvl w:val="0"/>
          <w:numId w:val="3"/>
        </w:numPr>
        <w:spacing w:line="578"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谋划发展未来产业</w:t>
      </w:r>
    </w:p>
    <w:p>
      <w:pPr>
        <w:spacing w:line="578" w:lineRule="exact"/>
        <w:rPr>
          <w:rFonts w:eastAsia="仿宋_GB2312"/>
          <w:color w:val="000000" w:themeColor="text1"/>
          <w:sz w:val="32"/>
          <w:szCs w:val="32"/>
          <w14:textFill>
            <w14:solidFill>
              <w14:schemeClr w14:val="tx1"/>
            </w14:solidFill>
          </w14:textFill>
        </w:rPr>
      </w:pPr>
    </w:p>
    <w:p>
      <w:pPr>
        <w:spacing w:line="578"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前瞻布局生命工程、人工智能应用、未来能源、未来材料等未来产业，探索多元技术路线、典型应用场景、可行商业模式、市场监管规则。聚焦细胞治疗、基因检测、生物合成等前沿方向，开展药用植物功能基因挖掘、经典名方生物合成研发。升级安江实验室，建设中药基因编辑、细胞治疗转化平台。推进人工智能在陆港、医疗、教育、制造等领域深度应用，发展智能终端制造、数据服务、算法解决方案等产业。前瞻布局钠离子电池、固态电池等下一代储能技术产业，大力推进多种新型储能技术开发和应用示范，建设未来能源体验园区，推广光储直柔建筑等创新应用。依托工业副产氢</w:t>
      </w:r>
      <w:r>
        <w:rPr>
          <w:rFonts w:ascii="Times New Roman" w:hAnsi="Times New Roman" w:eastAsia="仿宋_GB2312" w:cs="Times New Roman"/>
          <w:color w:val="000000" w:themeColor="text1"/>
          <w:spacing w:val="6"/>
          <w:sz w:val="32"/>
          <w:szCs w:val="32"/>
          <w14:textFill>
            <w14:solidFill>
              <w14:schemeClr w14:val="tx1"/>
            </w14:solidFill>
          </w14:textFill>
        </w:rPr>
        <w:t>资源，规划布局氢气提纯项目与加氢站建设，推动氢能在城市公交、物流车辆等交通领域试点应用。聚焦未来材料创新能力建设，加强生物基新材料、超导材料等研发、测试和市场化</w:t>
      </w:r>
      <w:r>
        <w:rPr>
          <w:rFonts w:ascii="Times New Roman" w:hAnsi="Times New Roman" w:eastAsia="仿宋_GB2312" w:cs="Times New Roman"/>
          <w:color w:val="000000" w:themeColor="text1"/>
          <w:spacing w:val="11"/>
          <w:sz w:val="32"/>
          <w:szCs w:val="32"/>
          <w14:textFill>
            <w14:solidFill>
              <w14:schemeClr w14:val="tx1"/>
            </w14:solidFill>
          </w14:textFill>
        </w:rPr>
        <w:t>应用，建设具有核心竞争力的前沿材料技术研发和成果转化基地。</w:t>
      </w:r>
    </w:p>
    <w:p>
      <w:pPr>
        <w:pStyle w:val="6"/>
        <w:spacing w:line="600" w:lineRule="exact"/>
        <w:rPr>
          <w:rFonts w:ascii="Times New Roman" w:hAnsi="Times New Roman" w:eastAsia="黑体" w:cs="Times New Roman"/>
          <w:color w:val="000000" w:themeColor="text1"/>
          <w:sz w:val="32"/>
          <w14:textFill>
            <w14:solidFill>
              <w14:schemeClr w14:val="tx1"/>
            </w14:solidFill>
          </w14:textFill>
        </w:rPr>
      </w:pPr>
      <w:bookmarkStart w:id="14" w:name="_Toc9743"/>
    </w:p>
    <w:p>
      <w:pPr>
        <w:pStyle w:val="6"/>
        <w:spacing w:line="600" w:lineRule="exact"/>
        <w:rPr>
          <w:rFonts w:ascii="Times New Roman" w:hAnsi="Times New Roman" w:eastAsia="黑体" w:cs="Times New Roman"/>
          <w:color w:val="000000" w:themeColor="text1"/>
          <w:sz w:val="32"/>
          <w14:textFill>
            <w14:solidFill>
              <w14:schemeClr w14:val="tx1"/>
            </w14:solidFill>
          </w14:textFill>
        </w:rPr>
      </w:pPr>
      <w:r>
        <w:rPr>
          <w:rFonts w:ascii="Times New Roman" w:hAnsi="Times New Roman" w:eastAsia="黑体" w:cs="Times New Roman"/>
          <w:color w:val="000000" w:themeColor="text1"/>
          <w:sz w:val="32"/>
          <w14:textFill>
            <w14:solidFill>
              <w14:schemeClr w14:val="tx1"/>
            </w14:solidFill>
          </w14:textFill>
        </w:rPr>
        <w:t>第十章 推动服务业优质高效发展</w:t>
      </w:r>
      <w:bookmarkEnd w:id="14"/>
    </w:p>
    <w:p>
      <w:pPr>
        <w:pStyle w:val="7"/>
        <w:spacing w:line="600" w:lineRule="exact"/>
        <w:rPr>
          <w:rFonts w:eastAsia="仿宋_GB2312"/>
          <w:color w:val="000000" w:themeColor="text1"/>
          <w:sz w:val="32"/>
          <w14:textFill>
            <w14:solidFill>
              <w14:schemeClr w14:val="tx1"/>
            </w14:solidFill>
          </w14:textFill>
        </w:rPr>
      </w:pPr>
    </w:p>
    <w:p>
      <w:pPr>
        <w:pStyle w:val="7"/>
        <w:numPr>
          <w:ilvl w:val="0"/>
          <w:numId w:val="4"/>
        </w:numPr>
        <w:spacing w:line="60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推进生产性服务业向专业化和价值链高端延伸</w:t>
      </w:r>
    </w:p>
    <w:p>
      <w:pPr>
        <w:spacing w:line="600" w:lineRule="exact"/>
        <w:rPr>
          <w:rFonts w:eastAsia="仿宋_GB2312"/>
          <w:color w:val="000000" w:themeColor="text1"/>
          <w:sz w:val="32"/>
          <w:szCs w:val="32"/>
          <w14:textFill>
            <w14:solidFill>
              <w14:schemeClr w14:val="tx1"/>
            </w14:solidFill>
          </w14:textFill>
        </w:rPr>
      </w:pPr>
    </w:p>
    <w:p>
      <w:pPr>
        <w:numPr>
          <w:ilvl w:val="255"/>
          <w:numId w:val="0"/>
        </w:numPr>
        <w:spacing w:line="600" w:lineRule="exact"/>
        <w:ind w:firstLine="641"/>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重点发展现代物流、商务服务、科技服务、信息服务、检验检测、现代金融、人力资源等生产性服务业。加快推进生产性服务业数字化转型，积极发展在线研发、数字金融、智慧物流等在线新经济，推广云计算、大数据、人工智能、虚拟仿真、区块链等技术在咨询、信用、知识产权、广告等领域的应用。推动生产性服务业内部深度融合，支持行业跨界融合、深度渗透，催生新业态新模式新场景。坚持内育外引、梯度培育，加强规模以上服务业企业梯队建设，支持生产性服务业中小企业向“专精特新”转型发展。到2030年，力争生产性服务业增加值占服务业比重达45%以上。</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9071" w:type="dxa"/>
            <w:vAlign w:val="center"/>
          </w:tcPr>
          <w:p>
            <w:pPr>
              <w:pStyle w:val="24"/>
              <w:spacing w:line="490" w:lineRule="exact"/>
              <w:ind w:firstLine="64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专栏3—11 生产性服务业提升行动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4" w:hRule="atLeast"/>
        </w:trPr>
        <w:tc>
          <w:tcPr>
            <w:tcW w:w="9071" w:type="dxa"/>
            <w:vAlign w:val="center"/>
          </w:tcPr>
          <w:p>
            <w:pPr>
              <w:widowControl/>
              <w:spacing w:line="48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1.现代物流。</w:t>
            </w:r>
            <w:r>
              <w:rPr>
                <w:rFonts w:ascii="Times New Roman" w:hAnsi="Times New Roman" w:eastAsia="楷体_GB2312" w:cs="Times New Roman"/>
                <w:color w:val="000000" w:themeColor="text1"/>
                <w:sz w:val="32"/>
                <w:szCs w:val="32"/>
                <w14:textFill>
                  <w14:solidFill>
                    <w14:schemeClr w14:val="tx1"/>
                  </w14:solidFill>
                </w14:textFill>
              </w:rPr>
              <w:t>建设物流大数据平台，试点无人配送，支持龙头物流企业区域分拨中心扩容升级，建设高标准物流产业园。</w:t>
            </w:r>
          </w:p>
          <w:p>
            <w:pPr>
              <w:widowControl/>
              <w:spacing w:line="48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2.现代金融。</w:t>
            </w:r>
            <w:r>
              <w:rPr>
                <w:rFonts w:ascii="Times New Roman" w:hAnsi="Times New Roman" w:eastAsia="楷体_GB2312" w:cs="Times New Roman"/>
                <w:bCs w:val="0"/>
                <w:color w:val="000000" w:themeColor="text1"/>
                <w:sz w:val="32"/>
                <w:szCs w:val="32"/>
                <w14:textFill>
                  <w14:solidFill>
                    <w14:schemeClr w14:val="tx1"/>
                  </w14:solidFill>
                </w14:textFill>
              </w:rPr>
              <w:t>实施</w:t>
            </w:r>
            <w:r>
              <w:rPr>
                <w:rFonts w:ascii="Times New Roman" w:hAnsi="Times New Roman" w:eastAsia="楷体_GB2312" w:cs="Times New Roman"/>
                <w:color w:val="000000" w:themeColor="text1"/>
                <w:sz w:val="32"/>
                <w:szCs w:val="32"/>
                <w14:textFill>
                  <w14:solidFill>
                    <w14:schemeClr w14:val="tx1"/>
                  </w14:solidFill>
                </w14:textFill>
              </w:rPr>
              <w:t>中小微企业无贷户白名单及首贷培植计划。累计为中小企业提供无抵押、无担保的信用授权金额120亿元以上、授信企业2500家以上。</w:t>
            </w:r>
          </w:p>
          <w:p>
            <w:pPr>
              <w:widowControl/>
              <w:spacing w:line="48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3.科技服务。</w:t>
            </w:r>
            <w:r>
              <w:rPr>
                <w:rFonts w:ascii="Times New Roman" w:hAnsi="Times New Roman" w:eastAsia="楷体_GB2312" w:cs="Times New Roman"/>
                <w:color w:val="000000" w:themeColor="text1"/>
                <w:sz w:val="32"/>
                <w:szCs w:val="32"/>
                <w14:textFill>
                  <w14:solidFill>
                    <w14:schemeClr w14:val="tx1"/>
                  </w14:solidFill>
                </w14:textFill>
              </w:rPr>
              <w:t>建设茯苓、百合、天麻等食药同源品种产业研究院，支持怀化高新区建设科技成果转化中试基地，新增研发机构5家以上。</w:t>
            </w:r>
          </w:p>
          <w:p>
            <w:pPr>
              <w:widowControl/>
              <w:spacing w:line="48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4.信息服务。</w:t>
            </w:r>
            <w:r>
              <w:rPr>
                <w:rFonts w:ascii="Times New Roman" w:hAnsi="Times New Roman" w:eastAsia="楷体_GB2312" w:cs="Times New Roman"/>
                <w:color w:val="000000" w:themeColor="text1"/>
                <w:sz w:val="32"/>
                <w:szCs w:val="32"/>
                <w14:textFill>
                  <w14:solidFill>
                    <w14:schemeClr w14:val="tx1"/>
                  </w14:solidFill>
                </w14:textFill>
              </w:rPr>
              <w:t>大力发展软件开发、信息系统集成、物联网技术服务、数据服务及网络安全服务，支持本土IT企业成长。培育引进7家规模以上互联网和信息服务业企业。</w:t>
            </w:r>
          </w:p>
          <w:p>
            <w:pPr>
              <w:widowControl/>
              <w:spacing w:line="48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5.商务服务。</w:t>
            </w:r>
            <w:r>
              <w:rPr>
                <w:rFonts w:ascii="Times New Roman" w:hAnsi="Times New Roman" w:eastAsia="楷体_GB2312" w:cs="Times New Roman"/>
                <w:color w:val="000000" w:themeColor="text1"/>
                <w:sz w:val="32"/>
                <w:szCs w:val="32"/>
                <w14:textFill>
                  <w14:solidFill>
                    <w14:schemeClr w14:val="tx1"/>
                  </w14:solidFill>
                </w14:textFill>
              </w:rPr>
              <w:t>高标准运营怀化国际陆港法务区，引进和培育一批精通国际规则的律师事务所、仲裁机构，发展管理咨询、会计审计、评估认证等业态。</w:t>
            </w:r>
          </w:p>
          <w:p>
            <w:pPr>
              <w:widowControl/>
              <w:spacing w:line="48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6.人力资源。</w:t>
            </w:r>
            <w:r>
              <w:rPr>
                <w:rFonts w:ascii="Times New Roman" w:hAnsi="Times New Roman" w:eastAsia="楷体_GB2312" w:cs="Times New Roman"/>
                <w:color w:val="000000" w:themeColor="text1"/>
                <w:sz w:val="32"/>
                <w:szCs w:val="32"/>
                <w14:textFill>
                  <w14:solidFill>
                    <w14:schemeClr w14:val="tx1"/>
                  </w14:solidFill>
                </w14:textFill>
              </w:rPr>
              <w:t>打造智能化一站式人力资源服务市场，引导服务主体向猎头、人才测评等高附加值业态转型。怀化国际陆港人力资源服务港引进70家以上人力资源服务企业。</w:t>
            </w:r>
          </w:p>
          <w:p>
            <w:pPr>
              <w:widowControl/>
              <w:spacing w:line="48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7.节能环保。</w:t>
            </w:r>
            <w:r>
              <w:rPr>
                <w:rFonts w:ascii="Times New Roman" w:hAnsi="Times New Roman" w:eastAsia="楷体_GB2312" w:cs="Times New Roman"/>
                <w:color w:val="000000" w:themeColor="text1"/>
                <w:sz w:val="32"/>
                <w:szCs w:val="32"/>
                <w14:textFill>
                  <w14:solidFill>
                    <w14:schemeClr w14:val="tx1"/>
                  </w14:solidFill>
                </w14:textFill>
              </w:rPr>
              <w:t xml:space="preserve">培育引进碳核算、绿色认证、环境咨询、合同能源管理等专业服务机构，推动节能环保服务与制造业绿色化改造、农业清洁生产深度融合，完善再生资源回收利用体系。 </w:t>
            </w:r>
          </w:p>
          <w:p>
            <w:pPr>
              <w:widowControl/>
              <w:spacing w:line="48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8.检验检测。</w:t>
            </w:r>
            <w:r>
              <w:rPr>
                <w:rFonts w:ascii="Times New Roman" w:hAnsi="Times New Roman" w:eastAsia="楷体_GB2312" w:cs="Times New Roman"/>
                <w:color w:val="000000" w:themeColor="text1"/>
                <w:sz w:val="32"/>
                <w:szCs w:val="32"/>
                <w14:textFill>
                  <w14:solidFill>
                    <w14:schemeClr w14:val="tx1"/>
                  </w14:solidFill>
                </w14:textFill>
              </w:rPr>
              <w:t>支持建设公共检验检测认证服务平台，鼓励企业开展绿色产品、有机产品及碳足迹等高端品质认证。培育省级产品质量检验检测中心1家以上。</w:t>
            </w:r>
          </w:p>
        </w:tc>
      </w:tr>
    </w:tbl>
    <w:p>
      <w:pPr>
        <w:pStyle w:val="7"/>
        <w:spacing w:line="600" w:lineRule="exact"/>
        <w:rPr>
          <w:rFonts w:eastAsia="仿宋_GB2312"/>
          <w:color w:val="000000" w:themeColor="text1"/>
          <w:sz w:val="32"/>
          <w14:textFill>
            <w14:solidFill>
              <w14:schemeClr w14:val="tx1"/>
            </w14:solidFill>
          </w14:textFill>
        </w:rPr>
      </w:pPr>
    </w:p>
    <w:p>
      <w:pPr>
        <w:pStyle w:val="7"/>
        <w:spacing w:line="60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第二节 促进生活性服务业高品质、多样化、便利化发展</w:t>
      </w:r>
    </w:p>
    <w:p>
      <w:pPr>
        <w:spacing w:line="600" w:lineRule="exact"/>
        <w:ind w:firstLine="640"/>
        <w:rPr>
          <w:rFonts w:eastAsia="仿宋_GB2312"/>
          <w:color w:val="000000" w:themeColor="text1"/>
          <w:sz w:val="32"/>
          <w:szCs w:val="32"/>
          <w14:textFill>
            <w14:solidFill>
              <w14:schemeClr w14:val="tx1"/>
            </w14:solidFill>
          </w14:textFill>
        </w:rPr>
      </w:pPr>
    </w:p>
    <w:p>
      <w:pPr>
        <w:spacing w:line="61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加快发展健康、养老、育幼、文化、旅游、体育、家政等服务业，着力扩大普惠性和改善型服务供给，培育发展智慧家居、智慧零售、智慧社区等服务业新业态，培养引进一批特色鲜明的服务品牌，打造服务消费新亮点。深化社区服务集成化改革，探索发展智慧社区，推进社区设施“一点多用”和智慧化运营，进一步提升服务可及性。积极拓展生活性服务业数字化应用场景，丰富普及机器人配送、无人零售、</w:t>
      </w:r>
      <w:r>
        <w:rPr>
          <w:rFonts w:hint="eastAsia" w:eastAsia="仿宋_GB2312" w:cs="Times New Roman"/>
          <w:color w:val="000000" w:themeColor="text1"/>
          <w:sz w:val="32"/>
          <w:szCs w:val="32"/>
          <w14:textFill>
            <w14:solidFill>
              <w14:schemeClr w14:val="tx1"/>
            </w14:solidFill>
          </w14:textFill>
        </w:rPr>
        <w:t>社区团购</w:t>
      </w:r>
      <w:r>
        <w:rPr>
          <w:rFonts w:ascii="Times New Roman" w:hAnsi="Times New Roman" w:eastAsia="仿宋_GB2312" w:cs="Times New Roman"/>
          <w:color w:val="000000" w:themeColor="text1"/>
          <w:sz w:val="32"/>
          <w:szCs w:val="32"/>
          <w14:textFill>
            <w14:solidFill>
              <w14:schemeClr w14:val="tx1"/>
            </w14:solidFill>
          </w14:textFill>
        </w:rPr>
        <w:t>等</w:t>
      </w:r>
      <w:r>
        <w:rPr>
          <w:rFonts w:hint="eastAsia" w:eastAsia="仿宋_GB2312" w:cs="Times New Roman"/>
          <w:color w:val="000000" w:themeColor="text1"/>
          <w:sz w:val="32"/>
          <w:szCs w:val="32"/>
          <w14:textFill>
            <w14:solidFill>
              <w14:schemeClr w14:val="tx1"/>
            </w14:solidFill>
          </w14:textFill>
        </w:rPr>
        <w:t>便民服务</w:t>
      </w:r>
      <w:r>
        <w:rPr>
          <w:rFonts w:ascii="Times New Roman" w:hAnsi="Times New Roman" w:eastAsia="仿宋_GB2312" w:cs="Times New Roman"/>
          <w:color w:val="000000" w:themeColor="text1"/>
          <w:sz w:val="32"/>
          <w:szCs w:val="32"/>
          <w14:textFill>
            <w14:solidFill>
              <w14:schemeClr w14:val="tx1"/>
            </w14:solidFill>
          </w14:textFill>
        </w:rPr>
        <w:t>场景应用，探索建设“产品+内容+生态”的智能生态生活服务体系。加快社区生活服务业发展，推动养老育幼、邻里助餐、体育健身、家政便民等服务进社区。大力发展吸纳就业能力强的批发零售、住宿餐饮、家政服务等服务业，持续增强服务业的就业包容性。</w:t>
      </w:r>
    </w:p>
    <w:p>
      <w:pPr>
        <w:pStyle w:val="7"/>
        <w:spacing w:line="610" w:lineRule="exact"/>
        <w:rPr>
          <w:rFonts w:eastAsia="仿宋_GB2312"/>
          <w:color w:val="000000" w:themeColor="text1"/>
          <w:sz w:val="32"/>
          <w14:textFill>
            <w14:solidFill>
              <w14:schemeClr w14:val="tx1"/>
            </w14:solidFill>
          </w14:textFill>
        </w:rPr>
      </w:pPr>
    </w:p>
    <w:p>
      <w:pPr>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br w:type="page"/>
      </w:r>
    </w:p>
    <w:p>
      <w:pPr>
        <w:pStyle w:val="7"/>
        <w:spacing w:line="61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第三节 推进服务业改革创新</w:t>
      </w:r>
    </w:p>
    <w:p>
      <w:pPr>
        <w:spacing w:line="610" w:lineRule="exact"/>
        <w:rPr>
          <w:rFonts w:eastAsia="仿宋_GB2312"/>
          <w:color w:val="000000" w:themeColor="text1"/>
          <w:sz w:val="32"/>
          <w:szCs w:val="32"/>
          <w14:textFill>
            <w14:solidFill>
              <w14:schemeClr w14:val="tx1"/>
            </w14:solidFill>
          </w14:textFill>
        </w:rPr>
      </w:pPr>
    </w:p>
    <w:p>
      <w:pPr>
        <w:spacing w:line="61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实施服务业扩能提质行动，强化技术创新、模式创新、业态创新，分类建设一批数字赋能、特色鲜明、业态高端、能级突出的现代服务业创新发展区。提高现代服务业与先进制造业、农业融合发展水平，构建“研发—孵化—产业化”全链条服务体系，推进服务业数智化。支持产业园区和龙头企业培育智能工厂、工业互联网、生产共享平台等新业态新模式，积极争创省级“两业融合”试点。立足怀化国际陆港，推动金融、设计、认证认可等专业服务扩大对外开放。完善服务业监管体系，推进服务业标准化发展，开展服务质量认证，健全服务业统计监测体系，完善服务质量评价和治理体系，引导规范行业自律。完善服务领域人才职称评定制度，鼓励从业人员参加职业技能培训和鉴定。到2030年，力争创建省级“两业融合”试点3家以上。</w:t>
      </w:r>
    </w:p>
    <w:p>
      <w:pPr>
        <w:pStyle w:val="6"/>
        <w:spacing w:line="560" w:lineRule="exact"/>
        <w:rPr>
          <w:rFonts w:ascii="Times New Roman" w:hAnsi="Times New Roman" w:eastAsia="黑体" w:cs="Times New Roman"/>
          <w:color w:val="000000" w:themeColor="text1"/>
          <w:sz w:val="32"/>
          <w14:textFill>
            <w14:solidFill>
              <w14:schemeClr w14:val="tx1"/>
            </w14:solidFill>
          </w14:textFill>
        </w:rPr>
      </w:pPr>
      <w:bookmarkStart w:id="15" w:name="_Toc19720"/>
    </w:p>
    <w:p>
      <w:pPr>
        <w:pStyle w:val="6"/>
        <w:spacing w:line="560" w:lineRule="exact"/>
        <w:rPr>
          <w:rFonts w:ascii="Times New Roman" w:hAnsi="Times New Roman" w:eastAsia="黑体" w:cs="Times New Roman"/>
          <w:color w:val="000000" w:themeColor="text1"/>
          <w:sz w:val="32"/>
          <w14:textFill>
            <w14:solidFill>
              <w14:schemeClr w14:val="tx1"/>
            </w14:solidFill>
          </w14:textFill>
        </w:rPr>
      </w:pPr>
      <w:r>
        <w:rPr>
          <w:rFonts w:ascii="Times New Roman" w:hAnsi="Times New Roman" w:eastAsia="黑体" w:cs="Times New Roman"/>
          <w:color w:val="000000" w:themeColor="text1"/>
          <w:sz w:val="32"/>
          <w14:textFill>
            <w14:solidFill>
              <w14:schemeClr w14:val="tx1"/>
            </w14:solidFill>
          </w14:textFill>
        </w:rPr>
        <w:t>第十一章 完善产业发展良好生态</w:t>
      </w:r>
      <w:bookmarkEnd w:id="15"/>
    </w:p>
    <w:p>
      <w:pPr>
        <w:pStyle w:val="7"/>
        <w:spacing w:line="560" w:lineRule="exact"/>
        <w:rPr>
          <w:rFonts w:eastAsia="仿宋_GB2312"/>
          <w:color w:val="000000" w:themeColor="text1"/>
          <w:sz w:val="32"/>
          <w14:textFill>
            <w14:solidFill>
              <w14:schemeClr w14:val="tx1"/>
            </w14:solidFill>
          </w14:textFill>
        </w:rPr>
      </w:pPr>
    </w:p>
    <w:p>
      <w:pPr>
        <w:pStyle w:val="7"/>
        <w:numPr>
          <w:ilvl w:val="0"/>
          <w:numId w:val="5"/>
        </w:numPr>
        <w:spacing w:line="56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持续壮大经营主体</w:t>
      </w:r>
    </w:p>
    <w:p>
      <w:pPr>
        <w:spacing w:line="560" w:lineRule="exact"/>
        <w:rPr>
          <w:rFonts w:eastAsia="仿宋_GB2312"/>
          <w:color w:val="000000" w:themeColor="text1"/>
          <w:sz w:val="32"/>
          <w:szCs w:val="32"/>
          <w14:textFill>
            <w14:solidFill>
              <w14:schemeClr w14:val="tx1"/>
            </w14:solidFill>
          </w14:textFill>
        </w:rPr>
      </w:pPr>
    </w:p>
    <w:p>
      <w:pPr>
        <w:topLinePunct/>
        <w:spacing w:line="56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实施经营主体扩容提质行动，健全全方位、全周期、全过程的服务保障体系。完善优质企业梯度培育机制，按照“百亿带动、十亿支撑、小微升级”的思路，做大做强龙头企业，培育“四上”企业，支持专精特新企业、高新技术企业和科技型中小企业发展，培育一批对产业生态具有主导力的领军企业，以及对产业链关键环节具有控制力的“小巨人”“单项冠军”“独角兽”企业和上市公司。推动企业间开展战略合作和市场化兼并重组，支持优质企业做强做大。积极引进国内外行业龙头企业及功能性、区域性总部，深化与中央企业、国有企业等战略合作，着力培育一批重点产业链主企业和特色产业重点企业。围绕中小企业普遍性、基础性公共服务需求，完善中小企业公共服务体系，加快推进“个转企、小升规、规改股、股上市”。到2030年，</w:t>
      </w:r>
      <w:r>
        <w:rPr>
          <w:rFonts w:ascii="Times New Roman" w:hAnsi="Times New Roman" w:eastAsia="仿宋_GB2312" w:cs="Times New Roman"/>
          <w:color w:val="000000" w:themeColor="text1"/>
          <w:spacing w:val="6"/>
          <w:sz w:val="32"/>
          <w:szCs w:val="32"/>
          <w14:textFill>
            <w14:solidFill>
              <w14:schemeClr w14:val="tx1"/>
            </w14:solidFill>
          </w14:textFill>
        </w:rPr>
        <w:t>力争培育产值超100亿元企业5家以上、超50亿元企业12家以上。</w:t>
      </w:r>
    </w:p>
    <w:p>
      <w:pPr>
        <w:rPr>
          <w:color w:val="000000" w:themeColor="text1"/>
          <w14:textFill>
            <w14:solidFill>
              <w14:schemeClr w14:val="tx1"/>
            </w14:solidFill>
          </w14:textFill>
        </w:rPr>
      </w:pPr>
    </w:p>
    <w:p>
      <w:pPr>
        <w:pStyle w:val="7"/>
        <w:spacing w:line="56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第二节 深化“五好”园区建设</w:t>
      </w:r>
    </w:p>
    <w:p>
      <w:pPr>
        <w:spacing w:line="560" w:lineRule="exact"/>
        <w:ind w:firstLine="640"/>
        <w:rPr>
          <w:rFonts w:eastAsia="仿宋_GB2312"/>
          <w:color w:val="000000" w:themeColor="text1"/>
          <w:sz w:val="32"/>
          <w:szCs w:val="32"/>
          <w14:textFill>
            <w14:solidFill>
              <w14:schemeClr w14:val="tx1"/>
            </w14:solidFill>
          </w14:textFill>
        </w:rPr>
      </w:pPr>
    </w:p>
    <w:p>
      <w:pPr>
        <w:spacing w:line="56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以“五好”园区建设为总揽，聚焦“三生融合”“三态协同”，突出亩均效益导向，进一步完善园区服务产业、贴近市场的体制机制，统筹产业差异化布局、协同化发展，推动千亿产业园区破零。优化园区机构职能，赋予园区更大改革自主权，引导各类园区错位发展、各展所长，着力构建优势互补、协作联动的发展格局。加强与国内知名园区合作，积极推广“雨溆共建”“大新协作”园区模式，创新园区开发建设、运营管理、利益分配等模式。加强与长三角、粤港澳、成渝等地区产业合作，争取建设一批“飞地园区”，建立健全权责一致、互利共赢的“飞地经济”合作机制。优先将土地、资金、能源、人才等资源要素向园区配置，清理园区“三类低效土地”，实施新一轮园区土地利用专项清理行动，提高土地节约集约利用水平，促进要素高效配置。到2030年，力争园区规模工业增加值占全部规模工业增加值比重达75%以上，创建省级高新区1家。</w:t>
      </w:r>
    </w:p>
    <w:p>
      <w:pPr>
        <w:spacing w:line="560" w:lineRule="exact"/>
        <w:ind w:firstLine="640"/>
        <w:rPr>
          <w:rFonts w:eastAsia="仿宋_GB2312"/>
          <w:color w:val="000000" w:themeColor="text1"/>
          <w:sz w:val="32"/>
          <w:szCs w:val="32"/>
          <w14:textFill>
            <w14:solidFill>
              <w14:schemeClr w14:val="tx1"/>
            </w14:solidFill>
          </w14:textFill>
        </w:rPr>
      </w:pPr>
    </w:p>
    <w:p>
      <w:pPr>
        <w:pStyle w:val="7"/>
        <w:numPr>
          <w:ilvl w:val="0"/>
          <w:numId w:val="6"/>
        </w:numPr>
        <w:spacing w:line="56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健全产业链发展机制</w:t>
      </w:r>
    </w:p>
    <w:p>
      <w:pPr>
        <w:spacing w:line="560" w:lineRule="exact"/>
        <w:rPr>
          <w:rFonts w:eastAsia="仿宋_GB2312"/>
          <w:color w:val="000000" w:themeColor="text1"/>
          <w:sz w:val="32"/>
          <w:szCs w:val="32"/>
          <w14:textFill>
            <w14:solidFill>
              <w14:schemeClr w14:val="tx1"/>
            </w14:solidFill>
          </w14:textFill>
        </w:rPr>
      </w:pPr>
    </w:p>
    <w:p>
      <w:pPr>
        <w:topLinePunct/>
        <w:spacing w:line="560" w:lineRule="exact"/>
        <w:ind w:firstLine="640"/>
        <w:rPr>
          <w:rFonts w:eastAsia="仿宋_GB2312"/>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全面推行并深化产业链“链长制”，完善“链长+链主企业+产业园区”的发展模式，强化跨部门协调与资源整合，增强产业链的自主可控能力、韧性与综合竞争力。滚动实施重点产业链高质量发展行动，聚焦产业链薄弱环节与高价值环节，精准开展强链补链延</w:t>
      </w:r>
      <w:r>
        <w:rPr>
          <w:rFonts w:hint="eastAsia" w:eastAsia="仿宋_GB2312" w:cs="Times New Roman"/>
          <w:color w:val="000000" w:themeColor="text1"/>
          <w:kern w:val="0"/>
          <w:sz w:val="32"/>
          <w:szCs w:val="32"/>
          <w14:textFill>
            <w14:solidFill>
              <w14:schemeClr w14:val="tx1"/>
            </w14:solidFill>
          </w14:textFill>
        </w:rPr>
        <w:t>链</w:t>
      </w:r>
      <w:r>
        <w:rPr>
          <w:rFonts w:ascii="Times New Roman" w:hAnsi="Times New Roman" w:eastAsia="仿宋_GB2312" w:cs="Times New Roman"/>
          <w:color w:val="000000" w:themeColor="text1"/>
          <w:kern w:val="0"/>
          <w:sz w:val="32"/>
          <w:szCs w:val="32"/>
          <w14:textFill>
            <w14:solidFill>
              <w14:schemeClr w14:val="tx1"/>
            </w14:solidFill>
          </w14:textFill>
        </w:rPr>
        <w:t>。转变招商引资方式，创新产业链招商、应用场景招商等模式，持续推进湘商回归、返乡创业。推进创新链产业链资金链人才链有效融合，围绕产业链部署创新链，推动关键共性技术攻关与成果转化应用。发展供应链金融，引导金融资本、产业基金精准投向重点产业链。实施“产业链+人才链”专项计划，围绕重点产业引进培育高层次创新人才、急需紧缺技术技能人才，建设高水平产业人才队伍。</w:t>
      </w:r>
    </w:p>
    <w:p>
      <w:pPr>
        <w:pStyle w:val="45"/>
        <w:spacing w:beforeAutospacing="0" w:afterAutospacing="0" w:line="560" w:lineRule="exact"/>
        <w:ind w:left="0" w:leftChars="0" w:firstLine="640"/>
        <w:rPr>
          <w:rFonts w:eastAsia="仿宋_GB2312"/>
          <w:color w:val="000000" w:themeColor="text1"/>
          <w:sz w:val="32"/>
          <w:szCs w:val="32"/>
          <w14:textFill>
            <w14:solidFill>
              <w14:schemeClr w14:val="tx1"/>
            </w14:solidFill>
          </w14:textFill>
        </w:rPr>
      </w:pPr>
    </w:p>
    <w:p>
      <w:pPr>
        <w:pStyle w:val="7"/>
        <w:spacing w:line="56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第四节 提升产业发展质量</w:t>
      </w:r>
    </w:p>
    <w:p>
      <w:pPr>
        <w:spacing w:line="560" w:lineRule="exact"/>
        <w:ind w:firstLine="640"/>
        <w:rPr>
          <w:rFonts w:eastAsia="仿宋_GB2312"/>
          <w:color w:val="000000" w:themeColor="text1"/>
          <w:sz w:val="32"/>
          <w:szCs w:val="32"/>
          <w14:textFill>
            <w14:solidFill>
              <w14:schemeClr w14:val="tx1"/>
            </w14:solidFill>
          </w14:textFill>
        </w:rPr>
      </w:pPr>
    </w:p>
    <w:p>
      <w:pPr>
        <w:spacing w:line="56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深入实施质量强市战略，加强质量、标准、计量等建设，鼓励企业参与或主导国家、行业及团体标准制修订。建立产业链供应链安全风险评估和应对机制，提升产业链自主可控水平。实施品牌提升工程，建立健全“区域公用品牌+企业自主品牌+产品品牌”的梯次培育体系，加强“湖南名品”整体宣传与保护，提升“怀化制造”“怀化味道”的附加值与市场美誉度。完善支持特色优势产业发展政策，建立产业投入增长机制，确保财政扶持资金与产业发展需求同步增长。用好产业发展引导资金，推动向基金投资、融资担保、风险补偿、贴息补助等市场化方式转变。发展引进“耐心资本”“长期资本”，鼓励国有资本、产业资本、金融资本与社会资本共同设立产业集群发展基金，为产业跨越周期发展提供坚实资本支撑。</w:t>
      </w:r>
    </w:p>
    <w:bookmarkEnd w:id="0"/>
    <w:bookmarkEnd w:id="1"/>
    <w:p>
      <w:pPr>
        <w:spacing w:line="580" w:lineRule="exact"/>
        <w:ind w:firstLine="640"/>
        <w:rPr>
          <w:rFonts w:eastAsia="方正小标宋_GBK"/>
          <w:color w:val="000000" w:themeColor="text1"/>
          <w:sz w:val="32"/>
          <w:szCs w:val="32"/>
          <w14:textFill>
            <w14:solidFill>
              <w14:schemeClr w14:val="tx1"/>
            </w14:solidFill>
          </w14:textFill>
        </w:rPr>
      </w:pPr>
      <w:bookmarkStart w:id="16" w:name="_Toc8615"/>
      <w:bookmarkStart w:id="17" w:name="_Toc7032"/>
      <w:bookmarkStart w:id="18" w:name="OLE_LINK10"/>
      <w:bookmarkStart w:id="19" w:name="_Toc6096"/>
      <w:bookmarkStart w:id="20" w:name="_Toc2474"/>
      <w:bookmarkStart w:id="21" w:name="_Toc782896861"/>
      <w:bookmarkStart w:id="22" w:name="_Toc25725"/>
      <w:bookmarkStart w:id="23" w:name="_Toc81186127"/>
      <w:bookmarkStart w:id="24" w:name="_Toc20539"/>
      <w:r>
        <w:rPr>
          <w:rFonts w:ascii="Times New Roman" w:hAnsi="Times New Roman" w:eastAsia="方正小标宋_GBK" w:cs="Times New Roman"/>
          <w:color w:val="000000" w:themeColor="text1"/>
          <w:sz w:val="32"/>
          <w:szCs w:val="32"/>
          <w14:textFill>
            <w14:solidFill>
              <w14:schemeClr w14:val="tx1"/>
            </w14:solidFill>
          </w14:textFill>
        </w:rPr>
        <w:br w:type="page"/>
      </w:r>
    </w:p>
    <w:p>
      <w:pPr>
        <w:pStyle w:val="5"/>
        <w:spacing w:line="560" w:lineRule="exact"/>
        <w:rPr>
          <w:rFonts w:eastAsia="方正小标宋_GBK"/>
          <w:color w:val="000000" w:themeColor="text1"/>
          <w:sz w:val="36"/>
          <w:szCs w:val="36"/>
          <w14:textFill>
            <w14:solidFill>
              <w14:schemeClr w14:val="tx1"/>
            </w14:solidFill>
          </w14:textFill>
        </w:rPr>
      </w:pPr>
      <w:bookmarkStart w:id="25" w:name="_Toc15586"/>
      <w:r>
        <w:rPr>
          <w:rFonts w:eastAsia="方正小标宋_GBK"/>
          <w:color w:val="000000" w:themeColor="text1"/>
          <w:spacing w:val="11"/>
          <w:sz w:val="36"/>
          <w:szCs w:val="36"/>
          <w14:textFill>
            <w14:solidFill>
              <w14:schemeClr w14:val="tx1"/>
            </w14:solidFill>
          </w14:textFill>
        </w:rPr>
        <w:t>第四篇 坚持以鹤中一体化为引领，</w:t>
      </w:r>
      <w:r>
        <w:rPr>
          <w:rFonts w:hint="eastAsia" w:eastAsia="方正小标宋_GBK"/>
          <w:color w:val="000000" w:themeColor="text1"/>
          <w:spacing w:val="11"/>
          <w:sz w:val="36"/>
          <w:szCs w:val="36"/>
          <w14:textFill>
            <w14:solidFill>
              <w14:schemeClr w14:val="tx1"/>
            </w14:solidFill>
          </w14:textFill>
        </w:rPr>
        <w:t>开创</w:t>
      </w:r>
      <w:r>
        <w:rPr>
          <w:rFonts w:eastAsia="方正小标宋_GBK"/>
          <w:color w:val="000000" w:themeColor="text1"/>
          <w:spacing w:val="11"/>
          <w:sz w:val="36"/>
          <w:szCs w:val="36"/>
          <w14:textFill>
            <w14:solidFill>
              <w14:schemeClr w14:val="tx1"/>
            </w14:solidFill>
          </w14:textFill>
        </w:rPr>
        <w:t>区域联动发展新</w:t>
      </w:r>
      <w:bookmarkEnd w:id="25"/>
      <w:r>
        <w:rPr>
          <w:rFonts w:hint="eastAsia" w:eastAsia="方正小标宋_GBK"/>
          <w:color w:val="000000" w:themeColor="text1"/>
          <w:sz w:val="36"/>
          <w:szCs w:val="36"/>
          <w14:textFill>
            <w14:solidFill>
              <w14:schemeClr w14:val="tx1"/>
            </w14:solidFill>
          </w14:textFill>
        </w:rPr>
        <w:t>局面</w:t>
      </w:r>
    </w:p>
    <w:p>
      <w:pPr>
        <w:spacing w:line="560" w:lineRule="exact"/>
        <w:ind w:firstLine="640"/>
        <w:rPr>
          <w:rFonts w:eastAsia="仿宋_GB2312"/>
          <w:color w:val="000000" w:themeColor="text1"/>
          <w:sz w:val="32"/>
          <w:szCs w:val="32"/>
          <w14:textFill>
            <w14:solidFill>
              <w14:schemeClr w14:val="tx1"/>
            </w14:solidFill>
          </w14:textFill>
        </w:rPr>
      </w:pPr>
    </w:p>
    <w:p>
      <w:pPr>
        <w:spacing w:line="56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对接融入国家区域协调发展战略，立足“一点一部”、跨区域联结型地区等区位优势，发挥鹤中一体化核心增长极作用，构建区域联动发展新格局。</w:t>
      </w:r>
    </w:p>
    <w:p>
      <w:pPr>
        <w:pStyle w:val="6"/>
        <w:spacing w:line="560" w:lineRule="exact"/>
        <w:rPr>
          <w:rFonts w:ascii="Times New Roman" w:hAnsi="Times New Roman" w:eastAsia="黑体" w:cs="Times New Roman"/>
          <w:color w:val="000000" w:themeColor="text1"/>
          <w:sz w:val="32"/>
          <w14:textFill>
            <w14:solidFill>
              <w14:schemeClr w14:val="tx1"/>
            </w14:solidFill>
          </w14:textFill>
        </w:rPr>
      </w:pPr>
    </w:p>
    <w:p>
      <w:pPr>
        <w:pStyle w:val="6"/>
        <w:spacing w:line="560" w:lineRule="exact"/>
        <w:rPr>
          <w:rFonts w:ascii="Times New Roman" w:hAnsi="Times New Roman" w:eastAsia="黑体" w:cs="Times New Roman"/>
          <w:color w:val="000000" w:themeColor="text1"/>
          <w:sz w:val="32"/>
          <w14:textFill>
            <w14:solidFill>
              <w14:schemeClr w14:val="tx1"/>
            </w14:solidFill>
          </w14:textFill>
        </w:rPr>
      </w:pPr>
      <w:bookmarkStart w:id="26" w:name="_Toc24302"/>
      <w:r>
        <w:rPr>
          <w:rFonts w:ascii="Times New Roman" w:hAnsi="Times New Roman" w:eastAsia="黑体" w:cs="Times New Roman"/>
          <w:color w:val="000000" w:themeColor="text1"/>
          <w:sz w:val="32"/>
          <w14:textFill>
            <w14:solidFill>
              <w14:schemeClr w14:val="tx1"/>
            </w14:solidFill>
          </w14:textFill>
        </w:rPr>
        <w:t>第十二章 高水平推进鹤中一体化</w:t>
      </w:r>
      <w:bookmarkEnd w:id="26"/>
    </w:p>
    <w:p>
      <w:pPr>
        <w:pStyle w:val="7"/>
        <w:spacing w:line="560" w:lineRule="exact"/>
        <w:rPr>
          <w:rFonts w:eastAsia="仿宋_GB2312"/>
          <w:color w:val="000000" w:themeColor="text1"/>
          <w:sz w:val="32"/>
          <w14:textFill>
            <w14:solidFill>
              <w14:schemeClr w14:val="tx1"/>
            </w14:solidFill>
          </w14:textFill>
        </w:rPr>
      </w:pPr>
    </w:p>
    <w:p>
      <w:pPr>
        <w:pStyle w:val="7"/>
        <w:spacing w:line="56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第一节 以“一座城”理念提升鹤中一体化水平</w:t>
      </w:r>
    </w:p>
    <w:p>
      <w:pPr>
        <w:spacing w:line="560" w:lineRule="exact"/>
        <w:ind w:firstLine="640"/>
        <w:rPr>
          <w:rFonts w:eastAsia="仿宋_GB2312"/>
          <w:color w:val="000000" w:themeColor="text1"/>
          <w:sz w:val="32"/>
          <w:szCs w:val="32"/>
          <w14:textFill>
            <w14:solidFill>
              <w14:schemeClr w14:val="tx1"/>
            </w14:solidFill>
          </w14:textFill>
        </w:rPr>
      </w:pPr>
    </w:p>
    <w:p>
      <w:pPr>
        <w:spacing w:line="560" w:lineRule="exact"/>
        <w:ind w:firstLine="640"/>
        <w:rPr>
          <w:rFonts w:eastAsia="仿宋_GB2312"/>
          <w:color w:val="000000" w:themeColor="text1"/>
          <w:spacing w:val="-1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围绕基础设施提质、资源共建共享、平台能级提升等重点领域，实施G209改道西线等一批标志性工程，推动物理设施完全联通、平台设施完全联动，全面增强主城区辐射带动和资源集聚能力，到2030年，鹤中区域中心城区建成区面积达到100平方公里以上，常住人口达到100万</w:t>
      </w:r>
      <w:r>
        <w:rPr>
          <w:rFonts w:hint="eastAsia" w:ascii="Times New Roman" w:hAnsi="Times New Roman" w:eastAsia="仿宋_GB2312" w:cs="Times New Roman"/>
          <w:color w:val="000000" w:themeColor="text1"/>
          <w:sz w:val="32"/>
          <w:szCs w:val="32"/>
          <w14:textFill>
            <w14:solidFill>
              <w14:schemeClr w14:val="tx1"/>
            </w14:solidFill>
          </w14:textFill>
        </w:rPr>
        <w:t>人</w:t>
      </w:r>
      <w:r>
        <w:rPr>
          <w:rFonts w:ascii="Times New Roman" w:hAnsi="Times New Roman" w:eastAsia="仿宋_GB2312" w:cs="Times New Roman"/>
          <w:color w:val="000000" w:themeColor="text1"/>
          <w:sz w:val="32"/>
          <w:szCs w:val="32"/>
          <w14:textFill>
            <w14:solidFill>
              <w14:schemeClr w14:val="tx1"/>
            </w14:solidFill>
          </w14:textFill>
        </w:rPr>
        <w:t>以上，地区生产总值达到1000亿元以上。加快“三区一县”融合发展，积极推动制度创新，着力破除行政壁垒，推进人才、资本、技术、数据等要素一体化配置改革。强化功能聚焦与分工协作，形成怀化国际陆港经开区和怀化高新区两大重点片区，推动实现港产城融合发展。着力建设年轻人友好城市，提升城市对年轻人的吸纳能力。适时向芷江县公坪镇、水宽乡等周边区域拓展一体化发展空间，谋划推动公坪镇建设怀化国际陆港仓储配送中心发展区，水宽乡打造怀化高新区产业延伸区，加强芷江县与市</w:t>
      </w:r>
      <w:r>
        <w:rPr>
          <w:rFonts w:ascii="Times New Roman" w:hAnsi="Times New Roman" w:eastAsia="仿宋_GB2312" w:cs="Times New Roman"/>
          <w:color w:val="000000" w:themeColor="text1"/>
          <w:spacing w:val="-11"/>
          <w:sz w:val="32"/>
          <w:szCs w:val="32"/>
          <w14:textFill>
            <w14:solidFill>
              <w14:schemeClr w14:val="tx1"/>
            </w14:solidFill>
          </w14:textFill>
        </w:rPr>
        <w:t>主城区基础设施联通，将芷江机场打造为怀化国际陆港货运航空港。</w:t>
      </w:r>
    </w:p>
    <w:p>
      <w:pPr>
        <w:pStyle w:val="7"/>
        <w:spacing w:line="540" w:lineRule="exact"/>
        <w:rPr>
          <w:rFonts w:eastAsia="仿宋_GB2312"/>
          <w:color w:val="000000" w:themeColor="text1"/>
          <w:sz w:val="32"/>
          <w14:textFill>
            <w14:solidFill>
              <w14:schemeClr w14:val="tx1"/>
            </w14:solidFill>
          </w14:textFill>
        </w:rPr>
      </w:pPr>
    </w:p>
    <w:p>
      <w:pPr>
        <w:pStyle w:val="7"/>
        <w:spacing w:line="54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第二节 共建城市品质生活圈</w:t>
      </w:r>
    </w:p>
    <w:p>
      <w:pPr>
        <w:pStyle w:val="7"/>
        <w:spacing w:line="540" w:lineRule="exact"/>
        <w:rPr>
          <w:rFonts w:eastAsia="仿宋_GB2312"/>
          <w:color w:val="000000" w:themeColor="text1"/>
          <w:sz w:val="32"/>
          <w14:textFill>
            <w14:solidFill>
              <w14:schemeClr w14:val="tx1"/>
            </w14:solidFill>
          </w14:textFill>
        </w:rPr>
      </w:pPr>
    </w:p>
    <w:p>
      <w:pPr>
        <w:widowControl/>
        <w:numPr>
          <w:ilvl w:val="255"/>
          <w:numId w:val="0"/>
        </w:numPr>
        <w:spacing w:line="540" w:lineRule="exact"/>
        <w:ind w:firstLine="640" w:firstLineChars="200"/>
        <w:rPr>
          <w:color w:val="000000" w:themeColor="text1"/>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加快完善鹤中城区半小时通勤圈、“同城化”公交网络、绿色慢行交通体系，健全提升一体化供</w:t>
      </w:r>
      <w:r>
        <w:rPr>
          <w:rFonts w:hint="eastAsia" w:ascii="Times New Roman" w:hAnsi="Times New Roman" w:eastAsia="仿宋_GB2312" w:cs="Times New Roman"/>
          <w:color w:val="000000" w:themeColor="text1"/>
          <w:sz w:val="32"/>
          <w:szCs w:val="32"/>
          <w14:textFill>
            <w14:solidFill>
              <w14:schemeClr w14:val="tx1"/>
            </w14:solidFill>
          </w14:textFill>
        </w:rPr>
        <w:t>排</w:t>
      </w:r>
      <w:r>
        <w:rPr>
          <w:rFonts w:ascii="Times New Roman" w:hAnsi="Times New Roman" w:eastAsia="仿宋_GB2312" w:cs="Times New Roman"/>
          <w:color w:val="000000" w:themeColor="text1"/>
          <w:sz w:val="32"/>
          <w:szCs w:val="32"/>
          <w14:textFill>
            <w14:solidFill>
              <w14:schemeClr w14:val="tx1"/>
            </w14:solidFill>
          </w14:textFill>
        </w:rPr>
        <w:t>水体系、电力体系、燃气体系、通信</w:t>
      </w:r>
      <w:r>
        <w:rPr>
          <w:rFonts w:hint="eastAsia" w:ascii="Times New Roman" w:hAnsi="Times New Roman" w:eastAsia="仿宋_GB2312" w:cs="Times New Roman"/>
          <w:color w:val="000000" w:themeColor="text1"/>
          <w:sz w:val="32"/>
          <w:szCs w:val="32"/>
          <w14:textFill>
            <w14:solidFill>
              <w14:schemeClr w14:val="tx1"/>
            </w14:solidFill>
          </w14:textFill>
        </w:rPr>
        <w:t>体系</w:t>
      </w:r>
      <w:r>
        <w:rPr>
          <w:rFonts w:ascii="Times New Roman" w:hAnsi="Times New Roman" w:eastAsia="仿宋_GB2312" w:cs="Times New Roman"/>
          <w:color w:val="000000" w:themeColor="text1"/>
          <w:sz w:val="32"/>
          <w:szCs w:val="32"/>
          <w14:textFill>
            <w14:solidFill>
              <w14:schemeClr w14:val="tx1"/>
            </w14:solidFill>
          </w14:textFill>
        </w:rPr>
        <w:t>、环卫体系，不断提升饮用水安全、防洪排涝、防灾减灾和风险应对能力，构建高效便捷、安全可靠、智能绿色的现代化基础设施体系。推动鹤中城区基本公共服务互认共享，优化资源配置、规范服务流程、提升服务质量，实现义务教育、就医结算、职业技能培训、保障性住房等基本公共服务覆盖全民、兜住底线、均等享有。统筹布局区域内文化、体育、社会福利等公共服务设施，实现一刻钟便民生活圈社区全覆盖。</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0" w:hRule="atLeast"/>
          <w:jc w:val="center"/>
        </w:trPr>
        <w:tc>
          <w:tcPr>
            <w:tcW w:w="8982" w:type="dxa"/>
            <w:vAlign w:val="center"/>
          </w:tcPr>
          <w:p>
            <w:pPr>
              <w:spacing w:line="490" w:lineRule="exact"/>
              <w:jc w:val="center"/>
              <w:rPr>
                <w:rFonts w:eastAsia="黑体"/>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专栏4—1 基础设施共建共享工程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9" w:hRule="atLeast"/>
          <w:jc w:val="center"/>
        </w:trPr>
        <w:tc>
          <w:tcPr>
            <w:tcW w:w="8982" w:type="dxa"/>
          </w:tcPr>
          <w:p>
            <w:pPr>
              <w:pStyle w:val="24"/>
              <w:spacing w:line="470" w:lineRule="exact"/>
              <w:ind w:firstLine="642" w:firstLineChars="200"/>
              <w:jc w:val="both"/>
              <w:rPr>
                <w:rFonts w:ascii="Times New Roman" w:hAnsi="Times New Roman" w:eastAsia="楷体_GB2312" w:cs="Times New Roman"/>
                <w:bCs/>
                <w:color w:val="000000" w:themeColor="text1"/>
                <w:szCs w:val="32"/>
                <w14:textFill>
                  <w14:solidFill>
                    <w14:schemeClr w14:val="tx1"/>
                  </w14:solidFill>
                </w14:textFill>
              </w:rPr>
            </w:pPr>
            <w:r>
              <w:rPr>
                <w:rFonts w:ascii="Times New Roman" w:hAnsi="Times New Roman" w:eastAsia="楷体_GB2312" w:cs="Times New Roman"/>
                <w:b/>
                <w:color w:val="000000" w:themeColor="text1"/>
                <w:szCs w:val="32"/>
                <w14:textFill>
                  <w14:solidFill>
                    <w14:schemeClr w14:val="tx1"/>
                  </w14:solidFill>
                </w14:textFill>
              </w:rPr>
              <w:t>1.供水一体化。</w:t>
            </w:r>
            <w:r>
              <w:rPr>
                <w:rFonts w:ascii="Times New Roman" w:hAnsi="Times New Roman" w:eastAsia="楷体_GB2312" w:cs="Times New Roman"/>
                <w:color w:val="000000" w:themeColor="text1"/>
                <w:szCs w:val="32"/>
                <w14:textFill>
                  <w14:solidFill>
                    <w14:schemeClr w14:val="tx1"/>
                  </w14:solidFill>
                </w14:textFill>
              </w:rPr>
              <w:t>推进</w:t>
            </w:r>
            <w:r>
              <w:rPr>
                <w:rFonts w:ascii="Times New Roman" w:hAnsi="Times New Roman" w:eastAsia="楷体_GB2312" w:cs="Times New Roman"/>
                <w:bCs/>
                <w:color w:val="000000" w:themeColor="text1"/>
                <w:szCs w:val="32"/>
                <w14:textFill>
                  <w14:solidFill>
                    <w14:schemeClr w14:val="tx1"/>
                  </w14:solidFill>
                </w14:textFill>
              </w:rPr>
              <w:t>泸阳片区与主城区供水一体化建设，加快推进鹤城区、中方县供水管网更新改造，建成鹤中一体化给水运管平台。</w:t>
            </w:r>
          </w:p>
          <w:p>
            <w:pPr>
              <w:pStyle w:val="24"/>
              <w:spacing w:line="470" w:lineRule="exact"/>
              <w:ind w:firstLine="642" w:firstLineChars="200"/>
              <w:jc w:val="both"/>
              <w:rPr>
                <w:rFonts w:ascii="Times New Roman" w:hAnsi="Times New Roman" w:eastAsia="楷体_GB2312" w:cs="Times New Roman"/>
                <w:bCs/>
                <w:color w:val="000000" w:themeColor="text1"/>
                <w:szCs w:val="32"/>
                <w14:textFill>
                  <w14:solidFill>
                    <w14:schemeClr w14:val="tx1"/>
                  </w14:solidFill>
                </w14:textFill>
              </w:rPr>
            </w:pPr>
            <w:r>
              <w:rPr>
                <w:rFonts w:ascii="Times New Roman" w:hAnsi="Times New Roman" w:eastAsia="楷体_GB2312" w:cs="Times New Roman"/>
                <w:b/>
                <w:color w:val="000000" w:themeColor="text1"/>
                <w:szCs w:val="32"/>
                <w14:textFill>
                  <w14:solidFill>
                    <w14:schemeClr w14:val="tx1"/>
                  </w14:solidFill>
                </w14:textFill>
              </w:rPr>
              <w:t>2.排水一体化。</w:t>
            </w:r>
            <w:r>
              <w:rPr>
                <w:rFonts w:ascii="Times New Roman" w:hAnsi="Times New Roman" w:eastAsia="楷体_GB2312" w:cs="Times New Roman"/>
                <w:bCs/>
                <w:color w:val="000000" w:themeColor="text1"/>
                <w:szCs w:val="32"/>
                <w14:textFill>
                  <w14:solidFill>
                    <w14:schemeClr w14:val="tx1"/>
                  </w14:solidFill>
                </w14:textFill>
              </w:rPr>
              <w:t>新建怀化国际陆港经开区工业污水处理厂，加快推进鹤中区域雨污分流管网建设，对城中、城南等片区现有合流制排水系统实施雨污分流改造，启动中方县城、科教新城、高新区污水管网收集处理联通工程建设。</w:t>
            </w:r>
          </w:p>
          <w:p>
            <w:pPr>
              <w:pStyle w:val="24"/>
              <w:spacing w:line="470" w:lineRule="exact"/>
              <w:ind w:firstLine="642" w:firstLineChars="200"/>
              <w:jc w:val="both"/>
              <w:rPr>
                <w:rFonts w:ascii="Times New Roman" w:hAnsi="Times New Roman" w:eastAsia="楷体_GB2312" w:cs="Times New Roman"/>
                <w:bCs/>
                <w:color w:val="000000" w:themeColor="text1"/>
                <w:szCs w:val="32"/>
                <w14:textFill>
                  <w14:solidFill>
                    <w14:schemeClr w14:val="tx1"/>
                  </w14:solidFill>
                </w14:textFill>
              </w:rPr>
            </w:pPr>
            <w:r>
              <w:rPr>
                <w:rFonts w:ascii="Times New Roman" w:hAnsi="Times New Roman" w:eastAsia="楷体_GB2312" w:cs="Times New Roman"/>
                <w:b/>
                <w:color w:val="000000" w:themeColor="text1"/>
                <w:szCs w:val="32"/>
                <w14:textFill>
                  <w14:solidFill>
                    <w14:schemeClr w14:val="tx1"/>
                  </w14:solidFill>
                </w14:textFill>
              </w:rPr>
              <w:t>3.电力一体化。</w:t>
            </w:r>
            <w:r>
              <w:rPr>
                <w:rFonts w:ascii="Times New Roman" w:hAnsi="Times New Roman" w:eastAsia="楷体_GB2312" w:cs="Times New Roman"/>
                <w:bCs/>
                <w:color w:val="000000" w:themeColor="text1"/>
                <w:szCs w:val="32"/>
                <w14:textFill>
                  <w14:solidFill>
                    <w14:schemeClr w14:val="tx1"/>
                  </w14:solidFill>
                </w14:textFill>
              </w:rPr>
              <w:t>加强区域城乡电网建设和改造升级，完善500kV、220kV、110kV、10kV四级供电网络，提升电网削峰填谷及新能源消纳能力。</w:t>
            </w:r>
          </w:p>
          <w:p>
            <w:pPr>
              <w:pStyle w:val="24"/>
              <w:spacing w:line="470" w:lineRule="exact"/>
              <w:ind w:firstLine="642" w:firstLineChars="200"/>
              <w:jc w:val="both"/>
              <w:rPr>
                <w:rFonts w:ascii="Times New Roman" w:hAnsi="Times New Roman" w:cs="Times New Roman"/>
                <w:color w:val="000000" w:themeColor="text1"/>
                <w:szCs w:val="32"/>
                <w14:textFill>
                  <w14:solidFill>
                    <w14:schemeClr w14:val="tx1"/>
                  </w14:solidFill>
                </w14:textFill>
              </w:rPr>
            </w:pPr>
            <w:r>
              <w:rPr>
                <w:rFonts w:ascii="Times New Roman" w:hAnsi="Times New Roman" w:eastAsia="楷体_GB2312" w:cs="Times New Roman"/>
                <w:b/>
                <w:color w:val="000000" w:themeColor="text1"/>
                <w:szCs w:val="32"/>
                <w14:textFill>
                  <w14:solidFill>
                    <w14:schemeClr w14:val="tx1"/>
                  </w14:solidFill>
                </w14:textFill>
              </w:rPr>
              <w:t>4.环卫一体化。</w:t>
            </w:r>
            <w:r>
              <w:rPr>
                <w:rFonts w:ascii="Times New Roman" w:hAnsi="Times New Roman" w:eastAsia="楷体_GB2312" w:cs="Times New Roman"/>
                <w:bCs/>
                <w:color w:val="000000" w:themeColor="text1"/>
                <w:szCs w:val="32"/>
                <w14:textFill>
                  <w14:solidFill>
                    <w14:schemeClr w14:val="tx1"/>
                  </w14:solidFill>
                </w14:textFill>
              </w:rPr>
              <w:t>建设1座大型生活垃圾分拣转运中心、2座园林垃圾处理厂，新建9座垃圾中转站、2座环卫停保场。</w:t>
            </w:r>
          </w:p>
        </w:tc>
      </w:tr>
    </w:tbl>
    <w:p>
      <w:pPr>
        <w:pStyle w:val="7"/>
        <w:numPr>
          <w:ilvl w:val="255"/>
          <w:numId w:val="0"/>
        </w:numPr>
        <w:spacing w:line="560" w:lineRule="exact"/>
        <w:rPr>
          <w:rFonts w:eastAsia="仿宋_GB2312"/>
          <w:color w:val="000000" w:themeColor="text1"/>
          <w:sz w:val="32"/>
          <w14:textFill>
            <w14:solidFill>
              <w14:schemeClr w14:val="tx1"/>
            </w14:solidFill>
          </w14:textFill>
        </w:rPr>
      </w:pPr>
    </w:p>
    <w:p>
      <w:pPr>
        <w:pStyle w:val="7"/>
        <w:numPr>
          <w:ilvl w:val="255"/>
          <w:numId w:val="0"/>
        </w:numPr>
        <w:spacing w:line="56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第三节 共护城市优良生态环境</w:t>
      </w:r>
    </w:p>
    <w:p>
      <w:pPr>
        <w:pStyle w:val="7"/>
        <w:numPr>
          <w:ilvl w:val="255"/>
          <w:numId w:val="0"/>
        </w:numPr>
        <w:spacing w:line="560" w:lineRule="exact"/>
        <w:rPr>
          <w:rFonts w:eastAsia="仿宋_GB2312"/>
          <w:color w:val="000000" w:themeColor="text1"/>
          <w:sz w:val="32"/>
          <w14:textFill>
            <w14:solidFill>
              <w14:schemeClr w14:val="tx1"/>
            </w14:solidFill>
          </w14:textFill>
        </w:rPr>
      </w:pPr>
    </w:p>
    <w:p>
      <w:pPr>
        <w:spacing w:line="56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统筹推进区域生态保护和山水林田湖草系统修复，深度构建鹤中区域山环水绕绿缀生态格局。建立人工影响天气工作</w:t>
      </w:r>
      <w:r>
        <w:rPr>
          <w:rFonts w:hint="eastAsia" w:eastAsia="仿宋_GB2312" w:cs="Times New Roman"/>
          <w:color w:val="000000" w:themeColor="text1"/>
          <w:sz w:val="32"/>
          <w:szCs w:val="32"/>
          <w14:textFill>
            <w14:solidFill>
              <w14:schemeClr w14:val="tx1"/>
            </w14:solidFill>
          </w14:textFill>
        </w:rPr>
        <w:t>机制</w:t>
      </w:r>
      <w:r>
        <w:rPr>
          <w:rFonts w:ascii="Times New Roman" w:hAnsi="Times New Roman" w:eastAsia="仿宋_GB2312" w:cs="Times New Roman"/>
          <w:color w:val="000000" w:themeColor="text1"/>
          <w:sz w:val="32"/>
          <w:szCs w:val="32"/>
          <w14:textFill>
            <w14:solidFill>
              <w14:schemeClr w14:val="tx1"/>
            </w14:solidFill>
          </w14:textFill>
        </w:rPr>
        <w:t>和鹤中区域污染联防联控机制，健全行业联席会议、环境信息共享、环境应急联动、气象环保应急会商等制度，持续推进大气、水、土壤等生态环境共保共治，大力实施㵲水河及太平溪流域水环境生态综合治理，深入探索生态产品价值实现路径，合力建设生态宜居新家园。强化山体、河流岸线、建筑高度及色彩等重点领域风貌管控，共同提升城市风貌品质。</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9071" w:type="dxa"/>
            <w:shd w:val="clear" w:color="auto" w:fill="auto"/>
            <w:vAlign w:val="center"/>
          </w:tcPr>
          <w:p>
            <w:pPr>
              <w:spacing w:line="490" w:lineRule="exact"/>
              <w:jc w:val="center"/>
              <w:rPr>
                <w:rFonts w:eastAsia="黑体"/>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专栏4—2 鹤中一体化制度创新工程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8" w:hRule="atLeast"/>
        </w:trPr>
        <w:tc>
          <w:tcPr>
            <w:tcW w:w="9071" w:type="dxa"/>
            <w:shd w:val="clear" w:color="auto" w:fill="auto"/>
          </w:tcPr>
          <w:p>
            <w:pPr>
              <w:pStyle w:val="24"/>
              <w:spacing w:line="460" w:lineRule="exact"/>
              <w:ind w:firstLine="642" w:firstLineChars="200"/>
              <w:jc w:val="both"/>
              <w:rPr>
                <w:rFonts w:ascii="Times New Roman" w:hAnsi="Times New Roman" w:eastAsia="楷体_GB2312" w:cs="Times New Roman"/>
                <w:bCs/>
                <w:color w:val="000000" w:themeColor="text1"/>
                <w:szCs w:val="32"/>
                <w14:textFill>
                  <w14:solidFill>
                    <w14:schemeClr w14:val="tx1"/>
                  </w14:solidFill>
                </w14:textFill>
              </w:rPr>
            </w:pPr>
            <w:r>
              <w:rPr>
                <w:rFonts w:ascii="Times New Roman" w:hAnsi="Times New Roman" w:eastAsia="楷体_GB2312" w:cs="Times New Roman"/>
                <w:b/>
                <w:color w:val="000000" w:themeColor="text1"/>
                <w:szCs w:val="32"/>
                <w14:textFill>
                  <w14:solidFill>
                    <w14:schemeClr w14:val="tx1"/>
                  </w14:solidFill>
                </w14:textFill>
              </w:rPr>
              <w:t>1.健全一体化实施机制。</w:t>
            </w:r>
            <w:r>
              <w:rPr>
                <w:rFonts w:ascii="Times New Roman" w:hAnsi="Times New Roman" w:eastAsia="楷体_GB2312" w:cs="Times New Roman"/>
                <w:bCs/>
                <w:color w:val="000000" w:themeColor="text1"/>
                <w:szCs w:val="32"/>
                <w14:textFill>
                  <w14:solidFill>
                    <w14:schemeClr w14:val="tx1"/>
                  </w14:solidFill>
                </w14:textFill>
              </w:rPr>
              <w:t>完善鹤中一体化重点事项、重点项目市级统筹协调工作闭环，建立年度工作任务定期</w:t>
            </w:r>
            <w:r>
              <w:rPr>
                <w:rFonts w:hint="eastAsia" w:ascii="Times New Roman" w:hAnsi="Times New Roman" w:eastAsia="楷体_GB2312" w:cs="Times New Roman"/>
                <w:bCs/>
                <w:color w:val="000000" w:themeColor="text1"/>
                <w:szCs w:val="32"/>
                <w14:textFill>
                  <w14:solidFill>
                    <w14:schemeClr w14:val="tx1"/>
                  </w14:solidFill>
                </w14:textFill>
              </w:rPr>
              <w:t>检测</w:t>
            </w:r>
            <w:r>
              <w:rPr>
                <w:rFonts w:ascii="Times New Roman" w:hAnsi="Times New Roman" w:eastAsia="楷体_GB2312" w:cs="Times New Roman"/>
                <w:bCs/>
                <w:color w:val="000000" w:themeColor="text1"/>
                <w:szCs w:val="32"/>
                <w14:textFill>
                  <w14:solidFill>
                    <w14:schemeClr w14:val="tx1"/>
                  </w14:solidFill>
                </w14:textFill>
              </w:rPr>
              <w:t>、评估和考核问效的常态化工作机制，健全规划实施监测体系。</w:t>
            </w:r>
          </w:p>
          <w:p>
            <w:pPr>
              <w:pStyle w:val="24"/>
              <w:spacing w:line="460" w:lineRule="exact"/>
              <w:ind w:firstLine="642" w:firstLineChars="200"/>
              <w:jc w:val="both"/>
              <w:rPr>
                <w:rFonts w:ascii="Times New Roman" w:hAnsi="Times New Roman" w:eastAsia="楷体_GB2312" w:cs="Times New Roman"/>
                <w:bCs/>
                <w:color w:val="000000" w:themeColor="text1"/>
                <w:szCs w:val="32"/>
                <w14:textFill>
                  <w14:solidFill>
                    <w14:schemeClr w14:val="tx1"/>
                  </w14:solidFill>
                </w14:textFill>
              </w:rPr>
            </w:pPr>
            <w:r>
              <w:rPr>
                <w:rFonts w:ascii="Times New Roman" w:hAnsi="Times New Roman" w:eastAsia="楷体_GB2312" w:cs="Times New Roman"/>
                <w:b/>
                <w:color w:val="000000" w:themeColor="text1"/>
                <w:szCs w:val="32"/>
                <w14:textFill>
                  <w14:solidFill>
                    <w14:schemeClr w14:val="tx1"/>
                  </w14:solidFill>
                </w14:textFill>
              </w:rPr>
              <w:t>2.深化规划一体化统筹。</w:t>
            </w:r>
            <w:r>
              <w:rPr>
                <w:rFonts w:ascii="Times New Roman" w:hAnsi="Times New Roman" w:eastAsia="楷体_GB2312" w:cs="Times New Roman"/>
                <w:bCs/>
                <w:color w:val="000000" w:themeColor="text1"/>
                <w:szCs w:val="32"/>
                <w14:textFill>
                  <w14:solidFill>
                    <w14:schemeClr w14:val="tx1"/>
                  </w14:solidFill>
                </w14:textFill>
              </w:rPr>
              <w:t>统筹推进鹤中一体化各类控制性详细规划编制，对重点区域以及跨区域重大基础设施、生态环境设施、公共服务设施、重大产业项目规划实行</w:t>
            </w:r>
            <w:r>
              <w:rPr>
                <w:rFonts w:ascii="Times New Roman" w:hAnsi="Times New Roman" w:eastAsia="仿宋_GB2312" w:cs="Times New Roman"/>
                <w:bCs/>
                <w:color w:val="000000" w:themeColor="text1"/>
                <w:szCs w:val="32"/>
                <w14:textFill>
                  <w14:solidFill>
                    <w14:schemeClr w14:val="tx1"/>
                  </w14:solidFill>
                </w14:textFill>
              </w:rPr>
              <w:t>“</w:t>
            </w:r>
            <w:r>
              <w:rPr>
                <w:rFonts w:ascii="Times New Roman" w:hAnsi="Times New Roman" w:eastAsia="楷体_GB2312" w:cs="Times New Roman"/>
                <w:bCs/>
                <w:color w:val="000000" w:themeColor="text1"/>
                <w:szCs w:val="32"/>
                <w14:textFill>
                  <w14:solidFill>
                    <w14:schemeClr w14:val="tx1"/>
                  </w14:solidFill>
                </w14:textFill>
              </w:rPr>
              <w:t>统一编制、联合报批、提级审查、共同实施</w:t>
            </w:r>
            <w:r>
              <w:rPr>
                <w:rFonts w:ascii="Times New Roman" w:hAnsi="Times New Roman" w:eastAsia="仿宋_GB2312" w:cs="Times New Roman"/>
                <w:bCs/>
                <w:color w:val="000000" w:themeColor="text1"/>
                <w:szCs w:val="32"/>
                <w14:textFill>
                  <w14:solidFill>
                    <w14:schemeClr w14:val="tx1"/>
                  </w14:solidFill>
                </w14:textFill>
              </w:rPr>
              <w:t>”</w:t>
            </w:r>
            <w:r>
              <w:rPr>
                <w:rFonts w:ascii="Times New Roman" w:hAnsi="Times New Roman" w:eastAsia="楷体_GB2312" w:cs="Times New Roman"/>
                <w:bCs/>
                <w:color w:val="000000" w:themeColor="text1"/>
                <w:szCs w:val="32"/>
                <w14:textFill>
                  <w14:solidFill>
                    <w14:schemeClr w14:val="tx1"/>
                  </w14:solidFill>
                </w14:textFill>
              </w:rPr>
              <w:t>，实现</w:t>
            </w:r>
            <w:r>
              <w:rPr>
                <w:rFonts w:ascii="Times New Roman" w:hAnsi="Times New Roman" w:eastAsia="仿宋_GB2312" w:cs="Times New Roman"/>
                <w:bCs/>
                <w:color w:val="000000" w:themeColor="text1"/>
                <w:szCs w:val="32"/>
                <w14:textFill>
                  <w14:solidFill>
                    <w14:schemeClr w14:val="tx1"/>
                  </w14:solidFill>
                </w14:textFill>
              </w:rPr>
              <w:t>“</w:t>
            </w:r>
            <w:r>
              <w:rPr>
                <w:rFonts w:ascii="Times New Roman" w:hAnsi="Times New Roman" w:eastAsia="楷体_GB2312" w:cs="Times New Roman"/>
                <w:bCs/>
                <w:color w:val="000000" w:themeColor="text1"/>
                <w:szCs w:val="32"/>
                <w14:textFill>
                  <w14:solidFill>
                    <w14:schemeClr w14:val="tx1"/>
                  </w14:solidFill>
                </w14:textFill>
              </w:rPr>
              <w:t>一套标准管品质</w:t>
            </w:r>
            <w:r>
              <w:rPr>
                <w:rFonts w:ascii="Times New Roman" w:hAnsi="Times New Roman" w:eastAsia="仿宋_GB2312" w:cs="Times New Roman"/>
                <w:bCs/>
                <w:color w:val="000000" w:themeColor="text1"/>
                <w:szCs w:val="32"/>
                <w14:textFill>
                  <w14:solidFill>
                    <w14:schemeClr w14:val="tx1"/>
                  </w14:solidFill>
                </w14:textFill>
              </w:rPr>
              <w:t>”</w:t>
            </w:r>
            <w:r>
              <w:rPr>
                <w:rFonts w:ascii="Times New Roman" w:hAnsi="Times New Roman" w:eastAsia="楷体_GB2312" w:cs="Times New Roman"/>
                <w:bCs/>
                <w:color w:val="000000" w:themeColor="text1"/>
                <w:szCs w:val="32"/>
                <w14:textFill>
                  <w14:solidFill>
                    <w14:schemeClr w14:val="tx1"/>
                  </w14:solidFill>
                </w14:textFill>
              </w:rPr>
              <w:t>。</w:t>
            </w:r>
          </w:p>
          <w:p>
            <w:pPr>
              <w:pStyle w:val="24"/>
              <w:spacing w:line="460" w:lineRule="exact"/>
              <w:ind w:firstLine="642" w:firstLineChars="200"/>
              <w:jc w:val="both"/>
              <w:rPr>
                <w:rFonts w:ascii="Times New Roman" w:hAnsi="Times New Roman" w:eastAsia="楷体_GB2312" w:cs="Times New Roman"/>
                <w:bCs/>
                <w:color w:val="000000" w:themeColor="text1"/>
                <w:szCs w:val="32"/>
                <w14:textFill>
                  <w14:solidFill>
                    <w14:schemeClr w14:val="tx1"/>
                  </w14:solidFill>
                </w14:textFill>
              </w:rPr>
            </w:pPr>
            <w:r>
              <w:rPr>
                <w:rFonts w:ascii="Times New Roman" w:hAnsi="Times New Roman" w:eastAsia="楷体_GB2312" w:cs="Times New Roman"/>
                <w:b/>
                <w:color w:val="000000" w:themeColor="text1"/>
                <w:szCs w:val="32"/>
                <w14:textFill>
                  <w14:solidFill>
                    <w14:schemeClr w14:val="tx1"/>
                  </w14:solidFill>
                </w14:textFill>
              </w:rPr>
              <w:t>3.拓展城市管理一体化。</w:t>
            </w:r>
            <w:r>
              <w:rPr>
                <w:rFonts w:ascii="Times New Roman" w:hAnsi="Times New Roman" w:eastAsia="楷体_GB2312" w:cs="Times New Roman"/>
                <w:bCs/>
                <w:color w:val="000000" w:themeColor="text1"/>
                <w:szCs w:val="32"/>
                <w14:textFill>
                  <w14:solidFill>
                    <w14:schemeClr w14:val="tx1"/>
                  </w14:solidFill>
                </w14:textFill>
              </w:rPr>
              <w:t>完善鹤中一体化城市综合管理统筹协调机制，完善市本级和</w:t>
            </w:r>
            <w:r>
              <w:rPr>
                <w:rFonts w:ascii="Times New Roman" w:hAnsi="Times New Roman" w:eastAsia="仿宋_GB2312" w:cs="Times New Roman"/>
                <w:bCs/>
                <w:color w:val="000000" w:themeColor="text1"/>
                <w:szCs w:val="32"/>
                <w14:textFill>
                  <w14:solidFill>
                    <w14:schemeClr w14:val="tx1"/>
                  </w14:solidFill>
                </w14:textFill>
              </w:rPr>
              <w:t>“</w:t>
            </w:r>
            <w:r>
              <w:rPr>
                <w:rFonts w:ascii="Times New Roman" w:hAnsi="Times New Roman" w:eastAsia="楷体_GB2312" w:cs="Times New Roman"/>
                <w:bCs/>
                <w:color w:val="000000" w:themeColor="text1"/>
                <w:szCs w:val="32"/>
                <w14:textFill>
                  <w14:solidFill>
                    <w14:schemeClr w14:val="tx1"/>
                  </w14:solidFill>
                </w14:textFill>
              </w:rPr>
              <w:t>三区一县</w:t>
            </w:r>
            <w:r>
              <w:rPr>
                <w:rFonts w:ascii="Times New Roman" w:hAnsi="Times New Roman" w:eastAsia="仿宋_GB2312" w:cs="Times New Roman"/>
                <w:bCs/>
                <w:color w:val="000000" w:themeColor="text1"/>
                <w:szCs w:val="32"/>
                <w14:textFill>
                  <w14:solidFill>
                    <w14:schemeClr w14:val="tx1"/>
                  </w14:solidFill>
                </w14:textFill>
              </w:rPr>
              <w:t>”</w:t>
            </w:r>
            <w:r>
              <w:rPr>
                <w:rFonts w:ascii="Times New Roman" w:hAnsi="Times New Roman" w:eastAsia="楷体_GB2312" w:cs="Times New Roman"/>
                <w:bCs/>
                <w:color w:val="000000" w:themeColor="text1"/>
                <w:szCs w:val="32"/>
                <w14:textFill>
                  <w14:solidFill>
                    <w14:schemeClr w14:val="tx1"/>
                  </w14:solidFill>
                </w14:textFill>
              </w:rPr>
              <w:t>城市管理</w:t>
            </w:r>
            <w:r>
              <w:rPr>
                <w:rFonts w:ascii="Times New Roman" w:hAnsi="Times New Roman" w:eastAsia="仿宋_GB2312" w:cs="Times New Roman"/>
                <w:bCs/>
                <w:color w:val="000000" w:themeColor="text1"/>
                <w:szCs w:val="32"/>
                <w14:textFill>
                  <w14:solidFill>
                    <w14:schemeClr w14:val="tx1"/>
                  </w14:solidFill>
                </w14:textFill>
              </w:rPr>
              <w:t>“</w:t>
            </w:r>
            <w:r>
              <w:rPr>
                <w:rFonts w:ascii="Times New Roman" w:hAnsi="Times New Roman" w:eastAsia="楷体_GB2312" w:cs="Times New Roman"/>
                <w:bCs/>
                <w:color w:val="000000" w:themeColor="text1"/>
                <w:szCs w:val="32"/>
                <w14:textFill>
                  <w14:solidFill>
                    <w14:schemeClr w14:val="tx1"/>
                  </w14:solidFill>
                </w14:textFill>
              </w:rPr>
              <w:t>1+4</w:t>
            </w:r>
            <w:r>
              <w:rPr>
                <w:rFonts w:ascii="Times New Roman" w:hAnsi="Times New Roman" w:eastAsia="仿宋_GB2312" w:cs="Times New Roman"/>
                <w:bCs/>
                <w:color w:val="000000" w:themeColor="text1"/>
                <w:szCs w:val="32"/>
                <w14:textFill>
                  <w14:solidFill>
                    <w14:schemeClr w14:val="tx1"/>
                  </w14:solidFill>
                </w14:textFill>
              </w:rPr>
              <w:t>”</w:t>
            </w:r>
            <w:r>
              <w:rPr>
                <w:rFonts w:ascii="Times New Roman" w:hAnsi="Times New Roman" w:eastAsia="楷体_GB2312" w:cs="Times New Roman"/>
                <w:bCs/>
                <w:color w:val="000000" w:themeColor="text1"/>
                <w:szCs w:val="32"/>
                <w14:textFill>
                  <w14:solidFill>
                    <w14:schemeClr w14:val="tx1"/>
                  </w14:solidFill>
                </w14:textFill>
              </w:rPr>
              <w:t>考核体系。健全城市管理经费保障机制，确保与鹤中区域发展速度和规模相适应。推行</w:t>
            </w:r>
            <w:r>
              <w:rPr>
                <w:rFonts w:ascii="Times New Roman" w:hAnsi="Times New Roman" w:eastAsia="仿宋_GB2312" w:cs="Times New Roman"/>
                <w:bCs/>
                <w:color w:val="000000" w:themeColor="text1"/>
                <w:szCs w:val="32"/>
                <w14:textFill>
                  <w14:solidFill>
                    <w14:schemeClr w14:val="tx1"/>
                  </w14:solidFill>
                </w14:textFill>
              </w:rPr>
              <w:t>“</w:t>
            </w:r>
            <w:r>
              <w:rPr>
                <w:rFonts w:ascii="Times New Roman" w:hAnsi="Times New Roman" w:eastAsia="楷体_GB2312" w:cs="Times New Roman"/>
                <w:bCs/>
                <w:color w:val="000000" w:themeColor="text1"/>
                <w:szCs w:val="32"/>
                <w14:textFill>
                  <w14:solidFill>
                    <w14:schemeClr w14:val="tx1"/>
                  </w14:solidFill>
                </w14:textFill>
              </w:rPr>
              <w:t>互联网+基层治理</w:t>
            </w:r>
            <w:r>
              <w:rPr>
                <w:rFonts w:ascii="Times New Roman" w:hAnsi="Times New Roman" w:eastAsia="仿宋_GB2312" w:cs="Times New Roman"/>
                <w:bCs/>
                <w:color w:val="000000" w:themeColor="text1"/>
                <w:szCs w:val="32"/>
                <w14:textFill>
                  <w14:solidFill>
                    <w14:schemeClr w14:val="tx1"/>
                  </w14:solidFill>
                </w14:textFill>
              </w:rPr>
              <w:t>”</w:t>
            </w:r>
            <w:r>
              <w:rPr>
                <w:rFonts w:ascii="Times New Roman" w:hAnsi="Times New Roman" w:eastAsia="楷体_GB2312" w:cs="Times New Roman"/>
                <w:bCs/>
                <w:color w:val="000000" w:themeColor="text1"/>
                <w:szCs w:val="32"/>
                <w14:textFill>
                  <w14:solidFill>
                    <w14:schemeClr w14:val="tx1"/>
                  </w14:solidFill>
                </w14:textFill>
              </w:rPr>
              <w:t>模式，加快构建立体化智能化社会治安防控体系。完善公共卫生服务和疾病预防控制体系，健全重大疫情预警、救治和应急处置机制。</w:t>
            </w:r>
          </w:p>
          <w:p>
            <w:pPr>
              <w:pStyle w:val="24"/>
              <w:spacing w:line="460" w:lineRule="exact"/>
              <w:ind w:firstLine="642" w:firstLineChars="200"/>
              <w:jc w:val="both"/>
              <w:rPr>
                <w:rFonts w:ascii="Times New Roman" w:hAnsi="Times New Roman" w:eastAsia="楷体_GB2312" w:cs="Times New Roman"/>
                <w:bCs/>
                <w:color w:val="000000" w:themeColor="text1"/>
                <w:szCs w:val="32"/>
                <w14:textFill>
                  <w14:solidFill>
                    <w14:schemeClr w14:val="tx1"/>
                  </w14:solidFill>
                </w14:textFill>
              </w:rPr>
            </w:pPr>
            <w:r>
              <w:rPr>
                <w:rFonts w:ascii="Times New Roman" w:hAnsi="Times New Roman" w:eastAsia="楷体_GB2312" w:cs="Times New Roman"/>
                <w:b/>
                <w:color w:val="000000" w:themeColor="text1"/>
                <w:szCs w:val="32"/>
                <w14:textFill>
                  <w14:solidFill>
                    <w14:schemeClr w14:val="tx1"/>
                  </w14:solidFill>
                </w14:textFill>
              </w:rPr>
              <w:t>4.完善营商环境一体化。</w:t>
            </w:r>
            <w:r>
              <w:rPr>
                <w:rFonts w:ascii="Times New Roman" w:hAnsi="Times New Roman" w:eastAsia="楷体_GB2312" w:cs="Times New Roman"/>
                <w:bCs/>
                <w:color w:val="000000" w:themeColor="text1"/>
                <w:szCs w:val="32"/>
                <w14:textFill>
                  <w14:solidFill>
                    <w14:schemeClr w14:val="tx1"/>
                  </w14:solidFill>
                </w14:textFill>
              </w:rPr>
              <w:t>推动</w:t>
            </w:r>
            <w:r>
              <w:rPr>
                <w:rFonts w:ascii="Times New Roman" w:hAnsi="Times New Roman" w:eastAsia="仿宋_GB2312" w:cs="Times New Roman"/>
                <w:bCs/>
                <w:color w:val="000000" w:themeColor="text1"/>
                <w:szCs w:val="32"/>
                <w14:textFill>
                  <w14:solidFill>
                    <w14:schemeClr w14:val="tx1"/>
                  </w14:solidFill>
                </w14:textFill>
              </w:rPr>
              <w:t>“</w:t>
            </w:r>
            <w:r>
              <w:rPr>
                <w:rFonts w:ascii="Times New Roman" w:hAnsi="Times New Roman" w:eastAsia="楷体_GB2312" w:cs="Times New Roman"/>
                <w:bCs/>
                <w:color w:val="000000" w:themeColor="text1"/>
                <w:szCs w:val="32"/>
                <w14:textFill>
                  <w14:solidFill>
                    <w14:schemeClr w14:val="tx1"/>
                  </w14:solidFill>
                </w14:textFill>
              </w:rPr>
              <w:t>鹤中政务服务一体化</w:t>
            </w:r>
            <w:r>
              <w:rPr>
                <w:rFonts w:ascii="Times New Roman" w:hAnsi="Times New Roman" w:eastAsia="仿宋_GB2312" w:cs="Times New Roman"/>
                <w:bCs/>
                <w:color w:val="000000" w:themeColor="text1"/>
                <w:szCs w:val="32"/>
                <w14:textFill>
                  <w14:solidFill>
                    <w14:schemeClr w14:val="tx1"/>
                  </w14:solidFill>
                </w14:textFill>
              </w:rPr>
              <w:t>”</w:t>
            </w:r>
            <w:r>
              <w:rPr>
                <w:rFonts w:ascii="Times New Roman" w:hAnsi="Times New Roman" w:eastAsia="楷体_GB2312" w:cs="Times New Roman"/>
                <w:bCs/>
                <w:color w:val="000000" w:themeColor="text1"/>
                <w:szCs w:val="32"/>
                <w14:textFill>
                  <w14:solidFill>
                    <w14:schemeClr w14:val="tx1"/>
                  </w14:solidFill>
                </w14:textFill>
              </w:rPr>
              <w:t>专窗服务事项标准化、规范化建设，推动更多事项</w:t>
            </w:r>
            <w:r>
              <w:rPr>
                <w:rFonts w:ascii="Times New Roman" w:hAnsi="Times New Roman" w:eastAsia="仿宋_GB2312" w:cs="Times New Roman"/>
                <w:bCs/>
                <w:color w:val="000000" w:themeColor="text1"/>
                <w:szCs w:val="32"/>
                <w14:textFill>
                  <w14:solidFill>
                    <w14:schemeClr w14:val="tx1"/>
                  </w14:solidFill>
                </w14:textFill>
              </w:rPr>
              <w:t>“</w:t>
            </w:r>
            <w:r>
              <w:rPr>
                <w:rFonts w:ascii="Times New Roman" w:hAnsi="Times New Roman" w:eastAsia="楷体_GB2312" w:cs="Times New Roman"/>
                <w:bCs/>
                <w:color w:val="000000" w:themeColor="text1"/>
                <w:szCs w:val="32"/>
                <w14:textFill>
                  <w14:solidFill>
                    <w14:schemeClr w14:val="tx1"/>
                  </w14:solidFill>
                </w14:textFill>
              </w:rPr>
              <w:t>网上可办</w:t>
            </w:r>
            <w:r>
              <w:rPr>
                <w:rFonts w:ascii="Times New Roman" w:hAnsi="Times New Roman" w:eastAsia="仿宋_GB2312" w:cs="Times New Roman"/>
                <w:bCs/>
                <w:color w:val="000000" w:themeColor="text1"/>
                <w:szCs w:val="32"/>
                <w14:textFill>
                  <w14:solidFill>
                    <w14:schemeClr w14:val="tx1"/>
                  </w14:solidFill>
                </w14:textFill>
              </w:rPr>
              <w:t>”</w:t>
            </w:r>
            <w:r>
              <w:rPr>
                <w:rFonts w:ascii="Times New Roman" w:hAnsi="Times New Roman" w:eastAsia="楷体_GB2312" w:cs="Times New Roman"/>
                <w:bCs/>
                <w:color w:val="000000" w:themeColor="text1"/>
                <w:szCs w:val="32"/>
                <w14:textFill>
                  <w14:solidFill>
                    <w14:schemeClr w14:val="tx1"/>
                  </w14:solidFill>
                </w14:textFill>
              </w:rPr>
              <w:t>。推进商事制度一体化便利化改革，为鹤中区域经营主体准入提供</w:t>
            </w:r>
            <w:r>
              <w:rPr>
                <w:rFonts w:hint="eastAsia" w:ascii="Times New Roman" w:hAnsi="Times New Roman" w:eastAsia="楷体_GB2312" w:cs="Times New Roman"/>
                <w:bCs/>
                <w:color w:val="000000" w:themeColor="text1"/>
                <w:szCs w:val="32"/>
                <w14:textFill>
                  <w14:solidFill>
                    <w14:schemeClr w14:val="tx1"/>
                  </w14:solidFill>
                </w14:textFill>
              </w:rPr>
              <w:t>标准</w:t>
            </w:r>
            <w:r>
              <w:rPr>
                <w:rFonts w:ascii="Times New Roman" w:hAnsi="Times New Roman" w:eastAsia="楷体_GB2312" w:cs="Times New Roman"/>
                <w:bCs/>
                <w:color w:val="000000" w:themeColor="text1"/>
                <w:szCs w:val="32"/>
                <w14:textFill>
                  <w14:solidFill>
                    <w14:schemeClr w14:val="tx1"/>
                  </w14:solidFill>
                </w14:textFill>
              </w:rPr>
              <w:t>化、便利化服务。推动营商政策融合对接，引导和鼓励</w:t>
            </w:r>
            <w:r>
              <w:rPr>
                <w:rFonts w:hint="eastAsia" w:ascii="Times New Roman" w:hAnsi="Times New Roman" w:eastAsia="楷体_GB2312" w:cs="Times New Roman"/>
                <w:bCs/>
                <w:color w:val="000000" w:themeColor="text1"/>
                <w:szCs w:val="32"/>
                <w14:textFill>
                  <w14:solidFill>
                    <w14:schemeClr w14:val="tx1"/>
                  </w14:solidFill>
                </w14:textFill>
              </w:rPr>
              <w:t>经营</w:t>
            </w:r>
            <w:r>
              <w:rPr>
                <w:rFonts w:ascii="Times New Roman" w:hAnsi="Times New Roman" w:eastAsia="楷体_GB2312" w:cs="Times New Roman"/>
                <w:bCs/>
                <w:color w:val="000000" w:themeColor="text1"/>
                <w:szCs w:val="32"/>
                <w14:textFill>
                  <w14:solidFill>
                    <w14:schemeClr w14:val="tx1"/>
                  </w14:solidFill>
                </w14:textFill>
              </w:rPr>
              <w:t>主体逐步取消通信、互联网、金融服务等跨地收费项目。</w:t>
            </w:r>
          </w:p>
          <w:p>
            <w:pPr>
              <w:pStyle w:val="24"/>
              <w:spacing w:line="460" w:lineRule="exact"/>
              <w:ind w:firstLine="642" w:firstLineChars="200"/>
              <w:jc w:val="both"/>
              <w:rPr>
                <w:rFonts w:ascii="Times New Roman" w:hAnsi="Times New Roman" w:cs="Times New Roman"/>
                <w:color w:val="000000" w:themeColor="text1"/>
                <w:szCs w:val="32"/>
                <w14:textFill>
                  <w14:solidFill>
                    <w14:schemeClr w14:val="tx1"/>
                  </w14:solidFill>
                </w14:textFill>
              </w:rPr>
            </w:pPr>
            <w:r>
              <w:rPr>
                <w:rFonts w:ascii="Times New Roman" w:hAnsi="Times New Roman" w:eastAsia="楷体_GB2312" w:cs="Times New Roman"/>
                <w:b/>
                <w:color w:val="000000" w:themeColor="text1"/>
                <w:szCs w:val="32"/>
                <w14:textFill>
                  <w14:solidFill>
                    <w14:schemeClr w14:val="tx1"/>
                  </w14:solidFill>
                </w14:textFill>
              </w:rPr>
              <w:t>5.强化要素服务支撑。</w:t>
            </w:r>
            <w:r>
              <w:rPr>
                <w:rFonts w:ascii="Times New Roman" w:hAnsi="Times New Roman" w:eastAsia="楷体_GB2312" w:cs="Times New Roman"/>
                <w:bCs/>
                <w:color w:val="000000" w:themeColor="text1"/>
                <w:szCs w:val="32"/>
                <w14:textFill>
                  <w14:solidFill>
                    <w14:schemeClr w14:val="tx1"/>
                  </w14:solidFill>
                </w14:textFill>
              </w:rPr>
              <w:t>加大鹤中区域重点项目的财政资金、金融市场、土地</w:t>
            </w:r>
            <w:r>
              <w:rPr>
                <w:rFonts w:hint="eastAsia" w:ascii="Times New Roman" w:hAnsi="Times New Roman" w:eastAsia="楷体_GB2312" w:cs="Times New Roman"/>
                <w:bCs/>
                <w:color w:val="000000" w:themeColor="text1"/>
                <w:szCs w:val="32"/>
                <w14:textFill>
                  <w14:solidFill>
                    <w14:schemeClr w14:val="tx1"/>
                  </w14:solidFill>
                </w14:textFill>
              </w:rPr>
              <w:t>供应</w:t>
            </w:r>
            <w:r>
              <w:rPr>
                <w:rFonts w:ascii="Times New Roman" w:hAnsi="Times New Roman" w:eastAsia="楷体_GB2312" w:cs="Times New Roman"/>
                <w:bCs/>
                <w:color w:val="000000" w:themeColor="text1"/>
                <w:szCs w:val="32"/>
                <w14:textFill>
                  <w14:solidFill>
                    <w14:schemeClr w14:val="tx1"/>
                  </w14:solidFill>
                </w14:textFill>
              </w:rPr>
              <w:t>、人力资源等要素保障力度。</w:t>
            </w:r>
          </w:p>
        </w:tc>
      </w:tr>
    </w:tbl>
    <w:p>
      <w:pPr>
        <w:pStyle w:val="6"/>
        <w:spacing w:line="590" w:lineRule="exact"/>
        <w:rPr>
          <w:rFonts w:ascii="Times New Roman" w:hAnsi="Times New Roman" w:eastAsia="黑体" w:cs="Times New Roman"/>
          <w:color w:val="000000" w:themeColor="text1"/>
          <w:sz w:val="32"/>
          <w14:textFill>
            <w14:solidFill>
              <w14:schemeClr w14:val="tx1"/>
            </w14:solidFill>
          </w14:textFill>
        </w:rPr>
      </w:pPr>
    </w:p>
    <w:p>
      <w:pPr>
        <w:pStyle w:val="6"/>
        <w:spacing w:line="590" w:lineRule="exact"/>
        <w:rPr>
          <w:rFonts w:ascii="Times New Roman" w:hAnsi="Times New Roman" w:eastAsia="黑体" w:cs="Times New Roman"/>
          <w:color w:val="000000" w:themeColor="text1"/>
          <w:sz w:val="32"/>
          <w14:textFill>
            <w14:solidFill>
              <w14:schemeClr w14:val="tx1"/>
            </w14:solidFill>
          </w14:textFill>
        </w:rPr>
      </w:pPr>
      <w:bookmarkStart w:id="27" w:name="_Toc4544"/>
      <w:r>
        <w:rPr>
          <w:rFonts w:ascii="Times New Roman" w:hAnsi="Times New Roman" w:eastAsia="黑体" w:cs="Times New Roman"/>
          <w:color w:val="000000" w:themeColor="text1"/>
          <w:sz w:val="32"/>
          <w14:textFill>
            <w14:solidFill>
              <w14:schemeClr w14:val="tx1"/>
            </w14:solidFill>
          </w14:textFill>
        </w:rPr>
        <w:t>第十三章 推动</w:t>
      </w:r>
      <w:r>
        <w:rPr>
          <w:rFonts w:ascii="Times New Roman" w:hAnsi="Times New Roman" w:eastAsia="仿宋_GB2312" w:cs="Times New Roman"/>
          <w:color w:val="000000" w:themeColor="text1"/>
          <w:sz w:val="32"/>
          <w14:textFill>
            <w14:solidFill>
              <w14:schemeClr w14:val="tx1"/>
            </w14:solidFill>
          </w14:textFill>
        </w:rPr>
        <w:t>“</w:t>
      </w:r>
      <w:r>
        <w:rPr>
          <w:rFonts w:ascii="Times New Roman" w:hAnsi="Times New Roman" w:eastAsia="黑体" w:cs="Times New Roman"/>
          <w:color w:val="000000" w:themeColor="text1"/>
          <w:sz w:val="32"/>
          <w14:textFill>
            <w14:solidFill>
              <w14:schemeClr w14:val="tx1"/>
            </w14:solidFill>
          </w14:textFill>
        </w:rPr>
        <w:t>一核两带三区</w:t>
      </w:r>
      <w:r>
        <w:rPr>
          <w:rFonts w:ascii="Times New Roman" w:hAnsi="Times New Roman" w:eastAsia="仿宋_GB2312" w:cs="Times New Roman"/>
          <w:color w:val="000000" w:themeColor="text1"/>
          <w:sz w:val="32"/>
          <w14:textFill>
            <w14:solidFill>
              <w14:schemeClr w14:val="tx1"/>
            </w14:solidFill>
          </w14:textFill>
        </w:rPr>
        <w:t>”</w:t>
      </w:r>
      <w:r>
        <w:rPr>
          <w:rFonts w:ascii="Times New Roman" w:hAnsi="Times New Roman" w:eastAsia="黑体" w:cs="Times New Roman"/>
          <w:color w:val="000000" w:themeColor="text1"/>
          <w:sz w:val="32"/>
          <w14:textFill>
            <w14:solidFill>
              <w14:schemeClr w14:val="tx1"/>
            </w14:solidFill>
          </w14:textFill>
        </w:rPr>
        <w:t>协调联动</w:t>
      </w:r>
      <w:bookmarkEnd w:id="27"/>
    </w:p>
    <w:p>
      <w:pPr>
        <w:pStyle w:val="7"/>
        <w:spacing w:line="590" w:lineRule="exact"/>
        <w:rPr>
          <w:rFonts w:eastAsia="仿宋_GB2312"/>
          <w:color w:val="000000" w:themeColor="text1"/>
          <w:sz w:val="32"/>
          <w14:textFill>
            <w14:solidFill>
              <w14:schemeClr w14:val="tx1"/>
            </w14:solidFill>
          </w14:textFill>
        </w:rPr>
      </w:pPr>
    </w:p>
    <w:p>
      <w:pPr>
        <w:pStyle w:val="7"/>
        <w:spacing w:line="59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第一节 强化“一核”引领辐射作用</w:t>
      </w:r>
    </w:p>
    <w:p>
      <w:pPr>
        <w:spacing w:line="590" w:lineRule="exact"/>
        <w:ind w:firstLine="640"/>
        <w:rPr>
          <w:rFonts w:eastAsia="仿宋_GB2312"/>
          <w:color w:val="000000" w:themeColor="text1"/>
          <w:sz w:val="32"/>
          <w:szCs w:val="32"/>
          <w14:textFill>
            <w14:solidFill>
              <w14:schemeClr w14:val="tx1"/>
            </w14:solidFill>
          </w14:textFill>
        </w:rPr>
      </w:pPr>
    </w:p>
    <w:p>
      <w:pPr>
        <w:spacing w:line="59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不断完善城市综合功能，持续提高中心城市首位度，增强对周边地区的辐射带动力。发挥鹤中一体化引领作用，以重要通道共建、产业备份协同、开放合作共赢为重点，积极对接融入中部地区崛起、西部大开发、长江经济带、成渝地区双城经济圈等重大战略，</w:t>
      </w:r>
      <w:r>
        <w:rPr>
          <w:rFonts w:hint="eastAsia" w:ascii="Times New Roman" w:hAnsi="Times New Roman" w:eastAsia="仿宋_GB2312" w:cs="Times New Roman"/>
          <w:color w:val="000000" w:themeColor="text1"/>
          <w:sz w:val="32"/>
          <w:szCs w:val="32"/>
          <w14:textFill>
            <w14:solidFill>
              <w14:schemeClr w14:val="tx1"/>
            </w14:solidFill>
          </w14:textFill>
        </w:rPr>
        <w:t>积极承接高端制造、现代物流、商贸会展、数字经济等产业转移，培育壮大区域增长极。增强科创、教育、医疗、文旅等资源溢出效应，带动周边地区产业配套、生态环保、乡村振兴协同发展，</w:t>
      </w:r>
      <w:r>
        <w:rPr>
          <w:rFonts w:ascii="Times New Roman" w:hAnsi="Times New Roman" w:eastAsia="仿宋_GB2312" w:cs="Times New Roman"/>
          <w:color w:val="000000" w:themeColor="text1"/>
          <w:spacing w:val="-6"/>
          <w:sz w:val="32"/>
          <w:szCs w:val="32"/>
          <w14:textFill>
            <w14:solidFill>
              <w14:schemeClr w14:val="tx1"/>
            </w14:solidFill>
          </w14:textFill>
        </w:rPr>
        <w:t>支撑五省边际区域性中心城市建设。</w:t>
      </w:r>
    </w:p>
    <w:p>
      <w:pPr>
        <w:rPr>
          <w:color w:val="000000" w:themeColor="text1"/>
          <w14:textFill>
            <w14:solidFill>
              <w14:schemeClr w14:val="tx1"/>
            </w14:solidFill>
          </w14:textFill>
        </w:rPr>
      </w:pPr>
    </w:p>
    <w:p>
      <w:pPr>
        <w:pStyle w:val="7"/>
        <w:spacing w:line="59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第二节 推动“两带”区域合作走深走实</w:t>
      </w:r>
    </w:p>
    <w:p>
      <w:pPr>
        <w:spacing w:line="590" w:lineRule="exact"/>
        <w:ind w:firstLine="640"/>
        <w:rPr>
          <w:rFonts w:eastAsia="仿宋_GB2312"/>
          <w:color w:val="000000" w:themeColor="text1"/>
          <w:sz w:val="32"/>
          <w:szCs w:val="32"/>
          <w14:textFill>
            <w14:solidFill>
              <w14:schemeClr w14:val="tx1"/>
            </w14:solidFill>
          </w14:textFill>
        </w:rPr>
      </w:pPr>
    </w:p>
    <w:p>
      <w:pPr>
        <w:spacing w:line="59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高质量共建沪昆通道经济带，促进沪昆通道经济带与中老铁路国际贸易走廊联动发展，深度对接长株潭都市圈，深化与东盟经贸合作，加强产学研协同，建设大湘西科创中心。积极融入中国（湖南）自由贸易试验区，积极承接长三角产业转移、科技成果转化投产、先进制造业服务配套，探索与长三角建立碳汇交易机制，畅通东西向对外开放走廊。高质量建设张吉怀—包茂通道经济带，依托张吉怀桂黄金旅游带构建南北协同发展走廊，与湘西州、铜仁市合作共建湘黔经济合作示范区，与黔东南州、桂林市合作共建湘黔桂侗苗少数民族文化合作区，与邵阳市、娄底市、益阳市合作共建大雪峰山生态旅游区，与</w:t>
      </w:r>
      <w:r>
        <w:rPr>
          <w:rFonts w:hint="eastAsia" w:ascii="Times New Roman" w:hAnsi="Times New Roman" w:eastAsia="仿宋_GB2312" w:cs="Times New Roman"/>
          <w:color w:val="000000" w:themeColor="text1"/>
          <w:sz w:val="32"/>
          <w:szCs w:val="32"/>
          <w14:textFill>
            <w14:solidFill>
              <w14:schemeClr w14:val="tx1"/>
            </w14:solidFill>
          </w14:textFill>
        </w:rPr>
        <w:t>张家界市、</w:t>
      </w:r>
      <w:r>
        <w:rPr>
          <w:rFonts w:ascii="Times New Roman" w:hAnsi="Times New Roman" w:eastAsia="仿宋_GB2312" w:cs="Times New Roman"/>
          <w:color w:val="000000" w:themeColor="text1"/>
          <w:sz w:val="32"/>
          <w:szCs w:val="32"/>
          <w14:textFill>
            <w14:solidFill>
              <w14:schemeClr w14:val="tx1"/>
            </w14:solidFill>
          </w14:textFill>
        </w:rPr>
        <w:t>湘西州</w:t>
      </w:r>
      <w:r>
        <w:rPr>
          <w:rFonts w:hint="eastAsia" w:ascii="Times New Roman" w:hAnsi="Times New Roman" w:eastAsia="仿宋_GB2312" w:cs="Times New Roman"/>
          <w:color w:val="000000" w:themeColor="text1"/>
          <w:sz w:val="32"/>
          <w:szCs w:val="32"/>
          <w14:textFill>
            <w14:solidFill>
              <w14:schemeClr w14:val="tx1"/>
            </w14:solidFill>
          </w14:textFill>
        </w:rPr>
        <w:t>、常德市、邵阳</w:t>
      </w:r>
      <w:r>
        <w:rPr>
          <w:rFonts w:ascii="Times New Roman" w:hAnsi="Times New Roman" w:eastAsia="仿宋_GB2312" w:cs="Times New Roman"/>
          <w:color w:val="000000" w:themeColor="text1"/>
          <w:sz w:val="32"/>
          <w:szCs w:val="32"/>
          <w14:textFill>
            <w14:solidFill>
              <w14:schemeClr w14:val="tx1"/>
            </w14:solidFill>
          </w14:textFill>
        </w:rPr>
        <w:t>市合作共建</w:t>
      </w:r>
      <w:r>
        <w:rPr>
          <w:rFonts w:hint="eastAsia" w:ascii="Times New Roman" w:hAnsi="Times New Roman" w:eastAsia="仿宋_GB2312" w:cs="Times New Roman"/>
          <w:color w:val="000000" w:themeColor="text1"/>
          <w:sz w:val="32"/>
          <w:szCs w:val="32"/>
          <w14:textFill>
            <w14:solidFill>
              <w14:schemeClr w14:val="tx1"/>
            </w14:solidFill>
          </w14:textFill>
        </w:rPr>
        <w:t>大张家界</w:t>
      </w:r>
      <w:r>
        <w:rPr>
          <w:rFonts w:ascii="Times New Roman" w:hAnsi="Times New Roman" w:eastAsia="仿宋_GB2312" w:cs="Times New Roman"/>
          <w:color w:val="000000" w:themeColor="text1"/>
          <w:sz w:val="32"/>
          <w:szCs w:val="32"/>
          <w14:textFill>
            <w14:solidFill>
              <w14:schemeClr w14:val="tx1"/>
            </w14:solidFill>
          </w14:textFill>
        </w:rPr>
        <w:t>国际旅</w:t>
      </w:r>
      <w:r>
        <w:rPr>
          <w:rFonts w:hint="eastAsia" w:ascii="Times New Roman" w:hAnsi="Times New Roman" w:eastAsia="仿宋_GB2312" w:cs="Times New Roman"/>
          <w:color w:val="000000" w:themeColor="text1"/>
          <w:sz w:val="32"/>
          <w:szCs w:val="32"/>
          <w14:textFill>
            <w14:solidFill>
              <w14:schemeClr w14:val="tx1"/>
            </w14:solidFill>
          </w14:textFill>
        </w:rPr>
        <w:t>游</w:t>
      </w:r>
      <w:r>
        <w:rPr>
          <w:rFonts w:ascii="Times New Roman" w:hAnsi="Times New Roman" w:eastAsia="仿宋_GB2312" w:cs="Times New Roman"/>
          <w:color w:val="000000" w:themeColor="text1"/>
          <w:sz w:val="32"/>
          <w:szCs w:val="32"/>
          <w14:textFill>
            <w14:solidFill>
              <w14:schemeClr w14:val="tx1"/>
            </w14:solidFill>
          </w14:textFill>
        </w:rPr>
        <w:t>区，打造产业联动和文旅协同的南北纵向通道。</w:t>
      </w:r>
    </w:p>
    <w:p>
      <w:pPr>
        <w:pStyle w:val="45"/>
        <w:spacing w:beforeAutospacing="0" w:afterAutospacing="0" w:line="590" w:lineRule="exact"/>
        <w:ind w:left="0" w:leftChars="0" w:firstLine="640"/>
        <w:rPr>
          <w:rFonts w:eastAsia="仿宋_GB2312"/>
          <w:color w:val="000000" w:themeColor="text1"/>
          <w:sz w:val="32"/>
          <w:szCs w:val="32"/>
          <w14:textFill>
            <w14:solidFill>
              <w14:schemeClr w14:val="tx1"/>
            </w14:solidFill>
          </w14:textFill>
        </w:rPr>
      </w:pPr>
    </w:p>
    <w:p>
      <w:pPr>
        <w:pStyle w:val="7"/>
        <w:spacing w:line="59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第三节 促进“三区”协调发展</w:t>
      </w:r>
    </w:p>
    <w:p>
      <w:pPr>
        <w:spacing w:line="590" w:lineRule="exact"/>
        <w:ind w:firstLine="640"/>
        <w:rPr>
          <w:rFonts w:eastAsia="仿宋_GB2312"/>
          <w:color w:val="000000" w:themeColor="text1"/>
          <w:sz w:val="32"/>
          <w:szCs w:val="32"/>
          <w14:textFill>
            <w14:solidFill>
              <w14:schemeClr w14:val="tx1"/>
            </w14:solidFill>
          </w14:textFill>
        </w:rPr>
      </w:pPr>
    </w:p>
    <w:p>
      <w:pPr>
        <w:spacing w:line="590" w:lineRule="exact"/>
        <w:ind w:firstLine="640"/>
        <w:rPr>
          <w:rFonts w:eastAsia="国标楷体"/>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加强市域分工协同，构筑北部沅辰溆特色产业发展区、南部洪会靖通生态文化旅游先导区、西部麻新芷省际毗邻地区合作发展示范区的协同发展格局。沅辰溆特色产业发展区以沅江干支流为纽带，突出生态保护和水土保持功能，重点发展绿色食品、电子元器件、新能源、新材料等产业，做大做强特色产业园区。洪会靖通生态文化旅游先导区以包茂高速为纽带，重点发展生态文化旅游、医养健康（中药材）、农产品精深加工、绿色食品等产业，着力打造贯通湘黔桂的旅游目的地，带动全市生态文化旅游业加快发展。麻新芷省际毗邻地区合作发展示范区以高铁、高速为纽带，</w:t>
      </w:r>
      <w:r>
        <w:rPr>
          <w:rFonts w:hint="eastAsia" w:ascii="Times New Roman" w:hAnsi="Times New Roman" w:eastAsia="仿宋_GB2312" w:cs="Times New Roman"/>
          <w:color w:val="000000" w:themeColor="text1"/>
          <w:sz w:val="32"/>
          <w:szCs w:val="32"/>
          <w14:textFill>
            <w14:solidFill>
              <w14:schemeClr w14:val="tx1"/>
            </w14:solidFill>
          </w14:textFill>
        </w:rPr>
        <w:t>在</w:t>
      </w:r>
      <w:r>
        <w:rPr>
          <w:rFonts w:ascii="Times New Roman" w:hAnsi="Times New Roman" w:eastAsia="仿宋_GB2312" w:cs="Times New Roman"/>
          <w:color w:val="000000" w:themeColor="text1"/>
          <w:sz w:val="32"/>
          <w:szCs w:val="32"/>
          <w14:textFill>
            <w14:solidFill>
              <w14:schemeClr w14:val="tx1"/>
            </w14:solidFill>
          </w14:textFill>
        </w:rPr>
        <w:t>产业园区</w:t>
      </w:r>
      <w:r>
        <w:rPr>
          <w:rFonts w:hint="eastAsia"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基础设施、环境保护</w:t>
      </w:r>
      <w:r>
        <w:rPr>
          <w:rFonts w:hint="eastAsia" w:ascii="Times New Roman" w:hAnsi="Times New Roman" w:eastAsia="仿宋_GB2312" w:cs="Times New Roman"/>
          <w:color w:val="000000" w:themeColor="text1"/>
          <w:sz w:val="32"/>
          <w:szCs w:val="32"/>
          <w14:textFill>
            <w14:solidFill>
              <w14:schemeClr w14:val="tx1"/>
            </w14:solidFill>
          </w14:textFill>
        </w:rPr>
        <w:t>等方面加强与毗邻地区</w:t>
      </w:r>
      <w:r>
        <w:rPr>
          <w:rFonts w:ascii="Times New Roman" w:hAnsi="Times New Roman" w:eastAsia="仿宋_GB2312" w:cs="Times New Roman"/>
          <w:color w:val="000000" w:themeColor="text1"/>
          <w:sz w:val="32"/>
          <w:szCs w:val="32"/>
          <w14:textFill>
            <w14:solidFill>
              <w14:schemeClr w14:val="tx1"/>
            </w14:solidFill>
          </w14:textFill>
        </w:rPr>
        <w:t>协作，重点发展生态文化旅游、医养健康（中药材）、新能源等产业，为省际交界地区合作提供示范。</w:t>
      </w:r>
    </w:p>
    <w:p>
      <w:pPr>
        <w:ind w:firstLine="640"/>
        <w:rPr>
          <w:rFonts w:eastAsia="黑体"/>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br w:type="page"/>
      </w:r>
    </w:p>
    <w:p>
      <w:pPr>
        <w:ind w:firstLine="640"/>
        <w:rPr>
          <w:rFonts w:eastAsia="仿宋_GB2312"/>
          <w:color w:val="000000" w:themeColor="text1"/>
          <w14:textFill>
            <w14:solidFill>
              <w14:schemeClr w14:val="tx1"/>
            </w14:solidFill>
          </w14:textFill>
        </w:rPr>
      </w:pPr>
    </w:p>
    <w:p>
      <w:pPr>
        <w:ind w:firstLine="640"/>
        <w:rPr>
          <w:rFonts w:eastAsia="黑体"/>
          <w:color w:val="000000" w:themeColor="text1"/>
          <w:sz w:val="32"/>
          <w:szCs w:val="32"/>
          <w14:textFill>
            <w14:solidFill>
              <w14:schemeClr w14:val="tx1"/>
            </w14:solidFill>
          </w14:textFill>
        </w:rPr>
      </w:pPr>
      <w:r>
        <w:rPr>
          <w:color w:val="000000" w:themeColor="text1"/>
          <w:sz w:val="32"/>
          <w:szCs w:val="32"/>
          <w14:textFill>
            <w14:solidFill>
              <w14:schemeClr w14:val="tx1"/>
            </w14:solidFill>
          </w14:textFill>
        </w:rPr>
        <w:drawing>
          <wp:anchor distT="0" distB="0" distL="114300" distR="114300" simplePos="0" relativeHeight="251666432" behindDoc="0" locked="0" layoutInCell="1" allowOverlap="1">
            <wp:simplePos x="0" y="0"/>
            <wp:positionH relativeFrom="column">
              <wp:posOffset>1905</wp:posOffset>
            </wp:positionH>
            <wp:positionV relativeFrom="paragraph">
              <wp:posOffset>369570</wp:posOffset>
            </wp:positionV>
            <wp:extent cx="5557520" cy="7252970"/>
            <wp:effectExtent l="0" t="0" r="5080" b="5080"/>
            <wp:wrapNone/>
            <wp:docPr id="30" name="图片 30" descr="微信图片_2025120410141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0" name="图片 30" descr="微信图片_20251204101418"/>
                    <pic:cNvPicPr>
                      <a:picLocks noChangeAspect="true"/>
                    </pic:cNvPicPr>
                  </pic:nvPicPr>
                  <pic:blipFill>
                    <a:blip r:embed="rId20"/>
                    <a:srcRect t="6434"/>
                    <a:stretch>
                      <a:fillRect/>
                    </a:stretch>
                  </pic:blipFill>
                  <pic:spPr>
                    <a:xfrm>
                      <a:off x="0" y="0"/>
                      <a:ext cx="5557520" cy="7252970"/>
                    </a:xfrm>
                    <a:prstGeom prst="rect">
                      <a:avLst/>
                    </a:prstGeom>
                    <a:ln>
                      <a:noFill/>
                    </a:ln>
                  </pic:spPr>
                </pic:pic>
              </a:graphicData>
            </a:graphic>
          </wp:anchor>
        </w:drawing>
      </w:r>
    </w:p>
    <w:p>
      <w:pPr>
        <w:pStyle w:val="9"/>
        <w:ind w:firstLine="640"/>
        <w:rPr>
          <w:rFonts w:eastAsia="黑体"/>
          <w:color w:val="000000" w:themeColor="text1"/>
          <w:sz w:val="32"/>
          <w:szCs w:val="32"/>
          <w14:textFill>
            <w14:solidFill>
              <w14:schemeClr w14:val="tx1"/>
            </w14:solidFill>
          </w14:textFill>
        </w:rPr>
      </w:pPr>
    </w:p>
    <w:p>
      <w:pPr>
        <w:ind w:firstLine="640"/>
        <w:rPr>
          <w:rFonts w:eastAsia="黑体"/>
          <w:color w:val="000000" w:themeColor="text1"/>
          <w:sz w:val="32"/>
          <w:szCs w:val="32"/>
          <w14:textFill>
            <w14:solidFill>
              <w14:schemeClr w14:val="tx1"/>
            </w14:solidFill>
          </w14:textFill>
        </w:rPr>
      </w:pPr>
    </w:p>
    <w:p>
      <w:pPr>
        <w:pStyle w:val="9"/>
        <w:ind w:firstLine="640"/>
        <w:rPr>
          <w:rFonts w:eastAsia="黑体"/>
          <w:color w:val="000000" w:themeColor="text1"/>
          <w:sz w:val="32"/>
          <w:szCs w:val="32"/>
          <w14:textFill>
            <w14:solidFill>
              <w14:schemeClr w14:val="tx1"/>
            </w14:solidFill>
          </w14:textFill>
        </w:rPr>
      </w:pPr>
    </w:p>
    <w:p>
      <w:pPr>
        <w:ind w:firstLine="640"/>
        <w:rPr>
          <w:rFonts w:eastAsia="黑体"/>
          <w:color w:val="000000" w:themeColor="text1"/>
          <w:sz w:val="32"/>
          <w:szCs w:val="32"/>
          <w14:textFill>
            <w14:solidFill>
              <w14:schemeClr w14:val="tx1"/>
            </w14:solidFill>
          </w14:textFill>
        </w:rPr>
      </w:pPr>
    </w:p>
    <w:p>
      <w:pPr>
        <w:pStyle w:val="9"/>
        <w:ind w:firstLine="640"/>
        <w:rPr>
          <w:rFonts w:eastAsia="黑体"/>
          <w:color w:val="000000" w:themeColor="text1"/>
          <w:sz w:val="32"/>
          <w:szCs w:val="32"/>
          <w14:textFill>
            <w14:solidFill>
              <w14:schemeClr w14:val="tx1"/>
            </w14:solidFill>
          </w14:textFill>
        </w:rPr>
      </w:pPr>
    </w:p>
    <w:p>
      <w:pPr>
        <w:ind w:firstLine="640"/>
        <w:rPr>
          <w:rFonts w:eastAsia="黑体"/>
          <w:color w:val="000000" w:themeColor="text1"/>
          <w:sz w:val="32"/>
          <w:szCs w:val="32"/>
          <w14:textFill>
            <w14:solidFill>
              <w14:schemeClr w14:val="tx1"/>
            </w14:solidFill>
          </w14:textFill>
        </w:rPr>
      </w:pPr>
    </w:p>
    <w:p>
      <w:pPr>
        <w:pStyle w:val="9"/>
        <w:ind w:firstLine="640"/>
        <w:rPr>
          <w:rFonts w:eastAsia="黑体"/>
          <w:color w:val="000000" w:themeColor="text1"/>
          <w:sz w:val="32"/>
          <w:szCs w:val="32"/>
          <w14:textFill>
            <w14:solidFill>
              <w14:schemeClr w14:val="tx1"/>
            </w14:solidFill>
          </w14:textFill>
        </w:rPr>
      </w:pPr>
    </w:p>
    <w:p>
      <w:pPr>
        <w:ind w:firstLine="640"/>
        <w:rPr>
          <w:rFonts w:eastAsia="黑体"/>
          <w:color w:val="000000" w:themeColor="text1"/>
          <w:sz w:val="32"/>
          <w:szCs w:val="32"/>
          <w14:textFill>
            <w14:solidFill>
              <w14:schemeClr w14:val="tx1"/>
            </w14:solidFill>
          </w14:textFill>
        </w:rPr>
      </w:pPr>
    </w:p>
    <w:p>
      <w:pPr>
        <w:pStyle w:val="9"/>
        <w:ind w:firstLine="640"/>
        <w:rPr>
          <w:rFonts w:eastAsia="黑体"/>
          <w:color w:val="000000" w:themeColor="text1"/>
          <w:sz w:val="32"/>
          <w:szCs w:val="32"/>
          <w14:textFill>
            <w14:solidFill>
              <w14:schemeClr w14:val="tx1"/>
            </w14:solidFill>
          </w14:textFill>
        </w:rPr>
      </w:pPr>
    </w:p>
    <w:p>
      <w:pPr>
        <w:rPr>
          <w:rFonts w:eastAsia="仿宋_GB2312"/>
          <w:color w:val="000000" w:themeColor="text1"/>
          <w14:textFill>
            <w14:solidFill>
              <w14:schemeClr w14:val="tx1"/>
            </w14:solidFill>
          </w14:textFill>
        </w:rPr>
      </w:pPr>
    </w:p>
    <w:p>
      <w:pPr>
        <w:ind w:left="5027" w:leftChars="2394" w:firstLine="1280" w:firstLineChars="400"/>
        <w:rPr>
          <w:rFonts w:eastAsia="黑体"/>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 xml:space="preserve"> </w:t>
      </w:r>
    </w:p>
    <w:p>
      <w:pPr>
        <w:adjustRightInd w:val="0"/>
        <w:snapToGrid w:val="0"/>
        <w:jc w:val="center"/>
        <w:rPr>
          <w:rFonts w:eastAsia="国标楷体"/>
          <w:color w:val="000000" w:themeColor="text1"/>
          <w:sz w:val="32"/>
          <w:szCs w:val="32"/>
          <w14:textFill>
            <w14:solidFill>
              <w14:schemeClr w14:val="tx1"/>
            </w14:solidFill>
          </w14:textFill>
        </w:rPr>
      </w:pPr>
    </w:p>
    <w:p>
      <w:pPr>
        <w:adjustRightInd w:val="0"/>
        <w:snapToGrid w:val="0"/>
        <w:jc w:val="center"/>
        <w:rPr>
          <w:rFonts w:eastAsia="国标楷体"/>
          <w:color w:val="000000" w:themeColor="text1"/>
          <w:sz w:val="32"/>
          <w:szCs w:val="32"/>
          <w14:textFill>
            <w14:solidFill>
              <w14:schemeClr w14:val="tx1"/>
            </w14:solidFill>
          </w14:textFill>
        </w:rPr>
      </w:pPr>
    </w:p>
    <w:p>
      <w:pPr>
        <w:adjustRightInd w:val="0"/>
        <w:snapToGrid w:val="0"/>
        <w:jc w:val="center"/>
        <w:rPr>
          <w:rFonts w:eastAsia="国标楷体"/>
          <w:color w:val="000000" w:themeColor="text1"/>
          <w:sz w:val="32"/>
          <w:szCs w:val="32"/>
          <w14:textFill>
            <w14:solidFill>
              <w14:schemeClr w14:val="tx1"/>
            </w14:solidFill>
          </w14:textFill>
        </w:rPr>
      </w:pPr>
    </w:p>
    <w:p>
      <w:pPr>
        <w:adjustRightInd w:val="0"/>
        <w:snapToGrid w:val="0"/>
        <w:jc w:val="center"/>
        <w:rPr>
          <w:rFonts w:eastAsia="国标楷体"/>
          <w:color w:val="000000" w:themeColor="text1"/>
          <w:sz w:val="32"/>
          <w:szCs w:val="32"/>
          <w14:textFill>
            <w14:solidFill>
              <w14:schemeClr w14:val="tx1"/>
            </w14:solidFill>
          </w14:textFill>
        </w:rPr>
      </w:pPr>
    </w:p>
    <w:p>
      <w:pPr>
        <w:adjustRightInd w:val="0"/>
        <w:snapToGrid w:val="0"/>
        <w:jc w:val="center"/>
        <w:rPr>
          <w:rFonts w:eastAsia="国标楷体"/>
          <w:color w:val="000000" w:themeColor="text1"/>
          <w:sz w:val="32"/>
          <w:szCs w:val="32"/>
          <w14:textFill>
            <w14:solidFill>
              <w14:schemeClr w14:val="tx1"/>
            </w14:solidFill>
          </w14:textFill>
        </w:rPr>
      </w:pPr>
    </w:p>
    <w:p>
      <w:pPr>
        <w:adjustRightInd w:val="0"/>
        <w:snapToGrid w:val="0"/>
        <w:jc w:val="center"/>
        <w:rPr>
          <w:rFonts w:eastAsia="国标楷体"/>
          <w:color w:val="000000" w:themeColor="text1"/>
          <w:sz w:val="32"/>
          <w:szCs w:val="32"/>
          <w14:textFill>
            <w14:solidFill>
              <w14:schemeClr w14:val="tx1"/>
            </w14:solidFill>
          </w14:textFill>
        </w:rPr>
      </w:pPr>
    </w:p>
    <w:p>
      <w:pPr>
        <w:adjustRightInd w:val="0"/>
        <w:snapToGrid w:val="0"/>
        <w:jc w:val="center"/>
        <w:rPr>
          <w:rFonts w:eastAsia="国标楷体"/>
          <w:color w:val="000000" w:themeColor="text1"/>
          <w:sz w:val="32"/>
          <w:szCs w:val="32"/>
          <w14:textFill>
            <w14:solidFill>
              <w14:schemeClr w14:val="tx1"/>
            </w14:solidFill>
          </w14:textFill>
        </w:rPr>
      </w:pPr>
    </w:p>
    <w:p>
      <w:pPr>
        <w:adjustRightInd w:val="0"/>
        <w:snapToGrid w:val="0"/>
        <w:jc w:val="center"/>
        <w:rPr>
          <w:rFonts w:eastAsia="国标楷体"/>
          <w:color w:val="000000" w:themeColor="text1"/>
          <w:sz w:val="32"/>
          <w:szCs w:val="32"/>
          <w14:textFill>
            <w14:solidFill>
              <w14:schemeClr w14:val="tx1"/>
            </w14:solidFill>
          </w14:textFill>
        </w:rPr>
      </w:pPr>
    </w:p>
    <w:p>
      <w:pPr>
        <w:adjustRightInd w:val="0"/>
        <w:snapToGrid w:val="0"/>
        <w:jc w:val="center"/>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color w:val="000000" w:themeColor="text1"/>
          <w:sz w:val="32"/>
          <w:szCs w:val="32"/>
          <w14:textFill>
            <w14:solidFill>
              <w14:schemeClr w14:val="tx1"/>
            </w14:solidFill>
          </w14:textFill>
        </w:rPr>
        <w:t>图</w:t>
      </w:r>
    </w:p>
    <w:p>
      <w:pPr>
        <w:adjustRightInd w:val="0"/>
        <w:snapToGrid w:val="0"/>
        <w:jc w:val="center"/>
        <w:rPr>
          <w:rFonts w:ascii="Times New Roman" w:hAnsi="Times New Roman" w:eastAsia="楷体_GB2312" w:cs="Times New Roman"/>
          <w:color w:val="000000" w:themeColor="text1"/>
          <w:sz w:val="32"/>
          <w:szCs w:val="32"/>
          <w14:textFill>
            <w14:solidFill>
              <w14:schemeClr w14:val="tx1"/>
            </w14:solidFill>
          </w14:textFill>
        </w:rPr>
      </w:pPr>
    </w:p>
    <w:p>
      <w:pPr>
        <w:adjustRightInd w:val="0"/>
        <w:snapToGrid w:val="0"/>
        <w:jc w:val="center"/>
        <w:rPr>
          <w:rFonts w:ascii="Times New Roman" w:hAnsi="Times New Roman" w:eastAsia="楷体_GB2312" w:cs="Times New Roman"/>
          <w:color w:val="000000" w:themeColor="text1"/>
          <w:sz w:val="32"/>
          <w:szCs w:val="32"/>
          <w14:textFill>
            <w14:solidFill>
              <w14:schemeClr w14:val="tx1"/>
            </w14:solidFill>
          </w14:textFill>
        </w:rPr>
      </w:pPr>
    </w:p>
    <w:p>
      <w:pPr>
        <w:adjustRightInd w:val="0"/>
        <w:snapToGrid w:val="0"/>
        <w:jc w:val="center"/>
        <w:rPr>
          <w:rFonts w:ascii="Times New Roman" w:hAnsi="Times New Roman" w:eastAsia="楷体_GB2312" w:cs="Times New Roman"/>
          <w:color w:val="000000" w:themeColor="text1"/>
          <w:sz w:val="32"/>
          <w:szCs w:val="32"/>
          <w14:textFill>
            <w14:solidFill>
              <w14:schemeClr w14:val="tx1"/>
            </w14:solidFill>
          </w14:textFill>
        </w:rPr>
      </w:pPr>
    </w:p>
    <w:p>
      <w:pPr>
        <w:adjustRightInd w:val="0"/>
        <w:snapToGrid w:val="0"/>
        <w:jc w:val="center"/>
        <w:rPr>
          <w:rFonts w:ascii="Times New Roman" w:hAnsi="Times New Roman" w:eastAsia="楷体_GB2312" w:cs="Times New Roman"/>
          <w:color w:val="000000" w:themeColor="text1"/>
          <w:sz w:val="32"/>
          <w:szCs w:val="32"/>
          <w14:textFill>
            <w14:solidFill>
              <w14:schemeClr w14:val="tx1"/>
            </w14:solidFill>
          </w14:textFill>
        </w:rPr>
      </w:pPr>
    </w:p>
    <w:p>
      <w:pPr>
        <w:adjustRightInd w:val="0"/>
        <w:snapToGrid w:val="0"/>
        <w:jc w:val="center"/>
        <w:rPr>
          <w:rFonts w:eastAsia="楷体_GB2312"/>
          <w:color w:val="000000" w:themeColor="text1"/>
          <w:sz w:val="32"/>
          <w:szCs w:val="32"/>
          <w14:textFill>
            <w14:solidFill>
              <w14:schemeClr w14:val="tx1"/>
            </w14:solidFill>
          </w14:textFill>
        </w:rPr>
      </w:pPr>
      <w:r>
        <w:rPr>
          <w:rFonts w:ascii="Times New Roman" w:hAnsi="Times New Roman" w:eastAsia="楷体_GB2312" w:cs="Times New Roman"/>
          <w:color w:val="000000" w:themeColor="text1"/>
          <w:sz w:val="32"/>
          <w:szCs w:val="32"/>
          <w14:textFill>
            <w14:solidFill>
              <w14:schemeClr w14:val="tx1"/>
            </w14:solidFill>
          </w14:textFill>
        </w:rPr>
        <w:t>4—1</w:t>
      </w:r>
      <w:r>
        <w:rPr>
          <w:rFonts w:hint="eastAsia" w:eastAsia="楷体_GB2312" w:cs="Times New Roman"/>
          <w:color w:val="000000" w:themeColor="text1"/>
          <w:sz w:val="32"/>
          <w:szCs w:val="32"/>
          <w14:textFill>
            <w14:solidFill>
              <w14:schemeClr w14:val="tx1"/>
            </w14:solidFill>
          </w14:textFill>
        </w:rPr>
        <w:t xml:space="preserve"> </w:t>
      </w:r>
      <w:r>
        <w:rPr>
          <w:rFonts w:ascii="Times New Roman" w:hAnsi="Times New Roman" w:eastAsia="楷体_GB2312" w:cs="Times New Roman"/>
          <w:color w:val="000000" w:themeColor="text1"/>
          <w:sz w:val="32"/>
          <w:szCs w:val="32"/>
          <w14:textFill>
            <w14:solidFill>
              <w14:schemeClr w14:val="tx1"/>
            </w14:solidFill>
          </w14:textFill>
        </w:rPr>
        <w:t>怀化市</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楷体_GB2312" w:cs="Times New Roman"/>
          <w:color w:val="000000" w:themeColor="text1"/>
          <w:sz w:val="32"/>
          <w:szCs w:val="32"/>
          <w14:textFill>
            <w14:solidFill>
              <w14:schemeClr w14:val="tx1"/>
            </w14:solidFill>
          </w14:textFill>
        </w:rPr>
        <w:t>一核两带三区</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楷体_GB2312" w:cs="Times New Roman"/>
          <w:color w:val="000000" w:themeColor="text1"/>
          <w:sz w:val="32"/>
          <w:szCs w:val="32"/>
          <w14:textFill>
            <w14:solidFill>
              <w14:schemeClr w14:val="tx1"/>
            </w14:solidFill>
          </w14:textFill>
        </w:rPr>
        <w:t>区域经济格局示意图</w:t>
      </w:r>
    </w:p>
    <w:p>
      <w:pPr>
        <w:pStyle w:val="6"/>
        <w:spacing w:line="560" w:lineRule="exact"/>
        <w:rPr>
          <w:rFonts w:ascii="Times New Roman" w:hAnsi="Times New Roman" w:eastAsia="黑体" w:cs="Times New Roman"/>
          <w:color w:val="000000" w:themeColor="text1"/>
          <w:sz w:val="32"/>
          <w14:textFill>
            <w14:solidFill>
              <w14:schemeClr w14:val="tx1"/>
            </w14:solidFill>
          </w14:textFill>
        </w:rPr>
      </w:pPr>
      <w:bookmarkStart w:id="28" w:name="_Toc21199"/>
      <w:r>
        <w:rPr>
          <w:rFonts w:ascii="Times New Roman" w:hAnsi="Times New Roman" w:eastAsia="黑体" w:cs="Times New Roman"/>
          <w:color w:val="000000" w:themeColor="text1"/>
          <w:sz w:val="32"/>
          <w14:textFill>
            <w14:solidFill>
              <w14:schemeClr w14:val="tx1"/>
            </w14:solidFill>
          </w14:textFill>
        </w:rPr>
        <w:t>第十四章 引领带动湘鄂渝黔毗邻地区务实合作</w:t>
      </w:r>
      <w:bookmarkEnd w:id="28"/>
    </w:p>
    <w:p>
      <w:pPr>
        <w:pStyle w:val="7"/>
        <w:spacing w:line="560" w:lineRule="exact"/>
        <w:rPr>
          <w:rFonts w:eastAsia="仿宋_GB2312"/>
          <w:color w:val="000000" w:themeColor="text1"/>
          <w:sz w:val="32"/>
          <w14:textFill>
            <w14:solidFill>
              <w14:schemeClr w14:val="tx1"/>
            </w14:solidFill>
          </w14:textFill>
        </w:rPr>
      </w:pPr>
    </w:p>
    <w:p>
      <w:pPr>
        <w:pStyle w:val="7"/>
        <w:spacing w:line="56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第一节 协同打造区域内陆对外开放新平台</w:t>
      </w:r>
    </w:p>
    <w:p>
      <w:pPr>
        <w:spacing w:line="560" w:lineRule="exact"/>
        <w:ind w:firstLine="640"/>
        <w:rPr>
          <w:rFonts w:eastAsia="仿宋_GB2312"/>
          <w:color w:val="000000" w:themeColor="text1"/>
          <w:sz w:val="32"/>
          <w:szCs w:val="32"/>
          <w14:textFill>
            <w14:solidFill>
              <w14:schemeClr w14:val="tx1"/>
            </w14:solidFill>
          </w14:textFill>
        </w:rPr>
      </w:pPr>
    </w:p>
    <w:p>
      <w:pPr>
        <w:spacing w:line="56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依托湘鄂渝黔毗邻地区合作发展机制，充分发挥怀化国际陆港高水平对外开放门户作用，协同提升湘鄂渝黔毗邻地区开放平台能级和联动水平。不断完善西部陆海新通道东线通道功能，推动建设跨区域铁路、公路、航空、水运、能源等区域联结性重大基础设施，畅通怀化与湘鄂渝黔毗邻地区以及周边主要经济中心的集疏运通道。探索共建怀化国际陆港联动港—中心仓合作模式，推动发行“毗邻市州—怀化—北部湾/湛江港”等出海、出境接续班列，合力推动区域外贸扩量提质，持续降低区域综合物流成本。完善陆港服务功能，建设怀化国际陆港智慧物流信息平台及大宗商品集中采购服务体系，探索“一单制”跨省通关协调机制，推广启运港退税政策，共办RCEP经贸博览会，将怀化国际陆港及毗邻地区联动港打造成中西部内陆地区对外开放新平台。</w:t>
      </w:r>
    </w:p>
    <w:p>
      <w:pPr>
        <w:pStyle w:val="45"/>
        <w:spacing w:beforeAutospacing="0" w:afterAutospacing="0" w:line="560" w:lineRule="exact"/>
        <w:ind w:left="0" w:leftChars="0"/>
        <w:rPr>
          <w:rFonts w:eastAsia="仿宋_GB2312"/>
          <w:color w:val="000000" w:themeColor="text1"/>
          <w14:textFill>
            <w14:solidFill>
              <w14:schemeClr w14:val="tx1"/>
            </w14:solidFill>
          </w14:textFill>
        </w:rPr>
      </w:pPr>
    </w:p>
    <w:p>
      <w:pPr>
        <w:pStyle w:val="7"/>
        <w:spacing w:line="56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第二节 协同推进区域联动产业体系建设</w:t>
      </w:r>
    </w:p>
    <w:p>
      <w:pPr>
        <w:spacing w:line="560" w:lineRule="exact"/>
        <w:ind w:firstLine="640"/>
        <w:rPr>
          <w:rFonts w:eastAsia="仿宋_GB2312"/>
          <w:color w:val="000000" w:themeColor="text1"/>
          <w:sz w:val="32"/>
          <w:szCs w:val="32"/>
          <w14:textFill>
            <w14:solidFill>
              <w14:schemeClr w14:val="tx1"/>
            </w14:solidFill>
          </w14:textFill>
        </w:rPr>
      </w:pPr>
    </w:p>
    <w:p>
      <w:pPr>
        <w:spacing w:line="56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依托特色优势产业，积极对接成渝地区双城经济圈，优化临港产业布局，</w:t>
      </w:r>
      <w:r>
        <w:rPr>
          <w:rFonts w:hint="eastAsia" w:eastAsia="仿宋_GB2312" w:cs="Times New Roman"/>
          <w:color w:val="000000" w:themeColor="text1"/>
          <w:sz w:val="32"/>
          <w:szCs w:val="32"/>
          <w14:textFill>
            <w14:solidFill>
              <w14:schemeClr w14:val="tx1"/>
            </w14:solidFill>
          </w14:textFill>
        </w:rPr>
        <w:t>推动</w:t>
      </w:r>
      <w:r>
        <w:rPr>
          <w:rFonts w:ascii="Times New Roman" w:hAnsi="Times New Roman" w:eastAsia="仿宋_GB2312" w:cs="Times New Roman"/>
          <w:color w:val="000000" w:themeColor="text1"/>
          <w:sz w:val="32"/>
          <w:szCs w:val="32"/>
          <w14:textFill>
            <w14:solidFill>
              <w14:schemeClr w14:val="tx1"/>
            </w14:solidFill>
          </w14:textFill>
        </w:rPr>
        <w:t>区域产业链条互补，持续放大湘鄂渝黔毗邻地区合作优势，共享产业、投资、金融、要素等方面的国家优惠扶持政策，建立两地招商信息共享机制。以生态农业与食品加工、清洁能源与绿色矿业、中医药与康养、电子信息零部件配套为支柱，以低空经济、数字经济等为新兴动能</w:t>
      </w:r>
      <w:r>
        <w:rPr>
          <w:rFonts w:hint="eastAsia"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以物流服务提供有效支撑，积极发展具有武陵山特色的现代化产业体系，协同打造中西部结合部现代化产业协同发展标杆。</w:t>
      </w:r>
    </w:p>
    <w:p>
      <w:pPr>
        <w:pStyle w:val="7"/>
        <w:spacing w:line="560" w:lineRule="exact"/>
        <w:rPr>
          <w:rFonts w:eastAsia="仿宋_GB2312"/>
          <w:color w:val="000000" w:themeColor="text1"/>
          <w:sz w:val="32"/>
          <w14:textFill>
            <w14:solidFill>
              <w14:schemeClr w14:val="tx1"/>
            </w14:solidFill>
          </w14:textFill>
        </w:rPr>
      </w:pPr>
    </w:p>
    <w:p>
      <w:pPr>
        <w:pStyle w:val="7"/>
        <w:spacing w:line="56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第三节 协同推进生态环境共保共治</w:t>
      </w:r>
    </w:p>
    <w:p>
      <w:pPr>
        <w:spacing w:line="560" w:lineRule="exact"/>
        <w:ind w:firstLine="640"/>
        <w:rPr>
          <w:rFonts w:eastAsia="仿宋_GB2312"/>
          <w:color w:val="000000" w:themeColor="text1"/>
          <w:sz w:val="32"/>
          <w:szCs w:val="32"/>
          <w14:textFill>
            <w14:solidFill>
              <w14:schemeClr w14:val="tx1"/>
            </w14:solidFill>
          </w14:textFill>
        </w:rPr>
      </w:pPr>
    </w:p>
    <w:p>
      <w:pPr>
        <w:spacing w:line="56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坚持系统性、整体性观念，发挥全国生态产品价值实现机制试点城市示范带动作用，统筹整合湘鄂渝黔毗邻地区林地、水能等自然资源，建立跨区域生态环境保护治理协作机制，探索生态优先、绿色发展新路径。探索构建跨省流域一体化生态保护补偿机制。推动新晃县、麻阳县、通道县与铜仁市玉屏县、三穗县、天柱县、镇远县、万山区、黔东南州开展林业联防联治。以新晃县、麻阳县与铜仁市玉屏县边界区域为试点，开展涉农联合执法、交界乡镇生态治理协作，打造湘鄂渝黔毗邻地区生态文明实践样板。</w:t>
      </w:r>
    </w:p>
    <w:p>
      <w:pPr>
        <w:pStyle w:val="7"/>
        <w:spacing w:line="560" w:lineRule="exact"/>
        <w:rPr>
          <w:rFonts w:eastAsia="仿宋_GB2312"/>
          <w:color w:val="000000" w:themeColor="text1"/>
          <w:sz w:val="32"/>
          <w14:textFill>
            <w14:solidFill>
              <w14:schemeClr w14:val="tx1"/>
            </w14:solidFill>
          </w14:textFill>
        </w:rPr>
      </w:pPr>
    </w:p>
    <w:p>
      <w:pPr>
        <w:pStyle w:val="7"/>
        <w:spacing w:line="56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第四节 协同推进民生保障共建共享</w:t>
      </w:r>
    </w:p>
    <w:p>
      <w:pPr>
        <w:spacing w:line="560" w:lineRule="exact"/>
        <w:ind w:firstLine="640"/>
        <w:rPr>
          <w:rFonts w:eastAsia="仿宋_GB2312"/>
          <w:color w:val="000000" w:themeColor="text1"/>
          <w:sz w:val="32"/>
          <w:szCs w:val="32"/>
          <w14:textFill>
            <w14:solidFill>
              <w14:schemeClr w14:val="tx1"/>
            </w14:solidFill>
          </w14:textFill>
        </w:rPr>
      </w:pPr>
    </w:p>
    <w:p>
      <w:pPr>
        <w:spacing w:line="56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聚焦群众急难愁盼，以人力资源协作、医保服务互通、教育资源共享为核心，健全跨区域民生合作机制，推动服务资源互联、标准互认、流程互通。深化人力资源协同，组建湘鄂渝黔毗邻市州人力资源协会合作发展联盟，搭建企才对接桥梁，强化区域产业人才支撑。畅通跨区域医保渠道，逐步覆盖毗邻地区全范围，进一步加强异地就医直接结算管理服务，优化备案流程与渠道，建立基金监管互检模式。推进教育资源共享，以新晃县与铜仁市、黔东南州接边地区为试点，开展校际交流与研学合作，共建产教融合基地，发展区域特色职业教育，推动教育资源跨区域流动。</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41" w:hRule="atLeast"/>
        </w:trPr>
        <w:tc>
          <w:tcPr>
            <w:tcW w:w="9071" w:type="dxa"/>
            <w:shd w:val="clear" w:color="auto" w:fill="auto"/>
            <w:vAlign w:val="center"/>
          </w:tcPr>
          <w:p>
            <w:pPr>
              <w:spacing w:line="490" w:lineRule="exact"/>
              <w:jc w:val="center"/>
              <w:rPr>
                <w:rFonts w:eastAsia="仿宋_GB2312"/>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专栏4—3 湘鄂渝黔毗邻地区重点合作事项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07" w:hRule="atLeast"/>
        </w:trPr>
        <w:tc>
          <w:tcPr>
            <w:tcW w:w="9071" w:type="dxa"/>
            <w:shd w:val="clear" w:color="auto" w:fill="auto"/>
          </w:tcPr>
          <w:p>
            <w:pPr>
              <w:pStyle w:val="24"/>
              <w:spacing w:line="460" w:lineRule="exact"/>
              <w:ind w:firstLine="642" w:firstLineChars="200"/>
              <w:jc w:val="both"/>
              <w:rPr>
                <w:rFonts w:ascii="Times New Roman" w:hAnsi="Times New Roman" w:eastAsia="楷体_GB2312" w:cs="Times New Roman"/>
                <w:color w:val="000000" w:themeColor="text1"/>
                <w:szCs w:val="32"/>
                <w14:textFill>
                  <w14:solidFill>
                    <w14:schemeClr w14:val="tx1"/>
                  </w14:solidFill>
                </w14:textFill>
              </w:rPr>
            </w:pPr>
            <w:r>
              <w:rPr>
                <w:rFonts w:ascii="Times New Roman" w:hAnsi="Times New Roman" w:eastAsia="楷体_GB2312" w:cs="Times New Roman"/>
                <w:b/>
                <w:color w:val="000000" w:themeColor="text1"/>
                <w:szCs w:val="32"/>
                <w14:textFill>
                  <w14:solidFill>
                    <w14:schemeClr w14:val="tx1"/>
                  </w14:solidFill>
                </w14:textFill>
              </w:rPr>
              <w:t>1.合作共建国际陆港。</w:t>
            </w:r>
            <w:r>
              <w:rPr>
                <w:rFonts w:ascii="Times New Roman" w:hAnsi="Times New Roman" w:eastAsia="楷体_GB2312" w:cs="Times New Roman"/>
                <w:color w:val="000000" w:themeColor="text1"/>
                <w:szCs w:val="32"/>
                <w14:textFill>
                  <w14:solidFill>
                    <w14:schemeClr w14:val="tx1"/>
                  </w14:solidFill>
                </w14:textFill>
              </w:rPr>
              <w:t>推动铜仁等周边地区的东盟货源向怀化国际陆港常态化、规模化集结，适时发行</w:t>
            </w:r>
            <w:r>
              <w:rPr>
                <w:rFonts w:ascii="Times New Roman" w:hAnsi="Times New Roman" w:eastAsia="仿宋_GB2312" w:cs="Times New Roman"/>
                <w:color w:val="000000" w:themeColor="text1"/>
                <w:szCs w:val="32"/>
                <w14:textFill>
                  <w14:solidFill>
                    <w14:schemeClr w14:val="tx1"/>
                  </w14:solidFill>
                </w14:textFill>
              </w:rPr>
              <w:t>“</w:t>
            </w:r>
            <w:r>
              <w:rPr>
                <w:rFonts w:ascii="Times New Roman" w:hAnsi="Times New Roman" w:eastAsia="楷体_GB2312" w:cs="Times New Roman"/>
                <w:color w:val="000000" w:themeColor="text1"/>
                <w:szCs w:val="32"/>
                <w14:textFill>
                  <w14:solidFill>
                    <w14:schemeClr w14:val="tx1"/>
                  </w14:solidFill>
                </w14:textFill>
              </w:rPr>
              <w:t>铜仁—怀化—北部湾/湛江港/广州港/盐田港</w:t>
            </w:r>
            <w:r>
              <w:rPr>
                <w:rFonts w:ascii="Times New Roman" w:hAnsi="Times New Roman" w:eastAsia="仿宋_GB2312" w:cs="Times New Roman"/>
                <w:color w:val="000000" w:themeColor="text1"/>
                <w:szCs w:val="32"/>
                <w14:textFill>
                  <w14:solidFill>
                    <w14:schemeClr w14:val="tx1"/>
                  </w14:solidFill>
                </w14:textFill>
              </w:rPr>
              <w:t>”“</w:t>
            </w:r>
            <w:r>
              <w:rPr>
                <w:rFonts w:ascii="Times New Roman" w:hAnsi="Times New Roman" w:eastAsia="楷体_GB2312" w:cs="Times New Roman"/>
                <w:color w:val="000000" w:themeColor="text1"/>
                <w:szCs w:val="32"/>
                <w14:textFill>
                  <w14:solidFill>
                    <w14:schemeClr w14:val="tx1"/>
                  </w14:solidFill>
                </w14:textFill>
              </w:rPr>
              <w:t>铜仁—怀化—磨憨/凭祥</w:t>
            </w:r>
            <w:r>
              <w:rPr>
                <w:rFonts w:ascii="Times New Roman" w:hAnsi="Times New Roman" w:eastAsia="仿宋_GB2312" w:cs="Times New Roman"/>
                <w:color w:val="000000" w:themeColor="text1"/>
                <w:szCs w:val="32"/>
                <w14:textFill>
                  <w14:solidFill>
                    <w14:schemeClr w14:val="tx1"/>
                  </w14:solidFill>
                </w14:textFill>
              </w:rPr>
              <w:t>”</w:t>
            </w:r>
            <w:r>
              <w:rPr>
                <w:rFonts w:ascii="Times New Roman" w:hAnsi="Times New Roman" w:eastAsia="楷体_GB2312" w:cs="Times New Roman"/>
                <w:color w:val="000000" w:themeColor="text1"/>
                <w:szCs w:val="32"/>
                <w14:textFill>
                  <w14:solidFill>
                    <w14:schemeClr w14:val="tx1"/>
                  </w14:solidFill>
                </w14:textFill>
              </w:rPr>
              <w:t>等出海、出境接续班列。争取设立怀化国际陆港铜仁办事处，在铜仁等市州建立中心仓。推动共建大宗商品集中采购服务平台、怀化国际陆港智慧物流信息平台。</w:t>
            </w:r>
          </w:p>
          <w:p>
            <w:pPr>
              <w:pStyle w:val="24"/>
              <w:spacing w:line="460" w:lineRule="exact"/>
              <w:ind w:firstLine="642" w:firstLineChars="200"/>
              <w:jc w:val="both"/>
              <w:rPr>
                <w:rFonts w:ascii="Times New Roman" w:hAnsi="Times New Roman" w:eastAsia="楷体_GB2312" w:cs="Times New Roman"/>
                <w:color w:val="000000" w:themeColor="text1"/>
                <w:szCs w:val="32"/>
                <w14:textFill>
                  <w14:solidFill>
                    <w14:schemeClr w14:val="tx1"/>
                  </w14:solidFill>
                </w14:textFill>
              </w:rPr>
            </w:pPr>
            <w:r>
              <w:rPr>
                <w:rFonts w:ascii="Times New Roman" w:hAnsi="Times New Roman" w:eastAsia="楷体_GB2312" w:cs="Times New Roman"/>
                <w:b/>
                <w:color w:val="000000" w:themeColor="text1"/>
                <w:szCs w:val="32"/>
                <w14:textFill>
                  <w14:solidFill>
                    <w14:schemeClr w14:val="tx1"/>
                  </w14:solidFill>
                </w14:textFill>
              </w:rPr>
              <w:t>2.跨区域共建产业园区。</w:t>
            </w:r>
            <w:r>
              <w:rPr>
                <w:rFonts w:ascii="Times New Roman" w:hAnsi="Times New Roman" w:eastAsia="楷体_GB2312" w:cs="Times New Roman"/>
                <w:color w:val="000000" w:themeColor="text1"/>
                <w:szCs w:val="32"/>
                <w14:textFill>
                  <w14:solidFill>
                    <w14:schemeClr w14:val="tx1"/>
                  </w14:solidFill>
                </w14:textFill>
              </w:rPr>
              <w:t>支持大（龙）—新（晃）跨省产业园区共建项目建设，共同制定产业图谱，建立两地招商信息共享机制，探索试点电价等同价要素配置及按投资比例跨省分成企业税收等合作。</w:t>
            </w:r>
          </w:p>
          <w:p>
            <w:pPr>
              <w:pStyle w:val="24"/>
              <w:spacing w:line="460" w:lineRule="exact"/>
              <w:ind w:firstLine="642" w:firstLineChars="200"/>
              <w:jc w:val="both"/>
              <w:rPr>
                <w:rFonts w:ascii="Times New Roman" w:hAnsi="Times New Roman" w:eastAsia="楷体_GB2312" w:cs="Times New Roman"/>
                <w:color w:val="000000" w:themeColor="text1"/>
                <w:szCs w:val="32"/>
                <w14:textFill>
                  <w14:solidFill>
                    <w14:schemeClr w14:val="tx1"/>
                  </w14:solidFill>
                </w14:textFill>
              </w:rPr>
            </w:pPr>
            <w:r>
              <w:rPr>
                <w:rFonts w:ascii="Times New Roman" w:hAnsi="Times New Roman" w:eastAsia="楷体_GB2312" w:cs="Times New Roman"/>
                <w:b/>
                <w:color w:val="000000" w:themeColor="text1"/>
                <w:szCs w:val="32"/>
                <w14:textFill>
                  <w14:solidFill>
                    <w14:schemeClr w14:val="tx1"/>
                  </w14:solidFill>
                </w14:textFill>
              </w:rPr>
              <w:t>3.区域生态和社会</w:t>
            </w:r>
            <w:r>
              <w:rPr>
                <w:rFonts w:hint="eastAsia" w:ascii="Times New Roman" w:hAnsi="Times New Roman" w:eastAsia="楷体_GB2312" w:cs="Times New Roman"/>
                <w:b/>
                <w:color w:val="000000" w:themeColor="text1"/>
                <w:szCs w:val="32"/>
                <w14:textFill>
                  <w14:solidFill>
                    <w14:schemeClr w14:val="tx1"/>
                  </w14:solidFill>
                </w14:textFill>
              </w:rPr>
              <w:t>共治</w:t>
            </w:r>
            <w:r>
              <w:rPr>
                <w:rFonts w:ascii="Times New Roman" w:hAnsi="Times New Roman" w:eastAsia="楷体_GB2312" w:cs="Times New Roman"/>
                <w:b/>
                <w:color w:val="000000" w:themeColor="text1"/>
                <w:szCs w:val="32"/>
                <w14:textFill>
                  <w14:solidFill>
                    <w14:schemeClr w14:val="tx1"/>
                  </w14:solidFill>
                </w14:textFill>
              </w:rPr>
              <w:t>。</w:t>
            </w:r>
            <w:r>
              <w:rPr>
                <w:rFonts w:ascii="Times New Roman" w:hAnsi="Times New Roman" w:eastAsia="楷体_GB2312" w:cs="Times New Roman"/>
                <w:color w:val="000000" w:themeColor="text1"/>
                <w:szCs w:val="32"/>
                <w14:textFill>
                  <w14:solidFill>
                    <w14:schemeClr w14:val="tx1"/>
                  </w14:solidFill>
                </w14:textFill>
              </w:rPr>
              <w:t>推动新晃县与玉屏县、三穗县、天柱县、镇远县和万山区建立森林防火联防、有害生物联治、涉林违法联查、林业纠纷联调等机制。推动麻阳县与铜仁市交界乡镇开展生态治理协作。</w:t>
            </w:r>
          </w:p>
          <w:p>
            <w:pPr>
              <w:pStyle w:val="24"/>
              <w:spacing w:line="460" w:lineRule="exact"/>
              <w:ind w:firstLine="642" w:firstLineChars="200"/>
              <w:jc w:val="both"/>
              <w:rPr>
                <w:rFonts w:ascii="Times New Roman" w:hAnsi="Times New Roman" w:eastAsia="楷体_GB2312" w:cs="Times New Roman"/>
                <w:color w:val="000000" w:themeColor="text1"/>
                <w:szCs w:val="32"/>
                <w14:textFill>
                  <w14:solidFill>
                    <w14:schemeClr w14:val="tx1"/>
                  </w14:solidFill>
                </w14:textFill>
              </w:rPr>
            </w:pPr>
            <w:r>
              <w:rPr>
                <w:rFonts w:ascii="Times New Roman" w:hAnsi="Times New Roman" w:eastAsia="楷体_GB2312" w:cs="Times New Roman"/>
                <w:b/>
                <w:color w:val="000000" w:themeColor="text1"/>
                <w:szCs w:val="32"/>
                <w14:textFill>
                  <w14:solidFill>
                    <w14:schemeClr w14:val="tx1"/>
                  </w14:solidFill>
                </w14:textFill>
              </w:rPr>
              <w:t>4.区域教育资源共享联动。</w:t>
            </w:r>
            <w:r>
              <w:rPr>
                <w:rFonts w:ascii="Times New Roman" w:hAnsi="Times New Roman" w:eastAsia="楷体_GB2312" w:cs="Times New Roman"/>
                <w:color w:val="000000" w:themeColor="text1"/>
                <w:szCs w:val="32"/>
                <w14:textFill>
                  <w14:solidFill>
                    <w14:schemeClr w14:val="tx1"/>
                  </w14:solidFill>
                </w14:textFill>
              </w:rPr>
              <w:t>推动新晃县与铜仁市、黔东南州接边地区签订教育协作协议，改善湘黔边界学校办学条件，开展中小学交流合作、研学合作。</w:t>
            </w:r>
          </w:p>
          <w:p>
            <w:pPr>
              <w:pStyle w:val="24"/>
              <w:spacing w:line="460" w:lineRule="exact"/>
              <w:ind w:firstLine="642" w:firstLineChars="200"/>
              <w:jc w:val="both"/>
              <w:rPr>
                <w:rFonts w:ascii="Times New Roman" w:hAnsi="Times New Roman" w:eastAsia="楷体_GB2312" w:cs="Times New Roman"/>
                <w:color w:val="000000" w:themeColor="text1"/>
                <w:szCs w:val="32"/>
                <w14:textFill>
                  <w14:solidFill>
                    <w14:schemeClr w14:val="tx1"/>
                  </w14:solidFill>
                </w14:textFill>
              </w:rPr>
            </w:pPr>
            <w:r>
              <w:rPr>
                <w:rFonts w:ascii="Times New Roman" w:hAnsi="Times New Roman" w:eastAsia="楷体_GB2312" w:cs="Times New Roman"/>
                <w:b/>
                <w:color w:val="000000" w:themeColor="text1"/>
                <w:szCs w:val="32"/>
                <w14:textFill>
                  <w14:solidFill>
                    <w14:schemeClr w14:val="tx1"/>
                  </w14:solidFill>
                </w14:textFill>
              </w:rPr>
              <w:t>5.畅通区域医保互联渠道。</w:t>
            </w:r>
            <w:r>
              <w:rPr>
                <w:rFonts w:ascii="Times New Roman" w:hAnsi="Times New Roman" w:eastAsia="楷体_GB2312" w:cs="Times New Roman"/>
                <w:color w:val="000000" w:themeColor="text1"/>
                <w:szCs w:val="32"/>
                <w14:textFill>
                  <w14:solidFill>
                    <w14:schemeClr w14:val="tx1"/>
                  </w14:solidFill>
                </w14:textFill>
              </w:rPr>
              <w:t>探索符合条件的跨省异地就医住院实现</w:t>
            </w:r>
            <w:r>
              <w:rPr>
                <w:rFonts w:ascii="Times New Roman" w:hAnsi="Times New Roman" w:eastAsia="仿宋_GB2312" w:cs="Times New Roman"/>
                <w:color w:val="000000" w:themeColor="text1"/>
                <w:szCs w:val="32"/>
                <w14:textFill>
                  <w14:solidFill>
                    <w14:schemeClr w14:val="tx1"/>
                  </w14:solidFill>
                </w14:textFill>
              </w:rPr>
              <w:t>“</w:t>
            </w:r>
            <w:r>
              <w:rPr>
                <w:rFonts w:ascii="Times New Roman" w:hAnsi="Times New Roman" w:eastAsia="楷体_GB2312" w:cs="Times New Roman"/>
                <w:color w:val="000000" w:themeColor="text1"/>
                <w:szCs w:val="32"/>
                <w14:textFill>
                  <w14:solidFill>
                    <w14:schemeClr w14:val="tx1"/>
                  </w14:solidFill>
                </w14:textFill>
              </w:rPr>
              <w:t>免备案</w:t>
            </w:r>
            <w:r>
              <w:rPr>
                <w:rFonts w:ascii="Times New Roman" w:hAnsi="Times New Roman" w:eastAsia="仿宋_GB2312" w:cs="Times New Roman"/>
                <w:color w:val="000000" w:themeColor="text1"/>
                <w:szCs w:val="32"/>
                <w14:textFill>
                  <w14:solidFill>
                    <w14:schemeClr w14:val="tx1"/>
                  </w14:solidFill>
                </w14:textFill>
              </w:rPr>
              <w:t>”</w:t>
            </w:r>
            <w:r>
              <w:rPr>
                <w:rFonts w:ascii="Times New Roman" w:hAnsi="Times New Roman" w:eastAsia="楷体_GB2312" w:cs="Times New Roman"/>
                <w:color w:val="000000" w:themeColor="text1"/>
                <w:szCs w:val="32"/>
                <w14:textFill>
                  <w14:solidFill>
                    <w14:schemeClr w14:val="tx1"/>
                  </w14:solidFill>
                </w14:textFill>
              </w:rPr>
              <w:t>，优化备案流程，畅通备案渠道，探索两地基金监管互检模式。</w:t>
            </w:r>
          </w:p>
          <w:p>
            <w:pPr>
              <w:pStyle w:val="24"/>
              <w:spacing w:line="460" w:lineRule="exact"/>
              <w:ind w:firstLine="642" w:firstLineChars="200"/>
              <w:jc w:val="both"/>
              <w:rPr>
                <w:rFonts w:ascii="Times New Roman" w:hAnsi="Times New Roman" w:cs="Times New Roman"/>
                <w:color w:val="000000" w:themeColor="text1"/>
                <w:szCs w:val="32"/>
                <w14:textFill>
                  <w14:solidFill>
                    <w14:schemeClr w14:val="tx1"/>
                  </w14:solidFill>
                </w14:textFill>
              </w:rPr>
            </w:pPr>
            <w:r>
              <w:rPr>
                <w:rFonts w:ascii="Times New Roman" w:hAnsi="Times New Roman" w:eastAsia="楷体_GB2312" w:cs="Times New Roman"/>
                <w:b/>
                <w:color w:val="000000" w:themeColor="text1"/>
                <w:szCs w:val="32"/>
                <w14:textFill>
                  <w14:solidFill>
                    <w14:schemeClr w14:val="tx1"/>
                  </w14:solidFill>
                </w14:textFill>
              </w:rPr>
              <w:t>6.区域人力资源共享。</w:t>
            </w:r>
            <w:r>
              <w:rPr>
                <w:rFonts w:ascii="Times New Roman" w:hAnsi="Times New Roman" w:eastAsia="楷体_GB2312" w:cs="Times New Roman"/>
                <w:color w:val="000000" w:themeColor="text1"/>
                <w:szCs w:val="32"/>
                <w14:textFill>
                  <w14:solidFill>
                    <w14:schemeClr w14:val="tx1"/>
                  </w14:solidFill>
                </w14:textFill>
              </w:rPr>
              <w:t>组建人力资源跨区域就业合作组织，探索</w:t>
            </w:r>
            <w:r>
              <w:rPr>
                <w:rFonts w:ascii="Times New Roman" w:hAnsi="Times New Roman" w:eastAsia="仿宋_GB2312" w:cs="Times New Roman"/>
                <w:color w:val="000000" w:themeColor="text1"/>
                <w:szCs w:val="32"/>
                <w14:textFill>
                  <w14:solidFill>
                    <w14:schemeClr w14:val="tx1"/>
                  </w14:solidFill>
                </w14:textFill>
              </w:rPr>
              <w:t>“</w:t>
            </w:r>
            <w:r>
              <w:rPr>
                <w:rFonts w:ascii="Times New Roman" w:hAnsi="Times New Roman" w:eastAsia="楷体_GB2312" w:cs="Times New Roman"/>
                <w:color w:val="000000" w:themeColor="text1"/>
                <w:szCs w:val="32"/>
                <w14:textFill>
                  <w14:solidFill>
                    <w14:schemeClr w14:val="tx1"/>
                  </w14:solidFill>
                </w14:textFill>
              </w:rPr>
              <w:t>人力资源+</w:t>
            </w:r>
            <w:r>
              <w:rPr>
                <w:rFonts w:ascii="Times New Roman" w:hAnsi="Times New Roman" w:eastAsia="仿宋_GB2312" w:cs="Times New Roman"/>
                <w:color w:val="000000" w:themeColor="text1"/>
                <w:szCs w:val="32"/>
                <w14:textFill>
                  <w14:solidFill>
                    <w14:schemeClr w14:val="tx1"/>
                  </w14:solidFill>
                </w14:textFill>
              </w:rPr>
              <w:t>”</w:t>
            </w:r>
            <w:r>
              <w:rPr>
                <w:rFonts w:ascii="Times New Roman" w:hAnsi="Times New Roman" w:eastAsia="楷体_GB2312" w:cs="Times New Roman"/>
                <w:color w:val="000000" w:themeColor="text1"/>
                <w:szCs w:val="32"/>
                <w14:textFill>
                  <w14:solidFill>
                    <w14:schemeClr w14:val="tx1"/>
                  </w14:solidFill>
                </w14:textFill>
              </w:rPr>
              <w:t>等特色发展模式。</w:t>
            </w:r>
          </w:p>
        </w:tc>
      </w:tr>
    </w:tbl>
    <w:p>
      <w:pPr>
        <w:pStyle w:val="45"/>
        <w:spacing w:beforeAutospacing="0" w:afterAutospacing="0" w:line="560" w:lineRule="exact"/>
        <w:ind w:left="0" w:leftChars="0"/>
        <w:rPr>
          <w:rFonts w:eastAsia="仿宋_GB2312"/>
          <w:color w:val="000000" w:themeColor="text1"/>
          <w14:textFill>
            <w14:solidFill>
              <w14:schemeClr w14:val="tx1"/>
            </w14:solidFill>
          </w14:textFill>
        </w:rPr>
      </w:pPr>
    </w:p>
    <w:p>
      <w:pPr>
        <w:pStyle w:val="6"/>
        <w:spacing w:line="580" w:lineRule="exact"/>
        <w:rPr>
          <w:rFonts w:ascii="Times New Roman" w:hAnsi="Times New Roman" w:eastAsia="黑体" w:cs="Times New Roman"/>
          <w:color w:val="000000" w:themeColor="text1"/>
          <w:sz w:val="32"/>
          <w14:textFill>
            <w14:solidFill>
              <w14:schemeClr w14:val="tx1"/>
            </w14:solidFill>
          </w14:textFill>
        </w:rPr>
      </w:pPr>
      <w:bookmarkStart w:id="29" w:name="_Toc27955"/>
      <w:r>
        <w:rPr>
          <w:rFonts w:ascii="Times New Roman" w:hAnsi="Times New Roman" w:eastAsia="黑体" w:cs="Times New Roman"/>
          <w:color w:val="000000" w:themeColor="text1"/>
          <w:sz w:val="32"/>
          <w14:textFill>
            <w14:solidFill>
              <w14:schemeClr w14:val="tx1"/>
            </w14:solidFill>
          </w14:textFill>
        </w:rPr>
        <w:t>第十五章 优化国土空间发展格局</w:t>
      </w:r>
      <w:bookmarkEnd w:id="29"/>
    </w:p>
    <w:p>
      <w:pPr>
        <w:pStyle w:val="7"/>
        <w:spacing w:line="580" w:lineRule="exact"/>
        <w:rPr>
          <w:rFonts w:eastAsia="仿宋_GB2312"/>
          <w:color w:val="000000" w:themeColor="text1"/>
          <w:sz w:val="32"/>
          <w14:textFill>
            <w14:solidFill>
              <w14:schemeClr w14:val="tx1"/>
            </w14:solidFill>
          </w14:textFill>
        </w:rPr>
      </w:pPr>
    </w:p>
    <w:p>
      <w:pPr>
        <w:pStyle w:val="7"/>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第一节 完善国土空间规划体系</w:t>
      </w:r>
    </w:p>
    <w:p>
      <w:pPr>
        <w:spacing w:line="580" w:lineRule="exact"/>
        <w:ind w:firstLine="640"/>
        <w:rPr>
          <w:rFonts w:eastAsia="仿宋_GB2312"/>
          <w:color w:val="000000" w:themeColor="text1"/>
          <w:sz w:val="32"/>
          <w:szCs w:val="32"/>
          <w14:textFill>
            <w14:solidFill>
              <w14:schemeClr w14:val="tx1"/>
            </w14:solidFill>
          </w14:textFill>
        </w:rPr>
      </w:pPr>
    </w:p>
    <w:p>
      <w:pPr>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以高水平保护、高质量发展、高颜值生态、高品质生活、高效能治理为导向，不断完善“多规合一”的国土空间规划治理体系。强化主体功能区战略实施，保持城市化地区、农产品主产区和重点生态功能区格局总体稳定，落实耕地和永久基本农田、生态保护红线、城镇开发边界等控制线，分类分区实施差别化、精细化用途管制，提高土地节约集约利用水平。加强产业发展规划与国土空间规划的适配联动。科学布局生产空间、生活空间、生态空间，打造生产空间集约高效、生活空间宜居适度、生态空</w:t>
      </w:r>
      <w:r>
        <w:rPr>
          <w:rFonts w:ascii="Times New Roman" w:hAnsi="Times New Roman" w:eastAsia="仿宋_GB2312" w:cs="Times New Roman"/>
          <w:color w:val="000000" w:themeColor="text1"/>
          <w:spacing w:val="-6"/>
          <w:sz w:val="32"/>
          <w:szCs w:val="32"/>
          <w14:textFill>
            <w14:solidFill>
              <w14:schemeClr w14:val="tx1"/>
            </w14:solidFill>
          </w14:textFill>
        </w:rPr>
        <w:t>间山清水秀、可持续发展的国土空间格局，推动人与自然和谐共生。</w:t>
      </w:r>
    </w:p>
    <w:p>
      <w:pPr>
        <w:pStyle w:val="45"/>
        <w:spacing w:beforeAutospacing="0" w:afterAutospacing="0" w:line="580" w:lineRule="exact"/>
        <w:ind w:left="0" w:leftChars="0"/>
        <w:rPr>
          <w:rFonts w:eastAsia="仿宋_GB2312"/>
          <w:color w:val="000000" w:themeColor="text1"/>
          <w14:textFill>
            <w14:solidFill>
              <w14:schemeClr w14:val="tx1"/>
            </w14:solidFill>
          </w14:textFill>
        </w:rPr>
      </w:pPr>
    </w:p>
    <w:p>
      <w:pPr>
        <w:pStyle w:val="7"/>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第二节 统筹推进国土空间开发保护和利用</w:t>
      </w:r>
    </w:p>
    <w:p>
      <w:pPr>
        <w:spacing w:line="580" w:lineRule="exact"/>
        <w:ind w:firstLine="640"/>
        <w:rPr>
          <w:rFonts w:eastAsia="仿宋_GB2312"/>
          <w:color w:val="000000" w:themeColor="text1"/>
          <w:sz w:val="32"/>
          <w:szCs w:val="32"/>
          <w14:textFill>
            <w14:solidFill>
              <w14:schemeClr w14:val="tx1"/>
            </w14:solidFill>
          </w14:textFill>
        </w:rPr>
      </w:pPr>
    </w:p>
    <w:p>
      <w:pPr>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坚持山水林田湖草沙一体化保护和系统治理，不断完善以国土空间规划为基础、以统一用途管制为手段的国土空间开发保护制度，建立健全覆盖全市域全类型、各部门各地方统一衔接的国土空间用途管制和规划许可制度，将各类空间分区管控制度纳入国土空间用途管制体系。持续优化生态空间功能布局，按照生态功能完整性和保护生物多样性的要求，以武陵山、雪峰山以及南部山区等重点生态功能区为依托，积极推进沅江等重点流域生态功能带建设，完善自然保护地、生态保护红线监管制度，夯实保障生态安全的功能。积极推进高标准农田建设，开展以耕地、农田水利设施、田坎道路等为主的农用地整治，实行坡改梯和国土绿化等相关工程，夯实粮食安全</w:t>
      </w:r>
      <w:r>
        <w:rPr>
          <w:rFonts w:hint="eastAsia" w:eastAsia="仿宋_GB2312" w:cs="Times New Roman"/>
          <w:color w:val="000000" w:themeColor="text1"/>
          <w:sz w:val="32"/>
          <w:szCs w:val="32"/>
          <w14:textFill>
            <w14:solidFill>
              <w14:schemeClr w14:val="tx1"/>
            </w14:solidFill>
          </w14:textFill>
        </w:rPr>
        <w:t>基础</w:t>
      </w:r>
      <w:r>
        <w:rPr>
          <w:rFonts w:ascii="Times New Roman" w:hAnsi="Times New Roman" w:eastAsia="仿宋_GB2312" w:cs="Times New Roman"/>
          <w:color w:val="000000" w:themeColor="text1"/>
          <w:sz w:val="32"/>
          <w:szCs w:val="32"/>
          <w14:textFill>
            <w14:solidFill>
              <w14:schemeClr w14:val="tx1"/>
            </w14:solidFill>
          </w14:textFill>
        </w:rPr>
        <w:t>。</w:t>
      </w:r>
    </w:p>
    <w:p>
      <w:pPr>
        <w:spacing w:line="560" w:lineRule="exact"/>
        <w:rPr>
          <w:rFonts w:eastAsia="仿宋_GB2312"/>
          <w:color w:val="000000" w:themeColor="text1"/>
          <w14:textFill>
            <w14:solidFill>
              <w14:schemeClr w14:val="tx1"/>
            </w14:solidFill>
          </w14:textFill>
        </w:rPr>
      </w:pPr>
    </w:p>
    <w:p>
      <w:pPr>
        <w:pStyle w:val="45"/>
        <w:spacing w:beforeAutospacing="0" w:afterAutospacing="0"/>
        <w:ind w:left="0" w:leftChars="0"/>
        <w:rPr>
          <w:rFonts w:eastAsia="仿宋_GB2312"/>
          <w:color w:val="000000" w:themeColor="text1"/>
          <w14:textFill>
            <w14:solidFill>
              <w14:schemeClr w14:val="tx1"/>
            </w14:solidFill>
          </w14:textFill>
        </w:rPr>
      </w:pPr>
    </w:p>
    <w:p>
      <w:pPr>
        <w:pStyle w:val="45"/>
        <w:spacing w:beforeAutospacing="0" w:afterAutospacing="0"/>
        <w:ind w:left="0" w:leftChars="0"/>
        <w:rPr>
          <w:rFonts w:eastAsia="仿宋_GB2312"/>
          <w:color w:val="000000" w:themeColor="text1"/>
          <w14:textFill>
            <w14:solidFill>
              <w14:schemeClr w14:val="tx1"/>
            </w14:solidFill>
          </w14:textFill>
        </w:rPr>
      </w:pPr>
    </w:p>
    <w:p>
      <w:pPr>
        <w:keepNext/>
        <w:keepLines/>
        <w:adjustRightInd w:val="0"/>
        <w:snapToGrid w:val="0"/>
        <w:spacing w:line="560" w:lineRule="exact"/>
        <w:ind w:firstLine="720"/>
        <w:rPr>
          <w:rFonts w:eastAsia="方正小标宋简体"/>
          <w:color w:val="000000" w:themeColor="text1"/>
          <w:sz w:val="36"/>
          <w:szCs w:val="36"/>
          <w14:textFill>
            <w14:solidFill>
              <w14:schemeClr w14:val="tx1"/>
            </w14:solidFill>
          </w14:textFill>
        </w:rPr>
      </w:pPr>
      <w:r>
        <w:rPr>
          <w:rFonts w:ascii="Times New Roman" w:hAnsi="Times New Roman" w:eastAsia="方正小标宋简体" w:cs="Times New Roman"/>
          <w:color w:val="000000" w:themeColor="text1"/>
          <w:sz w:val="36"/>
          <w:szCs w:val="36"/>
          <w14:textFill>
            <w14:solidFill>
              <w14:schemeClr w14:val="tx1"/>
            </w14:solidFill>
          </w14:textFill>
        </w:rPr>
        <w:br w:type="page"/>
      </w:r>
    </w:p>
    <w:p>
      <w:pPr>
        <w:pStyle w:val="5"/>
        <w:spacing w:line="560" w:lineRule="exact"/>
        <w:rPr>
          <w:rFonts w:eastAsia="方正小标宋简体"/>
          <w:color w:val="000000" w:themeColor="text1"/>
          <w:sz w:val="36"/>
          <w:szCs w:val="36"/>
          <w14:textFill>
            <w14:solidFill>
              <w14:schemeClr w14:val="tx1"/>
            </w14:solidFill>
          </w14:textFill>
        </w:rPr>
      </w:pPr>
      <w:bookmarkStart w:id="30" w:name="_Toc29824"/>
      <w:r>
        <w:rPr>
          <w:rFonts w:eastAsia="方正小标宋简体"/>
          <w:color w:val="000000" w:themeColor="text1"/>
          <w:sz w:val="36"/>
          <w:szCs w:val="36"/>
          <w14:textFill>
            <w14:solidFill>
              <w14:schemeClr w14:val="tx1"/>
            </w14:solidFill>
          </w14:textFill>
        </w:rPr>
        <w:t>第五篇 推进文旅深度融合，加快建成全国一流旅游</w:t>
      </w:r>
      <w:bookmarkEnd w:id="30"/>
      <w:bookmarkStart w:id="31" w:name="_Toc19867"/>
    </w:p>
    <w:p>
      <w:pPr>
        <w:pStyle w:val="5"/>
        <w:spacing w:line="560" w:lineRule="exact"/>
        <w:rPr>
          <w:rFonts w:eastAsia="方正小标宋简体"/>
          <w:color w:val="000000" w:themeColor="text1"/>
          <w:sz w:val="36"/>
          <w:szCs w:val="36"/>
          <w14:textFill>
            <w14:solidFill>
              <w14:schemeClr w14:val="tx1"/>
            </w14:solidFill>
          </w14:textFill>
        </w:rPr>
      </w:pPr>
      <w:r>
        <w:rPr>
          <w:rFonts w:eastAsia="方正小标宋简体"/>
          <w:color w:val="000000" w:themeColor="text1"/>
          <w:sz w:val="36"/>
          <w:szCs w:val="36"/>
          <w14:textFill>
            <w14:solidFill>
              <w14:schemeClr w14:val="tx1"/>
            </w14:solidFill>
          </w14:textFill>
        </w:rPr>
        <w:t>度假目的地</w:t>
      </w:r>
      <w:bookmarkEnd w:id="31"/>
    </w:p>
    <w:p>
      <w:pPr>
        <w:spacing w:line="560" w:lineRule="exact"/>
        <w:ind w:firstLine="640"/>
        <w:rPr>
          <w:rFonts w:eastAsia="仿宋_GB2312"/>
          <w:color w:val="000000" w:themeColor="text1"/>
          <w:sz w:val="32"/>
          <w:szCs w:val="32"/>
          <w14:textFill>
            <w14:solidFill>
              <w14:schemeClr w14:val="tx1"/>
            </w14:solidFill>
          </w14:textFill>
        </w:rPr>
      </w:pPr>
    </w:p>
    <w:p>
      <w:pPr>
        <w:pStyle w:val="45"/>
        <w:spacing w:beforeAutospacing="0" w:afterAutospacing="0" w:line="560" w:lineRule="exact"/>
        <w:ind w:left="0" w:leftChars="0" w:firstLine="640"/>
        <w:rPr>
          <w:rFonts w:eastAsia="仿宋_GB2312"/>
          <w:color w:val="000000" w:themeColor="text1"/>
          <w14:textFill>
            <w14:solidFill>
              <w14:schemeClr w14:val="tx1"/>
            </w14:solidFill>
          </w14:textFill>
        </w:rPr>
      </w:pPr>
      <w:r>
        <w:rPr>
          <w:rFonts w:eastAsia="仿宋_GB2312"/>
          <w:color w:val="000000" w:themeColor="text1"/>
          <w:sz w:val="32"/>
          <w:szCs w:val="32"/>
          <w14:textFill>
            <w14:solidFill>
              <w14:schemeClr w14:val="tx1"/>
            </w14:solidFill>
          </w14:textFill>
        </w:rPr>
        <w:t>锚定建设全国一流旅游度假目的地目标，扛牢“吃上旅游饭”使命担当，坚持以文塑旅、以旅彰文，主动融入大张家界国际旅游区，加快推动文旅产业高质量发展，把文旅产业真正打造为支柱产业、民生产业、幸福产业，奋力建设五省边际区域性消费和旅游集散中心。</w:t>
      </w:r>
    </w:p>
    <w:p>
      <w:pPr>
        <w:pStyle w:val="6"/>
        <w:spacing w:line="560" w:lineRule="exact"/>
        <w:rPr>
          <w:rFonts w:ascii="Times New Roman" w:hAnsi="Times New Roman" w:eastAsia="黑体" w:cs="Times New Roman"/>
          <w:color w:val="000000" w:themeColor="text1"/>
          <w:sz w:val="32"/>
          <w14:textFill>
            <w14:solidFill>
              <w14:schemeClr w14:val="tx1"/>
            </w14:solidFill>
          </w14:textFill>
        </w:rPr>
      </w:pPr>
    </w:p>
    <w:p>
      <w:pPr>
        <w:pStyle w:val="6"/>
        <w:spacing w:line="560" w:lineRule="exact"/>
        <w:rPr>
          <w:rFonts w:ascii="Times New Roman" w:hAnsi="Times New Roman" w:eastAsia="仿宋_GB2312" w:cs="Times New Roman"/>
          <w:color w:val="000000" w:themeColor="text1"/>
          <w:sz w:val="32"/>
          <w14:textFill>
            <w14:solidFill>
              <w14:schemeClr w14:val="tx1"/>
            </w14:solidFill>
          </w14:textFill>
        </w:rPr>
      </w:pPr>
      <w:bookmarkStart w:id="32" w:name="_Toc24051"/>
      <w:r>
        <w:rPr>
          <w:rFonts w:ascii="Times New Roman" w:hAnsi="Times New Roman" w:eastAsia="黑体" w:cs="Times New Roman"/>
          <w:color w:val="000000" w:themeColor="text1"/>
          <w:sz w:val="32"/>
          <w14:textFill>
            <w14:solidFill>
              <w14:schemeClr w14:val="tx1"/>
            </w14:solidFill>
          </w14:textFill>
        </w:rPr>
        <w:t>第十六章 优化提升</w:t>
      </w:r>
      <w:r>
        <w:rPr>
          <w:rFonts w:ascii="Times New Roman" w:hAnsi="Times New Roman" w:eastAsia="仿宋_GB2312" w:cs="Times New Roman"/>
          <w:color w:val="000000" w:themeColor="text1"/>
          <w:sz w:val="32"/>
          <w14:textFill>
            <w14:solidFill>
              <w14:schemeClr w14:val="tx1"/>
            </w14:solidFill>
          </w14:textFill>
        </w:rPr>
        <w:t>“</w:t>
      </w:r>
      <w:r>
        <w:rPr>
          <w:rFonts w:ascii="Times New Roman" w:hAnsi="Times New Roman" w:eastAsia="黑体" w:cs="Times New Roman"/>
          <w:color w:val="000000" w:themeColor="text1"/>
          <w:sz w:val="32"/>
          <w14:textFill>
            <w14:solidFill>
              <w14:schemeClr w14:val="tx1"/>
            </w14:solidFill>
          </w14:textFill>
        </w:rPr>
        <w:t>三江一湾 四线多点</w:t>
      </w:r>
      <w:r>
        <w:rPr>
          <w:rFonts w:ascii="Times New Roman" w:hAnsi="Times New Roman" w:eastAsia="仿宋_GB2312" w:cs="Times New Roman"/>
          <w:color w:val="000000" w:themeColor="text1"/>
          <w:sz w:val="32"/>
          <w14:textFill>
            <w14:solidFill>
              <w14:schemeClr w14:val="tx1"/>
            </w14:solidFill>
          </w14:textFill>
        </w:rPr>
        <w:t>”</w:t>
      </w:r>
      <w:r>
        <w:rPr>
          <w:rFonts w:ascii="Times New Roman" w:hAnsi="Times New Roman" w:eastAsia="黑体" w:cs="Times New Roman"/>
          <w:color w:val="000000" w:themeColor="text1"/>
          <w:sz w:val="32"/>
          <w14:textFill>
            <w14:solidFill>
              <w14:schemeClr w14:val="tx1"/>
            </w14:solidFill>
          </w14:textFill>
        </w:rPr>
        <w:t>文旅新格局</w:t>
      </w:r>
      <w:bookmarkEnd w:id="32"/>
    </w:p>
    <w:p>
      <w:pPr>
        <w:pStyle w:val="7"/>
        <w:spacing w:line="560" w:lineRule="exact"/>
        <w:rPr>
          <w:rFonts w:eastAsia="仿宋_GB2312"/>
          <w:color w:val="000000" w:themeColor="text1"/>
          <w:sz w:val="32"/>
          <w14:textFill>
            <w14:solidFill>
              <w14:schemeClr w14:val="tx1"/>
            </w14:solidFill>
          </w14:textFill>
        </w:rPr>
      </w:pPr>
    </w:p>
    <w:p>
      <w:pPr>
        <w:pStyle w:val="7"/>
        <w:spacing w:line="56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第一节 聚力打造“三江一湾”核心旅游圈</w:t>
      </w:r>
    </w:p>
    <w:p>
      <w:pPr>
        <w:spacing w:line="560" w:lineRule="exact"/>
        <w:ind w:firstLine="640"/>
        <w:rPr>
          <w:rFonts w:eastAsia="仿宋_GB2312"/>
          <w:color w:val="000000" w:themeColor="text1"/>
          <w:sz w:val="32"/>
          <w:szCs w:val="32"/>
          <w14:textFill>
            <w14:solidFill>
              <w14:schemeClr w14:val="tx1"/>
            </w14:solidFill>
          </w14:textFill>
        </w:rPr>
      </w:pPr>
    </w:p>
    <w:p>
      <w:pPr>
        <w:spacing w:line="56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高标准推进安江、洪江、芷江、榆树湾“三江一湾”建设，打造文旅产业高质量发展主引擎</w:t>
      </w:r>
      <w:r>
        <w:rPr>
          <w:rFonts w:hint="eastAsia" w:eastAsia="仿宋_GB2312" w:cs="Times New Roman"/>
          <w:color w:val="000000" w:themeColor="text1"/>
          <w:sz w:val="32"/>
          <w:szCs w:val="32"/>
          <w14:textFill>
            <w14:solidFill>
              <w14:schemeClr w14:val="tx1"/>
            </w14:solidFill>
          </w14:textFill>
        </w:rPr>
        <w:t>和</w:t>
      </w:r>
      <w:r>
        <w:rPr>
          <w:rFonts w:ascii="Times New Roman" w:hAnsi="Times New Roman" w:eastAsia="仿宋_GB2312" w:cs="Times New Roman"/>
          <w:color w:val="000000" w:themeColor="text1"/>
          <w:sz w:val="32"/>
          <w:szCs w:val="32"/>
          <w14:textFill>
            <w14:solidFill>
              <w14:schemeClr w14:val="tx1"/>
            </w14:solidFill>
          </w14:textFill>
        </w:rPr>
        <w:t>核心龙头旅游产品。深化鹤中旅游一体化，依托㵲水轴线，整合榆树湾、天问岛、东盟集、荆坪古村等资源，创建榆树湾国家级旅游度假区，打造国内知名生态文旅城市。支持安江农耕文化旅游区创建国家级旅游度假区，推动高庙遗址启动世界文化和自然双重遗产申报，擦亮湖南农耕文化旅游名片。支持洪江古商城创成5A级旅游景区，支持洪江市、洪江区</w:t>
      </w:r>
      <w:r>
        <w:rPr>
          <w:rFonts w:hint="eastAsia" w:eastAsia="仿宋_GB2312" w:cs="Times New Roman"/>
          <w:color w:val="000000" w:themeColor="text1"/>
          <w:sz w:val="32"/>
          <w:szCs w:val="32"/>
          <w14:textFill>
            <w14:solidFill>
              <w14:schemeClr w14:val="tx1"/>
            </w14:solidFill>
          </w14:textFill>
        </w:rPr>
        <w:t>联合</w:t>
      </w:r>
      <w:r>
        <w:rPr>
          <w:rFonts w:ascii="Times New Roman" w:hAnsi="Times New Roman" w:eastAsia="仿宋_GB2312" w:cs="Times New Roman"/>
          <w:color w:val="000000" w:themeColor="text1"/>
          <w:sz w:val="32"/>
          <w:szCs w:val="32"/>
          <w14:textFill>
            <w14:solidFill>
              <w14:schemeClr w14:val="tx1"/>
            </w14:solidFill>
          </w14:textFill>
        </w:rPr>
        <w:t>创建国家历史文化名城。放大芷江县“国际和平城市”“中国华侨国际文化交流基地”优势，推动芷江和平湖度假区创建国家级旅游度假区。</w:t>
      </w:r>
    </w:p>
    <w:p>
      <w:pPr>
        <w:pStyle w:val="7"/>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第二节 差异化建设“四线多点”精品旅游景区和路线</w:t>
      </w:r>
    </w:p>
    <w:p>
      <w:pPr>
        <w:spacing w:line="580" w:lineRule="exact"/>
        <w:ind w:firstLine="640"/>
        <w:rPr>
          <w:rFonts w:eastAsia="仿宋_GB2312"/>
          <w:color w:val="000000" w:themeColor="text1"/>
          <w:sz w:val="32"/>
          <w:szCs w:val="32"/>
          <w14:textFill>
            <w14:solidFill>
              <w14:schemeClr w14:val="tx1"/>
            </w14:solidFill>
          </w14:textFill>
        </w:rPr>
      </w:pPr>
    </w:p>
    <w:p>
      <w:pPr>
        <w:spacing w:line="580" w:lineRule="exact"/>
        <w:ind w:firstLine="640"/>
        <w:rPr>
          <w:rFonts w:eastAsia="仿宋_GB2312"/>
          <w:color w:val="000000" w:themeColor="text1"/>
          <w:sz w:val="32"/>
          <w:szCs w:val="32"/>
          <w14:textFill>
            <w14:solidFill>
              <w14:schemeClr w14:val="tx1"/>
            </w14:solidFill>
          </w14:textFill>
        </w:rPr>
        <w:sectPr>
          <w:footerReference r:id="rId13" w:type="default"/>
          <w:pgSz w:w="11906" w:h="16838"/>
          <w:pgMar w:top="2098" w:right="1474" w:bottom="1701" w:left="1474" w:header="851" w:footer="992" w:gutter="0"/>
          <w:pgNumType w:start="22"/>
          <w:cols w:space="720" w:num="1"/>
          <w:docGrid w:type="lines" w:linePitch="312" w:charSpace="0"/>
        </w:sectPr>
      </w:pPr>
      <w:r>
        <w:rPr>
          <w:rFonts w:ascii="Times New Roman" w:hAnsi="Times New Roman" w:eastAsia="仿宋_GB2312" w:cs="Times New Roman"/>
          <w:color w:val="000000" w:themeColor="text1"/>
          <w:kern w:val="0"/>
          <w:sz w:val="32"/>
          <w:szCs w:val="32"/>
          <w14:textFill>
            <w14:solidFill>
              <w14:schemeClr w14:val="tx1"/>
            </w14:solidFill>
          </w14:textFill>
        </w:rPr>
        <w:t>东线整合雪峰山索道、思蒙碧水丹霞景区、</w:t>
      </w:r>
      <w:r>
        <w:rPr>
          <w:rFonts w:ascii="Times New Roman" w:hAnsi="Times New Roman" w:eastAsia="仿宋_GB2312" w:cs="Times New Roman"/>
          <w:color w:val="000000" w:themeColor="text1"/>
          <w:sz w:val="32"/>
          <w:szCs w:val="32"/>
          <w14:textFill>
            <w14:solidFill>
              <w14:schemeClr w14:val="tx1"/>
            </w14:solidFill>
          </w14:textFill>
        </w:rPr>
        <w:t>穿岩山国家森林公园</w:t>
      </w:r>
      <w:r>
        <w:rPr>
          <w:rFonts w:ascii="Times New Roman" w:hAnsi="Times New Roman" w:eastAsia="仿宋_GB2312" w:cs="Times New Roman"/>
          <w:color w:val="000000" w:themeColor="text1"/>
          <w:kern w:val="0"/>
          <w:sz w:val="32"/>
          <w:szCs w:val="32"/>
          <w14:textFill>
            <w14:solidFill>
              <w14:schemeClr w14:val="tx1"/>
            </w14:solidFill>
          </w14:textFill>
        </w:rPr>
        <w:t>、北斗溪文旅小镇、山背花瑶梯田，培育国际山地度假精品游线，打造“神韵雪峰”品牌。西线整合代远文化旅游景区、米墅清淼温泉、天沐温泉、夜郎大峡谷、龙溪古镇、夜郎王温泉、三道坑景区，培育温泉康养精品游线，打造“寿乡汤泉”品牌。南线整合通道转兵纪念地、粟裕故里、皇都侗文化村、芋头侗寨、高椅古村、万佛山、飞山、排牙山，培育侗苗风情精品游线，打造</w:t>
      </w:r>
      <w:r>
        <w:rPr>
          <w:rFonts w:ascii="Times New Roman" w:hAnsi="Times New Roman" w:eastAsia="仿宋_GB2312" w:cs="Times New Roman"/>
          <w:color w:val="000000" w:themeColor="text1"/>
          <w:sz w:val="32"/>
          <w:szCs w:val="32"/>
          <w14:textFill>
            <w14:solidFill>
              <w14:schemeClr w14:val="tx1"/>
            </w14:solidFill>
          </w14:textFill>
        </w:rPr>
        <w:t>“最美侗寨”品牌。</w:t>
      </w:r>
      <w:r>
        <w:rPr>
          <w:rFonts w:ascii="Times New Roman" w:hAnsi="Times New Roman" w:eastAsia="仿宋_GB2312" w:cs="Times New Roman"/>
          <w:color w:val="000000" w:themeColor="text1"/>
          <w:kern w:val="0"/>
          <w:sz w:val="32"/>
          <w:szCs w:val="32"/>
          <w14:textFill>
            <w14:solidFill>
              <w14:schemeClr w14:val="tx1"/>
            </w14:solidFill>
          </w14:textFill>
        </w:rPr>
        <w:t>北线整合中华书山·二酉山、龙兴讲寺、1938孝坪兵工营、大酉书院，培育书山文化精品游线，</w:t>
      </w:r>
      <w:r>
        <w:rPr>
          <w:rFonts w:ascii="Times New Roman" w:hAnsi="Times New Roman" w:eastAsia="仿宋_GB2312" w:cs="Times New Roman"/>
          <w:color w:val="000000" w:themeColor="text1"/>
          <w:sz w:val="32"/>
          <w:szCs w:val="32"/>
          <w14:textFill>
            <w14:solidFill>
              <w14:schemeClr w14:val="tx1"/>
            </w14:solidFill>
          </w14:textFill>
        </w:rPr>
        <w:t>打造“中华书山”品牌。</w:t>
      </w:r>
      <w:r>
        <w:rPr>
          <w:rFonts w:ascii="Times New Roman" w:hAnsi="Times New Roman" w:eastAsia="仿宋_GB2312" w:cs="Times New Roman"/>
          <w:color w:val="000000" w:themeColor="text1"/>
          <w:kern w:val="0"/>
          <w:sz w:val="32"/>
          <w:szCs w:val="32"/>
          <w14:textFill>
            <w14:solidFill>
              <w14:schemeClr w14:val="tx1"/>
            </w14:solidFill>
          </w14:textFill>
        </w:rPr>
        <w:t>到2030年，力争全市A级景区达到70家以上、其中4A级景区30家以上，省级旅游度假区10家以上，</w:t>
      </w:r>
      <w:r>
        <w:rPr>
          <w:rFonts w:ascii="Times New Roman" w:hAnsi="Times New Roman" w:eastAsia="仿宋_GB2312" w:cs="Times New Roman"/>
          <w:color w:val="000000" w:themeColor="text1"/>
          <w:sz w:val="32"/>
          <w:szCs w:val="32"/>
          <w14:textFill>
            <w14:solidFill>
              <w14:schemeClr w14:val="tx1"/>
            </w14:solidFill>
          </w14:textFill>
        </w:rPr>
        <w:t>推动形成点面联合、串珠成链的全域旅游发展新格局。</w:t>
      </w:r>
    </w:p>
    <w:p>
      <w:pPr>
        <w:pStyle w:val="45"/>
        <w:spacing w:before="312" w:beforeLines="100" w:beforeAutospacing="0" w:afterAutospacing="0" w:line="570" w:lineRule="exact"/>
        <w:ind w:left="0" w:leftChars="0" w:firstLine="0" w:firstLineChars="0"/>
        <w:jc w:val="center"/>
        <w:rPr>
          <w:rFonts w:eastAsia="楷体_GB2312"/>
          <w:color w:val="000000" w:themeColor="text1"/>
          <w:sz w:val="32"/>
          <w:szCs w:val="32"/>
          <w14:textFill>
            <w14:solidFill>
              <w14:schemeClr w14:val="tx1"/>
            </w14:solidFill>
          </w14:textFill>
        </w:rPr>
      </w:pPr>
      <w:r>
        <w:rPr>
          <w:rFonts w:eastAsia="楷体_GB2312"/>
          <w:color w:val="000000" w:themeColor="text1"/>
          <w:sz w:val="32"/>
          <w:szCs w:val="32"/>
          <w14:textFill>
            <w14:solidFill>
              <w14:schemeClr w14:val="tx1"/>
            </w14:solidFill>
          </w14:textFill>
        </w:rPr>
        <w:drawing>
          <wp:anchor distT="0" distB="0" distL="114300" distR="114300" simplePos="0" relativeHeight="251665408" behindDoc="1" locked="0" layoutInCell="1" allowOverlap="1">
            <wp:simplePos x="0" y="0"/>
            <wp:positionH relativeFrom="column">
              <wp:posOffset>-59055</wp:posOffset>
            </wp:positionH>
            <wp:positionV relativeFrom="paragraph">
              <wp:posOffset>34925</wp:posOffset>
            </wp:positionV>
            <wp:extent cx="5757545" cy="7653655"/>
            <wp:effectExtent l="0" t="0" r="14605" b="4445"/>
            <wp:wrapTight wrapText="bothSides">
              <wp:wrapPolygon>
                <wp:start x="0" y="0"/>
                <wp:lineTo x="0" y="21559"/>
                <wp:lineTo x="21512" y="21559"/>
                <wp:lineTo x="21512" y="0"/>
                <wp:lineTo x="0" y="0"/>
              </wp:wrapPolygon>
            </wp:wrapTight>
            <wp:docPr id="32" name="图片 3" descr="微信图片_20251128091112_138_41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2" name="图片 3" descr="微信图片_20251128091112_138_414"/>
                    <pic:cNvPicPr>
                      <a:picLocks noChangeAspect="true"/>
                    </pic:cNvPicPr>
                  </pic:nvPicPr>
                  <pic:blipFill>
                    <a:blip r:embed="rId21"/>
                    <a:stretch>
                      <a:fillRect/>
                    </a:stretch>
                  </pic:blipFill>
                  <pic:spPr>
                    <a:xfrm>
                      <a:off x="0" y="0"/>
                      <a:ext cx="5757545" cy="7653655"/>
                    </a:xfrm>
                    <a:prstGeom prst="rect">
                      <a:avLst/>
                    </a:prstGeom>
                    <a:noFill/>
                    <a:ln>
                      <a:noFill/>
                    </a:ln>
                  </pic:spPr>
                </pic:pic>
              </a:graphicData>
            </a:graphic>
          </wp:anchor>
        </w:drawing>
      </w:r>
      <w:r>
        <w:rPr>
          <w:rFonts w:eastAsia="楷体_GB2312"/>
          <w:color w:val="000000" w:themeColor="text1"/>
          <w:sz w:val="32"/>
          <w:szCs w:val="32"/>
          <w14:textFill>
            <w14:solidFill>
              <w14:schemeClr w14:val="tx1"/>
            </w14:solidFill>
          </w14:textFill>
        </w:rPr>
        <w:t>图5—1 怀化市</w:t>
      </w:r>
      <w:r>
        <w:rPr>
          <w:rFonts w:eastAsia="仿宋_GB2312"/>
          <w:color w:val="000000" w:themeColor="text1"/>
          <w:sz w:val="32"/>
          <w:szCs w:val="32"/>
          <w14:textFill>
            <w14:solidFill>
              <w14:schemeClr w14:val="tx1"/>
            </w14:solidFill>
          </w14:textFill>
        </w:rPr>
        <w:t>“</w:t>
      </w:r>
      <w:r>
        <w:rPr>
          <w:rFonts w:eastAsia="楷体_GB2312"/>
          <w:color w:val="000000" w:themeColor="text1"/>
          <w:sz w:val="32"/>
          <w:szCs w:val="32"/>
          <w14:textFill>
            <w14:solidFill>
              <w14:schemeClr w14:val="tx1"/>
            </w14:solidFill>
          </w14:textFill>
        </w:rPr>
        <w:t>三江一湾、四线多点</w:t>
      </w:r>
      <w:r>
        <w:rPr>
          <w:rFonts w:eastAsia="仿宋_GB2312"/>
          <w:color w:val="000000" w:themeColor="text1"/>
          <w:sz w:val="32"/>
          <w:szCs w:val="32"/>
          <w14:textFill>
            <w14:solidFill>
              <w14:schemeClr w14:val="tx1"/>
            </w14:solidFill>
          </w14:textFill>
        </w:rPr>
        <w:t>”</w:t>
      </w:r>
      <w:r>
        <w:rPr>
          <w:rFonts w:eastAsia="楷体_GB2312"/>
          <w:color w:val="000000" w:themeColor="text1"/>
          <w:sz w:val="32"/>
          <w:szCs w:val="32"/>
          <w14:textFill>
            <w14:solidFill>
              <w14:schemeClr w14:val="tx1"/>
            </w14:solidFill>
          </w14:textFill>
        </w:rPr>
        <w:t>文旅空间布局示意图</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9071" w:type="dxa"/>
            <w:vAlign w:val="center"/>
          </w:tcPr>
          <w:p>
            <w:pPr>
              <w:spacing w:line="570" w:lineRule="exact"/>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专栏5—1 文化旅游重点项目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71" w:type="dxa"/>
          </w:tcPr>
          <w:p>
            <w:pPr>
              <w:spacing w:line="460" w:lineRule="exact"/>
              <w:ind w:firstLine="640"/>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沅陵县：</w:t>
            </w:r>
            <w:r>
              <w:rPr>
                <w:rFonts w:ascii="Times New Roman" w:hAnsi="Times New Roman" w:eastAsia="楷体_GB2312" w:cs="Times New Roman"/>
                <w:color w:val="000000" w:themeColor="text1"/>
                <w:sz w:val="32"/>
                <w:szCs w:val="32"/>
                <w14:textFill>
                  <w14:solidFill>
                    <w14:schemeClr w14:val="tx1"/>
                  </w14:solidFill>
                </w14:textFill>
              </w:rPr>
              <w:t>实施沅陵县二酉山旅游景区基础设施建设项目（二期）、沅陵县辰州古街二期项目。</w:t>
            </w:r>
          </w:p>
          <w:p>
            <w:pPr>
              <w:spacing w:line="460" w:lineRule="exact"/>
              <w:ind w:firstLine="640"/>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辰溪县：</w:t>
            </w:r>
            <w:r>
              <w:rPr>
                <w:rFonts w:ascii="Times New Roman" w:hAnsi="Times New Roman" w:eastAsia="楷体_GB2312" w:cs="Times New Roman"/>
                <w:color w:val="000000" w:themeColor="text1"/>
                <w:sz w:val="32"/>
                <w:szCs w:val="32"/>
                <w14:textFill>
                  <w14:solidFill>
                    <w14:schemeClr w14:val="tx1"/>
                  </w14:solidFill>
                </w14:textFill>
              </w:rPr>
              <w:t>实施1938孝坪兵工营项目、城南三角洲文旅综合体项目。</w:t>
            </w:r>
          </w:p>
          <w:p>
            <w:pPr>
              <w:spacing w:line="46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溆浦县：</w:t>
            </w:r>
            <w:r>
              <w:rPr>
                <w:rFonts w:ascii="Times New Roman" w:hAnsi="Times New Roman" w:eastAsia="楷体_GB2312" w:cs="Times New Roman"/>
                <w:color w:val="000000" w:themeColor="text1"/>
                <w:sz w:val="32"/>
                <w:szCs w:val="32"/>
                <w14:textFill>
                  <w14:solidFill>
                    <w14:schemeClr w14:val="tx1"/>
                  </w14:solidFill>
                </w14:textFill>
              </w:rPr>
              <w:t>实施世界旅游名山雪峰山文旅体商综合体项目、北斗航空文化园项目、国家级非物质文化遗产代表性项目花瑶挑花保护项目。</w:t>
            </w:r>
          </w:p>
          <w:p>
            <w:pPr>
              <w:spacing w:line="460" w:lineRule="exact"/>
              <w:ind w:firstLine="640"/>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麻阳县：</w:t>
            </w:r>
            <w:r>
              <w:rPr>
                <w:rFonts w:ascii="Times New Roman" w:hAnsi="Times New Roman" w:eastAsia="楷体_GB2312" w:cs="Times New Roman"/>
                <w:color w:val="000000" w:themeColor="text1"/>
                <w:sz w:val="32"/>
                <w:szCs w:val="32"/>
                <w14:textFill>
                  <w14:solidFill>
                    <w14:schemeClr w14:val="tx1"/>
                  </w14:solidFill>
                </w14:textFill>
              </w:rPr>
              <w:t>实施麻阳县橙香园农文旅体综合体建设项目、麻阳米墅清淼温泉康养项目、麻阳长寿里夜经济消费聚集区建设项目、麻阳县橙香·温泉疗愈度假建设项目、麻阳西晃山文旅综合体建设项目、麻阳龙游湖国际温泉康养度假区建设项目。</w:t>
            </w:r>
          </w:p>
          <w:p>
            <w:pPr>
              <w:spacing w:line="460" w:lineRule="exact"/>
              <w:ind w:firstLine="643"/>
              <w:rPr>
                <w:rFonts w:ascii="Times New Roman" w:hAnsi="Times New Roman" w:eastAsia="楷体_GB2312" w:cs="Times New Roman"/>
                <w:b/>
                <w:bCs w:val="0"/>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新晃县：</w:t>
            </w:r>
            <w:r>
              <w:rPr>
                <w:rFonts w:ascii="Times New Roman" w:hAnsi="Times New Roman" w:eastAsia="楷体_GB2312" w:cs="Times New Roman"/>
                <w:color w:val="000000" w:themeColor="text1"/>
                <w:sz w:val="32"/>
                <w:szCs w:val="32"/>
                <w14:textFill>
                  <w14:solidFill>
                    <w14:schemeClr w14:val="tx1"/>
                  </w14:solidFill>
                </w14:textFill>
              </w:rPr>
              <w:t>实施龙溪古镇建设项目、夜郎王温泉小镇项目、夜郎大峡谷景区配套基础设施建设项目。</w:t>
            </w:r>
          </w:p>
          <w:p>
            <w:pPr>
              <w:spacing w:line="46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芷江县：</w:t>
            </w:r>
            <w:r>
              <w:rPr>
                <w:rFonts w:ascii="Times New Roman" w:hAnsi="Times New Roman" w:eastAsia="楷体_GB2312" w:cs="Times New Roman"/>
                <w:color w:val="000000" w:themeColor="text1"/>
                <w:sz w:val="32"/>
                <w:szCs w:val="32"/>
                <w14:textFill>
                  <w14:solidFill>
                    <w14:schemeClr w14:val="tx1"/>
                  </w14:solidFill>
                </w14:textFill>
              </w:rPr>
              <w:t>实施非遗文化传承基地配套基础设施提升项目、冠乐贝休闲旅游度假区建设项目、五溪源文化旅游开发建设项目、芷江文庙修缮保护项目、和之城云树度假酒店EPC项目。</w:t>
            </w:r>
          </w:p>
          <w:p>
            <w:pPr>
              <w:spacing w:line="46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鹤城区</w:t>
            </w:r>
            <w:r>
              <w:rPr>
                <w:rFonts w:ascii="Times New Roman" w:hAnsi="Times New Roman" w:eastAsia="楷体_GB2312" w:cs="Times New Roman"/>
                <w:color w:val="000000" w:themeColor="text1"/>
                <w:sz w:val="32"/>
                <w:szCs w:val="32"/>
                <w14:textFill>
                  <w14:solidFill>
                    <w14:schemeClr w14:val="tx1"/>
                  </w14:solidFill>
                </w14:textFill>
              </w:rPr>
              <w:t>：实施华强方特项目、怀化天问岛研学项目、友阿奥特莱斯项目，提质升级黄岩生态旅游区。</w:t>
            </w:r>
          </w:p>
          <w:p>
            <w:pPr>
              <w:spacing w:line="46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中方县：</w:t>
            </w:r>
            <w:r>
              <w:rPr>
                <w:rFonts w:ascii="Times New Roman" w:hAnsi="Times New Roman" w:eastAsia="楷体_GB2312" w:cs="Times New Roman"/>
                <w:color w:val="000000" w:themeColor="text1"/>
                <w:sz w:val="32"/>
                <w:szCs w:val="32"/>
                <w14:textFill>
                  <w14:solidFill>
                    <w14:schemeClr w14:val="tx1"/>
                  </w14:solidFill>
                </w14:textFill>
              </w:rPr>
              <w:t>实施中方县㵲水流域综合治理与特色产业融合发展EOD项目、中方县㵲水文化旅游区配套基础设施建设项目、㵲水西岸文旅综合体项目。</w:t>
            </w:r>
          </w:p>
          <w:p>
            <w:pPr>
              <w:spacing w:line="46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洪江市：</w:t>
            </w:r>
            <w:r>
              <w:rPr>
                <w:rFonts w:ascii="Times New Roman" w:hAnsi="Times New Roman" w:eastAsia="楷体_GB2312" w:cs="Times New Roman"/>
                <w:color w:val="000000" w:themeColor="text1"/>
                <w:sz w:val="32"/>
                <w:szCs w:val="32"/>
                <w14:textFill>
                  <w14:solidFill>
                    <w14:schemeClr w14:val="tx1"/>
                  </w14:solidFill>
                </w14:textFill>
              </w:rPr>
              <w:t>实施洪江市岔头岩里景区配套基础设施建设项目、洪江市黔阳古城景区配套基础设施建设项目、洪江市智慧旅游建设项目。</w:t>
            </w:r>
          </w:p>
          <w:p>
            <w:pPr>
              <w:spacing w:line="46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洪江区：</w:t>
            </w:r>
            <w:r>
              <w:rPr>
                <w:rFonts w:ascii="Times New Roman" w:hAnsi="Times New Roman" w:eastAsia="楷体_GB2312" w:cs="Times New Roman"/>
                <w:color w:val="000000" w:themeColor="text1"/>
                <w:sz w:val="32"/>
                <w:szCs w:val="32"/>
                <w14:textFill>
                  <w14:solidFill>
                    <w14:schemeClr w14:val="tx1"/>
                  </w14:solidFill>
                </w14:textFill>
              </w:rPr>
              <w:t>实施洪江古商城景区配套基础设施建设项目、洪江古商城旅游景区建设项目、嵩云山AAA级景区旅游基础设施建设项目。</w:t>
            </w:r>
          </w:p>
          <w:p>
            <w:pPr>
              <w:spacing w:line="460" w:lineRule="exact"/>
              <w:ind w:firstLine="640"/>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会同县：</w:t>
            </w:r>
            <w:r>
              <w:rPr>
                <w:rFonts w:ascii="Times New Roman" w:hAnsi="Times New Roman" w:eastAsia="楷体_GB2312" w:cs="Times New Roman"/>
                <w:color w:val="000000" w:themeColor="text1"/>
                <w:sz w:val="32"/>
                <w:szCs w:val="32"/>
                <w14:textFill>
                  <w14:solidFill>
                    <w14:schemeClr w14:val="tx1"/>
                  </w14:solidFill>
                </w14:textFill>
              </w:rPr>
              <w:t>实施会同县宝田茶旅田园综合体建设项目、粟裕故里景区旅游基础设施完善提升工程。</w:t>
            </w:r>
          </w:p>
          <w:p>
            <w:pPr>
              <w:spacing w:line="460" w:lineRule="exact"/>
              <w:ind w:firstLine="640"/>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靖州县：</w:t>
            </w:r>
            <w:r>
              <w:rPr>
                <w:rFonts w:ascii="Times New Roman" w:hAnsi="Times New Roman" w:eastAsia="楷体_GB2312" w:cs="Times New Roman"/>
                <w:color w:val="000000" w:themeColor="text1"/>
                <w:sz w:val="32"/>
                <w:szCs w:val="32"/>
                <w14:textFill>
                  <w14:solidFill>
                    <w14:schemeClr w14:val="tx1"/>
                  </w14:solidFill>
                </w14:textFill>
              </w:rPr>
              <w:t>实施靖州县飞山景区基础设施提质升级项目、靖州县文峰塔景区旅游提质改造工程。</w:t>
            </w:r>
          </w:p>
          <w:p>
            <w:pPr>
              <w:spacing w:line="460" w:lineRule="exact"/>
              <w:ind w:firstLine="640"/>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通道县：</w:t>
            </w:r>
            <w:r>
              <w:rPr>
                <w:rFonts w:ascii="Times New Roman" w:hAnsi="Times New Roman" w:eastAsia="楷体_GB2312" w:cs="Times New Roman"/>
                <w:color w:val="000000" w:themeColor="text1"/>
                <w:sz w:val="32"/>
                <w:szCs w:val="32"/>
                <w14:textFill>
                  <w14:solidFill>
                    <w14:schemeClr w14:val="tx1"/>
                  </w14:solidFill>
                </w14:textFill>
              </w:rPr>
              <w:t>实施通道县红军街消费基础设施建设项目。</w:t>
            </w:r>
          </w:p>
        </w:tc>
      </w:tr>
    </w:tbl>
    <w:p>
      <w:pPr>
        <w:pStyle w:val="7"/>
        <w:spacing w:line="580" w:lineRule="exact"/>
        <w:rPr>
          <w:rFonts w:eastAsia="仿宋_GB2312"/>
          <w:color w:val="000000" w:themeColor="text1"/>
          <w:sz w:val="32"/>
          <w14:textFill>
            <w14:solidFill>
              <w14:schemeClr w14:val="tx1"/>
            </w14:solidFill>
          </w14:textFill>
        </w:rPr>
      </w:pPr>
    </w:p>
    <w:p>
      <w:pPr>
        <w:pStyle w:val="7"/>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第三节 促进旅游区域协作联动发展</w:t>
      </w:r>
    </w:p>
    <w:p>
      <w:pPr>
        <w:spacing w:line="580" w:lineRule="exact"/>
        <w:ind w:firstLine="640"/>
        <w:rPr>
          <w:rFonts w:eastAsia="仿宋_GB2312"/>
          <w:color w:val="000000" w:themeColor="text1"/>
          <w:sz w:val="32"/>
          <w:szCs w:val="32"/>
          <w14:textFill>
            <w14:solidFill>
              <w14:schemeClr w14:val="tx1"/>
            </w14:solidFill>
          </w14:textFill>
        </w:rPr>
      </w:pPr>
    </w:p>
    <w:p>
      <w:pPr>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加快建设区域性消费和旅游集散中心，持续完善跨市州交通互联与文旅共建，实现资源整合、线路共联、市场共享，精心策划推出一批跨区域精品旅游线路。融入武陵山旅游，推动大张家界国际旅游区建设，加强与张家界、湘西州、铜仁、黔东南等旅游合作。主导雪峰山旅游，加快世界旅游名山雪峰山旅游开发，建设一流山地旅游度假目的地。对接桂林旅游，推动湘黔桂环三省坡文旅协作区建设。聚焦粤港澳、黔渝川、长株潭和周边地区重要客源地，实施精准营销与品牌推广，大力推动“引客入怀”。着力推动与周边省市线路互联、客源互送。深化港产城旅融合发展，依托怀化国际陆港平台优势，开展国际旅游交流合作，重点开发面向东盟市场的稻作文化寻根、和平教育研学等跨境主题旅游产品，打造东盟游客来华旅游热门目的地。到2030年，全市年接待游客、旅游总花费分别达到1亿人次以上、1000亿元以上。</w:t>
      </w:r>
    </w:p>
    <w:p>
      <w:pPr>
        <w:pStyle w:val="6"/>
        <w:spacing w:line="590" w:lineRule="exact"/>
        <w:rPr>
          <w:rFonts w:ascii="Times New Roman" w:hAnsi="Times New Roman" w:eastAsia="黑体" w:cs="Times New Roman"/>
          <w:color w:val="000000" w:themeColor="text1"/>
          <w:sz w:val="32"/>
          <w14:textFill>
            <w14:solidFill>
              <w14:schemeClr w14:val="tx1"/>
            </w14:solidFill>
          </w14:textFill>
        </w:rPr>
      </w:pPr>
      <w:bookmarkStart w:id="33" w:name="_Toc24545"/>
      <w:r>
        <w:rPr>
          <w:rFonts w:ascii="Times New Roman" w:hAnsi="Times New Roman" w:eastAsia="黑体" w:cs="Times New Roman"/>
          <w:color w:val="000000" w:themeColor="text1"/>
          <w:sz w:val="32"/>
          <w14:textFill>
            <w14:solidFill>
              <w14:schemeClr w14:val="tx1"/>
            </w14:solidFill>
          </w14:textFill>
        </w:rPr>
        <w:t>第十七章 丰富高品质旅游产品供给</w:t>
      </w:r>
      <w:bookmarkEnd w:id="33"/>
    </w:p>
    <w:p>
      <w:pPr>
        <w:pStyle w:val="7"/>
        <w:spacing w:line="590" w:lineRule="exact"/>
        <w:rPr>
          <w:rFonts w:eastAsia="仿宋_GB2312"/>
          <w:color w:val="000000" w:themeColor="text1"/>
          <w:sz w:val="32"/>
          <w14:textFill>
            <w14:solidFill>
              <w14:schemeClr w14:val="tx1"/>
            </w14:solidFill>
          </w14:textFill>
        </w:rPr>
      </w:pPr>
    </w:p>
    <w:p>
      <w:pPr>
        <w:pStyle w:val="7"/>
        <w:spacing w:line="59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第一节 提升在地文化旅游辨识度</w:t>
      </w:r>
    </w:p>
    <w:p>
      <w:pPr>
        <w:spacing w:line="590" w:lineRule="exact"/>
        <w:ind w:firstLine="640"/>
        <w:rPr>
          <w:rFonts w:eastAsia="仿宋_GB2312"/>
          <w:color w:val="000000" w:themeColor="text1"/>
          <w:sz w:val="32"/>
          <w:szCs w:val="32"/>
          <w14:textFill>
            <w14:solidFill>
              <w14:schemeClr w14:val="tx1"/>
            </w14:solidFill>
          </w14:textFill>
        </w:rPr>
      </w:pPr>
    </w:p>
    <w:p>
      <w:pPr>
        <w:spacing w:line="59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深入挖掘农耕文化、红色文化、屈原文化、商道文化、民族文化、和平文化等文化内涵，统筹推进古城、古镇、古村整体保护与活态传承，申创国家级五溪文化生态保护（实验）区，持续推动通道侗寨申报世界文化遗产。创新推动“文博+”融合发展，提升怀化博物馆、沅陵博物馆、杂交水稻发源地博物馆等展陈水平，开发主题文创产品，打造一批文物主题游、文博研学精品线路，培育新型文博消费业态。持续推进“非遗点亮怀化”计划，到2030年，力争建成20个以上非遗示范工坊、非遗示范街区。</w:t>
      </w:r>
    </w:p>
    <w:p>
      <w:pPr>
        <w:spacing w:line="590" w:lineRule="exact"/>
        <w:ind w:firstLine="640"/>
        <w:rPr>
          <w:rFonts w:eastAsia="仿宋_GB2312"/>
          <w:color w:val="000000" w:themeColor="text1"/>
          <w:sz w:val="32"/>
          <w:szCs w:val="32"/>
          <w14:textFill>
            <w14:solidFill>
              <w14:schemeClr w14:val="tx1"/>
            </w14:solidFill>
          </w14:textFill>
        </w:rPr>
      </w:pPr>
    </w:p>
    <w:p>
      <w:pPr>
        <w:pStyle w:val="7"/>
        <w:spacing w:line="59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第二节 创新文旅新产品新业态新模式</w:t>
      </w:r>
    </w:p>
    <w:p>
      <w:pPr>
        <w:pStyle w:val="9"/>
        <w:spacing w:line="590" w:lineRule="exact"/>
        <w:ind w:firstLine="0" w:firstLineChars="0"/>
        <w:jc w:val="left"/>
        <w:rPr>
          <w:rFonts w:eastAsia="仿宋_GB2312"/>
          <w:color w:val="000000" w:themeColor="text1"/>
          <w:sz w:val="32"/>
          <w:szCs w:val="32"/>
          <w14:textFill>
            <w14:solidFill>
              <w14:schemeClr w14:val="tx1"/>
            </w14:solidFill>
          </w14:textFill>
        </w:rPr>
      </w:pPr>
    </w:p>
    <w:p>
      <w:pPr>
        <w:spacing w:line="59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健全“文旅+”融合发展机制，实施“文旅+百业”工程，培育开发“文旅+演艺”</w:t>
      </w:r>
      <w:r>
        <w:rPr>
          <w:rFonts w:hint="eastAsia"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文旅+体育</w:t>
      </w:r>
      <w:r>
        <w:rPr>
          <w:rFonts w:hint="eastAsia"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观光+研学</w:t>
      </w:r>
      <w:r>
        <w:rPr>
          <w:rFonts w:hint="eastAsia"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旅游+非遗</w:t>
      </w:r>
      <w:r>
        <w:rPr>
          <w:rFonts w:hint="eastAsia"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旅居+康养</w:t>
      </w:r>
      <w:r>
        <w:rPr>
          <w:rFonts w:hint="eastAsia"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等新场景。积极融入国家、省级文化和科技融合示范基地建设，支持重点景区创新应用VR、AR、人工智能等新技术，推出数字文博、全息剧场、机器人工作坊等沉浸式体验新场景。提质升级红色旅游产品，加强红色遗址保护、红色场馆建设，打造红色旅游品牌体系，擦亮通道转兵纪念地、抗战胜利受降地、杂交水稻发源地等“福地怀化”核心品牌。丰富完善专项旅游产品，发展山地度假旅游，打响“世界旅游名山—雪峰山”品牌。提升生态康养旅游，创成10个以上具有中医药特色的省级森林康养基地。依托“京昆古驿道”和旅游干线，发展全域自驾游、自助游。保护利用好古城古镇古村等资源，发展旅居、康养等乡村旅游。做优研学教育旅游，升级精品研学旅游课程，推动建成10个以上优质研学旅游基地。拓展低空旅游，培育低空经济新增长点。</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9071" w:type="dxa"/>
            <w:vAlign w:val="center"/>
          </w:tcPr>
          <w:p>
            <w:pPr>
              <w:spacing w:line="490" w:lineRule="exact"/>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专栏5—2 高品质旅游产品和业态提升行动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71" w:type="dxa"/>
          </w:tcPr>
          <w:p>
            <w:pPr>
              <w:adjustRightInd w:val="0"/>
              <w:snapToGrid w:val="0"/>
              <w:spacing w:line="48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1.山地度假旅游。</w:t>
            </w:r>
            <w:r>
              <w:rPr>
                <w:rFonts w:ascii="Times New Roman" w:hAnsi="Times New Roman" w:eastAsia="楷体_GB2312" w:cs="Times New Roman"/>
                <w:color w:val="000000" w:themeColor="text1"/>
                <w:sz w:val="32"/>
                <w:szCs w:val="32"/>
                <w14:textFill>
                  <w14:solidFill>
                    <w14:schemeClr w14:val="tx1"/>
                  </w14:solidFill>
                </w14:textFill>
              </w:rPr>
              <w:t>借助</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楷体_GB2312" w:cs="Times New Roman"/>
                <w:color w:val="000000" w:themeColor="text1"/>
                <w:sz w:val="32"/>
                <w:szCs w:val="32"/>
                <w14:textFill>
                  <w14:solidFill>
                    <w14:schemeClr w14:val="tx1"/>
                  </w14:solidFill>
                </w14:textFill>
              </w:rPr>
              <w:t>世界最长高山索道——雪峰山索道</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楷体_GB2312" w:cs="Times New Roman"/>
                <w:color w:val="000000" w:themeColor="text1"/>
                <w:sz w:val="32"/>
                <w:szCs w:val="32"/>
                <w14:textFill>
                  <w14:solidFill>
                    <w14:schemeClr w14:val="tx1"/>
                  </w14:solidFill>
                </w14:textFill>
              </w:rPr>
              <w:t>IP，建设高品质避暑度假胜地。培育集冰雪运动、民俗体验、温泉疗养于一体的冬季旅游度假区，塑造</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楷体_GB2312" w:cs="Times New Roman"/>
                <w:color w:val="000000" w:themeColor="text1"/>
                <w:sz w:val="32"/>
                <w:szCs w:val="32"/>
                <w14:textFill>
                  <w14:solidFill>
                    <w14:schemeClr w14:val="tx1"/>
                  </w14:solidFill>
                </w14:textFill>
              </w:rPr>
              <w:t>神韵雪峰</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楷体_GB2312" w:cs="Times New Roman"/>
                <w:color w:val="000000" w:themeColor="text1"/>
                <w:spacing w:val="-6"/>
                <w:sz w:val="32"/>
                <w:szCs w:val="32"/>
                <w14:textFill>
                  <w14:solidFill>
                    <w14:schemeClr w14:val="tx1"/>
                  </w14:solidFill>
                </w14:textFill>
              </w:rPr>
              <w:t>冰雪旅游IP。推出雪峰山抗战决胜地至芷江抗战受降地联动线路</w:t>
            </w:r>
            <w:r>
              <w:rPr>
                <w:rFonts w:ascii="Times New Roman" w:hAnsi="Times New Roman" w:eastAsia="楷体_GB2312" w:cs="Times New Roman"/>
                <w:color w:val="000000" w:themeColor="text1"/>
                <w:spacing w:val="6"/>
                <w:sz w:val="32"/>
                <w:szCs w:val="32"/>
                <w14:textFill>
                  <w14:solidFill>
                    <w14:schemeClr w14:val="tx1"/>
                  </w14:solidFill>
                </w14:textFill>
              </w:rPr>
              <w:t>。</w:t>
            </w:r>
          </w:p>
          <w:p>
            <w:pPr>
              <w:adjustRightInd w:val="0"/>
              <w:snapToGrid w:val="0"/>
              <w:spacing w:line="48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2.特色乡村旅游。</w:t>
            </w:r>
            <w:r>
              <w:rPr>
                <w:rFonts w:ascii="Times New Roman" w:hAnsi="Times New Roman" w:eastAsia="楷体_GB2312" w:cs="Times New Roman"/>
                <w:color w:val="000000" w:themeColor="text1"/>
                <w:sz w:val="32"/>
                <w:szCs w:val="32"/>
                <w14:textFill>
                  <w14:solidFill>
                    <w14:schemeClr w14:val="tx1"/>
                  </w14:solidFill>
                </w14:textFill>
              </w:rPr>
              <w:t>支持洪江古商城商道文化、黔阳古城传统诗词文化、荆坪古村宫廷音乐文化、靖州地笋苗寨、通道皇都侗文化村和芋头古侗寨、麻阳豪侠坪等民族民俗文化创新性发展。推进通道皇都侗文化村、会同高椅古村、中方荆坪古村、鹤城黄岩温泉酒店、麻阳隆家堡温泉等差异化旅居项目建设。</w:t>
            </w:r>
          </w:p>
          <w:p>
            <w:pPr>
              <w:adjustRightInd w:val="0"/>
              <w:snapToGrid w:val="0"/>
              <w:spacing w:line="48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3.研学旅游。</w:t>
            </w:r>
            <w:r>
              <w:rPr>
                <w:rFonts w:ascii="Times New Roman" w:hAnsi="Times New Roman" w:eastAsia="楷体_GB2312" w:cs="Times New Roman"/>
                <w:color w:val="000000" w:themeColor="text1"/>
                <w:sz w:val="32"/>
                <w:szCs w:val="32"/>
                <w14:textFill>
                  <w14:solidFill>
                    <w14:schemeClr w14:val="tx1"/>
                  </w14:solidFill>
                </w14:textFill>
              </w:rPr>
              <w:t>推动中国人民抗日战争胜利受降纪念馆、通道转兵纪念馆、溆浦向警予纪念馆、会同粟裕纪念馆、麻阳滕代远纪念馆等研学基地提质升级。</w:t>
            </w:r>
          </w:p>
          <w:p>
            <w:pPr>
              <w:adjustRightInd w:val="0"/>
              <w:snapToGrid w:val="0"/>
              <w:spacing w:line="48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4.自驾旅游。</w:t>
            </w:r>
            <w:r>
              <w:rPr>
                <w:rFonts w:ascii="Times New Roman" w:hAnsi="Times New Roman" w:eastAsia="楷体_GB2312" w:cs="Times New Roman"/>
                <w:color w:val="000000" w:themeColor="text1"/>
                <w:sz w:val="32"/>
                <w:szCs w:val="32"/>
                <w14:textFill>
                  <w14:solidFill>
                    <w14:schemeClr w14:val="tx1"/>
                  </w14:solidFill>
                </w14:textFill>
              </w:rPr>
              <w:t>加快开发长征国家文化公园（怀化段）、长江国家文化公园（怀化段）、京昆古驿道（怀化段）、雪峰山山脉等线性文旅资源，建设自驾车旅居车营地。</w:t>
            </w:r>
          </w:p>
          <w:p>
            <w:pPr>
              <w:adjustRightInd w:val="0"/>
              <w:snapToGrid w:val="0"/>
              <w:spacing w:line="48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5.夜间旅游。</w:t>
            </w:r>
            <w:r>
              <w:rPr>
                <w:rFonts w:ascii="Times New Roman" w:hAnsi="Times New Roman" w:eastAsia="楷体_GB2312" w:cs="Times New Roman"/>
                <w:color w:val="000000" w:themeColor="text1"/>
                <w:sz w:val="32"/>
                <w:szCs w:val="32"/>
                <w14:textFill>
                  <w14:solidFill>
                    <w14:schemeClr w14:val="tx1"/>
                  </w14:solidFill>
                </w14:textFill>
              </w:rPr>
              <w:t>推动洪江古商城、黔阳古城、芷江索子街—飞虎风情街等夜间文旅消费集聚区与旅游休闲街区提质升级，</w:t>
            </w:r>
            <w:r>
              <w:rPr>
                <w:rFonts w:hint="eastAsia" w:ascii="Times New Roman" w:hAnsi="Times New Roman" w:eastAsia="楷体_GB2312" w:cs="Times New Roman"/>
                <w:color w:val="000000" w:themeColor="text1"/>
                <w:sz w:val="32"/>
                <w:szCs w:val="32"/>
                <w14:textFill>
                  <w14:solidFill>
                    <w14:schemeClr w14:val="tx1"/>
                  </w14:solidFill>
                </w14:textFill>
              </w:rPr>
              <w:t>建成</w:t>
            </w:r>
            <w:r>
              <w:rPr>
                <w:rFonts w:ascii="Times New Roman" w:hAnsi="Times New Roman" w:eastAsia="楷体_GB2312" w:cs="Times New Roman"/>
                <w:color w:val="000000" w:themeColor="text1"/>
                <w:sz w:val="32"/>
                <w:szCs w:val="32"/>
                <w14:textFill>
                  <w14:solidFill>
                    <w14:schemeClr w14:val="tx1"/>
                  </w14:solidFill>
                </w14:textFill>
              </w:rPr>
              <w:t>国省级旅游休闲街区10个以上。</w:t>
            </w:r>
          </w:p>
          <w:p>
            <w:pPr>
              <w:adjustRightInd w:val="0"/>
              <w:snapToGrid w:val="0"/>
              <w:spacing w:line="480" w:lineRule="exact"/>
              <w:ind w:firstLine="643"/>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6.体育和演艺旅游。</w:t>
            </w:r>
            <w:r>
              <w:rPr>
                <w:rFonts w:ascii="Times New Roman" w:hAnsi="Times New Roman" w:eastAsia="楷体_GB2312" w:cs="Times New Roman"/>
                <w:color w:val="000000" w:themeColor="text1"/>
                <w:sz w:val="32"/>
                <w:szCs w:val="32"/>
                <w14:textFill>
                  <w14:solidFill>
                    <w14:schemeClr w14:val="tx1"/>
                  </w14:solidFill>
                </w14:textFill>
              </w:rPr>
              <w:t>持续开展</w:t>
            </w:r>
            <w:r>
              <w:rPr>
                <w:rFonts w:hint="eastAsia" w:ascii="Times New Roman" w:hAnsi="Times New Roman" w:eastAsia="楷体_GB2312" w:cs="Times New Roman"/>
                <w:color w:val="000000" w:themeColor="text1"/>
                <w:sz w:val="32"/>
                <w:szCs w:val="32"/>
                <w14:textFill>
                  <w14:solidFill>
                    <w14:schemeClr w14:val="tx1"/>
                  </w14:solidFill>
                </w14:textFill>
              </w:rPr>
              <w:t>“</w:t>
            </w:r>
            <w:r>
              <w:rPr>
                <w:rFonts w:ascii="Times New Roman" w:hAnsi="Times New Roman" w:eastAsia="楷体_GB2312" w:cs="Times New Roman"/>
                <w:color w:val="000000" w:themeColor="text1"/>
                <w:sz w:val="32"/>
                <w:szCs w:val="32"/>
                <w14:textFill>
                  <w14:solidFill>
                    <w14:schemeClr w14:val="tx1"/>
                  </w14:solidFill>
                </w14:textFill>
              </w:rPr>
              <w:t>怀BA</w:t>
            </w:r>
            <w:r>
              <w:rPr>
                <w:rFonts w:hint="eastAsia" w:ascii="Times New Roman" w:hAnsi="Times New Roman" w:eastAsia="楷体_GB2312" w:cs="Times New Roman"/>
                <w:color w:val="000000" w:themeColor="text1"/>
                <w:sz w:val="32"/>
                <w:szCs w:val="32"/>
                <w14:textFill>
                  <w14:solidFill>
                    <w14:schemeClr w14:val="tx1"/>
                  </w14:solidFill>
                </w14:textFill>
              </w:rPr>
              <w:t>”</w:t>
            </w:r>
            <w:r>
              <w:rPr>
                <w:rFonts w:ascii="Times New Roman" w:hAnsi="Times New Roman" w:eastAsia="楷体_GB2312" w:cs="Times New Roman"/>
                <w:color w:val="000000" w:themeColor="text1"/>
                <w:sz w:val="32"/>
                <w:szCs w:val="32"/>
                <w14:textFill>
                  <w14:solidFill>
                    <w14:schemeClr w14:val="tx1"/>
                  </w14:solidFill>
                </w14:textFill>
              </w:rPr>
              <w:t>、传统龙舟赛、潇湘舞龙大会等本土品牌赛事活动，支持溆浦雪峰山、靖州排牙山、芷江三道坑、新晃夜郎大峡谷、洪江市清江湖、沅陵借母溪等开发户外运动休闲产品。每年引入2场以上高水平演唱会、音乐节、实景演出等优质演艺内容。</w:t>
            </w:r>
          </w:p>
        </w:tc>
      </w:tr>
    </w:tbl>
    <w:p>
      <w:pPr>
        <w:pStyle w:val="6"/>
        <w:spacing w:line="570" w:lineRule="exact"/>
        <w:rPr>
          <w:rFonts w:ascii="Times New Roman" w:hAnsi="Times New Roman" w:eastAsia="黑体" w:cs="Times New Roman"/>
          <w:color w:val="000000" w:themeColor="text1"/>
          <w:sz w:val="32"/>
          <w14:textFill>
            <w14:solidFill>
              <w14:schemeClr w14:val="tx1"/>
            </w14:solidFill>
          </w14:textFill>
        </w:rPr>
      </w:pPr>
    </w:p>
    <w:p>
      <w:pPr>
        <w:pStyle w:val="6"/>
        <w:spacing w:line="580" w:lineRule="exact"/>
        <w:rPr>
          <w:rFonts w:ascii="Times New Roman" w:hAnsi="Times New Roman" w:eastAsia="黑体" w:cs="Times New Roman"/>
          <w:color w:val="000000" w:themeColor="text1"/>
          <w:sz w:val="32"/>
          <w14:textFill>
            <w14:solidFill>
              <w14:schemeClr w14:val="tx1"/>
            </w14:solidFill>
          </w14:textFill>
        </w:rPr>
      </w:pPr>
      <w:bookmarkStart w:id="34" w:name="_Toc28517"/>
      <w:r>
        <w:rPr>
          <w:rFonts w:ascii="Times New Roman" w:hAnsi="Times New Roman" w:eastAsia="黑体" w:cs="Times New Roman"/>
          <w:color w:val="000000" w:themeColor="text1"/>
          <w:sz w:val="32"/>
          <w14:textFill>
            <w14:solidFill>
              <w14:schemeClr w14:val="tx1"/>
            </w14:solidFill>
          </w14:textFill>
        </w:rPr>
        <w:t>第十八章 提升旅游产业发展质效</w:t>
      </w:r>
      <w:bookmarkEnd w:id="34"/>
    </w:p>
    <w:p>
      <w:pPr>
        <w:pStyle w:val="7"/>
        <w:spacing w:line="580" w:lineRule="exact"/>
        <w:rPr>
          <w:rFonts w:eastAsia="仿宋_GB2312"/>
          <w:color w:val="000000" w:themeColor="text1"/>
          <w:sz w:val="32"/>
          <w14:textFill>
            <w14:solidFill>
              <w14:schemeClr w14:val="tx1"/>
            </w14:solidFill>
          </w14:textFill>
        </w:rPr>
      </w:pPr>
    </w:p>
    <w:p>
      <w:pPr>
        <w:pStyle w:val="7"/>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第一节 培育文化旅游</w:t>
      </w:r>
      <w:r>
        <w:rPr>
          <w:rFonts w:hint="eastAsia" w:eastAsia="仿宋_GB2312"/>
          <w:color w:val="000000" w:themeColor="text1"/>
          <w:sz w:val="32"/>
          <w14:textFill>
            <w14:solidFill>
              <w14:schemeClr w14:val="tx1"/>
            </w14:solidFill>
          </w14:textFill>
        </w:rPr>
        <w:t>经营</w:t>
      </w:r>
      <w:r>
        <w:rPr>
          <w:rFonts w:eastAsia="仿宋_GB2312"/>
          <w:color w:val="000000" w:themeColor="text1"/>
          <w:sz w:val="32"/>
          <w14:textFill>
            <w14:solidFill>
              <w14:schemeClr w14:val="tx1"/>
            </w14:solidFill>
          </w14:textFill>
        </w:rPr>
        <w:t>主体</w:t>
      </w:r>
    </w:p>
    <w:p>
      <w:pPr>
        <w:adjustRightInd w:val="0"/>
        <w:snapToGrid w:val="0"/>
        <w:spacing w:line="580" w:lineRule="exact"/>
        <w:ind w:firstLine="640"/>
        <w:rPr>
          <w:rFonts w:eastAsia="仿宋_GB2312"/>
          <w:color w:val="000000" w:themeColor="text1"/>
          <w:sz w:val="32"/>
          <w:szCs w:val="32"/>
          <w14:textFill>
            <w14:solidFill>
              <w14:schemeClr w14:val="tx1"/>
            </w14:solidFill>
          </w14:textFill>
        </w:rPr>
      </w:pPr>
    </w:p>
    <w:p>
      <w:pPr>
        <w:adjustRightInd w:val="0"/>
        <w:snapToGrid w:val="0"/>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坚持市场化运作方式和运营前置，加大文旅招商引资推介与项目发布力度，推进文化和旅游产业招商、投融资对接，积极引进国内知名头部企业，助力文旅企业做大做强。围绕“吃住行游购娱”培育骨干企业、龙头企业，推动文旅企业升规入统、旅游企业上市。完善A级景区、星级饭店（民宿）、旅行社等级评定、复核和退出机制。推进国有景区所有权、经营权、管理权“三权”分置改革，加强民营企业与国有企业战略合作。到2030年，力争规模以上文化和旅游企业营业收入</w:t>
      </w:r>
      <w:r>
        <w:rPr>
          <w:rFonts w:hint="eastAsia" w:eastAsia="仿宋_GB2312" w:cs="Times New Roman"/>
          <w:color w:val="000000" w:themeColor="text1"/>
          <w:sz w:val="32"/>
          <w:szCs w:val="32"/>
          <w14:textFill>
            <w14:solidFill>
              <w14:schemeClr w14:val="tx1"/>
            </w14:solidFill>
          </w14:textFill>
        </w:rPr>
        <w:t>突破</w:t>
      </w:r>
      <w:r>
        <w:rPr>
          <w:rFonts w:ascii="Times New Roman" w:hAnsi="Times New Roman" w:eastAsia="仿宋_GB2312" w:cs="Times New Roman"/>
          <w:color w:val="000000" w:themeColor="text1"/>
          <w:sz w:val="32"/>
          <w:szCs w:val="32"/>
          <w14:textFill>
            <w14:solidFill>
              <w14:schemeClr w14:val="tx1"/>
            </w14:solidFill>
          </w14:textFill>
        </w:rPr>
        <w:t>150亿元。</w:t>
      </w:r>
    </w:p>
    <w:p>
      <w:pPr>
        <w:pStyle w:val="7"/>
        <w:spacing w:line="580" w:lineRule="exact"/>
        <w:rPr>
          <w:rFonts w:eastAsia="仿宋_GB2312"/>
          <w:color w:val="000000" w:themeColor="text1"/>
          <w:sz w:val="32"/>
          <w14:textFill>
            <w14:solidFill>
              <w14:schemeClr w14:val="tx1"/>
            </w14:solidFill>
          </w14:textFill>
        </w:rPr>
      </w:pPr>
    </w:p>
    <w:p>
      <w:pPr>
        <w:pStyle w:val="7"/>
        <w:spacing w:line="596"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第二节 完善文旅公共服务体系</w:t>
      </w:r>
    </w:p>
    <w:p>
      <w:pPr>
        <w:adjustRightInd w:val="0"/>
        <w:snapToGrid w:val="0"/>
        <w:spacing w:line="596" w:lineRule="exact"/>
        <w:ind w:firstLine="640"/>
        <w:rPr>
          <w:rFonts w:eastAsia="仿宋_GB2312"/>
          <w:color w:val="000000" w:themeColor="text1"/>
          <w:sz w:val="32"/>
          <w:szCs w:val="32"/>
          <w14:textFill>
            <w14:solidFill>
              <w14:schemeClr w14:val="tx1"/>
            </w14:solidFill>
          </w14:textFill>
        </w:rPr>
      </w:pPr>
    </w:p>
    <w:p>
      <w:pPr>
        <w:adjustRightInd w:val="0"/>
        <w:snapToGrid w:val="0"/>
        <w:spacing w:line="54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完善“快进慢游”交通网络，拓展客运枢纽线路网络布局，推进高速公路服务区“怀化文旅驿站”建设，策划打造精品旅游线路交通环线，加快建设京昆古驿道（怀化段）旅游精品线路。完善景区连接道路、停车场、无障碍通道、旅游厕所、标识标牌等设施。整合文旅、交通、市场等部门数据信息，实现智能导览、在线预订、投诉处理等一站式服务，提升“一码游福地怀化”一站式数智旅游服务水平。引导酒店提质升级与星级创建，构建以高品质酒店为引领、主题酒店与特色星级民宿为支撑的多元住宿体系。到2030年，成功创建五星级旅游饭店3家以上、四星级旅游饭店18家以上、国省级星级民宿20家以上。</w:t>
      </w:r>
    </w:p>
    <w:p>
      <w:pPr>
        <w:pStyle w:val="45"/>
        <w:spacing w:beforeAutospacing="0" w:afterAutospacing="0" w:line="540" w:lineRule="exact"/>
        <w:ind w:left="0" w:leftChars="0" w:firstLine="640"/>
        <w:rPr>
          <w:rFonts w:eastAsia="仿宋_GB2312"/>
          <w:color w:val="000000" w:themeColor="text1"/>
          <w:sz w:val="32"/>
          <w:szCs w:val="32"/>
          <w14:textFill>
            <w14:solidFill>
              <w14:schemeClr w14:val="tx1"/>
            </w14:solidFill>
          </w14:textFill>
        </w:rPr>
      </w:pPr>
    </w:p>
    <w:p>
      <w:pPr>
        <w:pStyle w:val="7"/>
        <w:spacing w:line="54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第三节 擦亮“福地怀化·懂你如家”文旅服务品牌</w:t>
      </w:r>
    </w:p>
    <w:p>
      <w:pPr>
        <w:adjustRightInd w:val="0"/>
        <w:snapToGrid w:val="0"/>
        <w:spacing w:line="540" w:lineRule="exact"/>
        <w:ind w:firstLine="640"/>
        <w:rPr>
          <w:rFonts w:eastAsia="仿宋_GB2312"/>
          <w:color w:val="000000" w:themeColor="text1"/>
          <w:sz w:val="32"/>
          <w:szCs w:val="32"/>
          <w14:textFill>
            <w14:solidFill>
              <w14:schemeClr w14:val="tx1"/>
            </w14:solidFill>
          </w14:textFill>
        </w:rPr>
      </w:pPr>
    </w:p>
    <w:p>
      <w:pPr>
        <w:spacing w:line="540" w:lineRule="exact"/>
        <w:ind w:firstLine="640"/>
        <w:rPr>
          <w:rFonts w:eastAsia="方正小标宋简体"/>
          <w:bCs w:val="0"/>
          <w:color w:val="000000" w:themeColor="text1"/>
          <w:kern w:val="44"/>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精心策划系列主题宣传，推出一批具有广泛影响力的网红打卡点和文旅传播话题。深度推介“千年商城”“中华书山”“世界稻都”“芷江受降”“诗歌之源”“最美侗寨”“世界长寿乡”等特色文旅IP，持续擦亮“福地怀化”“一个怀景怀乡怀味的地方”“一粒种子·改变世界”等形象品牌。深入开展“福地怀化·懂你如家”文旅服务提升专项行动，持续推出惠旅宠客政策，打造具有怀化特色的服务标准体系。创作系列微短剧、微视频，精心打造一批文旅爆点和热点，构建“主流媒体推广、商业平台引流、社交账号破圈”的营销矩阵。建立健全涵盖各环节的质量监管与评价机制，进一步规范旅游市场秩序。以市场化方式务实节俭办好市旅发大会，持续开展“福地怀化”</w:t>
      </w:r>
      <w:r>
        <w:rPr>
          <w:rFonts w:ascii="Times New Roman" w:hAnsi="Times New Roman" w:eastAsia="仿宋_GB2312" w:cs="Times New Roman"/>
          <w:color w:val="000000" w:themeColor="text1"/>
          <w:spacing w:val="6"/>
          <w:sz w:val="32"/>
          <w:szCs w:val="32"/>
          <w14:textFill>
            <w14:solidFill>
              <w14:schemeClr w14:val="tx1"/>
            </w14:solidFill>
          </w14:textFill>
        </w:rPr>
        <w:t>四季主题宣传，不断增强“福地怀化·懂你如家”品牌美誉度和吸引力。</w:t>
      </w:r>
      <w:bookmarkEnd w:id="16"/>
      <w:bookmarkEnd w:id="17"/>
      <w:bookmarkEnd w:id="18"/>
      <w:bookmarkEnd w:id="19"/>
      <w:bookmarkEnd w:id="20"/>
      <w:bookmarkEnd w:id="21"/>
      <w:bookmarkEnd w:id="22"/>
      <w:bookmarkEnd w:id="23"/>
      <w:bookmarkEnd w:id="24"/>
      <w:bookmarkStart w:id="35" w:name="_Toc63152481"/>
      <w:bookmarkStart w:id="36" w:name="_Toc28806"/>
      <w:bookmarkStart w:id="37" w:name="_Toc179111857"/>
      <w:r>
        <w:rPr>
          <w:rFonts w:ascii="Times New Roman" w:hAnsi="Times New Roman" w:eastAsia="方正小标宋简体" w:cs="Times New Roman"/>
          <w:color w:val="000000" w:themeColor="text1"/>
          <w:kern w:val="44"/>
          <w:sz w:val="32"/>
          <w:szCs w:val="32"/>
          <w14:textFill>
            <w14:solidFill>
              <w14:schemeClr w14:val="tx1"/>
            </w14:solidFill>
          </w14:textFill>
        </w:rPr>
        <w:br w:type="page"/>
      </w:r>
    </w:p>
    <w:p>
      <w:pPr>
        <w:keepNext/>
        <w:keepLines/>
        <w:adjustRightInd w:val="0"/>
        <w:snapToGrid w:val="0"/>
        <w:spacing w:line="610" w:lineRule="exact"/>
        <w:jc w:val="center"/>
        <w:outlineLvl w:val="0"/>
        <w:rPr>
          <w:rFonts w:eastAsia="方正小标宋简体"/>
          <w:bCs w:val="0"/>
          <w:color w:val="000000" w:themeColor="text1"/>
          <w:kern w:val="44"/>
          <w:sz w:val="36"/>
          <w:szCs w:val="36"/>
          <w14:textFill>
            <w14:solidFill>
              <w14:schemeClr w14:val="tx1"/>
            </w14:solidFill>
          </w14:textFill>
        </w:rPr>
      </w:pPr>
      <w:bookmarkStart w:id="38" w:name="_Toc13919"/>
      <w:r>
        <w:rPr>
          <w:rFonts w:ascii="Times New Roman" w:hAnsi="Times New Roman" w:eastAsia="方正小标宋简体" w:cs="Times New Roman"/>
          <w:color w:val="000000" w:themeColor="text1"/>
          <w:kern w:val="44"/>
          <w:sz w:val="36"/>
          <w:szCs w:val="36"/>
          <w14:textFill>
            <w14:solidFill>
              <w14:schemeClr w14:val="tx1"/>
            </w14:solidFill>
          </w14:textFill>
        </w:rPr>
        <w:t>第六篇 深入实施扩大内需战略，</w:t>
      </w:r>
      <w:bookmarkEnd w:id="38"/>
      <w:r>
        <w:rPr>
          <w:rFonts w:hint="eastAsia" w:eastAsia="方正小标宋简体" w:cs="Times New Roman"/>
          <w:color w:val="000000" w:themeColor="text1"/>
          <w:kern w:val="44"/>
          <w:sz w:val="36"/>
          <w:szCs w:val="36"/>
          <w14:textFill>
            <w14:solidFill>
              <w14:schemeClr w14:val="tx1"/>
            </w14:solidFill>
          </w14:textFill>
        </w:rPr>
        <w:t>促进消费和投资良性互动</w:t>
      </w:r>
    </w:p>
    <w:p>
      <w:pPr>
        <w:adjustRightInd w:val="0"/>
        <w:snapToGrid w:val="0"/>
        <w:spacing w:line="610" w:lineRule="exact"/>
        <w:ind w:firstLine="640"/>
        <w:rPr>
          <w:rFonts w:eastAsia="仿宋_GB2312"/>
          <w:color w:val="000000" w:themeColor="text1"/>
          <w:sz w:val="32"/>
          <w:szCs w:val="32"/>
          <w:lang w:val="en"/>
          <w14:textFill>
            <w14:solidFill>
              <w14:schemeClr w14:val="tx1"/>
            </w14:solidFill>
          </w14:textFill>
        </w:rPr>
      </w:pPr>
    </w:p>
    <w:p>
      <w:pPr>
        <w:adjustRightInd w:val="0"/>
        <w:snapToGrid w:val="0"/>
        <w:spacing w:line="610" w:lineRule="exact"/>
        <w:ind w:firstLine="640"/>
        <w:rPr>
          <w:rFonts w:eastAsia="仿宋_GB2312"/>
          <w:color w:val="000000" w:themeColor="text1"/>
          <w:sz w:val="32"/>
          <w:szCs w:val="32"/>
          <w:lang w:val="en"/>
          <w14:textFill>
            <w14:solidFill>
              <w14:schemeClr w14:val="tx1"/>
            </w14:solidFill>
          </w14:textFill>
        </w:rPr>
      </w:pPr>
      <w:r>
        <w:rPr>
          <w:rFonts w:ascii="Times New Roman" w:hAnsi="Times New Roman" w:eastAsia="仿宋_GB2312" w:cs="Times New Roman"/>
          <w:color w:val="000000" w:themeColor="text1"/>
          <w:sz w:val="32"/>
          <w:szCs w:val="32"/>
          <w:lang w:val="en"/>
          <w14:textFill>
            <w14:solidFill>
              <w14:schemeClr w14:val="tx1"/>
            </w14:solidFill>
          </w14:textFill>
        </w:rPr>
        <w:t>坚持惠民生和促消费、投资于物和投资于人紧密结合，以新需求引领新供给，以新供给创造新需求，促进消费和投资、供给和需求良性互动，在全方位融入国内大循环、国内国际双循环中增创发展新优势。</w:t>
      </w:r>
    </w:p>
    <w:p>
      <w:pPr>
        <w:pStyle w:val="6"/>
        <w:keepNext w:val="0"/>
        <w:keepLines w:val="0"/>
        <w:spacing w:line="610" w:lineRule="exact"/>
        <w:rPr>
          <w:rFonts w:ascii="Times New Roman" w:hAnsi="Times New Roman" w:eastAsia="仿宋_GB2312" w:cs="Times New Roman"/>
          <w:color w:val="000000" w:themeColor="text1"/>
          <w:sz w:val="32"/>
          <w14:textFill>
            <w14:solidFill>
              <w14:schemeClr w14:val="tx1"/>
            </w14:solidFill>
          </w14:textFill>
        </w:rPr>
      </w:pPr>
    </w:p>
    <w:p>
      <w:pPr>
        <w:pStyle w:val="6"/>
        <w:keepNext w:val="0"/>
        <w:keepLines w:val="0"/>
        <w:spacing w:line="610" w:lineRule="exact"/>
        <w:rPr>
          <w:rFonts w:ascii="Times New Roman" w:hAnsi="Times New Roman" w:eastAsia="黑体" w:cs="Times New Roman"/>
          <w:color w:val="000000" w:themeColor="text1"/>
          <w:sz w:val="32"/>
          <w14:textFill>
            <w14:solidFill>
              <w14:schemeClr w14:val="tx1"/>
            </w14:solidFill>
          </w14:textFill>
        </w:rPr>
      </w:pPr>
      <w:bookmarkStart w:id="39" w:name="_Toc8340"/>
      <w:r>
        <w:rPr>
          <w:rFonts w:ascii="Times New Roman" w:hAnsi="Times New Roman" w:eastAsia="黑体" w:cs="Times New Roman"/>
          <w:color w:val="000000" w:themeColor="text1"/>
          <w:sz w:val="32"/>
          <w14:textFill>
            <w14:solidFill>
              <w14:schemeClr w14:val="tx1"/>
            </w14:solidFill>
          </w14:textFill>
        </w:rPr>
        <w:t>第十九章 大力提振消费</w:t>
      </w:r>
      <w:bookmarkEnd w:id="39"/>
    </w:p>
    <w:p>
      <w:pPr>
        <w:pStyle w:val="7"/>
        <w:keepNext w:val="0"/>
        <w:keepLines w:val="0"/>
        <w:spacing w:line="610" w:lineRule="exact"/>
        <w:rPr>
          <w:rFonts w:eastAsia="仿宋_GB2312"/>
          <w:color w:val="000000" w:themeColor="text1"/>
          <w:sz w:val="32"/>
          <w14:textFill>
            <w14:solidFill>
              <w14:schemeClr w14:val="tx1"/>
            </w14:solidFill>
          </w14:textFill>
        </w:rPr>
      </w:pPr>
    </w:p>
    <w:p>
      <w:pPr>
        <w:pStyle w:val="7"/>
        <w:keepNext w:val="0"/>
        <w:keepLines w:val="0"/>
        <w:spacing w:line="61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第一节 提振消费信心</w:t>
      </w:r>
    </w:p>
    <w:p>
      <w:pPr>
        <w:pStyle w:val="7"/>
        <w:keepNext w:val="0"/>
        <w:keepLines w:val="0"/>
        <w:spacing w:line="610" w:lineRule="exact"/>
        <w:rPr>
          <w:rFonts w:eastAsia="仿宋_GB2312"/>
          <w:color w:val="000000" w:themeColor="text1"/>
          <w:sz w:val="32"/>
          <w14:textFill>
            <w14:solidFill>
              <w14:schemeClr w14:val="tx1"/>
            </w14:solidFill>
          </w14:textFill>
        </w:rPr>
      </w:pPr>
    </w:p>
    <w:p>
      <w:pPr>
        <w:adjustRightInd w:val="0"/>
        <w:snapToGrid w:val="0"/>
        <w:spacing w:line="610" w:lineRule="exact"/>
        <w:ind w:firstLine="640"/>
        <w:rPr>
          <w:rFonts w:eastAsia="仿宋_GB2312"/>
          <w:color w:val="000000" w:themeColor="text1"/>
          <w:sz w:val="32"/>
          <w:szCs w:val="32"/>
          <w:lang w:val="en"/>
          <w14:textFill>
            <w14:solidFill>
              <w14:schemeClr w14:val="tx1"/>
            </w14:solidFill>
          </w14:textFill>
        </w:rPr>
      </w:pPr>
      <w:r>
        <w:rPr>
          <w:rFonts w:ascii="Times New Roman" w:hAnsi="Times New Roman" w:eastAsia="仿宋_GB2312" w:cs="Times New Roman"/>
          <w:color w:val="000000" w:themeColor="text1"/>
          <w:sz w:val="32"/>
          <w:szCs w:val="32"/>
          <w:lang w:val="en"/>
          <w14:textFill>
            <w14:solidFill>
              <w14:schemeClr w14:val="tx1"/>
            </w14:solidFill>
          </w14:textFill>
        </w:rPr>
        <w:t>深入实施提振消费专项行动，统筹促就业、增收入、稳预期，提升居民消费能力和意愿。围绕现代化产业体系，制定发布技能岗位紧缺职业（工种）目录，引导职业院校、职业培训机构和符合条件的企业开展重点行业、急需紧缺职业（工种）技能培训，实现劳动者提技增收。实施城乡居民增收计划，促进工资性收入合理增长，重点保障一线劳动者</w:t>
      </w:r>
      <w:r>
        <w:rPr>
          <w:rFonts w:hint="eastAsia" w:eastAsia="仿宋_GB2312" w:cs="Times New Roman"/>
          <w:color w:val="000000" w:themeColor="text1"/>
          <w:sz w:val="32"/>
          <w:szCs w:val="32"/>
          <w:lang w:val="en"/>
          <w14:textFill>
            <w14:solidFill>
              <w14:schemeClr w14:val="tx1"/>
            </w14:solidFill>
          </w14:textFill>
        </w:rPr>
        <w:t>工资收入</w:t>
      </w:r>
      <w:r>
        <w:rPr>
          <w:rFonts w:ascii="Times New Roman" w:hAnsi="Times New Roman" w:eastAsia="仿宋_GB2312" w:cs="Times New Roman"/>
          <w:color w:val="000000" w:themeColor="text1"/>
          <w:sz w:val="32"/>
          <w:szCs w:val="32"/>
          <w:lang w:val="en"/>
          <w14:textFill>
            <w14:solidFill>
              <w14:schemeClr w14:val="tx1"/>
            </w14:solidFill>
          </w14:textFill>
        </w:rPr>
        <w:t>，拓宽财产性收入</w:t>
      </w:r>
      <w:r>
        <w:rPr>
          <w:rFonts w:hint="eastAsia" w:eastAsia="仿宋_GB2312" w:cs="Times New Roman"/>
          <w:color w:val="000000" w:themeColor="text1"/>
          <w:sz w:val="32"/>
          <w:szCs w:val="32"/>
          <w:lang w:val="en"/>
          <w14:textFill>
            <w14:solidFill>
              <w14:schemeClr w14:val="tx1"/>
            </w14:solidFill>
          </w14:textFill>
        </w:rPr>
        <w:t>渠道</w:t>
      </w:r>
      <w:r>
        <w:rPr>
          <w:rFonts w:ascii="Times New Roman" w:hAnsi="Times New Roman" w:eastAsia="仿宋_GB2312" w:cs="Times New Roman"/>
          <w:color w:val="000000" w:themeColor="text1"/>
          <w:sz w:val="32"/>
          <w:szCs w:val="32"/>
          <w:lang w:val="en"/>
          <w14:textFill>
            <w14:solidFill>
              <w14:schemeClr w14:val="tx1"/>
            </w14:solidFill>
          </w14:textFill>
        </w:rPr>
        <w:t>。持续完善医疗、教育、住房、社保等配套支持体系，合理提高城乡居民医保补助标准、基础养老金及困难群体基本生活保障标准，有效减轻居民生活支出负担，持续提升消费信心和能力。</w:t>
      </w:r>
    </w:p>
    <w:p>
      <w:pPr>
        <w:pStyle w:val="2"/>
        <w:rPr>
          <w:color w:val="000000" w:themeColor="text1"/>
          <w:lang w:val="en"/>
          <w14:textFill>
            <w14:solidFill>
              <w14:schemeClr w14:val="tx1"/>
            </w14:solidFill>
          </w14:textFill>
        </w:rPr>
      </w:pPr>
    </w:p>
    <w:p>
      <w:pPr>
        <w:pStyle w:val="7"/>
        <w:keepNext w:val="0"/>
        <w:keepLines w:val="0"/>
        <w:spacing w:line="50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第二节 打造消费载体</w:t>
      </w:r>
    </w:p>
    <w:p>
      <w:pPr>
        <w:pStyle w:val="7"/>
        <w:keepNext w:val="0"/>
        <w:keepLines w:val="0"/>
        <w:spacing w:line="500" w:lineRule="exact"/>
        <w:rPr>
          <w:rFonts w:eastAsia="仿宋_GB2312"/>
          <w:color w:val="000000" w:themeColor="text1"/>
          <w:sz w:val="32"/>
          <w14:textFill>
            <w14:solidFill>
              <w14:schemeClr w14:val="tx1"/>
            </w14:solidFill>
          </w14:textFill>
        </w:rPr>
      </w:pPr>
    </w:p>
    <w:p>
      <w:pPr>
        <w:spacing w:line="500" w:lineRule="exact"/>
        <w:ind w:firstLine="640"/>
        <w:rPr>
          <w:rFonts w:eastAsia="仿宋_GB2312"/>
          <w:color w:val="000000" w:themeColor="text1"/>
          <w:sz w:val="32"/>
          <w:szCs w:val="32"/>
          <w:lang w:val="en"/>
          <w14:textFill>
            <w14:solidFill>
              <w14:schemeClr w14:val="tx1"/>
            </w14:solidFill>
          </w14:textFill>
        </w:rPr>
      </w:pPr>
      <w:r>
        <w:rPr>
          <w:rFonts w:ascii="Times New Roman" w:hAnsi="Times New Roman" w:eastAsia="仿宋_GB2312" w:cs="Times New Roman"/>
          <w:color w:val="000000" w:themeColor="text1"/>
          <w:sz w:val="32"/>
          <w:szCs w:val="32"/>
          <w:lang w:val="en"/>
          <w14:textFill>
            <w14:solidFill>
              <w14:schemeClr w14:val="tx1"/>
            </w14:solidFill>
          </w14:textFill>
        </w:rPr>
        <w:t>重点建设怀化火车站核心消费商圈、高铁新城集散消费商圈、怀化国际陆港国际消费商圈</w:t>
      </w:r>
      <w:r>
        <w:rPr>
          <w:rFonts w:ascii="Times New Roman" w:hAnsi="Times New Roman" w:eastAsia="仿宋_GB2312" w:cs="Times New Roman"/>
          <w:color w:val="000000" w:themeColor="text1"/>
          <w:sz w:val="32"/>
          <w:szCs w:val="32"/>
          <w14:textFill>
            <w14:solidFill>
              <w14:schemeClr w14:val="tx1"/>
            </w14:solidFill>
          </w14:textFill>
        </w:rPr>
        <w:t>等</w:t>
      </w:r>
      <w:r>
        <w:rPr>
          <w:rFonts w:ascii="Times New Roman" w:hAnsi="Times New Roman" w:eastAsia="仿宋_GB2312" w:cs="Times New Roman"/>
          <w:color w:val="000000" w:themeColor="text1"/>
          <w:sz w:val="32"/>
          <w:szCs w:val="32"/>
          <w:lang w:val="en"/>
          <w14:textFill>
            <w14:solidFill>
              <w14:schemeClr w14:val="tx1"/>
            </w14:solidFill>
          </w14:textFill>
        </w:rPr>
        <w:t>重点商圈，</w:t>
      </w:r>
      <w:r>
        <w:rPr>
          <w:rFonts w:ascii="Times New Roman" w:hAnsi="Times New Roman" w:eastAsia="仿宋_GB2312" w:cs="Times New Roman"/>
          <w:color w:val="000000" w:themeColor="text1"/>
          <w:sz w:val="32"/>
          <w:szCs w:val="32"/>
          <w14:textFill>
            <w14:solidFill>
              <w14:schemeClr w14:val="tx1"/>
            </w14:solidFill>
          </w14:textFill>
        </w:rPr>
        <w:t>提质升级</w:t>
      </w:r>
      <w:r>
        <w:rPr>
          <w:rFonts w:ascii="Times New Roman" w:hAnsi="Times New Roman" w:eastAsia="仿宋_GB2312" w:cs="Times New Roman"/>
          <w:color w:val="000000" w:themeColor="text1"/>
          <w:sz w:val="32"/>
          <w:szCs w:val="32"/>
          <w:lang w:val="en"/>
          <w14:textFill>
            <w14:solidFill>
              <w14:schemeClr w14:val="tx1"/>
            </w14:solidFill>
          </w14:textFill>
        </w:rPr>
        <w:t>榆树湾文旅商综合体、东盟集、嬉麓非遗特色街区等商业街区，申创一批</w:t>
      </w:r>
      <w:r>
        <w:rPr>
          <w:rFonts w:hint="eastAsia" w:eastAsia="仿宋_GB2312" w:cs="Times New Roman"/>
          <w:color w:val="000000" w:themeColor="text1"/>
          <w:sz w:val="32"/>
          <w:szCs w:val="32"/>
          <w:lang w:val="en"/>
          <w14:textFill>
            <w14:solidFill>
              <w14:schemeClr w14:val="tx1"/>
            </w14:solidFill>
          </w14:textFill>
        </w:rPr>
        <w:t>国家级</w:t>
      </w:r>
      <w:r>
        <w:rPr>
          <w:rFonts w:ascii="Times New Roman" w:hAnsi="Times New Roman" w:eastAsia="仿宋_GB2312" w:cs="Times New Roman"/>
          <w:color w:val="000000" w:themeColor="text1"/>
          <w:sz w:val="32"/>
          <w:szCs w:val="32"/>
          <w:lang w:val="en"/>
          <w14:textFill>
            <w14:solidFill>
              <w14:schemeClr w14:val="tx1"/>
            </w14:solidFill>
          </w14:textFill>
        </w:rPr>
        <w:t>、</w:t>
      </w:r>
      <w:r>
        <w:rPr>
          <w:rFonts w:hint="eastAsia" w:eastAsia="仿宋_GB2312" w:cs="Times New Roman"/>
          <w:color w:val="000000" w:themeColor="text1"/>
          <w:sz w:val="32"/>
          <w:szCs w:val="32"/>
          <w:lang w:val="en"/>
          <w14:textFill>
            <w14:solidFill>
              <w14:schemeClr w14:val="tx1"/>
            </w14:solidFill>
          </w14:textFill>
        </w:rPr>
        <w:t>省级</w:t>
      </w:r>
      <w:r>
        <w:rPr>
          <w:rFonts w:ascii="Times New Roman" w:hAnsi="Times New Roman" w:eastAsia="仿宋_GB2312" w:cs="Times New Roman"/>
          <w:color w:val="000000" w:themeColor="text1"/>
          <w:sz w:val="32"/>
          <w:szCs w:val="32"/>
          <w:lang w:val="en"/>
          <w14:textFill>
            <w14:solidFill>
              <w14:schemeClr w14:val="tx1"/>
            </w14:solidFill>
          </w14:textFill>
        </w:rPr>
        <w:t>特色商业街区。</w:t>
      </w:r>
      <w:r>
        <w:rPr>
          <w:rFonts w:ascii="Times New Roman" w:hAnsi="Times New Roman" w:eastAsia="仿宋_GB2312" w:cs="Times New Roman"/>
          <w:color w:val="000000" w:themeColor="text1"/>
          <w:sz w:val="32"/>
          <w:szCs w:val="32"/>
          <w14:textFill>
            <w14:solidFill>
              <w14:schemeClr w14:val="tx1"/>
            </w14:solidFill>
          </w14:textFill>
        </w:rPr>
        <w:t>打造一批一刻钟便民生活圈升级版，提供多样化、个性化消费场景。</w:t>
      </w:r>
      <w:r>
        <w:rPr>
          <w:rFonts w:ascii="Times New Roman" w:hAnsi="Times New Roman" w:eastAsia="仿宋_GB2312" w:cs="Times New Roman"/>
          <w:color w:val="000000" w:themeColor="text1"/>
          <w:sz w:val="32"/>
          <w:szCs w:val="32"/>
          <w:lang w:val="en"/>
          <w14:textFill>
            <w14:solidFill>
              <w14:schemeClr w14:val="tx1"/>
            </w14:solidFill>
          </w14:textFill>
        </w:rPr>
        <w:t>引进</w:t>
      </w:r>
      <w:r>
        <w:rPr>
          <w:rFonts w:ascii="Times New Roman" w:hAnsi="Times New Roman" w:eastAsia="仿宋_GB2312" w:cs="Times New Roman"/>
          <w:color w:val="000000" w:themeColor="text1"/>
          <w:sz w:val="32"/>
          <w:szCs w:val="32"/>
          <w14:textFill>
            <w14:solidFill>
              <w14:schemeClr w14:val="tx1"/>
            </w14:solidFill>
          </w14:textFill>
        </w:rPr>
        <w:t>培育</w:t>
      </w:r>
      <w:r>
        <w:rPr>
          <w:rFonts w:ascii="Times New Roman" w:hAnsi="Times New Roman" w:eastAsia="仿宋_GB2312" w:cs="Times New Roman"/>
          <w:color w:val="000000" w:themeColor="text1"/>
          <w:sz w:val="32"/>
          <w:szCs w:val="32"/>
          <w:lang w:val="en"/>
          <w14:textFill>
            <w14:solidFill>
              <w14:schemeClr w14:val="tx1"/>
            </w14:solidFill>
          </w14:textFill>
        </w:rPr>
        <w:t>大型主题乐园、</w:t>
      </w:r>
      <w:r>
        <w:rPr>
          <w:rFonts w:ascii="Times New Roman" w:hAnsi="Times New Roman" w:eastAsia="仿宋_GB2312" w:cs="Times New Roman"/>
          <w:color w:val="000000" w:themeColor="text1"/>
          <w:sz w:val="32"/>
          <w:szCs w:val="32"/>
          <w14:textFill>
            <w14:solidFill>
              <w14:schemeClr w14:val="tx1"/>
            </w14:solidFill>
          </w14:textFill>
        </w:rPr>
        <w:t>综合</w:t>
      </w:r>
      <w:r>
        <w:rPr>
          <w:rFonts w:ascii="Times New Roman" w:hAnsi="Times New Roman" w:eastAsia="仿宋_GB2312" w:cs="Times New Roman"/>
          <w:color w:val="000000" w:themeColor="text1"/>
          <w:sz w:val="32"/>
          <w:szCs w:val="32"/>
          <w:lang w:val="en"/>
          <w14:textFill>
            <w14:solidFill>
              <w14:schemeClr w14:val="tx1"/>
            </w14:solidFill>
          </w14:textFill>
        </w:rPr>
        <w:t>购物中心。到</w:t>
      </w:r>
      <w:r>
        <w:rPr>
          <w:rFonts w:ascii="Times New Roman" w:hAnsi="Times New Roman" w:eastAsia="仿宋_GB2312" w:cs="Times New Roman"/>
          <w:color w:val="000000" w:themeColor="text1"/>
          <w:sz w:val="32"/>
          <w:szCs w:val="32"/>
          <w14:textFill>
            <w14:solidFill>
              <w14:schemeClr w14:val="tx1"/>
            </w14:solidFill>
          </w14:textFill>
        </w:rPr>
        <w:t>2030年，</w:t>
      </w:r>
      <w:r>
        <w:rPr>
          <w:rFonts w:ascii="Times New Roman" w:hAnsi="Times New Roman" w:eastAsia="仿宋_GB2312" w:cs="Times New Roman"/>
          <w:color w:val="000000" w:themeColor="text1"/>
          <w:sz w:val="32"/>
          <w:szCs w:val="32"/>
          <w:lang w:val="en"/>
          <w14:textFill>
            <w14:solidFill>
              <w14:schemeClr w14:val="tx1"/>
            </w14:solidFill>
          </w14:textFill>
        </w:rPr>
        <w:t>力争社会消费品零售总额年均增长</w:t>
      </w:r>
      <w:r>
        <w:rPr>
          <w:rFonts w:ascii="Times New Roman" w:hAnsi="Times New Roman" w:eastAsia="仿宋_GB2312" w:cs="Times New Roman"/>
          <w:color w:val="000000" w:themeColor="text1"/>
          <w:sz w:val="32"/>
          <w:szCs w:val="32"/>
          <w14:textFill>
            <w14:solidFill>
              <w14:schemeClr w14:val="tx1"/>
            </w14:solidFill>
          </w14:textFill>
        </w:rPr>
        <w:t>5</w:t>
      </w:r>
      <w:r>
        <w:rPr>
          <w:rFonts w:ascii="Times New Roman" w:hAnsi="Times New Roman" w:eastAsia="仿宋_GB2312" w:cs="Times New Roman"/>
          <w:color w:val="000000" w:themeColor="text1"/>
          <w:sz w:val="32"/>
          <w:szCs w:val="32"/>
          <w:lang w:val="en"/>
          <w14:textFill>
            <w14:solidFill>
              <w14:schemeClr w14:val="tx1"/>
            </w14:solidFill>
          </w14:textFill>
        </w:rPr>
        <w:t>%以上，建成</w:t>
      </w:r>
      <w:r>
        <w:rPr>
          <w:rFonts w:ascii="Times New Roman" w:hAnsi="Times New Roman" w:eastAsia="仿宋_GB2312" w:cs="Times New Roman"/>
          <w:color w:val="000000" w:themeColor="text1"/>
          <w:sz w:val="32"/>
          <w:szCs w:val="32"/>
          <w14:textFill>
            <w14:solidFill>
              <w14:schemeClr w14:val="tx1"/>
            </w14:solidFill>
          </w14:textFill>
        </w:rPr>
        <w:t>5</w:t>
      </w:r>
      <w:r>
        <w:rPr>
          <w:rFonts w:ascii="Times New Roman" w:hAnsi="Times New Roman" w:eastAsia="仿宋_GB2312" w:cs="Times New Roman"/>
          <w:color w:val="000000" w:themeColor="text1"/>
          <w:sz w:val="32"/>
          <w:szCs w:val="32"/>
          <w:lang w:val="en"/>
          <w14:textFill>
            <w14:solidFill>
              <w14:schemeClr w14:val="tx1"/>
            </w14:solidFill>
          </w14:textFill>
        </w:rPr>
        <w:t>个标志性商业街区，新增限上批零住餐企业500家以上。</w:t>
      </w:r>
    </w:p>
    <w:p>
      <w:pPr>
        <w:spacing w:line="500" w:lineRule="exact"/>
        <w:ind w:firstLine="640"/>
        <w:rPr>
          <w:rFonts w:eastAsia="仿宋_GB2312"/>
          <w:color w:val="000000" w:themeColor="text1"/>
          <w:sz w:val="32"/>
          <w:szCs w:val="32"/>
          <w:lang w:val="en"/>
          <w14:textFill>
            <w14:solidFill>
              <w14:schemeClr w14:val="tx1"/>
            </w14:solidFill>
          </w14:textFill>
        </w:rPr>
      </w:pPr>
    </w:p>
    <w:p>
      <w:pPr>
        <w:pStyle w:val="7"/>
        <w:keepNext w:val="0"/>
        <w:keepLines w:val="0"/>
        <w:spacing w:line="500" w:lineRule="exact"/>
        <w:rPr>
          <w:rFonts w:eastAsia="仿宋_GB2312"/>
          <w:color w:val="000000" w:themeColor="text1"/>
          <w:sz w:val="32"/>
          <w14:textFill>
            <w14:solidFill>
              <w14:schemeClr w14:val="tx1"/>
            </w14:solidFill>
          </w14:textFill>
        </w:rPr>
      </w:pPr>
      <w:r>
        <w:rPr>
          <w:rFonts w:eastAsia="仿宋_GB2312"/>
          <w:color w:val="000000" w:themeColor="text1"/>
          <w:sz w:val="32"/>
          <w:lang w:val="en"/>
          <w14:textFill>
            <w14:solidFill>
              <w14:schemeClr w14:val="tx1"/>
            </w14:solidFill>
          </w14:textFill>
        </w:rPr>
        <w:t>第三节</w:t>
      </w:r>
      <w:r>
        <w:rPr>
          <w:rFonts w:eastAsia="仿宋_GB2312"/>
          <w:color w:val="000000" w:themeColor="text1"/>
          <w:sz w:val="32"/>
          <w14:textFill>
            <w14:solidFill>
              <w14:schemeClr w14:val="tx1"/>
            </w14:solidFill>
          </w14:textFill>
        </w:rPr>
        <w:t xml:space="preserve"> 提升消费品质</w:t>
      </w:r>
    </w:p>
    <w:p>
      <w:pPr>
        <w:spacing w:line="500" w:lineRule="exact"/>
        <w:ind w:firstLine="640"/>
        <w:rPr>
          <w:rFonts w:eastAsia="仿宋_GB2312"/>
          <w:color w:val="000000" w:themeColor="text1"/>
          <w:sz w:val="32"/>
          <w:szCs w:val="32"/>
          <w:lang w:val="en"/>
          <w14:textFill>
            <w14:solidFill>
              <w14:schemeClr w14:val="tx1"/>
            </w14:solidFill>
          </w14:textFill>
        </w:rPr>
      </w:pPr>
    </w:p>
    <w:p>
      <w:pPr>
        <w:adjustRightInd w:val="0"/>
        <w:snapToGrid w:val="0"/>
        <w:spacing w:line="500" w:lineRule="exact"/>
        <w:ind w:firstLine="640"/>
        <w:rPr>
          <w:rFonts w:eastAsia="仿宋_GB2312"/>
          <w:color w:val="000000" w:themeColor="text1"/>
          <w:sz w:val="32"/>
          <w:szCs w:val="32"/>
          <w:lang w:val="en"/>
          <w14:textFill>
            <w14:solidFill>
              <w14:schemeClr w14:val="tx1"/>
            </w14:solidFill>
          </w14:textFill>
        </w:rPr>
      </w:pPr>
      <w:r>
        <w:rPr>
          <w:rFonts w:ascii="Times New Roman" w:hAnsi="Times New Roman" w:eastAsia="仿宋_GB2312" w:cs="Times New Roman"/>
          <w:color w:val="000000" w:themeColor="text1"/>
          <w:sz w:val="32"/>
          <w:szCs w:val="32"/>
          <w:lang w:val="en"/>
          <w14:textFill>
            <w14:solidFill>
              <w14:schemeClr w14:val="tx1"/>
            </w14:solidFill>
          </w14:textFill>
        </w:rPr>
        <w:t>扩大优质消费品和服务供给，推动商品消费扩容升级。加力实施大规模设备更新和消费品以旧换新，推动工业、建筑、交通等重点领域设备更新升级，扩大安全生产、设施农业等重点领域高端化、智能化、绿色化设备应用，</w:t>
      </w:r>
      <w:r>
        <w:rPr>
          <w:rFonts w:ascii="Times New Roman" w:hAnsi="Times New Roman" w:eastAsia="仿宋_GB2312" w:cs="Times New Roman"/>
          <w:color w:val="000000" w:themeColor="text1"/>
          <w:sz w:val="32"/>
          <w:szCs w:val="32"/>
          <w14:textFill>
            <w14:solidFill>
              <w14:schemeClr w14:val="tx1"/>
            </w14:solidFill>
          </w14:textFill>
        </w:rPr>
        <w:t>全链条扩大汽车消费，</w:t>
      </w:r>
      <w:r>
        <w:rPr>
          <w:rFonts w:ascii="Times New Roman" w:hAnsi="Times New Roman" w:eastAsia="仿宋_GB2312" w:cs="Times New Roman"/>
          <w:color w:val="000000" w:themeColor="text1"/>
          <w:sz w:val="32"/>
          <w:szCs w:val="32"/>
          <w:lang w:val="en"/>
          <w14:textFill>
            <w14:solidFill>
              <w14:schemeClr w14:val="tx1"/>
            </w14:solidFill>
          </w14:textFill>
        </w:rPr>
        <w:t>拓展家电家</w:t>
      </w:r>
      <w:r>
        <w:rPr>
          <w:rFonts w:ascii="Times New Roman" w:hAnsi="Times New Roman" w:eastAsia="仿宋_GB2312" w:cs="Times New Roman"/>
          <w:color w:val="000000" w:themeColor="text1"/>
          <w:sz w:val="32"/>
          <w:szCs w:val="32"/>
          <w14:textFill>
            <w14:solidFill>
              <w14:schemeClr w14:val="tx1"/>
            </w14:solidFill>
          </w14:textFill>
        </w:rPr>
        <w:t>居</w:t>
      </w:r>
      <w:r>
        <w:rPr>
          <w:rFonts w:ascii="Times New Roman" w:hAnsi="Times New Roman" w:eastAsia="仿宋_GB2312" w:cs="Times New Roman"/>
          <w:color w:val="000000" w:themeColor="text1"/>
          <w:sz w:val="32"/>
          <w:szCs w:val="32"/>
          <w:lang w:val="en"/>
          <w14:textFill>
            <w14:solidFill>
              <w14:schemeClr w14:val="tx1"/>
            </w14:solidFill>
          </w14:textFill>
        </w:rPr>
        <w:t>、适老化改造等消费品以旧换新范围。促进</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IP+消费</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，厚植</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世界稻都</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和平芷江</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中华书山</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千年商城</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通道转兵</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等特色IP，开发</w:t>
      </w:r>
      <w:r>
        <w:rPr>
          <w:rFonts w:ascii="Times New Roman" w:hAnsi="Times New Roman" w:eastAsia="仿宋_GB2312" w:cs="Times New Roman"/>
          <w:color w:val="000000" w:themeColor="text1"/>
          <w:sz w:val="32"/>
          <w:szCs w:val="32"/>
          <w14:textFill>
            <w14:solidFill>
              <w14:schemeClr w14:val="tx1"/>
            </w14:solidFill>
          </w14:textFill>
        </w:rPr>
        <w:t>体现</w:t>
      </w:r>
      <w:r>
        <w:rPr>
          <w:rFonts w:ascii="Times New Roman" w:hAnsi="Times New Roman" w:eastAsia="仿宋_GB2312" w:cs="Times New Roman"/>
          <w:color w:val="000000" w:themeColor="text1"/>
          <w:sz w:val="32"/>
          <w:szCs w:val="32"/>
          <w:lang w:val="en"/>
          <w14:textFill>
            <w14:solidFill>
              <w14:schemeClr w14:val="tx1"/>
            </w14:solidFill>
          </w14:textFill>
        </w:rPr>
        <w:t>地域特点、讲述城市文化的</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怀化伴手礼</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，打造一批展示</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怀乡怀品</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的主题店、概念店等沉浸式消费空间。促进</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人工智能+消费</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加速推动自动驾驶、智能穿戴、脑机接口、机器人等新技术新产品开发和应用推广。发展数字消费，促进购物、教育、远程办公、医疗等线上消费。发展休闲消费，推广登山、漂流、野营露宿等户外休闲娱乐项目。扩大跨境消费，引入东盟水果、东南亚美妆等热门消费品，打造东盟进口商品体验中心。</w:t>
      </w:r>
      <w:r>
        <w:rPr>
          <w:rFonts w:ascii="Times New Roman" w:hAnsi="Times New Roman" w:eastAsia="仿宋_GB2312" w:cs="Times New Roman"/>
          <w:color w:val="000000" w:themeColor="text1"/>
          <w:sz w:val="32"/>
          <w:szCs w:val="32"/>
          <w14:textFill>
            <w14:solidFill>
              <w14:schemeClr w14:val="tx1"/>
            </w14:solidFill>
          </w14:textFill>
        </w:rPr>
        <w:t>提质餐饮住宿、家政服务、养老托育、教育培训、健康服务、文旅体育等服务消费。</w:t>
      </w:r>
    </w:p>
    <w:p>
      <w:pPr>
        <w:pStyle w:val="7"/>
        <w:keepNext w:val="0"/>
        <w:keepLines w:val="0"/>
        <w:spacing w:line="540" w:lineRule="exact"/>
        <w:rPr>
          <w:rFonts w:eastAsia="仿宋_GB2312"/>
          <w:color w:val="000000" w:themeColor="text1"/>
          <w:sz w:val="32"/>
          <w14:textFill>
            <w14:solidFill>
              <w14:schemeClr w14:val="tx1"/>
            </w14:solidFill>
          </w14:textFill>
        </w:rPr>
      </w:pPr>
      <w:r>
        <w:rPr>
          <w:rFonts w:eastAsia="仿宋_GB2312"/>
          <w:color w:val="000000" w:themeColor="text1"/>
          <w:sz w:val="32"/>
          <w:lang w:val="en"/>
          <w14:textFill>
            <w14:solidFill>
              <w14:schemeClr w14:val="tx1"/>
            </w14:solidFill>
          </w14:textFill>
        </w:rPr>
        <w:t>第四节</w:t>
      </w:r>
      <w:r>
        <w:rPr>
          <w:rFonts w:eastAsia="仿宋_GB2312"/>
          <w:color w:val="000000" w:themeColor="text1"/>
          <w:sz w:val="32"/>
          <w14:textFill>
            <w14:solidFill>
              <w14:schemeClr w14:val="tx1"/>
            </w14:solidFill>
          </w14:textFill>
        </w:rPr>
        <w:t xml:space="preserve"> 优化消费生态</w:t>
      </w:r>
    </w:p>
    <w:p>
      <w:pPr>
        <w:adjustRightInd w:val="0"/>
        <w:snapToGrid w:val="0"/>
        <w:spacing w:line="540" w:lineRule="exact"/>
        <w:ind w:firstLine="640"/>
        <w:rPr>
          <w:rFonts w:eastAsia="仿宋_GB2312"/>
          <w:color w:val="000000" w:themeColor="text1"/>
          <w:sz w:val="32"/>
          <w:szCs w:val="32"/>
          <w:lang w:val="en"/>
          <w14:textFill>
            <w14:solidFill>
              <w14:schemeClr w14:val="tx1"/>
            </w14:solidFill>
          </w14:textFill>
        </w:rPr>
      </w:pPr>
    </w:p>
    <w:p>
      <w:pPr>
        <w:adjustRightInd w:val="0"/>
        <w:snapToGrid w:val="0"/>
        <w:spacing w:line="540" w:lineRule="exact"/>
        <w:ind w:firstLine="640"/>
        <w:rPr>
          <w:rFonts w:eastAsia="仿宋_GB2312"/>
          <w:color w:val="000000" w:themeColor="text1"/>
          <w:sz w:val="32"/>
          <w:szCs w:val="32"/>
          <w:lang w:val="en"/>
          <w14:textFill>
            <w14:solidFill>
              <w14:schemeClr w14:val="tx1"/>
            </w14:solidFill>
          </w14:textFill>
        </w:rPr>
      </w:pPr>
      <w:r>
        <w:rPr>
          <w:rFonts w:ascii="Times New Roman" w:hAnsi="Times New Roman" w:eastAsia="仿宋_GB2312" w:cs="Times New Roman"/>
          <w:color w:val="000000" w:themeColor="text1"/>
          <w:sz w:val="32"/>
          <w:szCs w:val="32"/>
          <w:lang w:val="en"/>
          <w14:textFill>
            <w14:solidFill>
              <w14:schemeClr w14:val="tx1"/>
            </w14:solidFill>
          </w14:textFill>
        </w:rPr>
        <w:t>加大直达消费者的普惠政策力度，清理不合理限制性消费</w:t>
      </w:r>
      <w:r>
        <w:rPr>
          <w:rFonts w:ascii="Times New Roman" w:hAnsi="Times New Roman" w:eastAsia="仿宋_GB2312" w:cs="Times New Roman"/>
          <w:color w:val="000000" w:themeColor="text1"/>
          <w:sz w:val="32"/>
          <w:szCs w:val="32"/>
          <w14:textFill>
            <w14:solidFill>
              <w14:schemeClr w14:val="tx1"/>
            </w14:solidFill>
          </w14:textFill>
        </w:rPr>
        <w:t>政策</w:t>
      </w:r>
      <w:r>
        <w:rPr>
          <w:rFonts w:ascii="Times New Roman" w:hAnsi="Times New Roman" w:eastAsia="仿宋_GB2312" w:cs="Times New Roman"/>
          <w:color w:val="000000" w:themeColor="text1"/>
          <w:sz w:val="32"/>
          <w:szCs w:val="32"/>
          <w:lang w:val="en"/>
          <w14:textFill>
            <w14:solidFill>
              <w14:schemeClr w14:val="tx1"/>
            </w14:solidFill>
          </w14:textFill>
        </w:rPr>
        <w:t>。保障休息休假权益，落实带薪错峰休假。健全消费品和服务消费标准体系，加强消费领域信用体系建设，健全消费争议多元化解机制。审慎包容监管消费新业态新模式，严厉打击假冒伪劣、消费欺诈</w:t>
      </w:r>
      <w:r>
        <w:rPr>
          <w:rFonts w:ascii="Times New Roman" w:hAnsi="Times New Roman" w:eastAsia="仿宋_GB2312" w:cs="Times New Roman"/>
          <w:color w:val="000000" w:themeColor="text1"/>
          <w:sz w:val="32"/>
          <w:szCs w:val="32"/>
          <w14:textFill>
            <w14:solidFill>
              <w14:schemeClr w14:val="tx1"/>
            </w14:solidFill>
          </w14:textFill>
        </w:rPr>
        <w:t>行为</w:t>
      </w:r>
      <w:r>
        <w:rPr>
          <w:rFonts w:ascii="Times New Roman" w:hAnsi="Times New Roman" w:eastAsia="仿宋_GB2312" w:cs="Times New Roman"/>
          <w:color w:val="000000" w:themeColor="text1"/>
          <w:sz w:val="32"/>
          <w:szCs w:val="32"/>
          <w:lang w:val="en"/>
          <w14:textFill>
            <w14:solidFill>
              <w14:schemeClr w14:val="tx1"/>
            </w14:solidFill>
          </w14:textFill>
        </w:rPr>
        <w:t>，加强消费者权益保护。线上线下协同开展各类覆盖全市的促销活动和便民生活节</w:t>
      </w:r>
      <w:r>
        <w:rPr>
          <w:rFonts w:hint="eastAsia" w:eastAsia="仿宋_GB2312" w:cs="Times New Roman"/>
          <w:color w:val="000000" w:themeColor="text1"/>
          <w:sz w:val="32"/>
          <w:szCs w:val="32"/>
          <w:lang w:val="en"/>
          <w14:textFill>
            <w14:solidFill>
              <w14:schemeClr w14:val="tx1"/>
            </w14:solidFill>
          </w14:textFill>
        </w:rPr>
        <w:t>活动</w:t>
      </w:r>
      <w:r>
        <w:rPr>
          <w:rFonts w:ascii="Times New Roman" w:hAnsi="Times New Roman" w:eastAsia="仿宋_GB2312" w:cs="Times New Roman"/>
          <w:color w:val="000000" w:themeColor="text1"/>
          <w:sz w:val="32"/>
          <w:szCs w:val="32"/>
          <w:lang w:val="en"/>
          <w14:textFill>
            <w14:solidFill>
              <w14:schemeClr w14:val="tx1"/>
            </w14:solidFill>
          </w14:textFill>
        </w:rPr>
        <w:t>，营造浓厚消费氛围。加快构建音乐节会、歌剧话剧、脱口秀等多层次立体化演艺产品体系，持续办好湘超、传统龙舟赛、</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怀BA</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等特色赛事，积极申办全国</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村BA</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总决赛，打造一批引领区域消费风向的名节、名会、名展、名赛，</w:t>
      </w:r>
      <w:r>
        <w:rPr>
          <w:rFonts w:hint="eastAsia" w:eastAsia="仿宋_GB2312" w:cs="Times New Roman"/>
          <w:color w:val="000000" w:themeColor="text1"/>
          <w:sz w:val="32"/>
          <w:szCs w:val="32"/>
          <w:lang w:val="en"/>
          <w14:textFill>
            <w14:solidFill>
              <w14:schemeClr w14:val="tx1"/>
            </w14:solidFill>
          </w14:textFill>
        </w:rPr>
        <w:t>建设</w:t>
      </w:r>
      <w:r>
        <w:rPr>
          <w:rFonts w:ascii="Times New Roman" w:hAnsi="Times New Roman" w:eastAsia="仿宋_GB2312" w:cs="Times New Roman"/>
          <w:color w:val="000000" w:themeColor="text1"/>
          <w:sz w:val="32"/>
          <w:szCs w:val="32"/>
          <w:lang w:val="en"/>
          <w14:textFill>
            <w14:solidFill>
              <w14:schemeClr w14:val="tx1"/>
            </w14:solidFill>
          </w14:textFill>
        </w:rPr>
        <w:t>五省边际区域性会展会议举办和演艺赛事组织首选地。</w:t>
      </w:r>
    </w:p>
    <w:p>
      <w:pPr>
        <w:pStyle w:val="6"/>
        <w:keepNext w:val="0"/>
        <w:keepLines w:val="0"/>
        <w:spacing w:line="540" w:lineRule="exact"/>
        <w:rPr>
          <w:rFonts w:ascii="Times New Roman" w:hAnsi="Times New Roman" w:eastAsia="黑体" w:cs="Times New Roman"/>
          <w:color w:val="000000" w:themeColor="text1"/>
          <w:sz w:val="32"/>
          <w14:textFill>
            <w14:solidFill>
              <w14:schemeClr w14:val="tx1"/>
            </w14:solidFill>
          </w14:textFill>
        </w:rPr>
      </w:pPr>
    </w:p>
    <w:p>
      <w:pPr>
        <w:pStyle w:val="6"/>
        <w:keepNext w:val="0"/>
        <w:keepLines w:val="0"/>
        <w:spacing w:line="540" w:lineRule="exact"/>
        <w:rPr>
          <w:rFonts w:ascii="Times New Roman" w:hAnsi="Times New Roman" w:eastAsia="黑体" w:cs="Times New Roman"/>
          <w:color w:val="000000" w:themeColor="text1"/>
          <w:sz w:val="32"/>
          <w14:textFill>
            <w14:solidFill>
              <w14:schemeClr w14:val="tx1"/>
            </w14:solidFill>
          </w14:textFill>
        </w:rPr>
      </w:pPr>
      <w:bookmarkStart w:id="40" w:name="_Toc1402"/>
      <w:r>
        <w:rPr>
          <w:rFonts w:ascii="Times New Roman" w:hAnsi="Times New Roman" w:eastAsia="黑体" w:cs="Times New Roman"/>
          <w:color w:val="000000" w:themeColor="text1"/>
          <w:sz w:val="32"/>
          <w14:textFill>
            <w14:solidFill>
              <w14:schemeClr w14:val="tx1"/>
            </w14:solidFill>
          </w14:textFill>
        </w:rPr>
        <w:t>第二十章 扩大有效投资</w:t>
      </w:r>
      <w:bookmarkEnd w:id="40"/>
    </w:p>
    <w:p>
      <w:pPr>
        <w:pStyle w:val="7"/>
        <w:keepNext w:val="0"/>
        <w:keepLines w:val="0"/>
        <w:spacing w:line="540" w:lineRule="exact"/>
        <w:rPr>
          <w:rFonts w:eastAsia="仿宋_GB2312"/>
          <w:color w:val="000000" w:themeColor="text1"/>
          <w:sz w:val="32"/>
          <w14:textFill>
            <w14:solidFill>
              <w14:schemeClr w14:val="tx1"/>
            </w14:solidFill>
          </w14:textFill>
        </w:rPr>
      </w:pPr>
    </w:p>
    <w:p>
      <w:pPr>
        <w:pStyle w:val="7"/>
        <w:keepNext w:val="0"/>
        <w:keepLines w:val="0"/>
        <w:spacing w:line="54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第一节 切实提高投资效益</w:t>
      </w:r>
    </w:p>
    <w:p>
      <w:pPr>
        <w:adjustRightInd w:val="0"/>
        <w:snapToGrid w:val="0"/>
        <w:spacing w:line="540" w:lineRule="exact"/>
        <w:ind w:firstLine="640"/>
        <w:rPr>
          <w:rFonts w:eastAsia="仿宋_GB2312"/>
          <w:color w:val="000000" w:themeColor="text1"/>
          <w:sz w:val="32"/>
          <w:szCs w:val="32"/>
          <w:lang w:val="en"/>
          <w14:textFill>
            <w14:solidFill>
              <w14:schemeClr w14:val="tx1"/>
            </w14:solidFill>
          </w14:textFill>
        </w:rPr>
      </w:pPr>
    </w:p>
    <w:p>
      <w:pPr>
        <w:adjustRightInd w:val="0"/>
        <w:snapToGrid w:val="0"/>
        <w:spacing w:line="540" w:lineRule="exact"/>
        <w:ind w:firstLine="640"/>
        <w:rPr>
          <w:rFonts w:eastAsia="仿宋_GB2312"/>
          <w:color w:val="000000" w:themeColor="text1"/>
          <w:sz w:val="32"/>
          <w:szCs w:val="32"/>
          <w:lang w:val="en"/>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保持投资合理增长，增强投资精准度和有效性，提高项目前期工作质量，完善项目建设运营管理，持续提高投资综合效益。</w:t>
      </w:r>
      <w:r>
        <w:rPr>
          <w:rFonts w:ascii="Times New Roman" w:hAnsi="Times New Roman" w:eastAsia="仿宋_GB2312" w:cs="Times New Roman"/>
          <w:color w:val="000000" w:themeColor="text1"/>
          <w:sz w:val="32"/>
          <w:szCs w:val="32"/>
          <w:lang w:val="en"/>
          <w14:textFill>
            <w14:solidFill>
              <w14:schemeClr w14:val="tx1"/>
            </w14:solidFill>
          </w14:textFill>
        </w:rPr>
        <w:t>更好发挥政府投资作用，建立健全支持基础性、公益性、长远性重大项目建设长效机制。探索编制全口径政府投资计划，完善政府投资有效带动社会投资的体制机制。统筹用好超长期特别国债、中央及省级预算内投资、地方政府专项债券等政策工具，强化</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硬投资</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与</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软建设</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协同发力，集中力量推进一批发展急需、群众期盼的重大项目。深化投资管理体制改革，健全政府投资项目谋划、储备、申报、实施、要素保障与评价的全生命周期管理机制。优化投资结构，适应人口结构变化和流动趋势，优化基础设施和公共服务设施布局，加强人力资源开发和人的全面发展投资，谋划实施老旧小区改造、供排水设施更新等一批可感可及的民生项目。到</w:t>
      </w:r>
      <w:r>
        <w:rPr>
          <w:rFonts w:ascii="Times New Roman" w:hAnsi="Times New Roman" w:eastAsia="仿宋_GB2312" w:cs="Times New Roman"/>
          <w:color w:val="000000" w:themeColor="text1"/>
          <w:sz w:val="32"/>
          <w:szCs w:val="32"/>
          <w14:textFill>
            <w14:solidFill>
              <w14:schemeClr w14:val="tx1"/>
            </w14:solidFill>
          </w14:textFill>
        </w:rPr>
        <w:t>2030年，全市</w:t>
      </w:r>
      <w:r>
        <w:rPr>
          <w:rFonts w:ascii="Times New Roman" w:hAnsi="Times New Roman" w:eastAsia="仿宋_GB2312" w:cs="Times New Roman"/>
          <w:color w:val="000000" w:themeColor="text1"/>
          <w:sz w:val="32"/>
          <w:szCs w:val="32"/>
          <w:lang w:val="en"/>
          <w14:textFill>
            <w14:solidFill>
              <w14:schemeClr w14:val="tx1"/>
            </w14:solidFill>
          </w14:textFill>
        </w:rPr>
        <w:t>民生类投资占固定资产投资比重提升至30%以上。</w:t>
      </w:r>
    </w:p>
    <w:p>
      <w:pPr>
        <w:pStyle w:val="17"/>
        <w:spacing w:line="540" w:lineRule="exact"/>
        <w:ind w:firstLine="640"/>
        <w:rPr>
          <w:rFonts w:eastAsia="仿宋_GB2312"/>
          <w:color w:val="000000" w:themeColor="text1"/>
          <w:sz w:val="32"/>
          <w:szCs w:val="32"/>
          <w14:textFill>
            <w14:solidFill>
              <w14:schemeClr w14:val="tx1"/>
            </w14:solidFill>
          </w14:textFill>
        </w:rPr>
      </w:pPr>
    </w:p>
    <w:p>
      <w:pPr>
        <w:pStyle w:val="7"/>
        <w:keepNext w:val="0"/>
        <w:keepLines w:val="0"/>
        <w:spacing w:line="54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第二节 拓宽有效投资空间</w:t>
      </w:r>
    </w:p>
    <w:p>
      <w:pPr>
        <w:adjustRightInd w:val="0"/>
        <w:snapToGrid w:val="0"/>
        <w:spacing w:line="540" w:lineRule="exact"/>
        <w:ind w:firstLine="640"/>
        <w:rPr>
          <w:rFonts w:eastAsia="仿宋_GB2312"/>
          <w:color w:val="000000" w:themeColor="text1"/>
          <w:sz w:val="32"/>
          <w:szCs w:val="32"/>
          <w:lang w:val="en"/>
          <w14:textFill>
            <w14:solidFill>
              <w14:schemeClr w14:val="tx1"/>
            </w14:solidFill>
          </w14:textFill>
        </w:rPr>
      </w:pPr>
    </w:p>
    <w:p>
      <w:pPr>
        <w:adjustRightInd w:val="0"/>
        <w:snapToGrid w:val="0"/>
        <w:spacing w:line="540" w:lineRule="exact"/>
        <w:ind w:firstLine="640"/>
        <w:rPr>
          <w:rFonts w:eastAsia="仿宋_GB2312"/>
          <w:color w:val="000000" w:themeColor="text1"/>
          <w:sz w:val="32"/>
          <w:szCs w:val="32"/>
          <w:lang w:val="en"/>
          <w14:textFill>
            <w14:solidFill>
              <w14:schemeClr w14:val="tx1"/>
            </w14:solidFill>
          </w14:textFill>
        </w:rPr>
      </w:pPr>
      <w:r>
        <w:rPr>
          <w:rFonts w:ascii="Times New Roman" w:hAnsi="Times New Roman" w:eastAsia="仿宋_GB2312" w:cs="Times New Roman"/>
          <w:color w:val="000000" w:themeColor="text1"/>
          <w:sz w:val="32"/>
          <w:szCs w:val="32"/>
          <w:lang w:val="en"/>
          <w14:textFill>
            <w14:solidFill>
              <w14:schemeClr w14:val="tx1"/>
            </w14:solidFill>
          </w14:textFill>
        </w:rPr>
        <w:t>围绕支持国家重大战略实施和重点领域安全能力建设，实施一批标志性、示范性、牵引性重大工程。聚焦高水平科技自立自强，加快推动省级实验室、关键核心技术攻关、高能级创新平台等重大科技基础设施建设。围绕构建</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5+10</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现代化产业体系，积极搭建一批工业场景平台。到2030年，力争完成50个以上标志性重大工程项目，其中科技创新类项目占比不低于30%。紧扣怀化国际陆港建设，科学布局一批枢纽经济领域重大项目。着力提升基础设施安全韧性水平，适度超前布局综合交通网、新型能源体系、水安全网、低空和数字基础设施。围绕扩大和创造消费新需求，完善特色商圈、特色街区、文商旅体融合新地标和县域商业体系等多元消费场景，带动耐用消费品制造投资和城乡商贸流通体系提质升级，促进投资和消费良性循环。增强生态环境系统治理基础能力，持续加大环境系统治理、生态保护修复、节能降碳等领域投资。</w:t>
      </w:r>
    </w:p>
    <w:p>
      <w:pPr>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br w:type="page"/>
      </w:r>
    </w:p>
    <w:p>
      <w:pPr>
        <w:pStyle w:val="7"/>
        <w:keepNext w:val="0"/>
        <w:keepLines w:val="0"/>
        <w:spacing w:line="540" w:lineRule="exact"/>
        <w:rPr>
          <w:rFonts w:eastAsia="仿宋_GB2312"/>
          <w:color w:val="000000" w:themeColor="text1"/>
          <w:sz w:val="32"/>
          <w:lang w:val="en"/>
          <w14:textFill>
            <w14:solidFill>
              <w14:schemeClr w14:val="tx1"/>
            </w14:solidFill>
          </w14:textFill>
        </w:rPr>
      </w:pPr>
      <w:r>
        <w:rPr>
          <w:rFonts w:eastAsia="仿宋_GB2312"/>
          <w:color w:val="000000" w:themeColor="text1"/>
          <w:sz w:val="32"/>
          <w14:textFill>
            <w14:solidFill>
              <w14:schemeClr w14:val="tx1"/>
            </w14:solidFill>
          </w14:textFill>
        </w:rPr>
        <w:t>第三节 激发民间投资活力</w:t>
      </w:r>
    </w:p>
    <w:p>
      <w:pPr>
        <w:adjustRightInd w:val="0"/>
        <w:snapToGrid w:val="0"/>
        <w:spacing w:line="540" w:lineRule="exact"/>
        <w:ind w:firstLine="640"/>
        <w:rPr>
          <w:rFonts w:eastAsia="仿宋_GB2312"/>
          <w:color w:val="000000" w:themeColor="text1"/>
          <w:sz w:val="32"/>
          <w:szCs w:val="32"/>
          <w14:textFill>
            <w14:solidFill>
              <w14:schemeClr w14:val="tx1"/>
            </w14:solidFill>
          </w14:textFill>
        </w:rPr>
      </w:pPr>
    </w:p>
    <w:p>
      <w:pPr>
        <w:adjustRightInd w:val="0"/>
        <w:snapToGrid w:val="0"/>
        <w:spacing w:line="560" w:lineRule="exact"/>
        <w:ind w:firstLine="640"/>
        <w:rPr>
          <w:rFonts w:eastAsia="仿宋_GB2312"/>
          <w:color w:val="000000" w:themeColor="text1"/>
          <w:spacing w:val="-6"/>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创新投融资体制机制，增强市场主导的有效投资增长动力。严格落实市场准入负面清单制度，推进基础设施竞争性领域向</w:t>
      </w:r>
      <w:r>
        <w:rPr>
          <w:rFonts w:hint="eastAsia" w:eastAsia="仿宋_GB2312" w:cs="Times New Roman"/>
          <w:color w:val="000000" w:themeColor="text1"/>
          <w:sz w:val="32"/>
          <w:szCs w:val="32"/>
          <w14:textFill>
            <w14:solidFill>
              <w14:schemeClr w14:val="tx1"/>
            </w14:solidFill>
          </w14:textFill>
        </w:rPr>
        <w:t>各类</w:t>
      </w:r>
      <w:r>
        <w:rPr>
          <w:rFonts w:ascii="Times New Roman" w:hAnsi="Times New Roman" w:eastAsia="仿宋_GB2312" w:cs="Times New Roman"/>
          <w:color w:val="000000" w:themeColor="text1"/>
          <w:sz w:val="32"/>
          <w:szCs w:val="32"/>
          <w14:textFill>
            <w14:solidFill>
              <w14:schemeClr w14:val="tx1"/>
            </w14:solidFill>
          </w14:textFill>
        </w:rPr>
        <w:t>经营主体公平开放。建立民间投资项目储备库，持续滚动向民间资本推介优质项目。鼓励民营企业加大对先进制造业、科技创新、工业技改等重点领域投资力度，引导民间资本参与新型基础设施、新型城镇化、乡村振兴、节能降碳、交通水利等重点工程和补短板领域建设。鼓励银行业、保险业等金融机构创新金融产品和服务模式，持续开展“行长走市县·金融送解</w:t>
      </w:r>
      <w:r>
        <w:rPr>
          <w:rFonts w:hint="eastAsia" w:eastAsia="仿宋_GB2312" w:cs="Times New Roman"/>
          <w:color w:val="000000" w:themeColor="text1"/>
          <w:sz w:val="32"/>
          <w:szCs w:val="32"/>
          <w14:textFill>
            <w14:solidFill>
              <w14:schemeClr w14:val="tx1"/>
            </w14:solidFill>
          </w14:textFill>
        </w:rPr>
        <w:t>忧</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百地千行进万企</w:t>
      </w:r>
      <w:r>
        <w:rPr>
          <w:rFonts w:hint="eastAsia"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等专项</w:t>
      </w:r>
      <w:r>
        <w:rPr>
          <w:rFonts w:ascii="Times New Roman" w:hAnsi="Times New Roman" w:eastAsia="仿宋_GB2312" w:cs="Times New Roman"/>
          <w:color w:val="000000" w:themeColor="text1"/>
          <w:spacing w:val="-6"/>
          <w:sz w:val="32"/>
          <w:szCs w:val="32"/>
          <w14:textFill>
            <w14:solidFill>
              <w14:schemeClr w14:val="tx1"/>
            </w14:solidFill>
          </w14:textFill>
        </w:rPr>
        <w:t>行动，持续提升民间投资融资便利化水平。积极稳妥推进实施政府和社会资本合作新机制，鼓励民间资本参与存量资产盘活，支持符合条件的民间投资项目发行基础设施领域不动产投资信托基金（REITs）。</w:t>
      </w:r>
    </w:p>
    <w:p>
      <w:pPr>
        <w:pStyle w:val="7"/>
        <w:keepNext w:val="0"/>
        <w:keepLines w:val="0"/>
        <w:spacing w:line="560" w:lineRule="exact"/>
        <w:rPr>
          <w:rFonts w:eastAsia="仿宋_GB2312"/>
          <w:color w:val="000000" w:themeColor="text1"/>
          <w:sz w:val="32"/>
          <w14:textFill>
            <w14:solidFill>
              <w14:schemeClr w14:val="tx1"/>
            </w14:solidFill>
          </w14:textFill>
        </w:rPr>
      </w:pPr>
    </w:p>
    <w:p>
      <w:pPr>
        <w:pStyle w:val="7"/>
        <w:keepNext w:val="0"/>
        <w:keepLines w:val="0"/>
        <w:spacing w:line="56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第四节 加大招商引资力度</w:t>
      </w:r>
    </w:p>
    <w:p>
      <w:pPr>
        <w:adjustRightInd w:val="0"/>
        <w:snapToGrid w:val="0"/>
        <w:spacing w:line="560" w:lineRule="exact"/>
        <w:ind w:firstLine="640"/>
        <w:rPr>
          <w:rFonts w:eastAsia="仿宋_GB2312"/>
          <w:color w:val="000000" w:themeColor="text1"/>
          <w:sz w:val="32"/>
          <w:szCs w:val="32"/>
          <w14:textFill>
            <w14:solidFill>
              <w14:schemeClr w14:val="tx1"/>
            </w14:solidFill>
          </w14:textFill>
        </w:rPr>
      </w:pPr>
    </w:p>
    <w:p>
      <w:pPr>
        <w:adjustRightInd w:val="0"/>
        <w:snapToGrid w:val="0"/>
        <w:spacing w:line="580" w:lineRule="exact"/>
        <w:ind w:firstLine="640"/>
        <w:rPr>
          <w:rFonts w:eastAsia="仿宋_GB2312"/>
          <w:color w:val="000000" w:themeColor="text1"/>
          <w:sz w:val="32"/>
          <w:szCs w:val="32"/>
          <w:lang w:val="en"/>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健全招商引资体制机制，完善项目从签约到投产的全生命周期服务体系，推动招商引资提质增效。进一步优化软硬件设施配套，持续降低物流运输成本，高标准建设临港产业园区，将怀化国际陆港打造成为招商引资的“金字招牌”。整合产业地图、政策库、项目库、生产要素等资源，构建数字化招商信息平台，实现对项目进展情况动态跟踪和精准服务。持续推动招商引资模式创新，推动传统招商向资本招商、综合成本招商、应用场景招商等新模式转型。全面梳理湘商资源，深入挖掘湘商潜力，建立健全详实丰富的湘商资源库，大力实施“湘商回归”工程。深化与重点外资来源地和驻外使领馆经商机构、中资机构、商会协会等对接合作，积极开展境外招商推介活动，建立健全重点外资来源地工作专班和外资工作联席会议制度，着力提升利用外资质量与水平。</w:t>
      </w:r>
    </w:p>
    <w:p>
      <w:pPr>
        <w:pStyle w:val="6"/>
        <w:keepNext w:val="0"/>
        <w:keepLines w:val="0"/>
        <w:spacing w:line="580" w:lineRule="exact"/>
        <w:rPr>
          <w:rFonts w:ascii="Times New Roman" w:hAnsi="Times New Roman" w:eastAsia="黑体" w:cs="Times New Roman"/>
          <w:color w:val="000000" w:themeColor="text1"/>
          <w:sz w:val="32"/>
          <w14:textFill>
            <w14:solidFill>
              <w14:schemeClr w14:val="tx1"/>
            </w14:solidFill>
          </w14:textFill>
        </w:rPr>
      </w:pPr>
    </w:p>
    <w:p>
      <w:pPr>
        <w:pStyle w:val="6"/>
        <w:keepNext w:val="0"/>
        <w:keepLines w:val="0"/>
        <w:spacing w:line="580" w:lineRule="exact"/>
        <w:rPr>
          <w:rFonts w:ascii="Times New Roman" w:hAnsi="Times New Roman" w:eastAsia="黑体" w:cs="Times New Roman"/>
          <w:color w:val="000000" w:themeColor="text1"/>
          <w:sz w:val="32"/>
          <w14:textFill>
            <w14:solidFill>
              <w14:schemeClr w14:val="tx1"/>
            </w14:solidFill>
          </w14:textFill>
        </w:rPr>
      </w:pPr>
      <w:bookmarkStart w:id="41" w:name="_Toc2407"/>
      <w:r>
        <w:rPr>
          <w:rFonts w:ascii="Times New Roman" w:hAnsi="Times New Roman" w:eastAsia="黑体" w:cs="Times New Roman"/>
          <w:color w:val="000000" w:themeColor="text1"/>
          <w:sz w:val="32"/>
          <w14:textFill>
            <w14:solidFill>
              <w14:schemeClr w14:val="tx1"/>
            </w14:solidFill>
          </w14:textFill>
        </w:rPr>
        <w:t>第二十一章 主动服务融入全国统一大市场</w:t>
      </w:r>
      <w:bookmarkEnd w:id="41"/>
    </w:p>
    <w:p>
      <w:pPr>
        <w:pStyle w:val="7"/>
        <w:keepNext w:val="0"/>
        <w:keepLines w:val="0"/>
        <w:spacing w:line="580" w:lineRule="exact"/>
        <w:rPr>
          <w:rFonts w:eastAsia="仿宋_GB2312"/>
          <w:color w:val="000000" w:themeColor="text1"/>
          <w:sz w:val="32"/>
          <w14:textFill>
            <w14:solidFill>
              <w14:schemeClr w14:val="tx1"/>
            </w14:solidFill>
          </w14:textFill>
        </w:rPr>
      </w:pPr>
    </w:p>
    <w:p>
      <w:pPr>
        <w:pStyle w:val="7"/>
        <w:keepNext w:val="0"/>
        <w:keepLines w:val="0"/>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第一节 落实全国统一大市场建设要求</w:t>
      </w:r>
    </w:p>
    <w:p>
      <w:pPr>
        <w:adjustRightInd w:val="0"/>
        <w:snapToGrid w:val="0"/>
        <w:spacing w:line="580" w:lineRule="exact"/>
        <w:ind w:firstLine="640"/>
        <w:rPr>
          <w:rFonts w:eastAsia="仿宋_GB2312"/>
          <w:color w:val="000000" w:themeColor="text1"/>
          <w:sz w:val="32"/>
          <w:szCs w:val="32"/>
          <w:lang w:val="en"/>
          <w14:textFill>
            <w14:solidFill>
              <w14:schemeClr w14:val="tx1"/>
            </w14:solidFill>
          </w14:textFill>
        </w:rPr>
      </w:pPr>
    </w:p>
    <w:p>
      <w:pPr>
        <w:adjustRightInd w:val="0"/>
        <w:snapToGrid w:val="0"/>
        <w:spacing w:line="56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lang w:val="en"/>
          <w14:textFill>
            <w14:solidFill>
              <w14:schemeClr w14:val="tx1"/>
            </w14:solidFill>
          </w14:textFill>
        </w:rPr>
        <w:t>综合整治</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内卷式</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竞争，规范政府经济促进行为，破除要素获取、资质认定、招标投标、政府采购等方面壁垒。全面落实</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非</w:t>
      </w:r>
      <w:r>
        <w:rPr>
          <w:rFonts w:ascii="Times New Roman" w:hAnsi="Times New Roman" w:eastAsia="仿宋_GB2312" w:cs="Times New Roman"/>
          <w:color w:val="000000" w:themeColor="text1"/>
          <w:sz w:val="32"/>
          <w:szCs w:val="32"/>
          <w14:textFill>
            <w14:solidFill>
              <w14:schemeClr w14:val="tx1"/>
            </w14:solidFill>
          </w14:textFill>
        </w:rPr>
        <w:t>禁即入”，健全与市场准入负面清单制度相适应的行政审批制度、事中事后监管制度。</w:t>
      </w:r>
      <w:r>
        <w:rPr>
          <w:rFonts w:ascii="Times New Roman" w:hAnsi="Times New Roman" w:eastAsia="仿宋_GB2312" w:cs="Times New Roman"/>
          <w:color w:val="000000" w:themeColor="text1"/>
          <w:sz w:val="32"/>
          <w:szCs w:val="32"/>
          <w:lang w:val="en"/>
          <w14:textFill>
            <w14:solidFill>
              <w14:schemeClr w14:val="tx1"/>
            </w14:solidFill>
          </w14:textFill>
        </w:rPr>
        <w:t>建立健全社会信用体系，完善信用分级分类监管政策制度。健全公平竞争审查工作机制，完善行政执法与刑事司法衔接机制。</w:t>
      </w:r>
      <w:r>
        <w:rPr>
          <w:rFonts w:ascii="Times New Roman" w:hAnsi="Times New Roman" w:eastAsia="仿宋_GB2312" w:cs="Times New Roman"/>
          <w:color w:val="000000" w:themeColor="text1"/>
          <w:sz w:val="32"/>
          <w:szCs w:val="32"/>
          <w14:textFill>
            <w14:solidFill>
              <w14:schemeClr w14:val="tx1"/>
            </w14:solidFill>
          </w14:textFill>
        </w:rPr>
        <w:t>全面加强政务诚信、商务诚信、社会诚信和司法公信建设，持续完善市场监管领域信用制度、信用平台和信用数据体系。</w:t>
      </w:r>
      <w:r>
        <w:rPr>
          <w:rFonts w:ascii="Times New Roman" w:hAnsi="Times New Roman" w:eastAsia="仿宋_GB2312" w:cs="Times New Roman"/>
          <w:color w:val="000000" w:themeColor="text1"/>
          <w:sz w:val="32"/>
          <w:szCs w:val="32"/>
          <w:lang w:val="en"/>
          <w14:textFill>
            <w14:solidFill>
              <w14:schemeClr w14:val="tx1"/>
            </w14:solidFill>
          </w14:textFill>
        </w:rPr>
        <w:t>规范招商引资行为，严禁违法违规给予政策优惠。深入实施知识产权战略，构建知识产权大保护格局，落实严格保护商标、专利、原产地地理标志等制度，依法惩治知识产权侵权假冒行为，营造公平竞争的市场环境。</w:t>
      </w:r>
    </w:p>
    <w:p>
      <w:pPr>
        <w:ind w:firstLine="643"/>
        <w:rPr>
          <w:rFonts w:eastAsia="仿宋_GB2312"/>
          <w:b/>
          <w:bCs w:val="0"/>
          <w:color w:val="000000" w:themeColor="text1"/>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br w:type="page"/>
      </w:r>
    </w:p>
    <w:p>
      <w:pPr>
        <w:adjustRightInd w:val="0"/>
        <w:snapToGrid w:val="0"/>
        <w:spacing w:line="560" w:lineRule="exact"/>
        <w:jc w:val="center"/>
        <w:outlineLvl w:val="2"/>
        <w:rPr>
          <w:rFonts w:eastAsia="仿宋_GB2312"/>
          <w:b/>
          <w:bCs w:val="0"/>
          <w:color w:val="000000" w:themeColor="text1"/>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第二节 统一市场监管执法</w:t>
      </w:r>
    </w:p>
    <w:p>
      <w:pPr>
        <w:adjustRightInd w:val="0"/>
        <w:snapToGrid w:val="0"/>
        <w:spacing w:line="560" w:lineRule="exact"/>
        <w:ind w:firstLine="640"/>
        <w:rPr>
          <w:rFonts w:eastAsia="仿宋_GB2312"/>
          <w:color w:val="000000" w:themeColor="text1"/>
          <w:sz w:val="32"/>
          <w:szCs w:val="32"/>
          <w14:textFill>
            <w14:solidFill>
              <w14:schemeClr w14:val="tx1"/>
            </w14:solidFill>
          </w14:textFill>
        </w:rPr>
      </w:pPr>
    </w:p>
    <w:p>
      <w:pPr>
        <w:adjustRightInd w:val="0"/>
        <w:snapToGrid w:val="0"/>
        <w:spacing w:line="56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落实市场监管标准化规范化建设要求，提升政务服务效能，实施包容审慎监管。严格执行市场监管行政处罚裁量基准，促进公平公正执法。强化反不正当竞争执法司法，加强要素市场以及医药、公用事业等民生领域不正当竞争监管，加强反不正当竞争工作协同，形成公平竞争市场秩序。规范标准体系建设，推动政府标准与市场</w:t>
      </w:r>
      <w:r>
        <w:rPr>
          <w:rFonts w:ascii="Times New Roman" w:hAnsi="Times New Roman" w:eastAsia="仿宋_GB2312" w:cs="Times New Roman"/>
          <w:color w:val="000000" w:themeColor="text1"/>
          <w:spacing w:val="6"/>
          <w:sz w:val="32"/>
          <w:szCs w:val="32"/>
          <w14:textFill>
            <w14:solidFill>
              <w14:schemeClr w14:val="tx1"/>
            </w14:solidFill>
          </w14:textFill>
        </w:rPr>
        <w:t>标准协同发力。加强计量标准和检验检测认证能力建设，充分发挥计量服务基础支撑作用，切实提高检验检测认证水平。强化食品、药品、重点工业产品、特种设备安全监管。加强价格监测调控。</w:t>
      </w:r>
    </w:p>
    <w:p>
      <w:pPr>
        <w:pStyle w:val="6"/>
        <w:keepNext w:val="0"/>
        <w:keepLines w:val="0"/>
        <w:spacing w:line="560" w:lineRule="exact"/>
        <w:rPr>
          <w:rFonts w:ascii="Times New Roman" w:hAnsi="Times New Roman" w:eastAsia="仿宋_GB2312" w:cs="Times New Roman"/>
          <w:color w:val="000000" w:themeColor="text1"/>
          <w:sz w:val="32"/>
          <w14:textFill>
            <w14:solidFill>
              <w14:schemeClr w14:val="tx1"/>
            </w14:solidFill>
          </w14:textFill>
        </w:rPr>
      </w:pPr>
    </w:p>
    <w:p>
      <w:pPr>
        <w:pStyle w:val="6"/>
        <w:keepNext w:val="0"/>
        <w:keepLines w:val="0"/>
        <w:spacing w:line="560" w:lineRule="exact"/>
        <w:rPr>
          <w:rFonts w:ascii="Times New Roman" w:hAnsi="Times New Roman" w:eastAsia="黑体" w:cs="Times New Roman"/>
          <w:color w:val="000000" w:themeColor="text1"/>
          <w:sz w:val="32"/>
          <w14:textFill>
            <w14:solidFill>
              <w14:schemeClr w14:val="tx1"/>
            </w14:solidFill>
          </w14:textFill>
        </w:rPr>
      </w:pPr>
      <w:bookmarkStart w:id="42" w:name="_Toc20017"/>
      <w:r>
        <w:rPr>
          <w:rFonts w:ascii="Times New Roman" w:hAnsi="Times New Roman" w:eastAsia="黑体" w:cs="Times New Roman"/>
          <w:color w:val="000000" w:themeColor="text1"/>
          <w:sz w:val="32"/>
          <w14:textFill>
            <w14:solidFill>
              <w14:schemeClr w14:val="tx1"/>
            </w14:solidFill>
          </w14:textFill>
        </w:rPr>
        <w:t>第二十二章 完善现代物流体系</w:t>
      </w:r>
      <w:bookmarkEnd w:id="42"/>
    </w:p>
    <w:p>
      <w:pPr>
        <w:pStyle w:val="7"/>
        <w:keepNext w:val="0"/>
        <w:keepLines w:val="0"/>
        <w:spacing w:line="560" w:lineRule="exact"/>
        <w:rPr>
          <w:rFonts w:eastAsia="仿宋_GB2312"/>
          <w:color w:val="000000" w:themeColor="text1"/>
          <w:sz w:val="32"/>
          <w14:textFill>
            <w14:solidFill>
              <w14:schemeClr w14:val="tx1"/>
            </w14:solidFill>
          </w14:textFill>
        </w:rPr>
      </w:pPr>
    </w:p>
    <w:p>
      <w:pPr>
        <w:adjustRightInd w:val="0"/>
        <w:snapToGrid w:val="0"/>
        <w:spacing w:line="560" w:lineRule="exact"/>
        <w:jc w:val="center"/>
        <w:outlineLvl w:val="2"/>
        <w:rPr>
          <w:rFonts w:eastAsia="仿宋_GB2312"/>
          <w:b/>
          <w:bCs w:val="0"/>
          <w:color w:val="000000" w:themeColor="text1"/>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第一节 建设现代化商贸流通体系</w:t>
      </w:r>
    </w:p>
    <w:p>
      <w:pPr>
        <w:adjustRightInd w:val="0"/>
        <w:snapToGrid w:val="0"/>
        <w:spacing w:line="580" w:lineRule="exact"/>
        <w:ind w:firstLine="640"/>
        <w:rPr>
          <w:rFonts w:eastAsia="仿宋_GB2312"/>
          <w:color w:val="000000" w:themeColor="text1"/>
          <w:sz w:val="32"/>
          <w:szCs w:val="32"/>
          <w:lang w:val="en"/>
          <w14:textFill>
            <w14:solidFill>
              <w14:schemeClr w14:val="tx1"/>
            </w14:solidFill>
          </w14:textFill>
        </w:rPr>
      </w:pPr>
    </w:p>
    <w:p>
      <w:pPr>
        <w:adjustRightInd w:val="0"/>
        <w:snapToGrid w:val="0"/>
        <w:spacing w:line="60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lang w:val="en"/>
          <w14:textFill>
            <w14:solidFill>
              <w14:schemeClr w14:val="tx1"/>
            </w14:solidFill>
          </w14:textFill>
        </w:rPr>
        <w:t>加快打造五省边际区域性商贸物流中心，深化商贸服务型国家物流枢纽、国家现代流通战略支点城市建设，</w:t>
      </w:r>
      <w:r>
        <w:rPr>
          <w:rFonts w:ascii="Times New Roman" w:hAnsi="Times New Roman" w:eastAsia="仿宋_GB2312" w:cs="Times New Roman"/>
          <w:color w:val="000000" w:themeColor="text1"/>
          <w:sz w:val="32"/>
          <w:szCs w:val="32"/>
          <w14:textFill>
            <w14:solidFill>
              <w14:schemeClr w14:val="tx1"/>
            </w14:solidFill>
          </w14:textFill>
        </w:rPr>
        <w:t>争创国家物流枢纽经济区</w:t>
      </w:r>
      <w:r>
        <w:rPr>
          <w:rFonts w:ascii="Times New Roman" w:hAnsi="Times New Roman" w:eastAsia="仿宋_GB2312" w:cs="Times New Roman"/>
          <w:color w:val="000000" w:themeColor="text1"/>
          <w:sz w:val="32"/>
          <w:szCs w:val="32"/>
          <w:lang w:val="en"/>
          <w14:textFill>
            <w14:solidFill>
              <w14:schemeClr w14:val="tx1"/>
            </w14:solidFill>
          </w14:textFill>
        </w:rPr>
        <w:t>。完善多式联运体系，大力提升铁路、水路运输占比，</w:t>
      </w:r>
      <w:r>
        <w:rPr>
          <w:rFonts w:ascii="Times New Roman" w:hAnsi="Times New Roman" w:eastAsia="仿宋_GB2312" w:cs="Times New Roman"/>
          <w:color w:val="000000" w:themeColor="text1"/>
          <w:sz w:val="32"/>
          <w:szCs w:val="32"/>
          <w14:textFill>
            <w14:solidFill>
              <w14:schemeClr w14:val="tx1"/>
            </w14:solidFill>
          </w14:textFill>
        </w:rPr>
        <w:t>推进航空货运发展</w:t>
      </w:r>
      <w:r>
        <w:rPr>
          <w:rFonts w:ascii="Times New Roman" w:hAnsi="Times New Roman" w:eastAsia="仿宋_GB2312" w:cs="Times New Roman"/>
          <w:color w:val="000000" w:themeColor="text1"/>
          <w:sz w:val="32"/>
          <w:szCs w:val="32"/>
          <w:lang w:val="en"/>
          <w14:textFill>
            <w14:solidFill>
              <w14:schemeClr w14:val="tx1"/>
            </w14:solidFill>
          </w14:textFill>
        </w:rPr>
        <w:t>。引导支持重点快递物流企业在</w:t>
      </w:r>
      <w:r>
        <w:rPr>
          <w:rFonts w:hint="eastAsia" w:eastAsia="仿宋_GB2312" w:cs="Times New Roman"/>
          <w:color w:val="000000" w:themeColor="text1"/>
          <w:sz w:val="32"/>
          <w:szCs w:val="32"/>
          <w:lang w:val="en"/>
          <w14:textFill>
            <w14:solidFill>
              <w14:schemeClr w14:val="tx1"/>
            </w14:solidFill>
          </w14:textFill>
        </w:rPr>
        <w:t>怀化</w:t>
      </w:r>
      <w:r>
        <w:rPr>
          <w:rFonts w:ascii="Times New Roman" w:hAnsi="Times New Roman" w:eastAsia="仿宋_GB2312" w:cs="Times New Roman"/>
          <w:color w:val="000000" w:themeColor="text1"/>
          <w:sz w:val="32"/>
          <w:szCs w:val="32"/>
          <w:lang w:val="en"/>
          <w14:textFill>
            <w14:solidFill>
              <w14:schemeClr w14:val="tx1"/>
            </w14:solidFill>
          </w14:textFill>
        </w:rPr>
        <w:t>设立二级分拨中心，争创全国性邮政快递枢纽城市。提升城市流通保供体系，</w:t>
      </w:r>
      <w:r>
        <w:rPr>
          <w:rFonts w:ascii="Times New Roman" w:hAnsi="Times New Roman" w:eastAsia="仿宋_GB2312" w:cs="Times New Roman"/>
          <w:color w:val="000000" w:themeColor="text1"/>
          <w:sz w:val="32"/>
          <w:szCs w:val="32"/>
          <w14:textFill>
            <w14:solidFill>
              <w14:schemeClr w14:val="tx1"/>
            </w14:solidFill>
          </w14:textFill>
        </w:rPr>
        <w:t>完善以物流分拨中心、区域配送中心、末端网</w:t>
      </w:r>
      <w:r>
        <w:rPr>
          <w:rFonts w:hint="eastAsia" w:eastAsia="仿宋_GB2312" w:cs="Times New Roman"/>
          <w:color w:val="000000" w:themeColor="text1"/>
          <w:sz w:val="32"/>
          <w:szCs w:val="32"/>
          <w14:textFill>
            <w14:solidFill>
              <w14:schemeClr w14:val="tx1"/>
            </w14:solidFill>
          </w14:textFill>
        </w:rPr>
        <w:t>点</w:t>
      </w:r>
      <w:r>
        <w:rPr>
          <w:rFonts w:ascii="Times New Roman" w:hAnsi="Times New Roman" w:eastAsia="仿宋_GB2312" w:cs="Times New Roman"/>
          <w:color w:val="000000" w:themeColor="text1"/>
          <w:sz w:val="32"/>
          <w:szCs w:val="32"/>
          <w14:textFill>
            <w14:solidFill>
              <w14:schemeClr w14:val="tx1"/>
            </w14:solidFill>
          </w14:textFill>
        </w:rPr>
        <w:t>为主的</w:t>
      </w:r>
      <w:r>
        <w:rPr>
          <w:rFonts w:ascii="Times New Roman" w:hAnsi="Times New Roman" w:eastAsia="仿宋_GB2312" w:cs="Times New Roman"/>
          <w:color w:val="000000" w:themeColor="text1"/>
          <w:sz w:val="32"/>
          <w:szCs w:val="32"/>
          <w:lang w:val="en"/>
          <w14:textFill>
            <w14:solidFill>
              <w14:schemeClr w14:val="tx1"/>
            </w14:solidFill>
          </w14:textFill>
        </w:rPr>
        <w:t>商贸流通与生活必需品流通保供一体化网络。</w:t>
      </w:r>
      <w:r>
        <w:rPr>
          <w:rFonts w:ascii="Times New Roman" w:hAnsi="Times New Roman" w:eastAsia="仿宋_GB2312" w:cs="Times New Roman"/>
          <w:color w:val="000000" w:themeColor="text1"/>
          <w:sz w:val="32"/>
          <w:szCs w:val="32"/>
          <w14:textFill>
            <w14:solidFill>
              <w14:schemeClr w14:val="tx1"/>
            </w14:solidFill>
          </w14:textFill>
        </w:rPr>
        <w:t>完善</w:t>
      </w:r>
      <w:r>
        <w:rPr>
          <w:rFonts w:ascii="Times New Roman" w:hAnsi="Times New Roman" w:eastAsia="仿宋_GB2312" w:cs="Times New Roman"/>
          <w:color w:val="000000" w:themeColor="text1"/>
          <w:sz w:val="32"/>
          <w:szCs w:val="32"/>
          <w:lang w:val="en"/>
          <w14:textFill>
            <w14:solidFill>
              <w14:schemeClr w14:val="tx1"/>
            </w14:solidFill>
          </w14:textFill>
        </w:rPr>
        <w:t>县乡村三级物流</w:t>
      </w:r>
      <w:r>
        <w:rPr>
          <w:rFonts w:ascii="Times New Roman" w:hAnsi="Times New Roman" w:eastAsia="仿宋_GB2312" w:cs="Times New Roman"/>
          <w:color w:val="000000" w:themeColor="text1"/>
          <w:sz w:val="32"/>
          <w:szCs w:val="32"/>
          <w14:textFill>
            <w14:solidFill>
              <w14:schemeClr w14:val="tx1"/>
            </w14:solidFill>
          </w14:textFill>
        </w:rPr>
        <w:t>体系</w:t>
      </w:r>
      <w:r>
        <w:rPr>
          <w:rFonts w:ascii="Times New Roman" w:hAnsi="Times New Roman" w:eastAsia="仿宋_GB2312" w:cs="Times New Roman"/>
          <w:color w:val="000000" w:themeColor="text1"/>
          <w:sz w:val="32"/>
          <w:szCs w:val="32"/>
          <w:lang w:val="en"/>
          <w14:textFill>
            <w14:solidFill>
              <w14:schemeClr w14:val="tx1"/>
            </w14:solidFill>
          </w14:textFill>
        </w:rPr>
        <w:t>，补齐农村寄递物流设施短板，实现末端网络全覆盖。</w:t>
      </w:r>
      <w:r>
        <w:rPr>
          <w:rFonts w:ascii="Times New Roman" w:hAnsi="Times New Roman" w:eastAsia="仿宋_GB2312" w:cs="Times New Roman"/>
          <w:color w:val="000000" w:themeColor="text1"/>
          <w:sz w:val="32"/>
          <w:szCs w:val="32"/>
          <w14:textFill>
            <w14:solidFill>
              <w14:schemeClr w14:val="tx1"/>
            </w14:solidFill>
          </w14:textFill>
        </w:rPr>
        <w:t>以</w:t>
      </w:r>
      <w:r>
        <w:rPr>
          <w:rFonts w:ascii="Times New Roman" w:hAnsi="Times New Roman" w:eastAsia="仿宋_GB2312" w:cs="Times New Roman"/>
          <w:color w:val="000000" w:themeColor="text1"/>
          <w:sz w:val="32"/>
          <w:szCs w:val="32"/>
          <w:lang w:val="en"/>
          <w14:textFill>
            <w14:solidFill>
              <w14:schemeClr w14:val="tx1"/>
            </w14:solidFill>
          </w14:textFill>
        </w:rPr>
        <w:t>优化创新回收模式为主线，健全再生资源回收体系。推动实施城区原有专业市场提质改造。</w:t>
      </w:r>
      <w:r>
        <w:rPr>
          <w:rFonts w:ascii="Times New Roman" w:hAnsi="Times New Roman" w:eastAsia="仿宋_GB2312" w:cs="Times New Roman"/>
          <w:color w:val="000000" w:themeColor="text1"/>
          <w:sz w:val="32"/>
          <w:szCs w:val="32"/>
          <w14:textFill>
            <w14:solidFill>
              <w14:schemeClr w14:val="tx1"/>
            </w14:solidFill>
          </w14:textFill>
        </w:rPr>
        <w:t>到2030年，新增限额以上商贸流通企业500家以上。</w:t>
      </w:r>
    </w:p>
    <w:p>
      <w:pPr>
        <w:adjustRightInd w:val="0"/>
        <w:snapToGrid w:val="0"/>
        <w:spacing w:line="580" w:lineRule="exact"/>
        <w:ind w:firstLine="640"/>
        <w:rPr>
          <w:rFonts w:eastAsia="仿宋_GB2312"/>
          <w:color w:val="000000" w:themeColor="text1"/>
          <w:sz w:val="32"/>
          <w:szCs w:val="32"/>
          <w14:textFill>
            <w14:solidFill>
              <w14:schemeClr w14:val="tx1"/>
            </w14:solidFill>
          </w14:textFill>
        </w:rPr>
      </w:pPr>
    </w:p>
    <w:p>
      <w:pPr>
        <w:adjustRightInd w:val="0"/>
        <w:snapToGrid w:val="0"/>
        <w:spacing w:line="580" w:lineRule="exact"/>
        <w:jc w:val="center"/>
        <w:outlineLvl w:val="2"/>
        <w:rPr>
          <w:rFonts w:eastAsia="仿宋_GB2312"/>
          <w:b/>
          <w:bCs w:val="0"/>
          <w:color w:val="000000" w:themeColor="text1"/>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第二节 有效降低全社会物流成本</w:t>
      </w:r>
    </w:p>
    <w:p>
      <w:pPr>
        <w:adjustRightInd w:val="0"/>
        <w:snapToGrid w:val="0"/>
        <w:spacing w:line="580" w:lineRule="exact"/>
        <w:jc w:val="center"/>
        <w:outlineLvl w:val="2"/>
        <w:rPr>
          <w:rFonts w:eastAsia="仿宋_GB2312"/>
          <w:b/>
          <w:bCs w:val="0"/>
          <w:color w:val="000000" w:themeColor="text1"/>
          <w:sz w:val="32"/>
          <w:szCs w:val="32"/>
          <w14:textFill>
            <w14:solidFill>
              <w14:schemeClr w14:val="tx1"/>
            </w14:solidFill>
          </w14:textFill>
        </w:rPr>
      </w:pPr>
    </w:p>
    <w:p>
      <w:pPr>
        <w:adjustRightInd w:val="0"/>
        <w:snapToGrid w:val="0"/>
        <w:spacing w:line="600" w:lineRule="exact"/>
        <w:ind w:firstLine="640"/>
        <w:rPr>
          <w:rFonts w:eastAsia="仿宋_GB2312"/>
          <w:color w:val="000000" w:themeColor="text1"/>
          <w:sz w:val="32"/>
          <w:szCs w:val="32"/>
          <w:lang w:val="en"/>
          <w14:textFill>
            <w14:solidFill>
              <w14:schemeClr w14:val="tx1"/>
            </w14:solidFill>
          </w14:textFill>
        </w:rPr>
      </w:pPr>
      <w:r>
        <w:rPr>
          <w:rFonts w:ascii="Times New Roman" w:hAnsi="Times New Roman" w:eastAsia="仿宋_GB2312" w:cs="Times New Roman"/>
          <w:color w:val="000000" w:themeColor="text1"/>
          <w:sz w:val="32"/>
          <w:szCs w:val="32"/>
          <w:lang w:val="en"/>
          <w14:textFill>
            <w14:solidFill>
              <w14:schemeClr w14:val="tx1"/>
            </w14:solidFill>
          </w14:textFill>
        </w:rPr>
        <w:t>大力培育</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公转铁</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示范线路与经营主体，加快推广</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一单制</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一箱制</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支持开展集装箱运输、商品车滚装运输、全程冷链运输、电商快递班列等多式联运试点，提升全程物流服务能力。持续优化物流环境，完善高速公路差异化收费机制，探索制定货运车辆同城本地上下免费、低峰时段下调费用、</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递远递减</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等优惠政策。深化海关、铁路监管协作，提升陆港装卸效能，优化AEO企业通关服务。到2030年，培育引进A级物流企业60家以上、星级冷链企业5家，引进国内外知名大型物流、货运代理和供应链头部企业2家以上，社会物流总费用占GDP比重降低至13.2%。</w:t>
      </w:r>
    </w:p>
    <w:p>
      <w:pPr>
        <w:adjustRightInd w:val="0"/>
        <w:snapToGrid w:val="0"/>
        <w:spacing w:line="580" w:lineRule="exact"/>
        <w:jc w:val="center"/>
        <w:outlineLvl w:val="2"/>
        <w:rPr>
          <w:rFonts w:eastAsia="仿宋_GB2312"/>
          <w:b/>
          <w:bCs w:val="0"/>
          <w:color w:val="000000" w:themeColor="text1"/>
          <w:sz w:val="32"/>
          <w:szCs w:val="32"/>
          <w14:textFill>
            <w14:solidFill>
              <w14:schemeClr w14:val="tx1"/>
            </w14:solidFill>
          </w14:textFill>
        </w:rPr>
      </w:pPr>
    </w:p>
    <w:p>
      <w:pPr>
        <w:ind w:firstLine="643"/>
        <w:rPr>
          <w:rFonts w:eastAsia="仿宋_GB2312"/>
          <w:b/>
          <w:bCs w:val="0"/>
          <w:color w:val="000000" w:themeColor="text1"/>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br w:type="page"/>
      </w:r>
    </w:p>
    <w:p>
      <w:pPr>
        <w:adjustRightInd w:val="0"/>
        <w:snapToGrid w:val="0"/>
        <w:spacing w:line="580" w:lineRule="exact"/>
        <w:jc w:val="center"/>
        <w:outlineLvl w:val="2"/>
        <w:rPr>
          <w:rFonts w:eastAsia="仿宋_GB2312"/>
          <w:b/>
          <w:bCs w:val="0"/>
          <w:color w:val="000000" w:themeColor="text1"/>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第三节 推进物流智慧化发展</w:t>
      </w:r>
    </w:p>
    <w:p>
      <w:pPr>
        <w:spacing w:line="570" w:lineRule="exact"/>
        <w:ind w:firstLine="640"/>
        <w:rPr>
          <w:rFonts w:eastAsia="仿宋_GB2312"/>
          <w:color w:val="000000" w:themeColor="text1"/>
          <w:sz w:val="32"/>
          <w:szCs w:val="32"/>
          <w14:textFill>
            <w14:solidFill>
              <w14:schemeClr w14:val="tx1"/>
            </w14:solidFill>
          </w14:textFill>
        </w:rPr>
      </w:pPr>
    </w:p>
    <w:p>
      <w:pPr>
        <w:adjustRightInd w:val="0"/>
        <w:snapToGrid w:val="0"/>
        <w:spacing w:line="57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深化物流行业数字化转型和智能化改造，建设AI赋能的市级智慧物流公共信息平台，整合数据采集、交换、分析、应用全功能，深度融合物流、政务、金融、贸易等多领域数据，推动与国家、省级物流信息平台及西部陆海新通道信息平台、中国—东盟信息港互联互通，实现跨区域、跨系统、跨部门高效数据共享与业务协同。推广电子运单、电子仓单等标准化电子化单证，加快数字货运平台建设，推动大数据、5G、北斗卫星导航系统及“数字孪生”等技术深度应用，统筹推进智慧物流枢纽、园区建设，推广智能仓储管理系统（WMS）、自动驾驶装备等智能应用，培育一批智慧物流示范园区和标杆企业。推动智慧化与绿色化协同融合，推广新能源运输装备，建设绿色仓储设施，实现从原材料采购到终端消费的全链条数字化、可视化、智能化管控，提升物流运行效率与服务能级。</w:t>
      </w:r>
    </w:p>
    <w:tbl>
      <w:tblPr>
        <w:tblStyle w:val="25"/>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907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90" w:lineRule="exact"/>
              <w:ind w:firstLine="640"/>
              <w:jc w:val="center"/>
              <w:rPr>
                <w:rFonts w:eastAsia="黑体"/>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专栏6—1 五省边际区域性商贸物流中心建设行动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9071" w:type="dxa"/>
            <w:tcBorders>
              <w:top w:val="single" w:color="auto" w:sz="4" w:space="0"/>
              <w:left w:val="single" w:color="auto" w:sz="4" w:space="0"/>
              <w:bottom w:val="single" w:color="auto" w:sz="4" w:space="0"/>
              <w:right w:val="single" w:color="auto" w:sz="4" w:space="0"/>
            </w:tcBorders>
          </w:tcPr>
          <w:p>
            <w:pPr>
              <w:spacing w:line="480" w:lineRule="exact"/>
              <w:ind w:firstLine="643"/>
              <w:rPr>
                <w:rFonts w:eastAsia="楷体_GB2312"/>
                <w:b/>
                <w:bCs w:val="0"/>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1.商贸流通网络优化。</w:t>
            </w:r>
            <w:r>
              <w:rPr>
                <w:rFonts w:ascii="Times New Roman" w:hAnsi="Times New Roman" w:eastAsia="楷体_GB2312" w:cs="Times New Roman"/>
                <w:bCs w:val="0"/>
                <w:color w:val="000000" w:themeColor="text1"/>
                <w:sz w:val="32"/>
                <w:szCs w:val="32"/>
                <w14:textFill>
                  <w14:solidFill>
                    <w14:schemeClr w14:val="tx1"/>
                  </w14:solidFill>
                </w14:textFill>
              </w:rPr>
              <w:t>统筹城市商业设施、寄递物流设施、交通基础设施规划建设和升级改造，加强综合物流园区、快递分拨中心、智能快件箱、邮政快递末端网点等公共服务设施建设。补齐县域商业基础设施短板，改善优化县域消费渠道，</w:t>
            </w:r>
            <w:r>
              <w:rPr>
                <w:rFonts w:ascii="Times New Roman" w:hAnsi="Times New Roman" w:eastAsia="楷体_GB2312" w:cs="Times New Roman"/>
                <w:color w:val="000000" w:themeColor="text1"/>
                <w:sz w:val="32"/>
                <w:szCs w:val="32"/>
                <w14:textFill>
                  <w14:solidFill>
                    <w14:schemeClr w14:val="tx1"/>
                  </w14:solidFill>
                </w14:textFill>
              </w:rPr>
              <w:t>健全农村商贸服务和物流配送网络。</w:t>
            </w:r>
          </w:p>
          <w:p>
            <w:pPr>
              <w:spacing w:line="480" w:lineRule="exact"/>
              <w:ind w:firstLine="643"/>
              <w:rPr>
                <w:rFonts w:eastAsia="楷体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2.区域商贸物流一体化。</w:t>
            </w:r>
            <w:r>
              <w:rPr>
                <w:rFonts w:ascii="Times New Roman" w:hAnsi="Times New Roman" w:eastAsia="楷体_GB2312" w:cs="Times New Roman"/>
                <w:bCs w:val="0"/>
                <w:color w:val="000000" w:themeColor="text1"/>
                <w:sz w:val="32"/>
                <w:szCs w:val="32"/>
                <w14:textFill>
                  <w14:solidFill>
                    <w14:schemeClr w14:val="tx1"/>
                  </w14:solidFill>
                </w14:textFill>
              </w:rPr>
              <w:t>加强与湘鄂渝黔桂五省边际城市、省内其他城市、成渝地区双城经济圈、粤港澳大湾区商贸物流协同，优化整合区域商贸物流设施布局，加强功能衔接互补。</w:t>
            </w:r>
          </w:p>
          <w:p>
            <w:pPr>
              <w:spacing w:line="480" w:lineRule="exact"/>
              <w:ind w:firstLine="643"/>
              <w:rPr>
                <w:rFonts w:eastAsia="楷体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3.城乡高效配送体系建设。</w:t>
            </w:r>
            <w:r>
              <w:rPr>
                <w:rFonts w:ascii="Times New Roman" w:hAnsi="Times New Roman" w:eastAsia="楷体_GB2312" w:cs="Times New Roman"/>
                <w:bCs w:val="0"/>
                <w:color w:val="000000" w:themeColor="text1"/>
                <w:sz w:val="32"/>
                <w:szCs w:val="32"/>
                <w14:textFill>
                  <w14:solidFill>
                    <w14:schemeClr w14:val="tx1"/>
                  </w14:solidFill>
                </w14:textFill>
              </w:rPr>
              <w:t>搭建城乡配送公共服务平台。深化</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快递进村</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工程，加快构建城乡双向畅通的寄递网络。完善农产品寄递物流骨干网络和基础设施</w:t>
            </w:r>
            <w:r>
              <w:rPr>
                <w:rFonts w:ascii="Times New Roman" w:hAnsi="Times New Roman" w:eastAsia="楷体_GB2312" w:cs="Times New Roman"/>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推动工业品下乡、农产品进城、电商进村、快递入户。</w:t>
            </w:r>
          </w:p>
          <w:p>
            <w:pPr>
              <w:spacing w:line="480" w:lineRule="exact"/>
              <w:ind w:firstLine="643"/>
              <w:rPr>
                <w:rFonts w:eastAsia="楷体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4.商贸物流新业态新模式拓展。</w:t>
            </w:r>
            <w:r>
              <w:rPr>
                <w:rFonts w:ascii="Times New Roman" w:hAnsi="Times New Roman" w:eastAsia="楷体_GB2312" w:cs="Times New Roman"/>
                <w:bCs w:val="0"/>
                <w:color w:val="000000" w:themeColor="text1"/>
                <w:sz w:val="32"/>
                <w:szCs w:val="32"/>
                <w14:textFill>
                  <w14:solidFill>
                    <w14:schemeClr w14:val="tx1"/>
                  </w14:solidFill>
                </w14:textFill>
              </w:rPr>
              <w:t>引导商贸服务企业与寄递物流企业深化合作，促进自营物流与第三方物流协调发展。推广共同配送、集中配送、统一配送、分时配送、夜间配送等集约化配送模式，完善前置仓配送、门店配送、即时配送、网订店取、自助提货等末端配送模式。支持家电、医药、汽车、大宗商品、再生资源回收等专业化物流发展。</w:t>
            </w:r>
          </w:p>
          <w:p>
            <w:pPr>
              <w:spacing w:line="480" w:lineRule="exact"/>
              <w:ind w:firstLine="643"/>
              <w:rPr>
                <w:rFonts w:eastAsia="楷体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5.商贸物流标准化水平提升。</w:t>
            </w:r>
            <w:r>
              <w:rPr>
                <w:rFonts w:ascii="Times New Roman" w:hAnsi="Times New Roman" w:eastAsia="楷体_GB2312" w:cs="Times New Roman"/>
                <w:bCs w:val="0"/>
                <w:color w:val="000000" w:themeColor="text1"/>
                <w:sz w:val="32"/>
                <w:szCs w:val="32"/>
                <w14:textFill>
                  <w14:solidFill>
                    <w14:schemeClr w14:val="tx1"/>
                  </w14:solidFill>
                </w14:textFill>
              </w:rPr>
              <w:t>推进第二批国家级服务业标准化试点建设，</w:t>
            </w:r>
            <w:r>
              <w:rPr>
                <w:rFonts w:ascii="Times New Roman" w:hAnsi="Times New Roman" w:eastAsia="楷体_GB2312" w:cs="Times New Roman"/>
                <w:color w:val="000000" w:themeColor="text1"/>
                <w:sz w:val="32"/>
                <w:szCs w:val="32"/>
                <w14:textFill>
                  <w14:solidFill>
                    <w14:schemeClr w14:val="tx1"/>
                  </w14:solidFill>
                </w14:textFill>
              </w:rPr>
              <w:t>建立服务标准体系结构框架，编制标准明细表。建设RCEP成员国商贸标准服务平台。</w:t>
            </w:r>
          </w:p>
          <w:p>
            <w:pPr>
              <w:spacing w:line="480" w:lineRule="exact"/>
              <w:ind w:firstLine="643"/>
              <w:rPr>
                <w:rFonts w:eastAsia="楷体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6.商贸物流主体培育。</w:t>
            </w:r>
            <w:r>
              <w:rPr>
                <w:rFonts w:ascii="Times New Roman" w:hAnsi="Times New Roman" w:eastAsia="楷体_GB2312" w:cs="Times New Roman"/>
                <w:bCs w:val="0"/>
                <w:color w:val="000000" w:themeColor="text1"/>
                <w:sz w:val="32"/>
                <w:szCs w:val="32"/>
                <w14:textFill>
                  <w14:solidFill>
                    <w14:schemeClr w14:val="tx1"/>
                  </w14:solidFill>
                </w14:textFill>
              </w:rPr>
              <w:t>在连锁商超、城乡配送、综合物流、国际货运代理、供应链服务、冷链物流等领域培育一批核心竞争力强、服务水平高、有品牌影响力的商贸物流骨干企业。</w:t>
            </w:r>
          </w:p>
        </w:tc>
      </w:tr>
    </w:tbl>
    <w:p>
      <w:pPr>
        <w:pStyle w:val="5"/>
        <w:spacing w:line="540" w:lineRule="exact"/>
        <w:rPr>
          <w:rFonts w:eastAsia="方正小标宋简体"/>
          <w:color w:val="000000" w:themeColor="text1"/>
          <w:szCs w:val="32"/>
          <w14:textFill>
            <w14:solidFill>
              <w14:schemeClr w14:val="tx1"/>
            </w14:solidFill>
          </w14:textFill>
        </w:rPr>
        <w:sectPr>
          <w:footerReference r:id="rId14" w:type="default"/>
          <w:pgSz w:w="11906" w:h="16838"/>
          <w:pgMar w:top="2098" w:right="1361" w:bottom="1701" w:left="1417" w:header="851" w:footer="992" w:gutter="0"/>
          <w:cols w:space="0" w:num="1"/>
          <w:docGrid w:type="lines" w:linePitch="312" w:charSpace="0"/>
        </w:sectPr>
      </w:pPr>
    </w:p>
    <w:p>
      <w:pPr>
        <w:pStyle w:val="5"/>
        <w:spacing w:line="580" w:lineRule="exact"/>
        <w:rPr>
          <w:rFonts w:eastAsia="方正小标宋简体"/>
          <w:color w:val="000000" w:themeColor="text1"/>
          <w:sz w:val="36"/>
          <w:szCs w:val="36"/>
          <w14:textFill>
            <w14:solidFill>
              <w14:schemeClr w14:val="tx1"/>
            </w14:solidFill>
          </w14:textFill>
        </w:rPr>
      </w:pPr>
      <w:bookmarkStart w:id="43" w:name="_Toc5325"/>
      <w:r>
        <w:rPr>
          <w:rFonts w:eastAsia="方正小标宋简体"/>
          <w:color w:val="000000" w:themeColor="text1"/>
          <w:sz w:val="36"/>
          <w:szCs w:val="36"/>
          <w14:textFill>
            <w14:solidFill>
              <w14:schemeClr w14:val="tx1"/>
            </w14:solidFill>
          </w14:textFill>
        </w:rPr>
        <w:t>第七篇 深化重点领域改革，增强高质量发展</w:t>
      </w:r>
      <w:r>
        <w:rPr>
          <w:rFonts w:hint="eastAsia" w:eastAsia="方正小标宋简体"/>
          <w:color w:val="000000" w:themeColor="text1"/>
          <w:sz w:val="36"/>
          <w:szCs w:val="36"/>
          <w14:textFill>
            <w14:solidFill>
              <w14:schemeClr w14:val="tx1"/>
            </w14:solidFill>
          </w14:textFill>
        </w:rPr>
        <w:t>动</w:t>
      </w:r>
      <w:r>
        <w:rPr>
          <w:rFonts w:eastAsia="方正小标宋简体"/>
          <w:color w:val="000000" w:themeColor="text1"/>
          <w:sz w:val="36"/>
          <w:szCs w:val="36"/>
          <w14:textFill>
            <w14:solidFill>
              <w14:schemeClr w14:val="tx1"/>
            </w14:solidFill>
          </w14:textFill>
        </w:rPr>
        <w:t>力</w:t>
      </w:r>
      <w:bookmarkEnd w:id="43"/>
    </w:p>
    <w:p>
      <w:pPr>
        <w:spacing w:line="580" w:lineRule="exact"/>
        <w:ind w:firstLine="640"/>
        <w:rPr>
          <w:rFonts w:eastAsia="仿宋_GB2312"/>
          <w:color w:val="000000" w:themeColor="text1"/>
          <w:sz w:val="32"/>
          <w:szCs w:val="32"/>
          <w:shd w:val="clear" w:color="auto" w:fill="FFFFFF"/>
          <w14:textFill>
            <w14:solidFill>
              <w14:schemeClr w14:val="tx1"/>
            </w14:solidFill>
          </w14:textFill>
        </w:rPr>
      </w:pPr>
    </w:p>
    <w:p>
      <w:pPr>
        <w:spacing w:line="580" w:lineRule="exact"/>
        <w:ind w:firstLine="640"/>
        <w:rPr>
          <w:rFonts w:eastAsia="仿宋_GB2312"/>
          <w:color w:val="000000" w:themeColor="text1"/>
          <w:sz w:val="32"/>
          <w:szCs w:val="32"/>
          <w:shd w:val="clear" w:color="auto" w:fill="FFFFFF"/>
          <w14:textFill>
            <w14:solidFill>
              <w14:schemeClr w14:val="tx1"/>
            </w14:solidFill>
          </w14:textFill>
        </w:rPr>
      </w:pPr>
      <w:r>
        <w:rPr>
          <w:rFonts w:ascii="Times New Roman" w:hAnsi="Times New Roman" w:eastAsia="仿宋_GB2312" w:cs="Times New Roman"/>
          <w:color w:val="000000" w:themeColor="text1"/>
          <w:sz w:val="32"/>
          <w:szCs w:val="32"/>
          <w:shd w:val="clear" w:color="auto" w:fill="FFFFFF"/>
          <w14:textFill>
            <w14:solidFill>
              <w14:schemeClr w14:val="tx1"/>
            </w14:solidFill>
          </w14:textFill>
        </w:rPr>
        <w:t>更好发挥经济体制改革牵引作用，推动进一步全面深化改革系统集成、协同高效，深化重点领域和关键环节改革，破除体制机制障碍，优化制度供给，推动各类资源要素高效集聚、合理配置，为构筑内外联动的开放新格局、实现区域经济提质增效提供坚实制度保障。</w:t>
      </w:r>
    </w:p>
    <w:p>
      <w:pPr>
        <w:pStyle w:val="45"/>
        <w:spacing w:beforeAutospacing="0" w:afterAutospacing="0" w:line="580" w:lineRule="exact"/>
        <w:ind w:left="0" w:leftChars="0" w:firstLine="640"/>
        <w:rPr>
          <w:rFonts w:eastAsia="仿宋_GB2312"/>
          <w:color w:val="000000" w:themeColor="text1"/>
          <w:sz w:val="32"/>
          <w:szCs w:val="32"/>
          <w14:textFill>
            <w14:solidFill>
              <w14:schemeClr w14:val="tx1"/>
            </w14:solidFill>
          </w14:textFill>
        </w:rPr>
      </w:pPr>
    </w:p>
    <w:p>
      <w:pPr>
        <w:pStyle w:val="6"/>
        <w:keepNext w:val="0"/>
        <w:keepLines w:val="0"/>
        <w:spacing w:line="580" w:lineRule="exact"/>
        <w:rPr>
          <w:rFonts w:ascii="Times New Roman" w:hAnsi="Times New Roman" w:eastAsia="黑体" w:cs="Times New Roman"/>
          <w:color w:val="000000" w:themeColor="text1"/>
          <w:sz w:val="32"/>
          <w14:textFill>
            <w14:solidFill>
              <w14:schemeClr w14:val="tx1"/>
            </w14:solidFill>
          </w14:textFill>
        </w:rPr>
      </w:pPr>
      <w:bookmarkStart w:id="44" w:name="_Toc11771"/>
      <w:r>
        <w:rPr>
          <w:rFonts w:ascii="Times New Roman" w:hAnsi="Times New Roman" w:eastAsia="黑体" w:cs="Times New Roman"/>
          <w:color w:val="000000" w:themeColor="text1"/>
          <w:sz w:val="32"/>
          <w14:textFill>
            <w14:solidFill>
              <w14:schemeClr w14:val="tx1"/>
            </w14:solidFill>
          </w14:textFill>
        </w:rPr>
        <w:t>第二十三章 充分激发各类经营主体活力</w:t>
      </w:r>
      <w:bookmarkEnd w:id="44"/>
    </w:p>
    <w:p>
      <w:pPr>
        <w:pStyle w:val="7"/>
        <w:keepNext w:val="0"/>
        <w:keepLines w:val="0"/>
        <w:spacing w:line="580" w:lineRule="exact"/>
        <w:rPr>
          <w:rFonts w:eastAsia="仿宋_GB2312"/>
          <w:color w:val="000000" w:themeColor="text1"/>
          <w:sz w:val="32"/>
          <w14:textFill>
            <w14:solidFill>
              <w14:schemeClr w14:val="tx1"/>
            </w14:solidFill>
          </w14:textFill>
        </w:rPr>
      </w:pPr>
    </w:p>
    <w:p>
      <w:pPr>
        <w:pStyle w:val="7"/>
        <w:keepNext w:val="0"/>
        <w:keepLines w:val="0"/>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第一节 深化国资国企改革</w:t>
      </w:r>
    </w:p>
    <w:p>
      <w:pPr>
        <w:spacing w:line="580" w:lineRule="exact"/>
        <w:ind w:firstLine="640"/>
        <w:rPr>
          <w:rFonts w:eastAsia="仿宋_GB2312"/>
          <w:color w:val="000000" w:themeColor="text1"/>
          <w:sz w:val="32"/>
          <w:szCs w:val="32"/>
          <w:shd w:val="clear" w:color="auto" w:fill="FFFFFF"/>
          <w14:textFill>
            <w14:solidFill>
              <w14:schemeClr w14:val="tx1"/>
            </w14:solidFill>
          </w14:textFill>
        </w:rPr>
      </w:pPr>
    </w:p>
    <w:p>
      <w:pPr>
        <w:spacing w:line="560" w:lineRule="exact"/>
        <w:ind w:firstLine="640"/>
        <w:rPr>
          <w:rFonts w:eastAsia="仿宋_GB2312"/>
          <w:color w:val="000000" w:themeColor="text1"/>
          <w:sz w:val="32"/>
          <w:szCs w:val="32"/>
          <w:shd w:val="clear" w:color="auto" w:fill="FFFFFF"/>
          <w14:textFill>
            <w14:solidFill>
              <w14:schemeClr w14:val="tx1"/>
            </w14:solidFill>
          </w14:textFill>
        </w:rPr>
      </w:pPr>
      <w:r>
        <w:rPr>
          <w:rFonts w:ascii="Times New Roman" w:hAnsi="Times New Roman" w:eastAsia="仿宋_GB2312" w:cs="Times New Roman"/>
          <w:color w:val="000000" w:themeColor="text1"/>
          <w:sz w:val="32"/>
          <w:szCs w:val="32"/>
          <w:shd w:val="clear" w:color="auto" w:fill="FFFFFF"/>
          <w14:textFill>
            <w14:solidFill>
              <w14:schemeClr w14:val="tx1"/>
            </w14:solidFill>
          </w14:textFill>
        </w:rPr>
        <w:t>实施国企主业聚焦与能级跃升行动，推动市属国企围绕国际陆港运营、跨境物流、绿色能源等核心领域集中资源，组建专业化平台公司。推进全市行政事业单位存量国有资产盘活共享。完善市属国企退出平台后市场化运营机制，探索向国有资本投资运营公司、城市综合运营商、产业类集团转型升级，推动业务重构与盈利模式转型。深化混合所有制改革，在物流运输、冷链仓储等竞争性领域，引入民营资本、战略投资者参与国企改制重组，探索国有资本、社会资本与专业管理相结合的合作模式。健全现代企业制度，完善国企董事会多元化构成，引入外部独立董事和行业专家，推行职业经理人制度。建立国企创新激励机制，推广股权激励或项目收益分红。持续完善监管体制，建立以战略管控与财务管控为主的监管模式，提升监管效能。</w:t>
      </w:r>
    </w:p>
    <w:p>
      <w:pPr>
        <w:pStyle w:val="7"/>
        <w:keepNext w:val="0"/>
        <w:keepLines w:val="0"/>
        <w:spacing w:line="580" w:lineRule="exact"/>
        <w:rPr>
          <w:rFonts w:eastAsia="仿宋_GB2312"/>
          <w:color w:val="000000" w:themeColor="text1"/>
          <w:sz w:val="32"/>
          <w14:textFill>
            <w14:solidFill>
              <w14:schemeClr w14:val="tx1"/>
            </w14:solidFill>
          </w14:textFill>
        </w:rPr>
      </w:pPr>
    </w:p>
    <w:p>
      <w:pPr>
        <w:pStyle w:val="7"/>
        <w:keepNext w:val="0"/>
        <w:keepLines w:val="0"/>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第二节 发展壮大民营经济</w:t>
      </w:r>
    </w:p>
    <w:p>
      <w:pPr>
        <w:spacing w:line="580" w:lineRule="exact"/>
        <w:ind w:firstLine="640"/>
        <w:rPr>
          <w:rFonts w:eastAsia="仿宋_GB2312"/>
          <w:color w:val="000000" w:themeColor="text1"/>
          <w:sz w:val="32"/>
          <w:szCs w:val="32"/>
          <w14:textFill>
            <w14:solidFill>
              <w14:schemeClr w14:val="tx1"/>
            </w14:solidFill>
          </w14:textFill>
        </w:rPr>
      </w:pPr>
    </w:p>
    <w:p>
      <w:pPr>
        <w:spacing w:line="56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贯彻民营经济促进法，落实民营经济发展“六个一”，依法保护各类经营主体产权和合法权益，鼓励民营企业参与重大战略实施、重大项目建设和重点产业培育。强化知识产权全链条保护，健全知识产权快速协同保护与维权机制，加强对地理标志产品的保护，助力区域品牌增值和产业高质量发展。落实首违不罚、轻微免罚等制度，建立行政执法与司法衔接机制，严厉打击侵害民营企业合法权益的行为。搭建政企直连数字化平台，实现政策推送、</w:t>
      </w:r>
      <w:r>
        <w:rPr>
          <w:rFonts w:ascii="Times New Roman" w:hAnsi="Times New Roman" w:eastAsia="仿宋_GB2312" w:cs="Times New Roman"/>
          <w:color w:val="000000" w:themeColor="text1"/>
          <w:spacing w:val="-6"/>
          <w:sz w:val="32"/>
          <w:szCs w:val="32"/>
          <w14:textFill>
            <w14:solidFill>
              <w14:schemeClr w14:val="tx1"/>
            </w14:solidFill>
          </w14:textFill>
        </w:rPr>
        <w:t>诉求响应、问题督办全流程闭环管理，完善拖欠账款常态化预防和清理机制，构建</w:t>
      </w:r>
      <w:r>
        <w:rPr>
          <w:rFonts w:hint="eastAsia" w:eastAsia="仿宋_GB2312" w:cs="Times New Roman"/>
          <w:color w:val="000000" w:themeColor="text1"/>
          <w:spacing w:val="-6"/>
          <w:sz w:val="32"/>
          <w:szCs w:val="32"/>
          <w14:textFill>
            <w14:solidFill>
              <w14:schemeClr w14:val="tx1"/>
            </w14:solidFill>
          </w14:textFill>
        </w:rPr>
        <w:t>“</w:t>
      </w:r>
      <w:r>
        <w:rPr>
          <w:rFonts w:ascii="Times New Roman" w:hAnsi="Times New Roman" w:eastAsia="仿宋_GB2312" w:cs="Times New Roman"/>
          <w:color w:val="000000" w:themeColor="text1"/>
          <w:spacing w:val="-6"/>
          <w:sz w:val="32"/>
          <w:szCs w:val="32"/>
          <w14:textFill>
            <w14:solidFill>
              <w14:schemeClr w14:val="tx1"/>
            </w14:solidFill>
          </w14:textFill>
        </w:rPr>
        <w:t>连环债</w:t>
      </w:r>
      <w:r>
        <w:rPr>
          <w:rFonts w:hint="eastAsia" w:eastAsia="仿宋_GB2312" w:cs="Times New Roman"/>
          <w:color w:val="000000" w:themeColor="text1"/>
          <w:spacing w:val="-6"/>
          <w:sz w:val="32"/>
          <w:szCs w:val="32"/>
          <w14:textFill>
            <w14:solidFill>
              <w14:schemeClr w14:val="tx1"/>
            </w14:solidFill>
          </w14:textFill>
        </w:rPr>
        <w:t>”</w:t>
      </w:r>
      <w:r>
        <w:rPr>
          <w:rFonts w:ascii="Times New Roman" w:hAnsi="Times New Roman" w:eastAsia="仿宋_GB2312" w:cs="Times New Roman"/>
          <w:color w:val="000000" w:themeColor="text1"/>
          <w:spacing w:val="-6"/>
          <w:sz w:val="32"/>
          <w:szCs w:val="32"/>
          <w14:textFill>
            <w14:solidFill>
              <w14:schemeClr w14:val="tx1"/>
            </w14:solidFill>
          </w14:textFill>
        </w:rPr>
        <w:t>问题化解机制。支持中小企业和个体工商户发展，促进大中小企业协同融通发展。弘扬企业家精神，培育更多一流企业。</w:t>
      </w:r>
    </w:p>
    <w:p>
      <w:pPr>
        <w:pStyle w:val="7"/>
        <w:keepNext w:val="0"/>
        <w:keepLines w:val="0"/>
        <w:spacing w:line="580" w:lineRule="exact"/>
        <w:rPr>
          <w:rFonts w:eastAsia="仿宋_GB2312"/>
          <w:color w:val="000000" w:themeColor="text1"/>
          <w:sz w:val="32"/>
          <w14:textFill>
            <w14:solidFill>
              <w14:schemeClr w14:val="tx1"/>
            </w14:solidFill>
          </w14:textFill>
        </w:rPr>
      </w:pPr>
    </w:p>
    <w:p>
      <w:pPr>
        <w:pStyle w:val="7"/>
        <w:keepNext w:val="0"/>
        <w:keepLines w:val="0"/>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第三节 打造一流营商环境​</w:t>
      </w:r>
    </w:p>
    <w:p>
      <w:pPr>
        <w:spacing w:line="580" w:lineRule="exact"/>
        <w:ind w:firstLine="640"/>
        <w:rPr>
          <w:rFonts w:eastAsia="仿宋_GB2312"/>
          <w:color w:val="000000" w:themeColor="text1"/>
          <w:sz w:val="32"/>
          <w:szCs w:val="32"/>
          <w14:textFill>
            <w14:solidFill>
              <w14:schemeClr w14:val="tx1"/>
            </w14:solidFill>
          </w14:textFill>
        </w:rPr>
      </w:pPr>
    </w:p>
    <w:p>
      <w:pPr>
        <w:spacing w:line="56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坚持和落实“两个毫不动摇”，促进各种所有制经济优势互补、共同发展。建立健全与企业沟通机制、营商环境</w:t>
      </w:r>
      <w:r>
        <w:rPr>
          <w:rFonts w:hint="eastAsia" w:eastAsia="仿宋_GB2312" w:cs="Times New Roman"/>
          <w:color w:val="000000" w:themeColor="text1"/>
          <w:sz w:val="32"/>
          <w:szCs w:val="32"/>
          <w14:textFill>
            <w14:solidFill>
              <w14:schemeClr w14:val="tx1"/>
            </w14:solidFill>
          </w14:textFill>
        </w:rPr>
        <w:t>评价</w:t>
      </w:r>
      <w:r>
        <w:rPr>
          <w:rFonts w:ascii="Times New Roman" w:hAnsi="Times New Roman" w:eastAsia="仿宋_GB2312" w:cs="Times New Roman"/>
          <w:color w:val="000000" w:themeColor="text1"/>
          <w:sz w:val="32"/>
          <w:szCs w:val="32"/>
          <w14:textFill>
            <w14:solidFill>
              <w14:schemeClr w14:val="tx1"/>
            </w14:solidFill>
          </w14:textFill>
        </w:rPr>
        <w:t>机制，依法处理营商环境领域违法违规行为。实施持续降低企业综合运营成本行动，打造“低成本怀化”，持续优化营商环境。深化“放管服”改革，推行高效办成一件事，全面推行“一网通办”、跨区域通办，持续擦亮“身在怀化 办事简化”政务服务名片。建立惠企政策免申即享机制，通过大数据比对自动识别符合条件的企业，实现政策红利直达快享。推行简易注销程序，健全破产清算府院联动机制，推进企业注销配套改革，降低市场退出成本。深化公共资源交易改革，持续推进“机器管招投标”改革，提高公共资源配置效率和公平性。优化完善外籍人员来</w:t>
      </w:r>
      <w:r>
        <w:rPr>
          <w:rFonts w:hint="eastAsia" w:eastAsia="仿宋_GB2312" w:cs="Times New Roman"/>
          <w:color w:val="000000" w:themeColor="text1"/>
          <w:sz w:val="32"/>
          <w:szCs w:val="32"/>
          <w14:textFill>
            <w14:solidFill>
              <w14:schemeClr w14:val="tx1"/>
            </w14:solidFill>
          </w14:textFill>
        </w:rPr>
        <w:t>怀化</w:t>
      </w:r>
      <w:r>
        <w:rPr>
          <w:rFonts w:ascii="Times New Roman" w:hAnsi="Times New Roman" w:eastAsia="仿宋_GB2312" w:cs="Times New Roman"/>
          <w:color w:val="000000" w:themeColor="text1"/>
          <w:sz w:val="32"/>
          <w:szCs w:val="32"/>
          <w14:textFill>
            <w14:solidFill>
              <w14:schemeClr w14:val="tx1"/>
            </w14:solidFill>
          </w14:textFill>
        </w:rPr>
        <w:t>商旅、就学、创业、生活等便利</w:t>
      </w:r>
      <w:r>
        <w:rPr>
          <w:rFonts w:hint="eastAsia" w:eastAsia="仿宋_GB2312" w:cs="Times New Roman"/>
          <w:color w:val="000000" w:themeColor="text1"/>
          <w:sz w:val="32"/>
          <w:szCs w:val="32"/>
          <w14:textFill>
            <w14:solidFill>
              <w14:schemeClr w14:val="tx1"/>
            </w14:solidFill>
          </w14:textFill>
        </w:rPr>
        <w:t>化</w:t>
      </w:r>
      <w:r>
        <w:rPr>
          <w:rFonts w:ascii="Times New Roman" w:hAnsi="Times New Roman" w:eastAsia="仿宋_GB2312" w:cs="Times New Roman"/>
          <w:color w:val="000000" w:themeColor="text1"/>
          <w:sz w:val="32"/>
          <w:szCs w:val="32"/>
          <w14:textFill>
            <w14:solidFill>
              <w14:schemeClr w14:val="tx1"/>
            </w14:solidFill>
          </w14:textFill>
        </w:rPr>
        <w:t>举措。</w:t>
      </w:r>
    </w:p>
    <w:p>
      <w:pPr>
        <w:pStyle w:val="6"/>
        <w:keepNext w:val="0"/>
        <w:keepLines w:val="0"/>
        <w:spacing w:line="580" w:lineRule="exact"/>
        <w:rPr>
          <w:rFonts w:ascii="Times New Roman" w:hAnsi="Times New Roman" w:eastAsia="黑体" w:cs="Times New Roman"/>
          <w:color w:val="000000" w:themeColor="text1"/>
          <w:sz w:val="32"/>
          <w14:textFill>
            <w14:solidFill>
              <w14:schemeClr w14:val="tx1"/>
            </w14:solidFill>
          </w14:textFill>
        </w:rPr>
      </w:pPr>
    </w:p>
    <w:p>
      <w:pPr>
        <w:pStyle w:val="6"/>
        <w:keepNext w:val="0"/>
        <w:keepLines w:val="0"/>
        <w:spacing w:line="580" w:lineRule="exact"/>
        <w:rPr>
          <w:rFonts w:ascii="Times New Roman" w:hAnsi="Times New Roman" w:eastAsia="黑体" w:cs="Times New Roman"/>
          <w:color w:val="000000" w:themeColor="text1"/>
          <w:sz w:val="32"/>
          <w14:textFill>
            <w14:solidFill>
              <w14:schemeClr w14:val="tx1"/>
            </w14:solidFill>
          </w14:textFill>
        </w:rPr>
      </w:pPr>
      <w:bookmarkStart w:id="45" w:name="_Toc22430"/>
      <w:r>
        <w:rPr>
          <w:rFonts w:ascii="Times New Roman" w:hAnsi="Times New Roman" w:eastAsia="黑体" w:cs="Times New Roman"/>
          <w:color w:val="000000" w:themeColor="text1"/>
          <w:sz w:val="32"/>
          <w14:textFill>
            <w14:solidFill>
              <w14:schemeClr w14:val="tx1"/>
            </w14:solidFill>
          </w14:textFill>
        </w:rPr>
        <w:t>第二十四章 提高要素市场化配置效率</w:t>
      </w:r>
      <w:bookmarkEnd w:id="45"/>
    </w:p>
    <w:p>
      <w:pPr>
        <w:pStyle w:val="7"/>
        <w:keepNext w:val="0"/>
        <w:keepLines w:val="0"/>
        <w:spacing w:line="580" w:lineRule="exact"/>
        <w:rPr>
          <w:rFonts w:eastAsia="仿宋_GB2312"/>
          <w:color w:val="000000" w:themeColor="text1"/>
          <w:sz w:val="32"/>
          <w14:textFill>
            <w14:solidFill>
              <w14:schemeClr w14:val="tx1"/>
            </w14:solidFill>
          </w14:textFill>
        </w:rPr>
      </w:pPr>
    </w:p>
    <w:p>
      <w:pPr>
        <w:pStyle w:val="7"/>
        <w:keepNext w:val="0"/>
        <w:keepLines w:val="0"/>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第一节 优化土地资源配置效率</w:t>
      </w:r>
    </w:p>
    <w:p>
      <w:pPr>
        <w:spacing w:line="580" w:lineRule="exact"/>
        <w:ind w:firstLine="640"/>
        <w:rPr>
          <w:rFonts w:eastAsia="仿宋_GB2312"/>
          <w:color w:val="000000" w:themeColor="text1"/>
          <w:sz w:val="32"/>
          <w:szCs w:val="32"/>
          <w14:textFill>
            <w14:solidFill>
              <w14:schemeClr w14:val="tx1"/>
            </w14:solidFill>
          </w14:textFill>
        </w:rPr>
      </w:pPr>
    </w:p>
    <w:p>
      <w:pPr>
        <w:spacing w:line="580" w:lineRule="exact"/>
        <w:ind w:firstLine="640"/>
        <w:rPr>
          <w:rFonts w:eastAsia="仿宋_GB2312"/>
          <w:color w:val="000000" w:themeColor="text1"/>
          <w:sz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盘活用好低效用地、闲置用房、存量基础设施。推行用地指标跟随项目配置模式，优先保障省市重点项目建设用地指标，探索弹性年期与动态评估相结合的供地模式。深化农村土地制度改革，建立宅基地使用权流转交易平台，允许跨村社流转用于发展乡村产业，探索农村集体经营性建设用地入市增值收益按</w:t>
      </w:r>
      <w:r>
        <w:rPr>
          <w:rFonts w:hint="eastAsia"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村集体留存、农民分红、县域统筹</w:t>
      </w:r>
      <w:r>
        <w:rPr>
          <w:rFonts w:hint="eastAsia"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的分配模式，依法盘活用好农村闲置土地和房屋，分类保障乡村发展用地。建立</w:t>
      </w:r>
      <w:r>
        <w:rPr>
          <w:rFonts w:hint="eastAsia" w:eastAsia="仿宋_GB2312" w:cs="Times New Roman"/>
          <w:color w:val="000000" w:themeColor="text1"/>
          <w:sz w:val="32"/>
          <w:szCs w:val="32"/>
          <w14:textFill>
            <w14:solidFill>
              <w14:schemeClr w14:val="tx1"/>
            </w14:solidFill>
          </w14:textFill>
        </w:rPr>
        <w:t>健全</w:t>
      </w:r>
      <w:r>
        <w:rPr>
          <w:rFonts w:ascii="Times New Roman" w:hAnsi="Times New Roman" w:eastAsia="仿宋_GB2312" w:cs="Times New Roman"/>
          <w:color w:val="000000" w:themeColor="text1"/>
          <w:sz w:val="32"/>
          <w:szCs w:val="32"/>
          <w14:textFill>
            <w14:solidFill>
              <w14:schemeClr w14:val="tx1"/>
            </w14:solidFill>
          </w14:textFill>
        </w:rPr>
        <w:t>产业用地亩均效益评价机制，对低效用地实施腾笼换鸟，鼓励通过土地置换、兼并重组等方式盘活闲置厂房和存量土地，依法稳妥推进工商业用地使用权续期工作。在省级以上园区推行标准地与用地预申请相结合的制度，将能耗、环保、投资强度等指标纳入供地条件，实现拿地即开工。</w:t>
      </w:r>
      <w:r>
        <w:rPr>
          <w:rFonts w:ascii="Times New Roman" w:hAnsi="Times New Roman" w:eastAsia="仿宋_GB2312" w:cs="Times New Roman"/>
          <w:color w:val="000000" w:themeColor="text1"/>
          <w:sz w:val="32"/>
          <w14:textFill>
            <w14:solidFill>
              <w14:schemeClr w14:val="tx1"/>
            </w14:solidFill>
          </w14:textFill>
        </w:rPr>
        <w:br w:type="page"/>
      </w:r>
    </w:p>
    <w:p>
      <w:pPr>
        <w:pStyle w:val="7"/>
        <w:keepNext w:val="0"/>
        <w:keepLines w:val="0"/>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第二节 打造区域协同的劳动力市场​</w:t>
      </w:r>
    </w:p>
    <w:p>
      <w:pPr>
        <w:spacing w:line="580" w:lineRule="exact"/>
        <w:ind w:firstLine="640"/>
        <w:rPr>
          <w:rFonts w:eastAsia="仿宋_GB2312"/>
          <w:color w:val="000000" w:themeColor="text1"/>
          <w:sz w:val="32"/>
          <w:szCs w:val="32"/>
          <w14:textFill>
            <w14:solidFill>
              <w14:schemeClr w14:val="tx1"/>
            </w14:solidFill>
          </w14:textFill>
        </w:rPr>
      </w:pPr>
    </w:p>
    <w:p>
      <w:pPr>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实施怀化人才集聚计划，针对陆港运营、跨境贸易、现代农业等领域，引进一批高端管理人才和专业技术人才。搭建区域人力资源协作平台，与长三角、粤港澳等地区建立劳务合作机制，设立劳务输出服务站，吸引外地技能人才来怀</w:t>
      </w:r>
      <w:r>
        <w:rPr>
          <w:rFonts w:hint="eastAsia" w:eastAsia="仿宋_GB2312" w:cs="Times New Roman"/>
          <w:color w:val="000000" w:themeColor="text1"/>
          <w:sz w:val="32"/>
          <w:szCs w:val="32"/>
          <w14:textFill>
            <w14:solidFill>
              <w14:schemeClr w14:val="tx1"/>
            </w14:solidFill>
          </w14:textFill>
        </w:rPr>
        <w:t>化</w:t>
      </w:r>
      <w:r>
        <w:rPr>
          <w:rFonts w:ascii="Times New Roman" w:hAnsi="Times New Roman" w:eastAsia="仿宋_GB2312" w:cs="Times New Roman"/>
          <w:color w:val="000000" w:themeColor="text1"/>
          <w:sz w:val="32"/>
          <w:szCs w:val="32"/>
          <w14:textFill>
            <w14:solidFill>
              <w14:schemeClr w14:val="tx1"/>
            </w14:solidFill>
          </w14:textFill>
        </w:rPr>
        <w:t>就业，实现劳动力双向流动。完善人才评价机制，打破学历、资历、身份限制，建立以能力、实绩、贡献为核心的评价标准，允许科技人才、技能人才通过技术入股、项目分红等方式参与收益分配。​</w:t>
      </w:r>
    </w:p>
    <w:p>
      <w:pPr>
        <w:pStyle w:val="45"/>
        <w:spacing w:beforeAutospacing="0" w:afterAutospacing="0" w:line="580" w:lineRule="exact"/>
        <w:ind w:left="0" w:leftChars="0" w:firstLine="640"/>
        <w:rPr>
          <w:rFonts w:eastAsia="仿宋_GB2312"/>
          <w:color w:val="000000" w:themeColor="text1"/>
          <w:sz w:val="32"/>
          <w:szCs w:val="32"/>
          <w14:textFill>
            <w14:solidFill>
              <w14:schemeClr w14:val="tx1"/>
            </w14:solidFill>
          </w14:textFill>
        </w:rPr>
      </w:pPr>
    </w:p>
    <w:p>
      <w:pPr>
        <w:pStyle w:val="7"/>
        <w:keepNext w:val="0"/>
        <w:keepLines w:val="0"/>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第三节 创新产融结合的资本要素机制​</w:t>
      </w:r>
    </w:p>
    <w:p>
      <w:pPr>
        <w:spacing w:line="580" w:lineRule="exact"/>
        <w:ind w:firstLine="640"/>
        <w:rPr>
          <w:rFonts w:eastAsia="仿宋_GB2312"/>
          <w:color w:val="000000" w:themeColor="text1"/>
          <w:sz w:val="32"/>
          <w:szCs w:val="32"/>
          <w14:textFill>
            <w14:solidFill>
              <w14:schemeClr w14:val="tx1"/>
            </w14:solidFill>
          </w14:textFill>
        </w:rPr>
      </w:pPr>
    </w:p>
    <w:p>
      <w:pPr>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构建多层次资本市场服务体系，建立种子基金、创投基金与产业基金衔接的股权投资链条，重点支持陆港经济、特色产业、科技创新等领域企业发展。开展企业上市育苗行动，加强上市企业梯度培育，支持企业在科创板、创业板、北交所等板块上市融资。优化农村金融服务，推广农户信用贷、产业链贷与保单质押贷相结合的金融产品，扩大林权、土地经营权、农业设施等抵押担保范围。探索开展资源环境权益融资。建立政府性融资担保机构风险补偿机制，重点支持小微企业和“三农”主体。深化绿色金融改革，建立怀化绿色项目库，推动金融机构发</w:t>
      </w:r>
      <w:r>
        <w:rPr>
          <w:rFonts w:hint="eastAsia" w:eastAsia="仿宋_GB2312" w:cs="Times New Roman"/>
          <w:color w:val="000000" w:themeColor="text1"/>
          <w:sz w:val="32"/>
          <w:szCs w:val="32"/>
          <w14:textFill>
            <w14:solidFill>
              <w14:schemeClr w14:val="tx1"/>
            </w14:solidFill>
          </w14:textFill>
        </w:rPr>
        <w:t>放</w:t>
      </w:r>
      <w:r>
        <w:rPr>
          <w:rFonts w:ascii="Times New Roman" w:hAnsi="Times New Roman" w:eastAsia="仿宋_GB2312" w:cs="Times New Roman"/>
          <w:color w:val="000000" w:themeColor="text1"/>
          <w:sz w:val="32"/>
          <w:szCs w:val="32"/>
          <w14:textFill>
            <w14:solidFill>
              <w14:schemeClr w14:val="tx1"/>
            </w14:solidFill>
          </w14:textFill>
        </w:rPr>
        <w:t>绿色信贷、</w:t>
      </w:r>
      <w:r>
        <w:rPr>
          <w:rFonts w:hint="eastAsia" w:eastAsia="仿宋_GB2312" w:cs="Times New Roman"/>
          <w:color w:val="000000" w:themeColor="text1"/>
          <w:sz w:val="32"/>
          <w:szCs w:val="32"/>
          <w14:textFill>
            <w14:solidFill>
              <w14:schemeClr w14:val="tx1"/>
            </w14:solidFill>
          </w14:textFill>
        </w:rPr>
        <w:t>发行</w:t>
      </w:r>
      <w:r>
        <w:rPr>
          <w:rFonts w:ascii="Times New Roman" w:hAnsi="Times New Roman" w:eastAsia="仿宋_GB2312" w:cs="Times New Roman"/>
          <w:color w:val="000000" w:themeColor="text1"/>
          <w:sz w:val="32"/>
          <w:szCs w:val="32"/>
          <w14:textFill>
            <w14:solidFill>
              <w14:schemeClr w14:val="tx1"/>
            </w14:solidFill>
          </w14:textFill>
        </w:rPr>
        <w:t>绿色债券，支持新能源、节能环保、生态农业等绿色产业发展。</w:t>
      </w:r>
    </w:p>
    <w:p>
      <w:pPr>
        <w:pStyle w:val="7"/>
        <w:keepNext w:val="0"/>
        <w:keepLines w:val="0"/>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第四节 培育创新驱动的技术与数据要素市场​</w:t>
      </w:r>
    </w:p>
    <w:p>
      <w:pPr>
        <w:spacing w:line="580" w:lineRule="exact"/>
        <w:ind w:firstLine="640"/>
        <w:rPr>
          <w:rFonts w:eastAsia="仿宋_GB2312"/>
          <w:color w:val="000000" w:themeColor="text1"/>
          <w:sz w:val="32"/>
          <w:szCs w:val="32"/>
          <w14:textFill>
            <w14:solidFill>
              <w14:schemeClr w14:val="tx1"/>
            </w14:solidFill>
          </w14:textFill>
        </w:rPr>
      </w:pPr>
    </w:p>
    <w:p>
      <w:pPr>
        <w:spacing w:line="61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纵深推进实施科研项目经费</w:t>
      </w:r>
      <w:r>
        <w:rPr>
          <w:rFonts w:hint="eastAsia"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包干制</w:t>
      </w:r>
      <w:r>
        <w:rPr>
          <w:rFonts w:hint="eastAsia"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赋予科研单位和科研人员更大技术路线决定权、经费支配权、资源调动权。简化科研项目验收财务管理，项目验收实行一次性综合绩效评价，取消科研项目验收前单独的财务审计环节。完善知识产权运营体系，建设怀化知识产权交易平台，开展知识产权质押融资、作价入股等业务，建立知识产权侵权快速查处机制。支持将职务科技成果通过许可方式授权中小微企业使用，探索政府资助项目科技成果专利向发明人或设计人、中小企业转让和利益分配机制。积极参与国家数据要素市场体系建设，推动本地优质数据产品和服务进入国家数据流通渠道，提升数据资源价值转化能力。依托省公共数据开放平台，分类分级开放政务数据资源，鼓励企业参与数据资源开发利用。落实数据要素产权保护制度，明确数据采集、使用、交易等环节的权利义务，规范数据市场秩序。</w:t>
      </w:r>
    </w:p>
    <w:p>
      <w:pPr>
        <w:pStyle w:val="45"/>
        <w:spacing w:beforeAutospacing="0" w:afterAutospacing="0" w:line="580" w:lineRule="exact"/>
        <w:ind w:left="0" w:leftChars="0" w:firstLine="640"/>
        <w:rPr>
          <w:rFonts w:eastAsia="仿宋_GB2312"/>
          <w:color w:val="000000" w:themeColor="text1"/>
          <w:sz w:val="32"/>
          <w:szCs w:val="32"/>
          <w14:textFill>
            <w14:solidFill>
              <w14:schemeClr w14:val="tx1"/>
            </w14:solidFill>
          </w14:textFill>
        </w:rPr>
      </w:pPr>
    </w:p>
    <w:p>
      <w:pPr>
        <w:pStyle w:val="6"/>
        <w:keepNext w:val="0"/>
        <w:keepLines w:val="0"/>
        <w:spacing w:line="580" w:lineRule="exact"/>
        <w:rPr>
          <w:rFonts w:ascii="Times New Roman" w:hAnsi="Times New Roman" w:eastAsia="黑体" w:cs="Times New Roman"/>
          <w:color w:val="000000" w:themeColor="text1"/>
          <w:sz w:val="32"/>
          <w14:textFill>
            <w14:solidFill>
              <w14:schemeClr w14:val="tx1"/>
            </w14:solidFill>
          </w14:textFill>
        </w:rPr>
      </w:pPr>
      <w:bookmarkStart w:id="46" w:name="_Toc1697"/>
      <w:r>
        <w:rPr>
          <w:rFonts w:ascii="Times New Roman" w:hAnsi="Times New Roman" w:eastAsia="黑体" w:cs="Times New Roman"/>
          <w:color w:val="000000" w:themeColor="text1"/>
          <w:sz w:val="32"/>
          <w14:textFill>
            <w14:solidFill>
              <w14:schemeClr w14:val="tx1"/>
            </w14:solidFill>
          </w14:textFill>
        </w:rPr>
        <w:t>第二十五章 提升经济治理效能</w:t>
      </w:r>
      <w:bookmarkEnd w:id="46"/>
    </w:p>
    <w:p>
      <w:pPr>
        <w:pStyle w:val="7"/>
        <w:keepNext w:val="0"/>
        <w:keepLines w:val="0"/>
        <w:spacing w:line="580" w:lineRule="exact"/>
        <w:rPr>
          <w:rFonts w:eastAsia="仿宋_GB2312"/>
          <w:color w:val="000000" w:themeColor="text1"/>
          <w:sz w:val="32"/>
          <w14:textFill>
            <w14:solidFill>
              <w14:schemeClr w14:val="tx1"/>
            </w14:solidFill>
          </w14:textFill>
        </w:rPr>
      </w:pPr>
    </w:p>
    <w:p>
      <w:pPr>
        <w:pStyle w:val="7"/>
        <w:keepNext w:val="0"/>
        <w:keepLines w:val="0"/>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第一节 完善经济治理体系</w:t>
      </w:r>
    </w:p>
    <w:p>
      <w:pPr>
        <w:spacing w:line="580" w:lineRule="exact"/>
        <w:ind w:firstLine="640"/>
        <w:rPr>
          <w:rFonts w:eastAsia="仿宋_GB2312"/>
          <w:color w:val="000000" w:themeColor="text1"/>
          <w:sz w:val="32"/>
          <w:szCs w:val="32"/>
          <w14:textFill>
            <w14:solidFill>
              <w14:schemeClr w14:val="tx1"/>
            </w14:solidFill>
          </w14:textFill>
        </w:rPr>
      </w:pPr>
    </w:p>
    <w:p>
      <w:pPr>
        <w:spacing w:line="580" w:lineRule="exact"/>
        <w:ind w:firstLine="640"/>
        <w:rPr>
          <w:rFonts w:eastAsia="仿宋_GB2312"/>
          <w:color w:val="000000" w:themeColor="text1"/>
          <w:sz w:val="32"/>
          <w:szCs w:val="32"/>
          <w:shd w:val="clear" w:color="auto" w:fill="FFFFFF"/>
          <w14:textFill>
            <w14:solidFill>
              <w14:schemeClr w14:val="tx1"/>
            </w14:solidFill>
          </w14:textFill>
        </w:rPr>
      </w:pPr>
      <w:r>
        <w:rPr>
          <w:rFonts w:ascii="Times New Roman" w:hAnsi="Times New Roman" w:eastAsia="仿宋_GB2312" w:cs="Times New Roman"/>
          <w:color w:val="000000" w:themeColor="text1"/>
          <w:sz w:val="32"/>
          <w:szCs w:val="32"/>
          <w:shd w:val="clear" w:color="auto" w:fill="FFFFFF"/>
          <w14:textFill>
            <w14:solidFill>
              <w14:schemeClr w14:val="tx1"/>
            </w14:solidFill>
          </w14:textFill>
        </w:rPr>
        <w:t>正确把握和坚决落实国家宏观政策取向，促进产业、价格、就业、消费、投资、贸易、区域、环保、监管等政策协同发力，增强政策取向一致性。强化发展规划战略导向作用，健全经济运行调度机制，持续稳增长、稳就业、稳预期。强化政策预研储备，加强苗头性</w:t>
      </w:r>
      <w:r>
        <w:rPr>
          <w:rFonts w:hint="eastAsia" w:eastAsia="仿宋_GB2312" w:cs="Times New Roman"/>
          <w:color w:val="000000" w:themeColor="text1"/>
          <w:sz w:val="32"/>
          <w:szCs w:val="32"/>
          <w:shd w:val="clear" w:color="auto" w:fill="FFFFFF"/>
          <w14:textFill>
            <w14:solidFill>
              <w14:schemeClr w14:val="tx1"/>
            </w14:solidFill>
          </w14:textFill>
        </w:rPr>
        <w:t>、</w:t>
      </w:r>
      <w:r>
        <w:rPr>
          <w:rFonts w:ascii="Times New Roman" w:hAnsi="Times New Roman" w:eastAsia="仿宋_GB2312" w:cs="Times New Roman"/>
          <w:color w:val="000000" w:themeColor="text1"/>
          <w:sz w:val="32"/>
          <w:szCs w:val="32"/>
          <w:shd w:val="clear" w:color="auto" w:fill="FFFFFF"/>
          <w14:textFill>
            <w14:solidFill>
              <w14:schemeClr w14:val="tx1"/>
            </w14:solidFill>
          </w14:textFill>
        </w:rPr>
        <w:t>倾向性</w:t>
      </w:r>
      <w:r>
        <w:rPr>
          <w:rFonts w:hint="eastAsia" w:eastAsia="仿宋_GB2312" w:cs="Times New Roman"/>
          <w:color w:val="000000" w:themeColor="text1"/>
          <w:sz w:val="32"/>
          <w:szCs w:val="32"/>
          <w:shd w:val="clear" w:color="auto" w:fill="FFFFFF"/>
          <w14:textFill>
            <w14:solidFill>
              <w14:schemeClr w14:val="tx1"/>
            </w14:solidFill>
          </w14:textFill>
        </w:rPr>
        <w:t>、</w:t>
      </w:r>
      <w:r>
        <w:rPr>
          <w:rFonts w:ascii="Times New Roman" w:hAnsi="Times New Roman" w:eastAsia="仿宋_GB2312" w:cs="Times New Roman"/>
          <w:color w:val="000000" w:themeColor="text1"/>
          <w:sz w:val="32"/>
          <w:szCs w:val="32"/>
          <w:shd w:val="clear" w:color="auto" w:fill="FFFFFF"/>
          <w14:textFill>
            <w14:solidFill>
              <w14:schemeClr w14:val="tx1"/>
            </w14:solidFill>
          </w14:textFill>
        </w:rPr>
        <w:t>潜在性问题研究，提升经济监测预警和风险防控能力。做好高质量发展综合绩效考核。加强政府定价管理，深化公用事业</w:t>
      </w:r>
      <w:r>
        <w:rPr>
          <w:rFonts w:ascii="Times New Roman" w:hAnsi="Times New Roman" w:eastAsia="仿宋_GB2312" w:cs="Times New Roman"/>
          <w:color w:val="000000" w:themeColor="text1"/>
          <w:spacing w:val="-6"/>
          <w:sz w:val="32"/>
          <w:szCs w:val="32"/>
          <w:shd w:val="clear" w:color="auto" w:fill="FFFFFF"/>
          <w14:textFill>
            <w14:solidFill>
              <w14:schemeClr w14:val="tx1"/>
            </w14:solidFill>
          </w14:textFill>
        </w:rPr>
        <w:t>和公共服务价格改革，强化价格监管。健全价格公示和价格信息发布制度。推进统计现代化改革，完善统计体系，发挥统计监督职能。</w:t>
      </w:r>
    </w:p>
    <w:p>
      <w:pPr>
        <w:pStyle w:val="17"/>
        <w:spacing w:line="580" w:lineRule="exact"/>
        <w:ind w:firstLine="640"/>
        <w:rPr>
          <w:rFonts w:eastAsia="仿宋_GB2312"/>
          <w:color w:val="000000" w:themeColor="text1"/>
          <w:sz w:val="32"/>
          <w:szCs w:val="32"/>
          <w14:textFill>
            <w14:solidFill>
              <w14:schemeClr w14:val="tx1"/>
            </w14:solidFill>
          </w14:textFill>
        </w:rPr>
      </w:pPr>
    </w:p>
    <w:p>
      <w:pPr>
        <w:pStyle w:val="7"/>
        <w:keepNext w:val="0"/>
        <w:keepLines w:val="0"/>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第二节 落实财税体制改革措施</w:t>
      </w:r>
    </w:p>
    <w:p>
      <w:pPr>
        <w:spacing w:line="580" w:lineRule="exact"/>
        <w:ind w:firstLine="640"/>
        <w:rPr>
          <w:rFonts w:eastAsia="仿宋_GB2312"/>
          <w:color w:val="000000" w:themeColor="text1"/>
          <w:sz w:val="32"/>
          <w:szCs w:val="32"/>
          <w:shd w:val="clear" w:color="auto" w:fill="FFFFFF"/>
          <w14:textFill>
            <w14:solidFill>
              <w14:schemeClr w14:val="tx1"/>
            </w14:solidFill>
          </w14:textFill>
        </w:rPr>
      </w:pPr>
    </w:p>
    <w:p>
      <w:pPr>
        <w:spacing w:line="580" w:lineRule="exact"/>
        <w:ind w:firstLine="640"/>
        <w:rPr>
          <w:rFonts w:eastAsia="仿宋_GB2312"/>
          <w:color w:val="000000" w:themeColor="text1"/>
          <w:sz w:val="32"/>
          <w:szCs w:val="32"/>
          <w:shd w:val="clear" w:color="auto" w:fill="FFFFFF"/>
          <w14:textFill>
            <w14:solidFill>
              <w14:schemeClr w14:val="tx1"/>
            </w14:solidFill>
          </w14:textFill>
        </w:rPr>
      </w:pPr>
      <w:r>
        <w:rPr>
          <w:rFonts w:ascii="Times New Roman" w:hAnsi="Times New Roman" w:eastAsia="仿宋_GB2312" w:cs="Times New Roman"/>
          <w:color w:val="000000" w:themeColor="text1"/>
          <w:sz w:val="32"/>
          <w:szCs w:val="32"/>
          <w:shd w:val="clear" w:color="auto" w:fill="FFFFFF"/>
          <w14:textFill>
            <w14:solidFill>
              <w14:schemeClr w14:val="tx1"/>
            </w14:solidFill>
          </w14:textFill>
        </w:rPr>
        <w:t>深化零基预算改革，将依托行政权力、政府信用、国有资源资产获取的收入全部纳入预算管理，建立预算编制与重大战略实施、重大项目建设精准对接机制，强化预算约束刚性，提高财政资源配置效率。优化财政支出结构，加大定向投入力度，完善重点产业发展财政扶持政策。全面加强财源建设，深化税收征管改革，落实国家减税降费政策，加强重点行业、重点税源精细化管理，健全跨部门财源税源协商共治机制。完善市以下财政体制，优化税制结构，规范市与县（市、区）财政事权和支出责任划分，健全转移支付制度，增强县级财政保障能力。推进财政绩效管理提质增效，实现预算项目绩效管理全覆盖，建立绩效评价结果与预算安排、政策调整刚性挂钩机制，提升财政资金使用效益。</w:t>
      </w:r>
    </w:p>
    <w:p>
      <w:pPr>
        <w:spacing w:line="580" w:lineRule="exact"/>
        <w:ind w:firstLine="640"/>
        <w:rPr>
          <w:rFonts w:eastAsia="仿宋_GB2312"/>
          <w:color w:val="000000" w:themeColor="text1"/>
          <w:sz w:val="32"/>
          <w:szCs w:val="32"/>
          <w14:textFill>
            <w14:solidFill>
              <w14:schemeClr w14:val="tx1"/>
            </w14:solidFill>
          </w14:textFill>
        </w:rPr>
      </w:pPr>
    </w:p>
    <w:p>
      <w:pPr>
        <w:pStyle w:val="7"/>
        <w:keepNext w:val="0"/>
        <w:keepLines w:val="0"/>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第三节 推进社会信用体系建设</w:t>
      </w:r>
    </w:p>
    <w:p>
      <w:pPr>
        <w:spacing w:line="580" w:lineRule="exact"/>
        <w:ind w:firstLine="640"/>
        <w:rPr>
          <w:rFonts w:eastAsia="仿宋_GB2312"/>
          <w:color w:val="000000" w:themeColor="text1"/>
          <w:sz w:val="32"/>
          <w:szCs w:val="32"/>
          <w:shd w:val="clear" w:color="auto" w:fill="FFFFFF"/>
          <w14:textFill>
            <w14:solidFill>
              <w14:schemeClr w14:val="tx1"/>
            </w14:solidFill>
          </w14:textFill>
        </w:rPr>
      </w:pPr>
    </w:p>
    <w:p>
      <w:pPr>
        <w:spacing w:line="580" w:lineRule="exact"/>
        <w:ind w:firstLine="640"/>
        <w:rPr>
          <w:rFonts w:eastAsia="仿宋_GB2312"/>
          <w:color w:val="000000" w:themeColor="text1"/>
          <w:sz w:val="32"/>
          <w:szCs w:val="32"/>
          <w:shd w:val="clear" w:color="auto" w:fill="FFFFFF"/>
          <w14:textFill>
            <w14:solidFill>
              <w14:schemeClr w14:val="tx1"/>
            </w14:solidFill>
          </w14:textFill>
        </w:rPr>
      </w:pPr>
      <w:r>
        <w:rPr>
          <w:rFonts w:ascii="Times New Roman" w:hAnsi="Times New Roman" w:eastAsia="仿宋_GB2312" w:cs="Times New Roman"/>
          <w:color w:val="000000" w:themeColor="text1"/>
          <w:sz w:val="32"/>
          <w:szCs w:val="32"/>
          <w:shd w:val="clear" w:color="auto" w:fill="FFFFFF"/>
          <w14:textFill>
            <w14:solidFill>
              <w14:schemeClr w14:val="tx1"/>
            </w14:solidFill>
          </w14:textFill>
        </w:rPr>
        <w:t>全面推进“诚信怀化”提质升级，争创全国社会信用体系建设示范城市。完善怀化信用信息归集管理、联合奖惩、异议修复等配套制度，健全信用标准规范体系，保障信用建设依法依规推进。深化信用信息共享交换平台建设，推动市县一体化信用平台全覆盖，完善企业、非企业法人、自然人三大信用信息基础数据库，强化信用大数据整合应用与监测预警。创新信用监管模式，建立健全事前信用承诺、事中分级分类监管、事后联合惩戒的全流程信用监管机制，将信用评价结果与“双随机、一公开”监管深度融合，对守信主体实施绿色通道、容缺受理等激励措施，对失信主体依法开展跨领域、跨部门联合惩戒。拓展信用应用场景，在政府采购、招标投标、行政审批、市场准入、融资信贷等重点领域全面推广信用报告应用，推动信用服务向生态环保、交通运输、民生服务等领域延伸。加强诚信宣传教育。</w:t>
      </w:r>
    </w:p>
    <w:p>
      <w:pPr>
        <w:pStyle w:val="5"/>
        <w:spacing w:line="580" w:lineRule="exact"/>
        <w:rPr>
          <w:rFonts w:eastAsia="方正小标宋简体"/>
          <w:color w:val="000000" w:themeColor="text1"/>
          <w:szCs w:val="32"/>
          <w14:textFill>
            <w14:solidFill>
              <w14:schemeClr w14:val="tx1"/>
            </w14:solidFill>
          </w14:textFill>
        </w:rPr>
        <w:sectPr>
          <w:pgSz w:w="11906" w:h="16838"/>
          <w:pgMar w:top="2098" w:right="1361" w:bottom="1701" w:left="1417" w:header="851" w:footer="992" w:gutter="0"/>
          <w:cols w:space="0" w:num="1"/>
          <w:docGrid w:type="lines" w:linePitch="312" w:charSpace="0"/>
        </w:sectPr>
      </w:pPr>
    </w:p>
    <w:p>
      <w:pPr>
        <w:pStyle w:val="5"/>
        <w:spacing w:line="580" w:lineRule="exact"/>
        <w:rPr>
          <w:rFonts w:eastAsia="方正小标宋简体"/>
          <w:color w:val="000000" w:themeColor="text1"/>
          <w:spacing w:val="-6"/>
          <w:sz w:val="36"/>
          <w:szCs w:val="36"/>
          <w14:textFill>
            <w14:solidFill>
              <w14:schemeClr w14:val="tx1"/>
            </w14:solidFill>
          </w14:textFill>
        </w:rPr>
      </w:pPr>
      <w:bookmarkStart w:id="47" w:name="_Toc4996"/>
      <w:r>
        <w:rPr>
          <w:rFonts w:eastAsia="方正小标宋简体"/>
          <w:color w:val="000000" w:themeColor="text1"/>
          <w:spacing w:val="-6"/>
          <w:sz w:val="36"/>
          <w:szCs w:val="36"/>
          <w14:textFill>
            <w14:solidFill>
              <w14:schemeClr w14:val="tx1"/>
            </w14:solidFill>
          </w14:textFill>
        </w:rPr>
        <w:t>第八篇 深入实施创新驱动发展战略，激发高质量发展新动能</w:t>
      </w:r>
      <w:bookmarkEnd w:id="47"/>
    </w:p>
    <w:p>
      <w:pPr>
        <w:spacing w:line="580" w:lineRule="exact"/>
        <w:ind w:firstLine="640"/>
        <w:rPr>
          <w:rFonts w:eastAsia="仿宋_GB2312"/>
          <w:color w:val="000000" w:themeColor="text1"/>
          <w:sz w:val="32"/>
          <w:szCs w:val="32"/>
          <w14:textFill>
            <w14:solidFill>
              <w14:schemeClr w14:val="tx1"/>
            </w14:solidFill>
          </w14:textFill>
        </w:rPr>
      </w:pPr>
    </w:p>
    <w:p>
      <w:pPr>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坚持创新在现代化建设全局中的核心地位，强化科技攻关和成果转化，弘扬科学家精神，全力打造一流创新生态，充分激发全社会创新创造创业潜力和动能，全力塑造发展新优势，让科技创新成为发展新质生产力主引擎。</w:t>
      </w:r>
    </w:p>
    <w:p>
      <w:pPr>
        <w:pStyle w:val="45"/>
        <w:spacing w:beforeAutospacing="0" w:afterAutospacing="0" w:line="580" w:lineRule="exact"/>
        <w:ind w:left="0" w:leftChars="0" w:firstLine="640"/>
        <w:rPr>
          <w:rFonts w:eastAsia="仿宋_GB2312"/>
          <w:color w:val="000000" w:themeColor="text1"/>
          <w:sz w:val="32"/>
          <w:szCs w:val="32"/>
          <w14:textFill>
            <w14:solidFill>
              <w14:schemeClr w14:val="tx1"/>
            </w14:solidFill>
          </w14:textFill>
        </w:rPr>
      </w:pPr>
    </w:p>
    <w:p>
      <w:pPr>
        <w:pStyle w:val="6"/>
        <w:spacing w:line="580" w:lineRule="exact"/>
        <w:rPr>
          <w:rFonts w:ascii="Times New Roman" w:hAnsi="Times New Roman" w:eastAsia="黑体" w:cs="Times New Roman"/>
          <w:color w:val="000000" w:themeColor="text1"/>
          <w:sz w:val="32"/>
          <w14:textFill>
            <w14:solidFill>
              <w14:schemeClr w14:val="tx1"/>
            </w14:solidFill>
          </w14:textFill>
        </w:rPr>
      </w:pPr>
      <w:bookmarkStart w:id="48" w:name="_Toc1540"/>
      <w:r>
        <w:rPr>
          <w:rFonts w:ascii="Times New Roman" w:hAnsi="Times New Roman" w:eastAsia="黑体" w:cs="Times New Roman"/>
          <w:color w:val="000000" w:themeColor="text1"/>
          <w:sz w:val="32"/>
          <w14:textFill>
            <w14:solidFill>
              <w14:schemeClr w14:val="tx1"/>
            </w14:solidFill>
          </w14:textFill>
        </w:rPr>
        <w:t>第二十六章 加快科技创新平台建设</w:t>
      </w:r>
      <w:bookmarkEnd w:id="48"/>
    </w:p>
    <w:p>
      <w:pPr>
        <w:pStyle w:val="7"/>
        <w:spacing w:line="580" w:lineRule="exact"/>
        <w:rPr>
          <w:rFonts w:eastAsia="仿宋_GB2312"/>
          <w:color w:val="000000" w:themeColor="text1"/>
          <w:sz w:val="32"/>
          <w14:textFill>
            <w14:solidFill>
              <w14:schemeClr w14:val="tx1"/>
            </w14:solidFill>
          </w14:textFill>
        </w:rPr>
      </w:pPr>
    </w:p>
    <w:p>
      <w:pPr>
        <w:pStyle w:val="7"/>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第一节 加快推动创新资源集聚</w:t>
      </w:r>
    </w:p>
    <w:p>
      <w:pPr>
        <w:adjustRightInd w:val="0"/>
        <w:snapToGrid w:val="0"/>
        <w:spacing w:line="580" w:lineRule="exact"/>
        <w:ind w:firstLine="640"/>
        <w:rPr>
          <w:rFonts w:eastAsia="仿宋_GB2312"/>
          <w:color w:val="000000" w:themeColor="text1"/>
          <w:sz w:val="32"/>
          <w:szCs w:val="32"/>
          <w14:textFill>
            <w14:solidFill>
              <w14:schemeClr w14:val="tx1"/>
            </w14:solidFill>
          </w14:textFill>
        </w:rPr>
      </w:pPr>
    </w:p>
    <w:p>
      <w:pPr>
        <w:adjustRightInd w:val="0"/>
        <w:snapToGrid w:val="0"/>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积极参与更多重大科技任务，争取国省在怀布局更多科技基础设施。以共建分支机构、合作开展科研项目等形式，深度融入全省科技创新五大标志性工程建设，嵌入全省实验室体系、高校院所科研体系、“4×4”现代化产业体系，加快打造五省边际具有重要影响力的科技创新策源地。推动怀化高新区、怀化国际陆港经开区与湘江科学城、岳麓山实验室等开展科技合作，引导企业在湘江科学城等创新资源富集地建立“科创飞地”。</w:t>
      </w:r>
    </w:p>
    <w:p>
      <w:pPr>
        <w:pStyle w:val="45"/>
        <w:spacing w:beforeAutospacing="0" w:afterAutospacing="0" w:line="580" w:lineRule="exact"/>
        <w:ind w:left="0" w:leftChars="0" w:firstLine="640"/>
        <w:rPr>
          <w:rFonts w:eastAsia="仿宋_GB2312"/>
          <w:color w:val="000000" w:themeColor="text1"/>
          <w:sz w:val="32"/>
          <w:szCs w:val="32"/>
          <w14:textFill>
            <w14:solidFill>
              <w14:schemeClr w14:val="tx1"/>
            </w14:solidFill>
          </w14:textFill>
        </w:rPr>
      </w:pPr>
    </w:p>
    <w:p>
      <w:pPr>
        <w:spacing w:line="580" w:lineRule="exact"/>
        <w:jc w:val="center"/>
        <w:rPr>
          <w:rFonts w:eastAsia="仿宋_GB2312"/>
          <w:b/>
          <w:bCs w:val="0"/>
          <w:color w:val="000000" w:themeColor="text1"/>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第二节 精准布局科技创新平台</w:t>
      </w:r>
    </w:p>
    <w:p>
      <w:pPr>
        <w:spacing w:line="580" w:lineRule="exact"/>
        <w:ind w:firstLine="640"/>
        <w:rPr>
          <w:rFonts w:eastAsia="仿宋_GB2312"/>
          <w:color w:val="000000" w:themeColor="text1"/>
          <w:sz w:val="32"/>
          <w:szCs w:val="32"/>
          <w:shd w:val="clear" w:color="auto" w:fill="FFFFFF"/>
          <w14:textFill>
            <w14:solidFill>
              <w14:schemeClr w14:val="tx1"/>
            </w14:solidFill>
          </w14:textFill>
        </w:rPr>
      </w:pPr>
    </w:p>
    <w:p>
      <w:pPr>
        <w:spacing w:line="560" w:lineRule="exact"/>
        <w:ind w:firstLine="640"/>
        <w:rPr>
          <w:rFonts w:eastAsia="仿宋_GB2312"/>
          <w:color w:val="000000" w:themeColor="text1"/>
          <w:sz w:val="32"/>
          <w:szCs w:val="32"/>
          <w:shd w:val="clear" w:color="auto" w:fill="FFFFFF"/>
          <w14:textFill>
            <w14:solidFill>
              <w14:schemeClr w14:val="tx1"/>
            </w14:solidFill>
          </w14:textFill>
        </w:rPr>
      </w:pPr>
      <w:r>
        <w:rPr>
          <w:rFonts w:ascii="Times New Roman" w:hAnsi="Times New Roman" w:eastAsia="仿宋_GB2312" w:cs="Times New Roman"/>
          <w:color w:val="000000" w:themeColor="text1"/>
          <w:sz w:val="32"/>
          <w:szCs w:val="32"/>
          <w:shd w:val="clear" w:color="auto" w:fill="FFFFFF"/>
          <w14:textFill>
            <w14:solidFill>
              <w14:schemeClr w14:val="tx1"/>
            </w14:solidFill>
          </w14:textFill>
        </w:rPr>
        <w:t>积极创建省级以上科创平台。抢抓建设“大农科院”重大机遇，争取打造一批符合怀化产业特色的创新分中心、分院、联合实验室等科技平台。推动怀化市作物分子设计育种研发中心高效运营，谋划建设安江实验室，协同推进刘良院士专家工作站、湖南省现代中药制药过程技术创新中心建设。深入对接国家种质资源政策，争取国家中药材种质资源库在怀化布局科研基地。抢抓国家中医药改革示范区先导区建设机遇，完善药企、医疗机构、医药校所一体化协同创新模式。高标准建设辰溪县国家企业技术中心，引导汇聚制造领域信息、技术、资本、人才等创新要素。对接马栏山音视频实验室、马栏山先进计算产业联合实验室等平台，建设一批以应用场景为导向的文化和科技融合类创新平台。</w:t>
      </w:r>
    </w:p>
    <w:p>
      <w:pPr>
        <w:spacing w:line="560" w:lineRule="exact"/>
        <w:ind w:firstLine="640"/>
        <w:rPr>
          <w:rFonts w:eastAsia="仿宋_GB2312"/>
          <w:color w:val="000000" w:themeColor="text1"/>
          <w:sz w:val="32"/>
          <w:szCs w:val="32"/>
          <w:shd w:val="clear" w:color="auto" w:fill="FFFFFF"/>
          <w14:textFill>
            <w14:solidFill>
              <w14:schemeClr w14:val="tx1"/>
            </w14:solidFill>
          </w14:textFill>
        </w:rPr>
      </w:pPr>
    </w:p>
    <w:p>
      <w:pPr>
        <w:spacing w:line="560" w:lineRule="exact"/>
        <w:jc w:val="center"/>
        <w:rPr>
          <w:rFonts w:eastAsia="仿宋_GB2312"/>
          <w:b/>
          <w:bCs w:val="0"/>
          <w:color w:val="000000" w:themeColor="text1"/>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第三节 推动科技创新成果转化</w:t>
      </w:r>
    </w:p>
    <w:p>
      <w:pPr>
        <w:spacing w:line="560" w:lineRule="exact"/>
        <w:ind w:firstLine="640"/>
        <w:rPr>
          <w:rFonts w:eastAsia="仿宋_GB2312"/>
          <w:color w:val="000000" w:themeColor="text1"/>
          <w:sz w:val="32"/>
          <w:szCs w:val="32"/>
          <w:shd w:val="clear" w:color="auto" w:fill="FFFFFF"/>
          <w14:textFill>
            <w14:solidFill>
              <w14:schemeClr w14:val="tx1"/>
            </w14:solidFill>
          </w14:textFill>
        </w:rPr>
      </w:pPr>
    </w:p>
    <w:p>
      <w:pPr>
        <w:spacing w:line="560" w:lineRule="exact"/>
        <w:ind w:firstLine="640"/>
        <w:rPr>
          <w:rFonts w:eastAsia="仿宋_GB2312"/>
          <w:color w:val="000000" w:themeColor="text1"/>
          <w:sz w:val="32"/>
          <w:szCs w:val="32"/>
          <w:shd w:val="clear" w:color="auto" w:fill="FFFFFF"/>
          <w14:textFill>
            <w14:solidFill>
              <w14:schemeClr w14:val="tx1"/>
            </w14:solidFill>
          </w14:textFill>
        </w:rPr>
      </w:pPr>
      <w:r>
        <w:rPr>
          <w:rFonts w:ascii="Times New Roman" w:hAnsi="Times New Roman" w:eastAsia="仿宋_GB2312" w:cs="Times New Roman"/>
          <w:color w:val="000000" w:themeColor="text1"/>
          <w:sz w:val="32"/>
          <w:szCs w:val="32"/>
          <w:shd w:val="clear" w:color="auto" w:fill="FFFFFF"/>
          <w14:textFill>
            <w14:solidFill>
              <w14:schemeClr w14:val="tx1"/>
            </w14:solidFill>
          </w14:textFill>
        </w:rPr>
        <w:t>完善技术转移服务机构、概念验证平台、科技成果转化中试基地和中试公共服务平台等成果转化服务体系。积极开展技术成果和企业需求“双调查”，创建供需信息目录，建立创新成果和产业需求对接机制。深化职务科技成果赋权改革，积极探索科技成果先使用后付费改革，提升科技成果转化整体效能。大力开展技术合同认定登记工作。重点推动中医药、种业等优势龙头企业与“两院院士”深度合作，构建“政产学研用”协同创新平台，推动更多科技成果在怀化落地转化。加快建设湖南省现代中药制药过程技术创新中心，搭建中药新药研发、中药大品种培育、大健康产品开发全链条创新体系，加速实验室成果向规模化生产转化。</w:t>
      </w:r>
    </w:p>
    <w:p>
      <w:pPr>
        <w:pStyle w:val="6"/>
        <w:spacing w:line="610" w:lineRule="exact"/>
        <w:rPr>
          <w:rFonts w:ascii="Times New Roman" w:hAnsi="Times New Roman" w:eastAsia="黑体" w:cs="Times New Roman"/>
          <w:color w:val="000000" w:themeColor="text1"/>
          <w:sz w:val="32"/>
          <w14:textFill>
            <w14:solidFill>
              <w14:schemeClr w14:val="tx1"/>
            </w14:solidFill>
          </w14:textFill>
        </w:rPr>
      </w:pPr>
      <w:bookmarkStart w:id="49" w:name="_Toc28219"/>
      <w:r>
        <w:rPr>
          <w:rFonts w:ascii="Times New Roman" w:hAnsi="Times New Roman" w:eastAsia="黑体" w:cs="Times New Roman"/>
          <w:color w:val="000000" w:themeColor="text1"/>
          <w:sz w:val="32"/>
          <w14:textFill>
            <w14:solidFill>
              <w14:schemeClr w14:val="tx1"/>
            </w14:solidFill>
          </w14:textFill>
        </w:rPr>
        <w:t>第二十七章 强化企业科技创新主体地位</w:t>
      </w:r>
      <w:bookmarkEnd w:id="49"/>
    </w:p>
    <w:p>
      <w:pPr>
        <w:pStyle w:val="7"/>
        <w:spacing w:line="610" w:lineRule="exact"/>
        <w:rPr>
          <w:rFonts w:eastAsia="仿宋_GB2312"/>
          <w:color w:val="000000" w:themeColor="text1"/>
          <w:sz w:val="32"/>
          <w14:textFill>
            <w14:solidFill>
              <w14:schemeClr w14:val="tx1"/>
            </w14:solidFill>
          </w14:textFill>
        </w:rPr>
      </w:pPr>
    </w:p>
    <w:p>
      <w:pPr>
        <w:pStyle w:val="7"/>
        <w:spacing w:line="61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第一节 完善企业梯度成长全链条体系</w:t>
      </w:r>
    </w:p>
    <w:p>
      <w:pPr>
        <w:adjustRightInd w:val="0"/>
        <w:snapToGrid w:val="0"/>
        <w:spacing w:line="610" w:lineRule="exact"/>
        <w:ind w:firstLine="640"/>
        <w:rPr>
          <w:rFonts w:eastAsia="仿宋_GB2312"/>
          <w:color w:val="000000" w:themeColor="text1"/>
          <w:sz w:val="32"/>
          <w:szCs w:val="32"/>
          <w14:textFill>
            <w14:solidFill>
              <w14:schemeClr w14:val="tx1"/>
            </w14:solidFill>
          </w14:textFill>
        </w:rPr>
      </w:pPr>
    </w:p>
    <w:p>
      <w:pPr>
        <w:adjustRightInd w:val="0"/>
        <w:snapToGrid w:val="0"/>
        <w:spacing w:line="61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实施创新主体培育行动，健全完善“创新型企业—科技型中小企业—高新技术企业”梯次培育机制，大力培育科技创新主体。建立“达标企业抓入库、接近企业抓培育、新建企业抓跟踪”机制，加快科技型企业“升高”步伐，着力培育一批领军型、专精特新型高新技术企业。灵活运用整体搬迁和部分搬迁方式，从粤港澳、长三角、长株潭等地区</w:t>
      </w:r>
      <w:r>
        <w:rPr>
          <w:rFonts w:ascii="Times New Roman" w:hAnsi="Times New Roman" w:eastAsia="仿宋_GB2312" w:cs="Times New Roman"/>
          <w:color w:val="000000" w:themeColor="text1"/>
          <w:spacing w:val="-6"/>
          <w:sz w:val="32"/>
          <w:szCs w:val="32"/>
          <w14:textFill>
            <w14:solidFill>
              <w14:schemeClr w14:val="tx1"/>
            </w14:solidFill>
          </w14:textFill>
        </w:rPr>
        <w:t>引进一批优秀高新技术企业。鼓励具备条件的企业开展高水平的产学研合作，组建技术研发平台，引导一批优质企业向高新技术企业升级。</w:t>
      </w:r>
    </w:p>
    <w:p>
      <w:pPr>
        <w:pStyle w:val="45"/>
        <w:spacing w:beforeAutospacing="0" w:afterAutospacing="0" w:line="610" w:lineRule="exact"/>
        <w:ind w:left="0" w:leftChars="0" w:firstLine="0" w:firstLineChars="0"/>
        <w:rPr>
          <w:rFonts w:eastAsia="仿宋_GB2312"/>
          <w:color w:val="000000" w:themeColor="text1"/>
          <w:sz w:val="32"/>
          <w:szCs w:val="32"/>
          <w14:textFill>
            <w14:solidFill>
              <w14:schemeClr w14:val="tx1"/>
            </w14:solidFill>
          </w14:textFill>
        </w:rPr>
      </w:pPr>
    </w:p>
    <w:p>
      <w:pPr>
        <w:pStyle w:val="7"/>
        <w:spacing w:line="61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第二节 提升科技领军企业创新引领力</w:t>
      </w:r>
    </w:p>
    <w:p>
      <w:pPr>
        <w:adjustRightInd w:val="0"/>
        <w:snapToGrid w:val="0"/>
        <w:spacing w:line="610" w:lineRule="exact"/>
        <w:ind w:firstLine="640"/>
        <w:rPr>
          <w:rFonts w:eastAsia="仿宋_GB2312"/>
          <w:color w:val="000000" w:themeColor="text1"/>
          <w:sz w:val="32"/>
          <w:szCs w:val="32"/>
          <w14:textFill>
            <w14:solidFill>
              <w14:schemeClr w14:val="tx1"/>
            </w14:solidFill>
          </w14:textFill>
        </w:rPr>
      </w:pPr>
    </w:p>
    <w:p>
      <w:pPr>
        <w:adjustRightInd w:val="0"/>
        <w:snapToGrid w:val="0"/>
        <w:spacing w:line="61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引导行业领军企业前瞻谋划新赛道，集中优势资源，加快培育2—3家细分领域具有重要影响力的科技领军企业。支持科技领军企业通过兼并、重组、合作等方式做大做强，成长为具有行业竞争力</w:t>
      </w:r>
      <w:r>
        <w:rPr>
          <w:rFonts w:hint="eastAsia" w:eastAsia="仿宋_GB2312" w:cs="Times New Roman"/>
          <w:color w:val="000000" w:themeColor="text1"/>
          <w:sz w:val="32"/>
          <w:szCs w:val="32"/>
          <w14:textFill>
            <w14:solidFill>
              <w14:schemeClr w14:val="tx1"/>
            </w14:solidFill>
          </w14:textFill>
        </w:rPr>
        <w:t>和</w:t>
      </w:r>
      <w:r>
        <w:rPr>
          <w:rFonts w:ascii="Times New Roman" w:hAnsi="Times New Roman" w:eastAsia="仿宋_GB2312" w:cs="Times New Roman"/>
          <w:color w:val="000000" w:themeColor="text1"/>
          <w:sz w:val="32"/>
          <w:szCs w:val="32"/>
          <w14:textFill>
            <w14:solidFill>
              <w14:schemeClr w14:val="tx1"/>
            </w14:solidFill>
          </w14:textFill>
        </w:rPr>
        <w:t>生态主导力的链主企业。支持科技领军企业在科技创新和产业创新融合进程中发挥引领性作用，牵头承担重大科技攻关、重点研发计划和高能级平台建设，通过技术输出、资源共享、供应商管理等方式整合产业链上中下游要素资源，形成功能互补、协作紧密、关键环节自主可控的产业配套能力。</w:t>
      </w:r>
    </w:p>
    <w:p>
      <w:pPr>
        <w:pStyle w:val="7"/>
        <w:spacing w:line="580" w:lineRule="exact"/>
        <w:rPr>
          <w:rFonts w:eastAsia="仿宋_GB2312"/>
          <w:color w:val="000000" w:themeColor="text1"/>
          <w:sz w:val="32"/>
          <w14:textFill>
            <w14:solidFill>
              <w14:schemeClr w14:val="tx1"/>
            </w14:solidFill>
          </w14:textFill>
        </w:rPr>
      </w:pPr>
    </w:p>
    <w:p>
      <w:pPr>
        <w:pStyle w:val="7"/>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第三节 强化科技型中小企业创新能力</w:t>
      </w:r>
    </w:p>
    <w:p>
      <w:pPr>
        <w:adjustRightInd w:val="0"/>
        <w:snapToGrid w:val="0"/>
        <w:spacing w:line="580" w:lineRule="exact"/>
        <w:ind w:firstLine="640"/>
        <w:rPr>
          <w:rFonts w:eastAsia="仿宋_GB2312"/>
          <w:color w:val="000000" w:themeColor="text1"/>
          <w:sz w:val="32"/>
          <w:szCs w:val="32"/>
          <w14:textFill>
            <w14:solidFill>
              <w14:schemeClr w14:val="tx1"/>
            </w14:solidFill>
          </w14:textFill>
        </w:rPr>
      </w:pPr>
    </w:p>
    <w:p>
      <w:pPr>
        <w:adjustRightInd w:val="0"/>
        <w:snapToGrid w:val="0"/>
        <w:spacing w:line="580" w:lineRule="exact"/>
        <w:ind w:firstLine="640"/>
        <w:rPr>
          <w:rFonts w:eastAsia="黑体"/>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坚持培优企业与做强产业相结合，分类培育科技型中小企业群体，积极引导中小企业走专业化、精细化、特色化、新颖化的发展道路，增强核心竞争力。优化科技型中小企业孵化体系，深入实施“小升高”培育行动，重点加强科技型中小企业培育</w:t>
      </w:r>
      <w:r>
        <w:rPr>
          <w:rFonts w:ascii="Times New Roman" w:hAnsi="Times New Roman" w:eastAsia="仿宋_GB2312" w:cs="Times New Roman"/>
          <w:color w:val="000000" w:themeColor="text1"/>
          <w:spacing w:val="6"/>
          <w:sz w:val="32"/>
          <w:szCs w:val="32"/>
          <w14:textFill>
            <w14:solidFill>
              <w14:schemeClr w14:val="tx1"/>
            </w14:solidFill>
          </w14:textFill>
        </w:rPr>
        <w:t>。实施科技型成长型企业培育计划，鼓励小微企业围绕生产、管理等关键环节，开展实用型、小微型技术开发，激发中小型科技企业创新意愿。到2030年，力争培育科技型中小企业2000家。</w:t>
      </w:r>
    </w:p>
    <w:p>
      <w:pPr>
        <w:pStyle w:val="6"/>
        <w:spacing w:line="580" w:lineRule="exact"/>
        <w:rPr>
          <w:rFonts w:ascii="Times New Roman" w:hAnsi="Times New Roman" w:eastAsia="黑体" w:cs="Times New Roman"/>
          <w:color w:val="000000" w:themeColor="text1"/>
          <w:sz w:val="32"/>
          <w14:textFill>
            <w14:solidFill>
              <w14:schemeClr w14:val="tx1"/>
            </w14:solidFill>
          </w14:textFill>
        </w:rPr>
      </w:pPr>
    </w:p>
    <w:p>
      <w:pPr>
        <w:pStyle w:val="6"/>
        <w:spacing w:line="580" w:lineRule="exact"/>
        <w:rPr>
          <w:rFonts w:ascii="Times New Roman" w:hAnsi="Times New Roman" w:eastAsia="黑体" w:cs="Times New Roman"/>
          <w:color w:val="000000" w:themeColor="text1"/>
          <w:sz w:val="32"/>
          <w14:textFill>
            <w14:solidFill>
              <w14:schemeClr w14:val="tx1"/>
            </w14:solidFill>
          </w14:textFill>
        </w:rPr>
      </w:pPr>
      <w:bookmarkStart w:id="50" w:name="_Toc5351"/>
      <w:r>
        <w:rPr>
          <w:rFonts w:ascii="Times New Roman" w:hAnsi="Times New Roman" w:eastAsia="黑体" w:cs="Times New Roman"/>
          <w:color w:val="000000" w:themeColor="text1"/>
          <w:sz w:val="32"/>
          <w14:textFill>
            <w14:solidFill>
              <w14:schemeClr w14:val="tx1"/>
            </w14:solidFill>
          </w14:textFill>
        </w:rPr>
        <w:t>第二十八章 营造活力迸发的创新生态</w:t>
      </w:r>
      <w:bookmarkEnd w:id="50"/>
    </w:p>
    <w:p>
      <w:pPr>
        <w:pStyle w:val="7"/>
        <w:spacing w:line="580" w:lineRule="exact"/>
        <w:rPr>
          <w:rFonts w:eastAsia="仿宋_GB2312"/>
          <w:color w:val="000000" w:themeColor="text1"/>
          <w:sz w:val="32"/>
          <w14:textFill>
            <w14:solidFill>
              <w14:schemeClr w14:val="tx1"/>
            </w14:solidFill>
          </w14:textFill>
        </w:rPr>
      </w:pPr>
    </w:p>
    <w:p>
      <w:pPr>
        <w:pStyle w:val="7"/>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第一节 完善区域协同创新网络</w:t>
      </w:r>
    </w:p>
    <w:p>
      <w:pPr>
        <w:adjustRightInd w:val="0"/>
        <w:snapToGrid w:val="0"/>
        <w:spacing w:line="580" w:lineRule="exact"/>
        <w:ind w:firstLine="640"/>
        <w:rPr>
          <w:rFonts w:eastAsia="仿宋_GB2312"/>
          <w:color w:val="000000" w:themeColor="text1"/>
          <w:sz w:val="32"/>
          <w:szCs w:val="32"/>
          <w14:textFill>
            <w14:solidFill>
              <w14:schemeClr w14:val="tx1"/>
            </w14:solidFill>
          </w14:textFill>
        </w:rPr>
      </w:pPr>
    </w:p>
    <w:p>
      <w:pPr>
        <w:adjustRightInd w:val="0"/>
        <w:snapToGrid w:val="0"/>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主动对接引进长三角、粤港澳、长株潭等地区创新资源，积极融入长沙全球研发中心城市建设和岳麓山实验室、芙蓉实验室建设体系。积极对接中国—东盟技术转移中心，推进与东盟各国科技合作，促进先进适用技术转移。聚焦产业重大技术问题“揭榜挂帅”，支持企业与先进地区高校院所合作，在外建立研发分中心，创新产业科技合作范式。聚焦中药材、种业等优势产业，合理配置科技要素资源，打造区域性科技资源公共服务体系，推动各县市区、产业链上下游之间协同创新。</w:t>
      </w:r>
    </w:p>
    <w:p>
      <w:pPr>
        <w:pStyle w:val="7"/>
        <w:spacing w:line="560" w:lineRule="exact"/>
        <w:rPr>
          <w:rFonts w:eastAsia="仿宋_GB2312"/>
          <w:color w:val="000000" w:themeColor="text1"/>
          <w:sz w:val="32"/>
          <w14:textFill>
            <w14:solidFill>
              <w14:schemeClr w14:val="tx1"/>
            </w14:solidFill>
          </w14:textFill>
        </w:rPr>
      </w:pPr>
    </w:p>
    <w:p>
      <w:pPr>
        <w:pStyle w:val="7"/>
        <w:spacing w:line="56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第二节 优化科技创新服务保障</w:t>
      </w:r>
    </w:p>
    <w:p>
      <w:pPr>
        <w:adjustRightInd w:val="0"/>
        <w:snapToGrid w:val="0"/>
        <w:spacing w:line="560" w:lineRule="exact"/>
        <w:ind w:firstLine="640"/>
        <w:rPr>
          <w:rFonts w:eastAsia="仿宋_GB2312"/>
          <w:color w:val="000000" w:themeColor="text1"/>
          <w:sz w:val="32"/>
          <w:szCs w:val="32"/>
          <w14:textFill>
            <w14:solidFill>
              <w14:schemeClr w14:val="tx1"/>
            </w14:solidFill>
          </w14:textFill>
        </w:rPr>
      </w:pPr>
    </w:p>
    <w:p>
      <w:pPr>
        <w:adjustRightInd w:val="0"/>
        <w:snapToGrid w:val="0"/>
        <w:spacing w:line="56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完善科技创新治理体系，优化科技任务组织实施机制，健全创新激励和保障机制。构建多元、持续、稳定的财政科技创新投入体制，引导各类资本投入科技创新。扩大科研自主权，实行</w:t>
      </w:r>
      <w:r>
        <w:rPr>
          <w:rFonts w:hint="eastAsia" w:eastAsia="仿宋_GB2312" w:cs="Times New Roman"/>
          <w:color w:val="000000" w:themeColor="text1"/>
          <w:sz w:val="32"/>
          <w:szCs w:val="32"/>
          <w14:textFill>
            <w14:solidFill>
              <w14:schemeClr w14:val="tx1"/>
            </w14:solidFill>
          </w14:textFill>
        </w:rPr>
        <w:t>以</w:t>
      </w:r>
      <w:r>
        <w:rPr>
          <w:rFonts w:ascii="Times New Roman" w:hAnsi="Times New Roman" w:eastAsia="仿宋_GB2312" w:cs="Times New Roman"/>
          <w:color w:val="000000" w:themeColor="text1"/>
          <w:sz w:val="32"/>
          <w:szCs w:val="32"/>
          <w14:textFill>
            <w14:solidFill>
              <w14:schemeClr w14:val="tx1"/>
            </w14:solidFill>
          </w14:textFill>
        </w:rPr>
        <w:t>增加知识价值为导向的分配政策，探索给予科研人员职务科技成果所有权或长期使用权，有效激发创新潜能。改进科技项目组织管理方式，探索科研项目“赛马制”，推动重点领域项目、基地、人才、资金一体化配置。破除“唯论文、唯职称、唯学历、唯奖项”导向，推动科技成果评价社会化、市场化和规范化。建立科研人员绩效激励制度，实行与不同类型科研活动规律相适应的分类评价制度，形成以绩效为导向的新型管理评价模式。加强科研诚信和监管机制建设。</w:t>
      </w:r>
    </w:p>
    <w:p>
      <w:pPr>
        <w:pStyle w:val="7"/>
        <w:spacing w:line="560" w:lineRule="exact"/>
        <w:rPr>
          <w:rFonts w:eastAsia="仿宋_GB2312"/>
          <w:color w:val="000000" w:themeColor="text1"/>
          <w:sz w:val="32"/>
          <w14:textFill>
            <w14:solidFill>
              <w14:schemeClr w14:val="tx1"/>
            </w14:solidFill>
          </w14:textFill>
        </w:rPr>
      </w:pPr>
    </w:p>
    <w:p>
      <w:pPr>
        <w:pStyle w:val="7"/>
        <w:spacing w:line="56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第三节 完善金融支持创新体系</w:t>
      </w:r>
    </w:p>
    <w:p>
      <w:pPr>
        <w:adjustRightInd w:val="0"/>
        <w:snapToGrid w:val="0"/>
        <w:spacing w:line="560" w:lineRule="exact"/>
        <w:ind w:firstLine="640"/>
        <w:rPr>
          <w:rFonts w:eastAsia="仿宋_GB2312"/>
          <w:color w:val="000000" w:themeColor="text1"/>
          <w:sz w:val="32"/>
          <w:szCs w:val="32"/>
          <w14:textFill>
            <w14:solidFill>
              <w14:schemeClr w14:val="tx1"/>
            </w14:solidFill>
          </w14:textFill>
        </w:rPr>
      </w:pPr>
    </w:p>
    <w:p>
      <w:pPr>
        <w:adjustRightInd w:val="0"/>
        <w:snapToGrid w:val="0"/>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促进科技与资本融合，建立覆盖种子期、初创期、成长期企业的投融资服务体系。推进科技型企业知识价值贷款风险补偿工作，促进“科技—产业—金融”良性循环。积极对接湖南省科技金融服务中心，引进培养各级各类风投基金，吸引社会资本参股，重点投向孵化器、加速器、创业园等，支持科技成果转移转化和产业化示范。建立技术经纪人制度，围绕企业技术创新、促进科技成果转移转化、助力企业转型升级，引进培养一批懂业务、知法律、会经营、善谋划，能够持续推动科技成果转化和技术转移的高级技术专业人才队伍，推动更多科技成果落地生根。</w:t>
      </w:r>
    </w:p>
    <w:p>
      <w:pPr>
        <w:pStyle w:val="6"/>
        <w:spacing w:line="580" w:lineRule="exact"/>
        <w:jc w:val="both"/>
        <w:rPr>
          <w:rFonts w:ascii="Times New Roman" w:hAnsi="Times New Roman" w:eastAsia="黑体" w:cs="Times New Roman"/>
          <w:color w:val="000000" w:themeColor="text1"/>
          <w:sz w:val="32"/>
          <w14:textFill>
            <w14:solidFill>
              <w14:schemeClr w14:val="tx1"/>
            </w14:solidFill>
          </w14:textFill>
        </w:rPr>
      </w:pPr>
    </w:p>
    <w:p>
      <w:pPr>
        <w:pStyle w:val="6"/>
        <w:spacing w:line="580" w:lineRule="exact"/>
        <w:rPr>
          <w:rFonts w:ascii="Times New Roman" w:hAnsi="Times New Roman" w:eastAsia="黑体" w:cs="Times New Roman"/>
          <w:color w:val="000000" w:themeColor="text1"/>
          <w:sz w:val="32"/>
          <w14:textFill>
            <w14:solidFill>
              <w14:schemeClr w14:val="tx1"/>
            </w14:solidFill>
          </w14:textFill>
        </w:rPr>
      </w:pPr>
      <w:bookmarkStart w:id="51" w:name="_Toc26525"/>
      <w:r>
        <w:rPr>
          <w:rFonts w:ascii="Times New Roman" w:hAnsi="Times New Roman" w:eastAsia="黑体" w:cs="Times New Roman"/>
          <w:color w:val="000000" w:themeColor="text1"/>
          <w:sz w:val="32"/>
          <w14:textFill>
            <w14:solidFill>
              <w14:schemeClr w14:val="tx1"/>
            </w14:solidFill>
          </w14:textFill>
        </w:rPr>
        <w:t>第二十九章 推动教育科技人才一体发展改革</w:t>
      </w:r>
      <w:bookmarkEnd w:id="51"/>
    </w:p>
    <w:p>
      <w:pPr>
        <w:pStyle w:val="7"/>
        <w:spacing w:line="580" w:lineRule="exact"/>
        <w:rPr>
          <w:rFonts w:eastAsia="仿宋_GB2312"/>
          <w:color w:val="000000" w:themeColor="text1"/>
          <w:sz w:val="32"/>
          <w14:textFill>
            <w14:solidFill>
              <w14:schemeClr w14:val="tx1"/>
            </w14:solidFill>
          </w14:textFill>
        </w:rPr>
      </w:pPr>
    </w:p>
    <w:p>
      <w:pPr>
        <w:pStyle w:val="7"/>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第一节 打造校地融合特色高等教育</w:t>
      </w:r>
    </w:p>
    <w:p>
      <w:pPr>
        <w:adjustRightInd w:val="0"/>
        <w:snapToGrid w:val="0"/>
        <w:spacing w:line="580" w:lineRule="exact"/>
        <w:ind w:firstLine="640"/>
        <w:rPr>
          <w:rFonts w:eastAsia="仿宋_GB2312"/>
          <w:color w:val="000000" w:themeColor="text1"/>
          <w:sz w:val="32"/>
          <w:szCs w:val="32"/>
          <w14:textFill>
            <w14:solidFill>
              <w14:schemeClr w14:val="tx1"/>
            </w14:solidFill>
          </w14:textFill>
        </w:rPr>
      </w:pPr>
    </w:p>
    <w:p>
      <w:pPr>
        <w:adjustRightInd w:val="0"/>
        <w:snapToGrid w:val="0"/>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建立健全教育、科技、人才一体推进的协调机制，强化规划衔接、政策协同、资源统筹、评价联动。围绕科技创新、产业发展和战略需求协同育人，支持高校加强校企科研合作，深化产教融合，培育拔尖创新人才。优化高等院校布局和学科专业结构，支持怀化学院建成沅水流域优秀传统文化挖掘与传承高地、生物制药及药用植物资源科技创新基地。推进怀化师范高等专科学校与怀化工商职业技术学院优化整合转型，以湖南省楚怡高水平高职学校为基础，整合其他职业院校、科研院所，创建优质本科职业院校。加强高校战略科技力量建设，开展有组织的科研攻关，提高高校科技成果转化效能。支持湖南医药学院开展省民族医药传承创新与转化研究，建设中医药产教融合基地。</w:t>
      </w:r>
    </w:p>
    <w:p>
      <w:pPr>
        <w:pStyle w:val="7"/>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第二节 加大创新创业人才引育力度</w:t>
      </w:r>
    </w:p>
    <w:p>
      <w:pPr>
        <w:adjustRightInd w:val="0"/>
        <w:snapToGrid w:val="0"/>
        <w:spacing w:line="580" w:lineRule="exact"/>
        <w:ind w:firstLine="640"/>
        <w:rPr>
          <w:rFonts w:eastAsia="仿宋_GB2312"/>
          <w:color w:val="000000" w:themeColor="text1"/>
          <w:sz w:val="32"/>
          <w:szCs w:val="32"/>
          <w14:textFill>
            <w14:solidFill>
              <w14:schemeClr w14:val="tx1"/>
            </w14:solidFill>
          </w14:textFill>
        </w:rPr>
      </w:pPr>
    </w:p>
    <w:p>
      <w:pPr>
        <w:adjustRightInd w:val="0"/>
        <w:snapToGrid w:val="0"/>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大力实施“五溪计划”，深化“智汇潇湘·才聚五溪”行动</w:t>
      </w:r>
      <w:r>
        <w:rPr>
          <w:rFonts w:hint="eastAsia"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以重点产业发展需求、重大攻关项目和创新平台建设为纽带，定向引进和培育一批“高精尖缺”科技人才和创新团队。开展高层次人才专项事业编制“周转池”试点，强化国内外领军人才引进。充分利用湘才回湘政策，完善相关政策支持，建立怀化籍在外人才专家库，持续吸引</w:t>
      </w:r>
      <w:r>
        <w:rPr>
          <w:rFonts w:hint="eastAsia" w:eastAsia="仿宋_GB2312" w:cs="Times New Roman"/>
          <w:color w:val="000000" w:themeColor="text1"/>
          <w:sz w:val="32"/>
          <w:szCs w:val="32"/>
          <w14:textFill>
            <w14:solidFill>
              <w14:schemeClr w14:val="tx1"/>
            </w14:solidFill>
          </w14:textFill>
        </w:rPr>
        <w:t>优秀人</w:t>
      </w:r>
      <w:r>
        <w:rPr>
          <w:rFonts w:ascii="Times New Roman" w:hAnsi="Times New Roman" w:eastAsia="仿宋_GB2312" w:cs="Times New Roman"/>
          <w:color w:val="000000" w:themeColor="text1"/>
          <w:sz w:val="32"/>
          <w:szCs w:val="32"/>
          <w14:textFill>
            <w14:solidFill>
              <w14:schemeClr w14:val="tx1"/>
            </w14:solidFill>
          </w14:textFill>
        </w:rPr>
        <w:t>才回怀来怀发展。健全以创新价值、能力、贡献为导向的人才分类评价体系，开展人才分类认定工作。探索建立校地校企人才联合引才育才</w:t>
      </w:r>
      <w:r>
        <w:rPr>
          <w:rFonts w:hint="eastAsia" w:eastAsia="仿宋_GB2312" w:cs="Times New Roman"/>
          <w:color w:val="000000" w:themeColor="text1"/>
          <w:sz w:val="32"/>
          <w:szCs w:val="32"/>
          <w14:textFill>
            <w14:solidFill>
              <w14:schemeClr w14:val="tx1"/>
            </w14:solidFill>
          </w14:textFill>
        </w:rPr>
        <w:t>机制</w:t>
      </w:r>
      <w:r>
        <w:rPr>
          <w:rFonts w:ascii="Times New Roman" w:hAnsi="Times New Roman" w:eastAsia="仿宋_GB2312" w:cs="Times New Roman"/>
          <w:color w:val="000000" w:themeColor="text1"/>
          <w:sz w:val="32"/>
          <w:szCs w:val="32"/>
          <w14:textFill>
            <w14:solidFill>
              <w14:schemeClr w14:val="tx1"/>
            </w14:solidFill>
          </w14:textFill>
        </w:rPr>
        <w:t>，实现人才资源校地校企共享共用。完善开放、流动、竞争的用人机制，实行多渠道、项目化和“可进可出”的团队组建模式。积极推广人才柔性引进，引进利用已退休高端人才，采取顾问指导、兼职服务、“候鸟式”聘任等方式，加大引才引智力度。探索对引进的高层次或紧缺人才实行协议工资制、股权激励等。强化乡村振兴人才支撑，助推科技人才服务乡村一线，统筹</w:t>
      </w:r>
      <w:r>
        <w:rPr>
          <w:rFonts w:hint="eastAsia"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三支一扶</w:t>
      </w:r>
      <w:r>
        <w:rPr>
          <w:rFonts w:hint="eastAsia"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、科技特派员等选派工作，大力培育一批</w:t>
      </w:r>
      <w:r>
        <w:rPr>
          <w:rFonts w:hint="eastAsia"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土专家</w:t>
      </w:r>
      <w:r>
        <w:rPr>
          <w:rFonts w:hint="eastAsia"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田秀才</w:t>
      </w:r>
      <w:r>
        <w:rPr>
          <w:rFonts w:hint="eastAsia"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w:t>
      </w:r>
    </w:p>
    <w:p>
      <w:pPr>
        <w:pStyle w:val="7"/>
        <w:spacing w:line="580" w:lineRule="exact"/>
        <w:rPr>
          <w:rFonts w:eastAsia="仿宋_GB2312"/>
          <w:color w:val="000000" w:themeColor="text1"/>
          <w:sz w:val="32"/>
          <w14:textFill>
            <w14:solidFill>
              <w14:schemeClr w14:val="tx1"/>
            </w14:solidFill>
          </w14:textFill>
        </w:rPr>
      </w:pPr>
    </w:p>
    <w:p>
      <w:pPr>
        <w:pStyle w:val="7"/>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第三节 实施产业创新人才提升行动</w:t>
      </w:r>
    </w:p>
    <w:p>
      <w:pPr>
        <w:adjustRightInd w:val="0"/>
        <w:snapToGrid w:val="0"/>
        <w:spacing w:line="580" w:lineRule="exact"/>
        <w:ind w:firstLine="640"/>
        <w:rPr>
          <w:rFonts w:eastAsia="仿宋_GB2312"/>
          <w:color w:val="000000" w:themeColor="text1"/>
          <w:sz w:val="32"/>
          <w:szCs w:val="32"/>
          <w14:textFill>
            <w14:solidFill>
              <w14:schemeClr w14:val="tx1"/>
            </w14:solidFill>
          </w14:textFill>
        </w:rPr>
      </w:pPr>
    </w:p>
    <w:p>
      <w:pPr>
        <w:adjustRightInd w:val="0"/>
        <w:snapToGrid w:val="0"/>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加强工程师队伍建设，通过高校与企业合作办学、推行企业新型学徒制培养等模式，培育在生产一线实践中担当重任的工程技术人才，培养更多的“五溪工匠”“技能大师”。实施“创新企业家”培育工程，针对产业需求和企业家素质提升要求，开展菜单式、管家式培训，精心组织本地企业家交流活动，进一步</w:t>
      </w:r>
      <w:r>
        <w:rPr>
          <w:rFonts w:hint="eastAsia" w:eastAsia="仿宋_GB2312" w:cs="Times New Roman"/>
          <w:color w:val="000000" w:themeColor="text1"/>
          <w:sz w:val="32"/>
          <w:szCs w:val="32"/>
          <w14:textFill>
            <w14:solidFill>
              <w14:schemeClr w14:val="tx1"/>
            </w14:solidFill>
          </w14:textFill>
        </w:rPr>
        <w:t>拓宽</w:t>
      </w:r>
      <w:r>
        <w:rPr>
          <w:rFonts w:ascii="Times New Roman" w:hAnsi="Times New Roman" w:eastAsia="仿宋_GB2312" w:cs="Times New Roman"/>
          <w:color w:val="000000" w:themeColor="text1"/>
          <w:sz w:val="32"/>
          <w:szCs w:val="32"/>
          <w14:textFill>
            <w14:solidFill>
              <w14:schemeClr w14:val="tx1"/>
            </w14:solidFill>
          </w14:textFill>
        </w:rPr>
        <w:t>企业家视野，提升企业家综合素质。积极支持和推动大学生创新创业。完善项目评审、机构评估、人才评价、收入分配等制度，优化人才发展环境。</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907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90" w:lineRule="exact"/>
              <w:jc w:val="center"/>
              <w:rPr>
                <w:rFonts w:eastAsia="黑体"/>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专栏8—1 科技创新平台建设行动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30" w:hRule="atLeast"/>
        </w:trPr>
        <w:tc>
          <w:tcPr>
            <w:tcW w:w="9071" w:type="dxa"/>
            <w:tcBorders>
              <w:top w:val="single" w:color="auto" w:sz="4" w:space="0"/>
              <w:left w:val="single" w:color="auto" w:sz="4" w:space="0"/>
              <w:bottom w:val="single" w:color="auto" w:sz="4" w:space="0"/>
              <w:right w:val="single" w:color="auto" w:sz="4" w:space="0"/>
            </w:tcBorders>
          </w:tcPr>
          <w:p>
            <w:pPr>
              <w:widowControl/>
              <w:spacing w:line="480" w:lineRule="exact"/>
              <w:ind w:firstLine="643"/>
              <w:rPr>
                <w:rFonts w:eastAsia="楷体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1.湖南省现代中药制药过程技术创新中心。</w:t>
            </w:r>
            <w:r>
              <w:rPr>
                <w:rFonts w:ascii="Times New Roman" w:hAnsi="Times New Roman" w:eastAsia="楷体_GB2312" w:cs="Times New Roman"/>
                <w:bCs w:val="0"/>
                <w:color w:val="000000" w:themeColor="text1"/>
                <w:sz w:val="32"/>
                <w:szCs w:val="32"/>
                <w14:textFill>
                  <w14:solidFill>
                    <w14:schemeClr w14:val="tx1"/>
                  </w14:solidFill>
                </w14:textFill>
              </w:rPr>
              <w:t>依托以刘良院士为领衔专家的创新中心，协同推进院士专家工作站和创新中心建设，突破一批前沿核心领域的关键共性技术，打造面向全行业的开放性关键共性技术研发平台，助力打造中国南方中药谷。</w:t>
            </w:r>
          </w:p>
          <w:p>
            <w:pPr>
              <w:widowControl/>
              <w:spacing w:line="480" w:lineRule="exact"/>
              <w:ind w:firstLine="643"/>
              <w:rPr>
                <w:rFonts w:eastAsia="楷体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2.安江实验室。</w:t>
            </w:r>
            <w:r>
              <w:rPr>
                <w:rFonts w:ascii="Times New Roman" w:hAnsi="Times New Roman" w:eastAsia="楷体_GB2312" w:cs="Times New Roman"/>
                <w:bCs w:val="0"/>
                <w:color w:val="000000" w:themeColor="text1"/>
                <w:sz w:val="32"/>
                <w:szCs w:val="32"/>
                <w14:textFill>
                  <w14:solidFill>
                    <w14:schemeClr w14:val="tx1"/>
                  </w14:solidFill>
                </w14:textFill>
              </w:rPr>
              <w:t>加强与岳麓山实验室深度战略合作，建立集水稻、中药材、水果等优势特色品种创新为重点的种业创新平台。构建以安江实验室为核心，各产业技术体系试验站、涉农专家工作站等分工合作的市域农技研发与推广应用体系。</w:t>
            </w:r>
          </w:p>
          <w:p>
            <w:pPr>
              <w:widowControl/>
              <w:spacing w:line="480" w:lineRule="exact"/>
              <w:ind w:firstLine="643"/>
              <w:rPr>
                <w:rFonts w:eastAsia="楷体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3.侗医药科创平台。</w:t>
            </w:r>
            <w:r>
              <w:rPr>
                <w:rFonts w:ascii="Times New Roman" w:hAnsi="Times New Roman" w:eastAsia="楷体_GB2312" w:cs="Times New Roman"/>
                <w:bCs w:val="0"/>
                <w:color w:val="000000" w:themeColor="text1"/>
                <w:sz w:val="32"/>
                <w:szCs w:val="32"/>
                <w14:textFill>
                  <w14:solidFill>
                    <w14:schemeClr w14:val="tx1"/>
                  </w14:solidFill>
                </w14:textFill>
              </w:rPr>
              <w:t>以湖南医药学院为核心载体，强化侗医药基础研究、临床应用与成果转化能力，构建集科研攻关、人才培养、技术推广、产业赋能于一体的创新平台。</w:t>
            </w:r>
          </w:p>
          <w:p>
            <w:pPr>
              <w:spacing w:line="500" w:lineRule="exact"/>
              <w:ind w:firstLine="643"/>
              <w:rPr>
                <w:rFonts w:eastAsia="楷体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4.怀化杂交水稻制种工程技术中心。</w:t>
            </w:r>
            <w:r>
              <w:rPr>
                <w:rFonts w:ascii="Times New Roman" w:hAnsi="Times New Roman" w:eastAsia="楷体_GB2312" w:cs="Times New Roman"/>
                <w:bCs w:val="0"/>
                <w:color w:val="000000" w:themeColor="text1"/>
                <w:sz w:val="32"/>
                <w:szCs w:val="32"/>
                <w14:textFill>
                  <w14:solidFill>
                    <w14:schemeClr w14:val="tx1"/>
                  </w14:solidFill>
                </w14:textFill>
              </w:rPr>
              <w:t>建设杂交水稻制种技术创新平台，搭建“制种技术研发＋示范基地＋数字农田”创新链条，重点突破双亲混播混收、高产制种抗逆生产、种子自动化分离与智能分选等杂交水稻制种关键共性技术。</w:t>
            </w:r>
          </w:p>
        </w:tc>
      </w:tr>
    </w:tbl>
    <w:p>
      <w:pPr>
        <w:ind w:firstLine="640"/>
        <w:rPr>
          <w:rFonts w:eastAsia="方正小标宋简体"/>
          <w:bCs w:val="0"/>
          <w:color w:val="000000" w:themeColor="text1"/>
          <w:sz w:val="32"/>
          <w:szCs w:val="32"/>
          <w14:textFill>
            <w14:solidFill>
              <w14:schemeClr w14:val="tx1"/>
            </w14:solidFill>
          </w14:textFill>
        </w:rPr>
      </w:pPr>
      <w:r>
        <w:rPr>
          <w:rFonts w:ascii="Times New Roman" w:hAnsi="Times New Roman" w:eastAsia="方正小标宋简体" w:cs="Times New Roman"/>
          <w:color w:val="000000" w:themeColor="text1"/>
          <w:sz w:val="32"/>
          <w:szCs w:val="32"/>
          <w14:textFill>
            <w14:solidFill>
              <w14:schemeClr w14:val="tx1"/>
            </w14:solidFill>
          </w14:textFill>
        </w:rPr>
        <w:br w:type="page"/>
      </w:r>
    </w:p>
    <w:p>
      <w:pPr>
        <w:pStyle w:val="5"/>
        <w:spacing w:line="580" w:lineRule="exact"/>
        <w:rPr>
          <w:rFonts w:eastAsia="方正小标宋简体"/>
          <w:color w:val="000000" w:themeColor="text1"/>
          <w:sz w:val="36"/>
          <w:szCs w:val="36"/>
          <w14:textFill>
            <w14:solidFill>
              <w14:schemeClr w14:val="tx1"/>
            </w14:solidFill>
          </w14:textFill>
        </w:rPr>
      </w:pPr>
      <w:bookmarkStart w:id="52" w:name="_Toc11576"/>
      <w:r>
        <w:rPr>
          <w:rFonts w:eastAsia="方正小标宋简体"/>
          <w:color w:val="000000" w:themeColor="text1"/>
          <w:sz w:val="36"/>
          <w:szCs w:val="36"/>
          <w14:textFill>
            <w14:solidFill>
              <w14:schemeClr w14:val="tx1"/>
            </w14:solidFill>
          </w14:textFill>
        </w:rPr>
        <w:t>第九篇 推进以人为本的新型城镇化，促进城乡融合发展</w:t>
      </w:r>
      <w:bookmarkEnd w:id="52"/>
    </w:p>
    <w:p>
      <w:pPr>
        <w:adjustRightInd w:val="0"/>
        <w:snapToGrid w:val="0"/>
        <w:spacing w:line="580" w:lineRule="exact"/>
        <w:ind w:firstLine="640"/>
        <w:rPr>
          <w:rFonts w:eastAsia="仿宋_GB2312"/>
          <w:color w:val="000000" w:themeColor="text1"/>
          <w:sz w:val="32"/>
          <w:szCs w:val="32"/>
          <w14:textFill>
            <w14:solidFill>
              <w14:schemeClr w14:val="tx1"/>
            </w14:solidFill>
          </w14:textFill>
        </w:rPr>
      </w:pPr>
    </w:p>
    <w:p>
      <w:pPr>
        <w:adjustRightInd w:val="0"/>
        <w:snapToGrid w:val="0"/>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坚持产城融合、绿色低碳、智慧宜居的发展方向，强化鹤中一体化核心带动，推进以县城为重要载体的城镇化建设，大力推动农业转移人口市民化，提升城市综合承载力，加快形成城乡融合发展新格局。</w:t>
      </w:r>
    </w:p>
    <w:p>
      <w:pPr>
        <w:pStyle w:val="6"/>
        <w:spacing w:line="580" w:lineRule="exact"/>
        <w:rPr>
          <w:rFonts w:ascii="Times New Roman" w:hAnsi="Times New Roman" w:eastAsia="仿宋_GB2312" w:cs="Times New Roman"/>
          <w:color w:val="000000" w:themeColor="text1"/>
          <w:sz w:val="32"/>
          <w14:textFill>
            <w14:solidFill>
              <w14:schemeClr w14:val="tx1"/>
            </w14:solidFill>
          </w14:textFill>
        </w:rPr>
      </w:pPr>
    </w:p>
    <w:p>
      <w:pPr>
        <w:pStyle w:val="6"/>
        <w:spacing w:line="580" w:lineRule="exact"/>
        <w:rPr>
          <w:rFonts w:ascii="Times New Roman" w:hAnsi="Times New Roman" w:eastAsia="黑体" w:cs="Times New Roman"/>
          <w:color w:val="000000" w:themeColor="text1"/>
          <w:sz w:val="32"/>
          <w14:textFill>
            <w14:solidFill>
              <w14:schemeClr w14:val="tx1"/>
            </w14:solidFill>
          </w14:textFill>
        </w:rPr>
      </w:pPr>
      <w:bookmarkStart w:id="53" w:name="_Toc11616"/>
      <w:r>
        <w:rPr>
          <w:rFonts w:ascii="Times New Roman" w:hAnsi="Times New Roman" w:eastAsia="黑体" w:cs="Times New Roman"/>
          <w:color w:val="000000" w:themeColor="text1"/>
          <w:sz w:val="32"/>
          <w14:textFill>
            <w14:solidFill>
              <w14:schemeClr w14:val="tx1"/>
            </w14:solidFill>
          </w14:textFill>
        </w:rPr>
        <w:t>第三十章 科学有序推进农业转移人口市民化</w:t>
      </w:r>
      <w:bookmarkEnd w:id="53"/>
    </w:p>
    <w:p>
      <w:pPr>
        <w:pStyle w:val="7"/>
        <w:spacing w:line="580" w:lineRule="exact"/>
        <w:rPr>
          <w:rFonts w:eastAsia="仿宋_GB2312"/>
          <w:color w:val="000000" w:themeColor="text1"/>
          <w:sz w:val="32"/>
          <w14:textFill>
            <w14:solidFill>
              <w14:schemeClr w14:val="tx1"/>
            </w14:solidFill>
          </w14:textFill>
        </w:rPr>
      </w:pPr>
    </w:p>
    <w:p>
      <w:pPr>
        <w:pStyle w:val="7"/>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第一节 健全农业转移人口市民化机制</w:t>
      </w:r>
    </w:p>
    <w:p>
      <w:pPr>
        <w:adjustRightInd w:val="0"/>
        <w:snapToGrid w:val="0"/>
        <w:spacing w:line="580" w:lineRule="exact"/>
        <w:ind w:firstLine="640"/>
        <w:rPr>
          <w:rFonts w:eastAsia="仿宋_GB2312"/>
          <w:color w:val="000000" w:themeColor="text1"/>
          <w:sz w:val="32"/>
          <w:szCs w:val="32"/>
          <w14:textFill>
            <w14:solidFill>
              <w14:schemeClr w14:val="tx1"/>
            </w14:solidFill>
          </w14:textFill>
        </w:rPr>
      </w:pPr>
    </w:p>
    <w:p>
      <w:pPr>
        <w:adjustRightInd w:val="0"/>
        <w:snapToGrid w:val="0"/>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以湘西南纳入国家城镇化潜力较大片区为契机，科学有序推进农业转移人口市民化，坚持尊重意愿、存量优先、有序渐进，稳步提高市民化质量。持续深化户政“放管服”改革，进一步放开城镇落户限制，调整、完善户口迁移政策，大力</w:t>
      </w:r>
      <w:r>
        <w:rPr>
          <w:rFonts w:hint="eastAsia" w:eastAsia="仿宋_GB2312" w:cs="Times New Roman"/>
          <w:color w:val="000000" w:themeColor="text1"/>
          <w:sz w:val="32"/>
          <w:szCs w:val="32"/>
          <w14:textFill>
            <w14:solidFill>
              <w14:schemeClr w14:val="tx1"/>
            </w14:solidFill>
          </w14:textFill>
        </w:rPr>
        <w:t>推广</w:t>
      </w:r>
      <w:r>
        <w:rPr>
          <w:rFonts w:ascii="Times New Roman" w:hAnsi="Times New Roman" w:eastAsia="仿宋_GB2312" w:cs="Times New Roman"/>
          <w:color w:val="000000" w:themeColor="text1"/>
          <w:sz w:val="32"/>
          <w:szCs w:val="32"/>
          <w14:textFill>
            <w14:solidFill>
              <w14:schemeClr w14:val="tx1"/>
            </w14:solidFill>
          </w14:textFill>
        </w:rPr>
        <w:t>“互联网+户政服务”等线上办事平台业务办理。推进居住证持有者逐步享有与城镇居民同等公共服务，提高农业转移人口融入城镇能力。积极探索扩大居住证附加公共服务，切实提高未落户常住人口居住证持证比例。保障进城落户农民农村权益，引导其依法自愿有偿转让农村土地权益。在沅陵、溆浦开展宅基地有偿退出、置换商品房或共有产权住房试点。探索闲置宅基地改建乡村旅游设施等市场化改革路径，畅通城乡要素流动通道。</w:t>
      </w:r>
      <w:r>
        <w:rPr>
          <w:rFonts w:ascii="Times New Roman" w:hAnsi="Times New Roman" w:eastAsia="仿宋_GB2312" w:cs="Times New Roman"/>
          <w:color w:val="000000" w:themeColor="text1"/>
          <w:sz w:val="32"/>
          <w:szCs w:val="32"/>
          <w14:textFill>
            <w14:solidFill>
              <w14:schemeClr w14:val="tx1"/>
            </w14:solidFill>
          </w14:textFill>
        </w:rPr>
        <w:br w:type="page"/>
      </w:r>
    </w:p>
    <w:p>
      <w:pPr>
        <w:pStyle w:val="7"/>
        <w:spacing w:line="61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第二节 提升农业转移人口服务保障水平</w:t>
      </w:r>
    </w:p>
    <w:p>
      <w:pPr>
        <w:adjustRightInd w:val="0"/>
        <w:snapToGrid w:val="0"/>
        <w:spacing w:line="610" w:lineRule="exact"/>
        <w:ind w:firstLine="640"/>
        <w:rPr>
          <w:rFonts w:eastAsia="仿宋_GB2312"/>
          <w:color w:val="000000" w:themeColor="text1"/>
          <w:sz w:val="32"/>
          <w:szCs w:val="32"/>
          <w14:textFill>
            <w14:solidFill>
              <w14:schemeClr w14:val="tx1"/>
            </w14:solidFill>
          </w14:textFill>
        </w:rPr>
      </w:pPr>
    </w:p>
    <w:p>
      <w:pPr>
        <w:adjustRightInd w:val="0"/>
        <w:snapToGrid w:val="0"/>
        <w:spacing w:line="59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全面落实常住地提供基本公共服务制度，推进城镇基本公共服务“随人走”。完善住房保障、基础教育、医疗卫生和基本生活救助政策体系，增强城镇对农业转移人口的吸引力。保障随迁子女平等享有受教育权利，将其全面纳入流入地义务教育、中等职业教育和普惠性学前教育保障范围。实施稳岗拓岗行动，鼓励怀化国际陆港经开区、怀化高新区及各县域重点企业优先吸纳农业转移人口就业。依托怀化市公共实训基地、中职学校等机构，开展高素质农民和职业技能培训，年均培训1万人次以上。完善从公租房到租赁补贴的多元化住房保障体系，鼓励有条件的县（市、区）将稳定就业生活的农业转移人口纳入保障范围，扩大保障性租赁住房供给覆盖面。全面取消在就业地参保户籍限制，健全灵活就业人员社保制度。</w:t>
      </w:r>
    </w:p>
    <w:p>
      <w:pPr>
        <w:pStyle w:val="45"/>
        <w:spacing w:beforeAutospacing="0" w:afterAutospacing="0" w:line="610" w:lineRule="exact"/>
        <w:ind w:left="0" w:leftChars="0" w:firstLine="640"/>
        <w:rPr>
          <w:rFonts w:eastAsia="仿宋_GB2312"/>
          <w:color w:val="000000" w:themeColor="text1"/>
          <w:sz w:val="32"/>
          <w:szCs w:val="32"/>
          <w14:textFill>
            <w14:solidFill>
              <w14:schemeClr w14:val="tx1"/>
            </w14:solidFill>
          </w14:textFill>
        </w:rPr>
      </w:pPr>
    </w:p>
    <w:p>
      <w:pPr>
        <w:pStyle w:val="6"/>
        <w:spacing w:line="610" w:lineRule="exact"/>
        <w:rPr>
          <w:rFonts w:ascii="Times New Roman" w:hAnsi="Times New Roman" w:eastAsia="黑体" w:cs="Times New Roman"/>
          <w:color w:val="000000" w:themeColor="text1"/>
          <w:sz w:val="32"/>
          <w14:textFill>
            <w14:solidFill>
              <w14:schemeClr w14:val="tx1"/>
            </w14:solidFill>
          </w14:textFill>
        </w:rPr>
      </w:pPr>
      <w:bookmarkStart w:id="54" w:name="_Toc23404"/>
      <w:r>
        <w:rPr>
          <w:rFonts w:ascii="Times New Roman" w:hAnsi="Times New Roman" w:eastAsia="黑体" w:cs="Times New Roman"/>
          <w:color w:val="000000" w:themeColor="text1"/>
          <w:sz w:val="32"/>
          <w14:textFill>
            <w14:solidFill>
              <w14:schemeClr w14:val="tx1"/>
            </w14:solidFill>
          </w14:textFill>
        </w:rPr>
        <w:t>第三十一章 提升城市品质</w:t>
      </w:r>
      <w:bookmarkEnd w:id="54"/>
    </w:p>
    <w:p>
      <w:pPr>
        <w:pStyle w:val="7"/>
        <w:spacing w:line="610" w:lineRule="exact"/>
        <w:rPr>
          <w:rFonts w:eastAsia="仿宋_GB2312"/>
          <w:color w:val="000000" w:themeColor="text1"/>
          <w:sz w:val="32"/>
          <w14:textFill>
            <w14:solidFill>
              <w14:schemeClr w14:val="tx1"/>
            </w14:solidFill>
          </w14:textFill>
        </w:rPr>
      </w:pPr>
    </w:p>
    <w:p>
      <w:pPr>
        <w:pStyle w:val="7"/>
        <w:spacing w:line="61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第一节 加快推进城市更新</w:t>
      </w:r>
    </w:p>
    <w:p>
      <w:pPr>
        <w:adjustRightInd w:val="0"/>
        <w:snapToGrid w:val="0"/>
        <w:spacing w:line="610" w:lineRule="exact"/>
        <w:ind w:firstLine="640"/>
        <w:rPr>
          <w:rFonts w:eastAsia="仿宋_GB2312"/>
          <w:color w:val="000000" w:themeColor="text1"/>
          <w:sz w:val="32"/>
          <w:szCs w:val="32"/>
          <w14:textFill>
            <w14:solidFill>
              <w14:schemeClr w14:val="tx1"/>
            </w14:solidFill>
          </w14:textFill>
        </w:rPr>
      </w:pPr>
    </w:p>
    <w:p>
      <w:pPr>
        <w:adjustRightInd w:val="0"/>
        <w:snapToGrid w:val="0"/>
        <w:spacing w:line="590" w:lineRule="exact"/>
        <w:ind w:firstLine="640"/>
        <w:rPr>
          <w:color w:val="000000" w:themeColor="text1"/>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加大老城区危旧房改造力度，结合武陵山片区山地地形与建筑分布特点，因地制宜采取拆除新建、改建（扩建、翻建）、原址重建、抗震加固等多种方式，对县（市、区）重点区域实施危旧房改造。实施既有居住建筑和公共建筑节能改造工程。积极盘活存量建筑资源，重点推进老旧厂区、老旧小区、老旧街区的功能转换与改造利用，持续推动符合政策要求的老旧电梯更新。积极推进绿色完整社区建设，完善社区养老站点、托育点等服务设施配置。推动老旧街区功能转换、业态升级、活力提升，因地制宜打造一批活力街区。推进鹤洲北路、城东等重点片区综合开发，活化利用洪江古商城、黔阳古城、龙溪古镇等历史文化街区。</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9071" w:type="dxa"/>
            <w:vAlign w:val="center"/>
          </w:tcPr>
          <w:p>
            <w:pPr>
              <w:spacing w:line="490" w:lineRule="exact"/>
              <w:jc w:val="center"/>
              <w:rPr>
                <w:rFonts w:ascii="Times New Roman" w:hAnsi="Times New Roman" w:eastAsia="黑体" w:cs="Times New Roman"/>
                <w:color w:val="000000" w:themeColor="text1"/>
                <w:kern w:val="0"/>
                <w:sz w:val="32"/>
                <w:szCs w:val="32"/>
                <w14:textFill>
                  <w14:solidFill>
                    <w14:schemeClr w14:val="tx1"/>
                  </w14:solidFill>
                </w14:textFill>
              </w:rPr>
            </w:pPr>
            <w:r>
              <w:rPr>
                <w:rFonts w:ascii="Times New Roman" w:hAnsi="Times New Roman" w:eastAsia="黑体" w:cs="Times New Roman"/>
                <w:color w:val="000000" w:themeColor="text1"/>
                <w:kern w:val="0"/>
                <w:sz w:val="32"/>
                <w:szCs w:val="32"/>
                <w14:textFill>
                  <w14:solidFill>
                    <w14:schemeClr w14:val="tx1"/>
                  </w14:solidFill>
                </w14:textFill>
              </w:rPr>
              <w:t>专栏9—1 城市更新提质工程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9071" w:type="dxa"/>
          </w:tcPr>
          <w:p>
            <w:pPr>
              <w:adjustRightInd w:val="0"/>
              <w:snapToGrid w:val="0"/>
              <w:spacing w:line="470" w:lineRule="exact"/>
              <w:ind w:firstLine="643"/>
              <w:rPr>
                <w:rFonts w:ascii="Times New Roman" w:hAnsi="Times New Roman" w:eastAsia="楷体_GB2312" w:cs="Times New Roman"/>
                <w:color w:val="000000" w:themeColor="text1"/>
                <w:kern w:val="0"/>
                <w:sz w:val="32"/>
                <w:szCs w:val="32"/>
                <w14:textFill>
                  <w14:solidFill>
                    <w14:schemeClr w14:val="tx1"/>
                  </w14:solidFill>
                </w14:textFill>
              </w:rPr>
            </w:pPr>
            <w:r>
              <w:rPr>
                <w:rFonts w:ascii="Times New Roman" w:hAnsi="Times New Roman" w:eastAsia="楷体_GB2312" w:cs="Times New Roman"/>
                <w:b/>
                <w:color w:val="000000" w:themeColor="text1"/>
                <w:kern w:val="0"/>
                <w:sz w:val="32"/>
                <w:szCs w:val="32"/>
                <w14:textFill>
                  <w14:solidFill>
                    <w14:schemeClr w14:val="tx1"/>
                  </w14:solidFill>
                </w14:textFill>
              </w:rPr>
              <w:t>1.城市体检评估体系构建。</w:t>
            </w:r>
            <w:r>
              <w:rPr>
                <w:rFonts w:ascii="Times New Roman" w:hAnsi="Times New Roman" w:eastAsia="楷体_GB2312" w:cs="Times New Roman"/>
                <w:color w:val="000000" w:themeColor="text1"/>
                <w:kern w:val="0"/>
                <w:sz w:val="32"/>
                <w:szCs w:val="32"/>
                <w14:textFill>
                  <w14:solidFill>
                    <w14:schemeClr w14:val="tx1"/>
                  </w14:solidFill>
                </w14:textFill>
              </w:rPr>
              <w:t>推进怀化市主城区智慧水务建设项目等智慧项目建设。实现鹤城区、中方县、怀化国际陆港经开区、怀化高新区城镇开发边界范围内建成区体检全覆盖。</w:t>
            </w:r>
          </w:p>
          <w:p>
            <w:pPr>
              <w:adjustRightInd w:val="0"/>
              <w:snapToGrid w:val="0"/>
              <w:spacing w:line="470" w:lineRule="exact"/>
              <w:ind w:firstLine="643"/>
              <w:rPr>
                <w:rFonts w:ascii="Times New Roman" w:hAnsi="Times New Roman" w:eastAsia="楷体_GB2312" w:cs="Times New Roman"/>
                <w:color w:val="000000" w:themeColor="text1"/>
                <w:kern w:val="0"/>
                <w:sz w:val="32"/>
                <w:szCs w:val="32"/>
                <w14:textFill>
                  <w14:solidFill>
                    <w14:schemeClr w14:val="tx1"/>
                  </w14:solidFill>
                </w14:textFill>
              </w:rPr>
            </w:pPr>
            <w:r>
              <w:rPr>
                <w:rFonts w:ascii="Times New Roman" w:hAnsi="Times New Roman" w:eastAsia="楷体_GB2312" w:cs="Times New Roman"/>
                <w:b/>
                <w:color w:val="000000" w:themeColor="text1"/>
                <w:kern w:val="0"/>
                <w:sz w:val="32"/>
                <w:szCs w:val="32"/>
                <w14:textFill>
                  <w14:solidFill>
                    <w14:schemeClr w14:val="tx1"/>
                  </w14:solidFill>
                </w14:textFill>
              </w:rPr>
              <w:t>2.城镇老旧小区品质提升。</w:t>
            </w:r>
            <w:r>
              <w:rPr>
                <w:rFonts w:ascii="Times New Roman" w:hAnsi="Times New Roman" w:eastAsia="楷体_GB2312" w:cs="Times New Roman"/>
                <w:color w:val="000000" w:themeColor="text1"/>
                <w:kern w:val="0"/>
                <w:sz w:val="32"/>
                <w:szCs w:val="32"/>
                <w14:textFill>
                  <w14:solidFill>
                    <w14:schemeClr w14:val="tx1"/>
                  </w14:solidFill>
                </w14:textFill>
              </w:rPr>
              <w:t>分片区有序推进城镇老旧小区改造，实施背街小巷环境整治，基本完成2000年底前建成的城镇老旧小区改造任务，</w:t>
            </w:r>
            <w:r>
              <w:rPr>
                <w:rFonts w:hint="eastAsia" w:ascii="Times New Roman" w:hAnsi="Times New Roman" w:eastAsia="楷体_GB2312" w:cs="Times New Roman"/>
                <w:color w:val="000000" w:themeColor="text1"/>
                <w:kern w:val="0"/>
                <w:sz w:val="32"/>
                <w:szCs w:val="32"/>
                <w14:textFill>
                  <w14:solidFill>
                    <w14:schemeClr w14:val="tx1"/>
                  </w14:solidFill>
                </w14:textFill>
              </w:rPr>
              <w:t>同步完善</w:t>
            </w:r>
            <w:r>
              <w:rPr>
                <w:rFonts w:ascii="Times New Roman" w:hAnsi="Times New Roman" w:eastAsia="楷体_GB2312" w:cs="Times New Roman"/>
                <w:color w:val="000000" w:themeColor="text1"/>
                <w:kern w:val="0"/>
                <w:sz w:val="32"/>
                <w:szCs w:val="32"/>
                <w14:textFill>
                  <w14:solidFill>
                    <w14:schemeClr w14:val="tx1"/>
                  </w14:solidFill>
                </w14:textFill>
              </w:rPr>
              <w:t xml:space="preserve">供排水管网、照明、幼托等配套设施，老旧小区配套设施达标率达到100%。 </w:t>
            </w:r>
          </w:p>
          <w:p>
            <w:pPr>
              <w:adjustRightInd w:val="0"/>
              <w:snapToGrid w:val="0"/>
              <w:spacing w:line="470" w:lineRule="exact"/>
              <w:ind w:firstLine="643"/>
              <w:rPr>
                <w:rFonts w:ascii="Times New Roman" w:hAnsi="Times New Roman" w:eastAsia="楷体_GB2312" w:cs="Times New Roman"/>
                <w:color w:val="000000" w:themeColor="text1"/>
                <w:kern w:val="0"/>
                <w:sz w:val="32"/>
                <w:szCs w:val="32"/>
                <w14:textFill>
                  <w14:solidFill>
                    <w14:schemeClr w14:val="tx1"/>
                  </w14:solidFill>
                </w14:textFill>
              </w:rPr>
            </w:pPr>
            <w:r>
              <w:rPr>
                <w:rFonts w:ascii="Times New Roman" w:hAnsi="Times New Roman" w:eastAsia="楷体_GB2312" w:cs="Times New Roman"/>
                <w:b/>
                <w:color w:val="000000" w:themeColor="text1"/>
                <w:kern w:val="0"/>
                <w:sz w:val="32"/>
                <w:szCs w:val="32"/>
                <w14:textFill>
                  <w14:solidFill>
                    <w14:schemeClr w14:val="tx1"/>
                  </w14:solidFill>
                </w14:textFill>
              </w:rPr>
              <w:t>3.危房安全保障清零。</w:t>
            </w:r>
            <w:r>
              <w:rPr>
                <w:rFonts w:ascii="Times New Roman" w:hAnsi="Times New Roman" w:eastAsia="楷体_GB2312" w:cs="Times New Roman"/>
                <w:color w:val="000000" w:themeColor="text1"/>
                <w:kern w:val="0"/>
                <w:sz w:val="32"/>
                <w:szCs w:val="32"/>
                <w14:textFill>
                  <w14:solidFill>
                    <w14:schemeClr w14:val="tx1"/>
                  </w14:solidFill>
                </w14:textFill>
              </w:rPr>
              <w:t>推进城镇危旧房整治，维修加固或拆除重建城市建成区内国有土地上C、D级危房（住宅），完成农村低收入群体危房改造任务，实现城乡危房动态排查全覆盖、改造全落实。</w:t>
            </w:r>
          </w:p>
          <w:p>
            <w:pPr>
              <w:adjustRightInd w:val="0"/>
              <w:snapToGrid w:val="0"/>
              <w:spacing w:line="470" w:lineRule="exact"/>
              <w:ind w:firstLine="643"/>
              <w:rPr>
                <w:rFonts w:ascii="Times New Roman" w:hAnsi="Times New Roman" w:eastAsia="楷体_GB2312" w:cs="Times New Roman"/>
                <w:color w:val="000000" w:themeColor="text1"/>
                <w:kern w:val="0"/>
                <w:sz w:val="32"/>
                <w:szCs w:val="32"/>
                <w14:textFill>
                  <w14:solidFill>
                    <w14:schemeClr w14:val="tx1"/>
                  </w14:solidFill>
                </w14:textFill>
              </w:rPr>
            </w:pPr>
            <w:r>
              <w:rPr>
                <w:rFonts w:ascii="Times New Roman" w:hAnsi="Times New Roman" w:eastAsia="楷体_GB2312" w:cs="Times New Roman"/>
                <w:b/>
                <w:color w:val="000000" w:themeColor="text1"/>
                <w:kern w:val="0"/>
                <w:sz w:val="32"/>
                <w:szCs w:val="32"/>
                <w14:textFill>
                  <w14:solidFill>
                    <w14:schemeClr w14:val="tx1"/>
                  </w14:solidFill>
                </w14:textFill>
              </w:rPr>
              <w:t>4.城中村综合整治提升。</w:t>
            </w:r>
            <w:r>
              <w:rPr>
                <w:rFonts w:ascii="Times New Roman" w:hAnsi="Times New Roman" w:eastAsia="楷体_GB2312" w:cs="Times New Roman"/>
                <w:color w:val="000000" w:themeColor="text1"/>
                <w:kern w:val="0"/>
                <w:sz w:val="32"/>
                <w:szCs w:val="32"/>
                <w14:textFill>
                  <w14:solidFill>
                    <w14:schemeClr w14:val="tx1"/>
                  </w14:solidFill>
                </w14:textFill>
              </w:rPr>
              <w:t>因地制宜采取拆除新建、整治提升、拆整结合等方式，全面完成城中村改造任务。</w:t>
            </w:r>
          </w:p>
          <w:p>
            <w:pPr>
              <w:adjustRightInd w:val="0"/>
              <w:snapToGrid w:val="0"/>
              <w:spacing w:line="470" w:lineRule="exact"/>
              <w:ind w:firstLine="643"/>
              <w:rPr>
                <w:rFonts w:ascii="Times New Roman" w:hAnsi="Times New Roman" w:eastAsia="楷体_GB2312" w:cs="Times New Roman"/>
                <w:color w:val="000000" w:themeColor="text1"/>
                <w:kern w:val="0"/>
                <w:sz w:val="32"/>
                <w:szCs w:val="32"/>
                <w14:textFill>
                  <w14:solidFill>
                    <w14:schemeClr w14:val="tx1"/>
                  </w14:solidFill>
                </w14:textFill>
              </w:rPr>
            </w:pPr>
            <w:r>
              <w:rPr>
                <w:rFonts w:ascii="Times New Roman" w:hAnsi="Times New Roman" w:eastAsia="楷体_GB2312" w:cs="Times New Roman"/>
                <w:b/>
                <w:color w:val="000000" w:themeColor="text1"/>
                <w:kern w:val="0"/>
                <w:sz w:val="32"/>
                <w:szCs w:val="32"/>
                <w14:textFill>
                  <w14:solidFill>
                    <w14:schemeClr w14:val="tx1"/>
                  </w14:solidFill>
                </w14:textFill>
              </w:rPr>
              <w:t>5.绿色完整社区培育。</w:t>
            </w:r>
            <w:r>
              <w:rPr>
                <w:rFonts w:ascii="Times New Roman" w:hAnsi="Times New Roman" w:eastAsia="楷体_GB2312" w:cs="Times New Roman"/>
                <w:color w:val="000000" w:themeColor="text1"/>
                <w:kern w:val="0"/>
                <w:sz w:val="32"/>
                <w:szCs w:val="32"/>
                <w14:textFill>
                  <w14:solidFill>
                    <w14:schemeClr w14:val="tx1"/>
                  </w14:solidFill>
                </w14:textFill>
              </w:rPr>
              <w:t>推广海绵城市技术与绿色建筑标准，建设社区口袋公园、街角游园、健身步道等生态设施，新建社区绿色建筑占比达100%。</w:t>
            </w:r>
          </w:p>
        </w:tc>
      </w:tr>
    </w:tbl>
    <w:p>
      <w:pPr>
        <w:pStyle w:val="7"/>
        <w:spacing w:line="57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第二节 推动城市内涵式发展</w:t>
      </w:r>
    </w:p>
    <w:p>
      <w:pPr>
        <w:adjustRightInd w:val="0"/>
        <w:snapToGrid w:val="0"/>
        <w:spacing w:line="570" w:lineRule="exact"/>
        <w:ind w:firstLine="640"/>
        <w:rPr>
          <w:rFonts w:eastAsia="仿宋_GB2312"/>
          <w:color w:val="000000" w:themeColor="text1"/>
          <w:sz w:val="32"/>
          <w:szCs w:val="32"/>
          <w14:textFill>
            <w14:solidFill>
              <w14:schemeClr w14:val="tx1"/>
            </w14:solidFill>
          </w14:textFill>
        </w:rPr>
      </w:pPr>
    </w:p>
    <w:p>
      <w:pPr>
        <w:adjustRightInd w:val="0"/>
        <w:snapToGrid w:val="0"/>
        <w:spacing w:line="57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综合推进怀化市城市生命线安全工程建设，提升老城区低洼处、江河沿岸片区等关键区域防涝能力，推动城区防洪圈闭合达标。推进老城区雨污分流改造与排水管网清疏养护。健全城镇燃气、房屋安全、重大城市基础设施等安全隐患排查治理长效机制，完善城市应急管理体系，防范遏制生产安全事故发生。强化病害桥梁维修，常态化开展市政桥梁安全巡查和养护。推进城市平急两用公共基础设施建设，在城区结合体育场馆、医疗设施、学校等设施，打造应急综合场所，升级大型公共设施预留应急功能。推进5G网络、物联网等新型基础设施全覆盖，建设城市信息模型（CIM）平台，实现城市运行“一网统管”。加强城市生态廊道建设，系统性提升建成区绿地率。完善公共停车、无障碍设施等，加大城市绿地公园、全民健身中心和公共停车场建设力度，提升城市宜居度。丰富城市精神文化生活，彰显城市文化底蕴和独特气质。建设创新、宜居、美丽、韧性、文明、智慧的现代化人民城市。</w:t>
      </w:r>
    </w:p>
    <w:p>
      <w:pPr>
        <w:spacing w:line="570" w:lineRule="exact"/>
        <w:rPr>
          <w:rFonts w:eastAsia="仿宋_GB2312"/>
          <w:color w:val="000000" w:themeColor="text1"/>
          <w14:textFill>
            <w14:solidFill>
              <w14:schemeClr w14:val="tx1"/>
            </w14:solidFill>
          </w14:textFill>
        </w:rPr>
      </w:pPr>
    </w:p>
    <w:p>
      <w:pPr>
        <w:pStyle w:val="7"/>
        <w:spacing w:line="240" w:lineRule="auto"/>
        <w:rPr>
          <w:rFonts w:eastAsia="仿宋_GB2312"/>
          <w:color w:val="000000" w:themeColor="text1"/>
          <w:sz w:val="32"/>
          <w14:textFill>
            <w14:solidFill>
              <w14:schemeClr w14:val="tx1"/>
            </w14:solidFill>
          </w14:textFill>
        </w:rPr>
      </w:pPr>
    </w:p>
    <w:p>
      <w:pPr>
        <w:pStyle w:val="7"/>
        <w:spacing w:line="240" w:lineRule="auto"/>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第三节 提升城市治理水平</w:t>
      </w:r>
    </w:p>
    <w:p>
      <w:pPr>
        <w:adjustRightInd w:val="0"/>
        <w:snapToGrid w:val="0"/>
        <w:spacing w:line="570" w:lineRule="exact"/>
        <w:ind w:firstLine="640"/>
        <w:rPr>
          <w:rFonts w:eastAsia="仿宋_GB2312"/>
          <w:color w:val="000000" w:themeColor="text1"/>
          <w:sz w:val="32"/>
          <w:szCs w:val="32"/>
          <w14:textFill>
            <w14:solidFill>
              <w14:schemeClr w14:val="tx1"/>
            </w14:solidFill>
          </w14:textFill>
        </w:rPr>
      </w:pPr>
    </w:p>
    <w:p>
      <w:pPr>
        <w:adjustRightInd w:val="0"/>
        <w:snapToGrid w:val="0"/>
        <w:spacing w:line="570" w:lineRule="exact"/>
        <w:ind w:firstLine="640"/>
        <w:rPr>
          <w:rFonts w:eastAsia="仿宋_GB2312"/>
          <w:color w:val="000000" w:themeColor="text1"/>
          <w:spacing w:val="-1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完善党委领导、政府负责、社会协同、公众参与、法</w:t>
      </w:r>
      <w:r>
        <w:rPr>
          <w:rFonts w:hint="eastAsia" w:eastAsia="仿宋_GB2312" w:cs="Times New Roman"/>
          <w:color w:val="000000" w:themeColor="text1"/>
          <w:sz w:val="32"/>
          <w:szCs w:val="32"/>
          <w14:textFill>
            <w14:solidFill>
              <w14:schemeClr w14:val="tx1"/>
            </w14:solidFill>
          </w14:textFill>
        </w:rPr>
        <w:t>治</w:t>
      </w:r>
      <w:r>
        <w:rPr>
          <w:rFonts w:ascii="Times New Roman" w:hAnsi="Times New Roman" w:eastAsia="仿宋_GB2312" w:cs="Times New Roman"/>
          <w:color w:val="000000" w:themeColor="text1"/>
          <w:sz w:val="32"/>
          <w:szCs w:val="32"/>
          <w14:textFill>
            <w14:solidFill>
              <w14:schemeClr w14:val="tx1"/>
            </w14:solidFill>
          </w14:textFill>
        </w:rPr>
        <w:t>保障的城市治理体系，构建权责明晰、服务为先、管理优化、执法规范、安全有序的城市管理体制。充分发挥党建引领物业的主导作用，推进物业管理融入基层治理，形成共建共治共享的物业管理新格局。依托城市运行管理服务平台，拓展建立“市政监管和运行监测”专项模块，加快布局建设物联感知设备，综合推进城市“一网统管”，提升城市精细化、智慧化管理水平。加强市容环境综合整治，继续推进“城管进社区”，规范背街小巷和无物管小区管理，推广“网格化+街长制”管理模式。</w:t>
      </w:r>
      <w:r>
        <w:rPr>
          <w:rFonts w:ascii="Times New Roman" w:hAnsi="Times New Roman" w:eastAsia="仿宋_GB2312" w:cs="Times New Roman"/>
          <w:color w:val="000000" w:themeColor="text1"/>
          <w:spacing w:val="-11"/>
          <w:sz w:val="32"/>
          <w:szCs w:val="32"/>
          <w14:textFill>
            <w14:solidFill>
              <w14:schemeClr w14:val="tx1"/>
            </w14:solidFill>
          </w14:textFill>
        </w:rPr>
        <w:t>健全公众参与和监督机制，鼓励社会力量参与城市治理，形成共建共治共享格局。</w:t>
      </w:r>
    </w:p>
    <w:p>
      <w:pPr>
        <w:pStyle w:val="6"/>
        <w:spacing w:line="570" w:lineRule="exact"/>
        <w:rPr>
          <w:rFonts w:ascii="Times New Roman" w:hAnsi="Times New Roman" w:eastAsia="黑体" w:cs="Times New Roman"/>
          <w:color w:val="000000" w:themeColor="text1"/>
          <w:sz w:val="32"/>
          <w14:textFill>
            <w14:solidFill>
              <w14:schemeClr w14:val="tx1"/>
            </w14:solidFill>
          </w14:textFill>
        </w:rPr>
      </w:pPr>
    </w:p>
    <w:p>
      <w:pPr>
        <w:pStyle w:val="6"/>
        <w:spacing w:line="570" w:lineRule="exact"/>
        <w:rPr>
          <w:rFonts w:ascii="Times New Roman" w:hAnsi="Times New Roman" w:eastAsia="仿宋_GB2312" w:cs="Times New Roman"/>
          <w:color w:val="000000" w:themeColor="text1"/>
          <w:sz w:val="32"/>
          <w14:textFill>
            <w14:solidFill>
              <w14:schemeClr w14:val="tx1"/>
            </w14:solidFill>
          </w14:textFill>
        </w:rPr>
      </w:pPr>
      <w:bookmarkStart w:id="55" w:name="_Toc8557"/>
      <w:r>
        <w:rPr>
          <w:rFonts w:ascii="Times New Roman" w:hAnsi="Times New Roman" w:eastAsia="黑体" w:cs="Times New Roman"/>
          <w:color w:val="000000" w:themeColor="text1"/>
          <w:sz w:val="32"/>
          <w14:textFill>
            <w14:solidFill>
              <w14:schemeClr w14:val="tx1"/>
            </w14:solidFill>
          </w14:textFill>
        </w:rPr>
        <w:t>第三十二章 增强县城综合承载能力</w:t>
      </w:r>
      <w:bookmarkEnd w:id="55"/>
    </w:p>
    <w:p>
      <w:pPr>
        <w:pStyle w:val="7"/>
        <w:spacing w:line="570" w:lineRule="exact"/>
        <w:rPr>
          <w:rFonts w:eastAsia="仿宋_GB2312"/>
          <w:color w:val="000000" w:themeColor="text1"/>
          <w:sz w:val="32"/>
          <w14:textFill>
            <w14:solidFill>
              <w14:schemeClr w14:val="tx1"/>
            </w14:solidFill>
          </w14:textFill>
        </w:rPr>
      </w:pPr>
    </w:p>
    <w:p>
      <w:pPr>
        <w:pStyle w:val="7"/>
        <w:spacing w:line="57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第一节 推进以县城为重要载体的城镇化建设</w:t>
      </w:r>
    </w:p>
    <w:p>
      <w:pPr>
        <w:adjustRightInd w:val="0"/>
        <w:snapToGrid w:val="0"/>
        <w:spacing w:line="570" w:lineRule="exact"/>
        <w:ind w:firstLine="640"/>
        <w:rPr>
          <w:rFonts w:eastAsia="仿宋_GB2312"/>
          <w:color w:val="000000" w:themeColor="text1"/>
          <w:sz w:val="32"/>
          <w:szCs w:val="32"/>
          <w14:textFill>
            <w14:solidFill>
              <w14:schemeClr w14:val="tx1"/>
            </w14:solidFill>
          </w14:textFill>
        </w:rPr>
      </w:pPr>
    </w:p>
    <w:p>
      <w:pPr>
        <w:adjustRightInd w:val="0"/>
        <w:snapToGrid w:val="0"/>
        <w:spacing w:line="57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坚持把县城作为城镇化的重要载体，加快县城人口集聚、产业集中和功能集成，推动以产兴城、以城促产、以业聚人。分类引导大城市周边县城、专业功能县城、农产品主产区县城、重点生态功能区县城发展。协调推进新型工业化城镇化，重点发展比较优势明显、就业容量大、带动农业农村能力强的产业，吸引农业转移人口就近就业安家和返乡创业，大力提升农业转移人口劳动技能素质。因地制宜加快补齐县城基础设施和公共服务短板，增强县城综合承载能力，满足农民到县城就业安家需要和县城居民生产生活需要。强化县城与邻近城市联动发展，发挥县城连接城市、服务乡村作用，建设一批各具特色、富有活力、宜居宜业的现代化县城。</w:t>
      </w:r>
    </w:p>
    <w:p>
      <w:pPr>
        <w:pStyle w:val="7"/>
        <w:spacing w:line="57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第二节 分类引导小城镇发展</w:t>
      </w:r>
    </w:p>
    <w:p>
      <w:pPr>
        <w:adjustRightInd w:val="0"/>
        <w:snapToGrid w:val="0"/>
        <w:spacing w:line="570" w:lineRule="exact"/>
        <w:ind w:firstLine="640"/>
        <w:rPr>
          <w:rFonts w:eastAsia="仿宋_GB2312"/>
          <w:color w:val="000000" w:themeColor="text1"/>
          <w:sz w:val="32"/>
          <w:szCs w:val="32"/>
          <w14:textFill>
            <w14:solidFill>
              <w14:schemeClr w14:val="tx1"/>
            </w14:solidFill>
          </w14:textFill>
        </w:rPr>
      </w:pPr>
    </w:p>
    <w:p>
      <w:pPr>
        <w:adjustRightInd w:val="0"/>
        <w:snapToGrid w:val="0"/>
        <w:spacing w:line="57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立足资源禀赋与区位条件，精准施策，构建“县城—中心镇—特色镇—一般乡镇”梯次联动、分工明确的小城镇发展体系。培育壮大中心镇，支持洪江市安江镇、溆浦北斗溪镇、辰溪孝坪镇、通道县溪镇等区位优势明显、产业基础较好的中心镇建设，配套实施镇区道路管网、污水垃圾处理、公共停车场等补短板工程，完善教育、医疗、养老等公共服务设施，增强对周边乡村的综合服务能力。做精做强特色镇，重点支持靖州杨梅小镇、洪江区古商城文旅小镇、通道坪坦乡文旅小镇等特色小镇，围绕自身特色优势产业建设产城融合型小镇。支持一般乡镇依托资源优势，发展特色农业、文化旅游、商贸物流等产业，提升镇域就业吸纳能力和服务乡村功能，促进农业转移人口就地就近城镇化。</w:t>
      </w:r>
    </w:p>
    <w:p>
      <w:pPr>
        <w:adjustRightInd w:val="0"/>
        <w:snapToGrid w:val="0"/>
        <w:rPr>
          <w:rFonts w:eastAsia="仿宋_GB2312"/>
          <w:color w:val="000000" w:themeColor="text1"/>
          <w:sz w:val="32"/>
          <w:szCs w:val="32"/>
          <w14:textFill>
            <w14:solidFill>
              <w14:schemeClr w14:val="tx1"/>
            </w14:solidFill>
          </w14:textFill>
        </w:rPr>
      </w:pPr>
    </w:p>
    <w:p>
      <w:pPr>
        <w:pStyle w:val="7"/>
        <w:spacing w:line="57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第三节 推进县域经济发展</w:t>
      </w:r>
    </w:p>
    <w:p>
      <w:pPr>
        <w:adjustRightInd w:val="0"/>
        <w:snapToGrid w:val="0"/>
        <w:spacing w:line="570" w:lineRule="exact"/>
        <w:ind w:firstLine="640"/>
        <w:rPr>
          <w:rFonts w:eastAsia="仿宋_GB2312"/>
          <w:color w:val="000000" w:themeColor="text1"/>
          <w:sz w:val="32"/>
          <w:szCs w:val="32"/>
          <w14:textFill>
            <w14:solidFill>
              <w14:schemeClr w14:val="tx1"/>
            </w14:solidFill>
          </w14:textFill>
        </w:rPr>
      </w:pPr>
    </w:p>
    <w:p>
      <w:pPr>
        <w:spacing w:line="57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坚持宜工则工、宜农则农、宜旅则旅，按照新型工业化、农产品加工转化、文旅融合化主导型分类引导县域经济发展，构建差异化协同化政策支持体系，培育工业大县、农业强县、旅游名县，形成各具特色的县域经济发展路径，推动县域经济生产总值占全市经济总量比重持续提升。支持经济大县加快发展，进一步减负增效、放权赋能，保障要素供给，降低综合成本，提高产业承载和人口集聚能力，形成县域经济“领头羊群”。支持沅陵、溆浦等有条件的经济大县加快建设全省经济强县。做大做强县域“一主一特”产业，加快构建县域特色产业体系。稳妥推进人口小县机构优化，鼓励人口小县探索建设运营治理新机制，引导人口和公共服务资源适度集中。优化完善县域经济分类监测办法，强化结果运用。</w:t>
      </w:r>
    </w:p>
    <w:p>
      <w:pPr>
        <w:pStyle w:val="5"/>
        <w:spacing w:line="560" w:lineRule="exact"/>
        <w:rPr>
          <w:rFonts w:eastAsia="方正小标宋简体"/>
          <w:color w:val="000000" w:themeColor="text1"/>
          <w:szCs w:val="32"/>
          <w14:textFill>
            <w14:solidFill>
              <w14:schemeClr w14:val="tx1"/>
            </w14:solidFill>
          </w14:textFill>
        </w:rPr>
        <w:sectPr>
          <w:pgSz w:w="11906" w:h="16838"/>
          <w:pgMar w:top="2098" w:right="1361" w:bottom="1701" w:left="1417" w:header="851" w:footer="992" w:gutter="0"/>
          <w:cols w:space="0" w:num="1"/>
          <w:docGrid w:type="lines" w:linePitch="312" w:charSpace="0"/>
        </w:sectPr>
      </w:pPr>
    </w:p>
    <w:p>
      <w:pPr>
        <w:pStyle w:val="5"/>
        <w:spacing w:line="580" w:lineRule="exact"/>
        <w:rPr>
          <w:rFonts w:eastAsia="方正小标宋简体"/>
          <w:color w:val="000000" w:themeColor="text1"/>
          <w:sz w:val="36"/>
          <w:szCs w:val="36"/>
          <w14:textFill>
            <w14:solidFill>
              <w14:schemeClr w14:val="tx1"/>
            </w14:solidFill>
          </w14:textFill>
        </w:rPr>
      </w:pPr>
      <w:bookmarkStart w:id="56" w:name="_Toc3047"/>
      <w:r>
        <w:rPr>
          <w:rFonts w:eastAsia="方正小标宋简体"/>
          <w:color w:val="000000" w:themeColor="text1"/>
          <w:sz w:val="36"/>
          <w:szCs w:val="36"/>
          <w14:textFill>
            <w14:solidFill>
              <w14:schemeClr w14:val="tx1"/>
            </w14:solidFill>
          </w14:textFill>
        </w:rPr>
        <w:t>第十篇 坚持农业农村优先发展，扎实推进乡村全面振兴</w:t>
      </w:r>
      <w:bookmarkEnd w:id="56"/>
    </w:p>
    <w:p>
      <w:pPr>
        <w:spacing w:line="580" w:lineRule="exact"/>
        <w:ind w:firstLine="640"/>
        <w:rPr>
          <w:rFonts w:eastAsia="仿宋_GB2312"/>
          <w:color w:val="000000" w:themeColor="text1"/>
          <w:sz w:val="32"/>
          <w:szCs w:val="32"/>
          <w14:textFill>
            <w14:solidFill>
              <w14:schemeClr w14:val="tx1"/>
            </w14:solidFill>
          </w14:textFill>
        </w:rPr>
      </w:pPr>
    </w:p>
    <w:p>
      <w:pPr>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坚持把解决好“三农”问题作为重中之重，深入学习运用“千万工程”经验，大力实施“怀乡五百工程”，促进城乡融合发展，持续巩固拓展脱贫攻坚成果，加快农业农村现代化。</w:t>
      </w:r>
    </w:p>
    <w:p>
      <w:pPr>
        <w:pStyle w:val="6"/>
        <w:keepLines w:val="0"/>
        <w:spacing w:line="580" w:lineRule="exact"/>
        <w:rPr>
          <w:rFonts w:ascii="Times New Roman" w:hAnsi="Times New Roman" w:eastAsia="黑体" w:cs="Times New Roman"/>
          <w:color w:val="000000" w:themeColor="text1"/>
          <w:sz w:val="32"/>
          <w14:textFill>
            <w14:solidFill>
              <w14:schemeClr w14:val="tx1"/>
            </w14:solidFill>
          </w14:textFill>
        </w:rPr>
      </w:pPr>
    </w:p>
    <w:p>
      <w:pPr>
        <w:pStyle w:val="6"/>
        <w:keepLines w:val="0"/>
        <w:spacing w:line="580" w:lineRule="exact"/>
        <w:rPr>
          <w:rFonts w:ascii="Times New Roman" w:hAnsi="Times New Roman" w:eastAsia="黑体" w:cs="Times New Roman"/>
          <w:color w:val="000000" w:themeColor="text1"/>
          <w:sz w:val="32"/>
          <w14:textFill>
            <w14:solidFill>
              <w14:schemeClr w14:val="tx1"/>
            </w14:solidFill>
          </w14:textFill>
        </w:rPr>
      </w:pPr>
      <w:bookmarkStart w:id="57" w:name="_Toc20533"/>
      <w:r>
        <w:rPr>
          <w:rFonts w:ascii="Times New Roman" w:hAnsi="Times New Roman" w:eastAsia="黑体" w:cs="Times New Roman"/>
          <w:color w:val="000000" w:themeColor="text1"/>
          <w:sz w:val="32"/>
          <w14:textFill>
            <w14:solidFill>
              <w14:schemeClr w14:val="tx1"/>
            </w14:solidFill>
          </w14:textFill>
        </w:rPr>
        <w:t>第三十三章 提升农业综合生产能力和质量效益</w:t>
      </w:r>
      <w:bookmarkEnd w:id="57"/>
    </w:p>
    <w:p>
      <w:pPr>
        <w:pStyle w:val="7"/>
        <w:keepLines w:val="0"/>
        <w:spacing w:line="580" w:lineRule="exact"/>
        <w:rPr>
          <w:rFonts w:eastAsia="仿宋_GB2312"/>
          <w:color w:val="000000" w:themeColor="text1"/>
          <w:sz w:val="32"/>
          <w14:textFill>
            <w14:solidFill>
              <w14:schemeClr w14:val="tx1"/>
            </w14:solidFill>
          </w14:textFill>
        </w:rPr>
      </w:pPr>
    </w:p>
    <w:p>
      <w:pPr>
        <w:pStyle w:val="7"/>
        <w:keepLines w:val="0"/>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第一节 稳定粮食和重要农产品生产</w:t>
      </w:r>
    </w:p>
    <w:p>
      <w:pPr>
        <w:spacing w:line="580" w:lineRule="exact"/>
        <w:ind w:firstLine="640"/>
        <w:rPr>
          <w:rFonts w:eastAsia="仿宋_GB2312"/>
          <w:color w:val="000000" w:themeColor="text1"/>
          <w:sz w:val="32"/>
          <w:szCs w:val="32"/>
          <w14:textFill>
            <w14:solidFill>
              <w14:schemeClr w14:val="tx1"/>
            </w14:solidFill>
          </w14:textFill>
        </w:rPr>
      </w:pPr>
    </w:p>
    <w:p>
      <w:pPr>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bCs w:val="0"/>
          <w:color w:val="000000" w:themeColor="text1"/>
          <w:sz w:val="32"/>
          <w:szCs w:val="32"/>
          <w14:textFill>
            <w14:solidFill>
              <w14:schemeClr w14:val="tx1"/>
            </w14:solidFill>
          </w14:textFill>
        </w:rPr>
        <w:t>坚持大农业观、大食物观，统筹发展科技农业、绿色农业、质量农业、品牌农业，提升农业产业化水平。深入落实藏粮于地、藏粮于技战略，将粮食安全纳入各级党委、政府绩效考核。发挥国家级杂交水稻制种基地优势，实施</w:t>
      </w:r>
      <w:r>
        <w:rPr>
          <w:rFonts w:hint="eastAsia" w:eastAsia="仿宋_GB2312" w:cs="Times New Roman"/>
          <w:bCs w:val="0"/>
          <w:color w:val="000000" w:themeColor="text1"/>
          <w:sz w:val="32"/>
          <w:szCs w:val="32"/>
          <w14:textFill>
            <w14:solidFill>
              <w14:schemeClr w14:val="tx1"/>
            </w14:solidFill>
          </w14:textFill>
        </w:rPr>
        <w:t>国家</w:t>
      </w:r>
      <w:r>
        <w:rPr>
          <w:rFonts w:ascii="Times New Roman" w:hAnsi="Times New Roman" w:eastAsia="仿宋_GB2312" w:cs="Times New Roman"/>
          <w:bCs w:val="0"/>
          <w:color w:val="000000" w:themeColor="text1"/>
          <w:sz w:val="32"/>
          <w:szCs w:val="32"/>
          <w14:textFill>
            <w14:solidFill>
              <w14:schemeClr w14:val="tx1"/>
            </w14:solidFill>
          </w14:textFill>
        </w:rPr>
        <w:t>新一轮粮食产能提升行动，全力推进100万亩国家储备粮源基地建设。以田长制为抓手，</w:t>
      </w:r>
      <w:r>
        <w:rPr>
          <w:rFonts w:ascii="Times New Roman" w:hAnsi="Times New Roman" w:eastAsia="仿宋_GB2312" w:cs="Times New Roman"/>
          <w:color w:val="000000" w:themeColor="text1"/>
          <w:sz w:val="32"/>
          <w:szCs w:val="32"/>
          <w14:textFill>
            <w14:solidFill>
              <w14:schemeClr w14:val="tx1"/>
            </w14:solidFill>
          </w14:textFill>
        </w:rPr>
        <w:t>坚决落实耕地保护目标责任，</w:t>
      </w:r>
      <w:r>
        <w:rPr>
          <w:rFonts w:ascii="Times New Roman" w:hAnsi="Times New Roman" w:eastAsia="仿宋_GB2312" w:cs="Times New Roman"/>
          <w:bCs w:val="0"/>
          <w:color w:val="000000" w:themeColor="text1"/>
          <w:sz w:val="32"/>
          <w:szCs w:val="32"/>
          <w14:textFill>
            <w14:solidFill>
              <w14:schemeClr w14:val="tx1"/>
            </w14:solidFill>
          </w14:textFill>
        </w:rPr>
        <w:t>严守427.97万亩耕地红线，严格耕地占补平衡，坚决遏制耕地“非农化”，防止永久基本农田“非粮化”，深入推进耕地抛荒治理。推进高标准农田建设。稳步推进第二轮土地承包到期后再延长三十年整市试点。坚持农林牧渔并举，大力发展林下经济，构建多元化食物供给体系。严格落实“菜篮子”市长负责制，发展设施蔬菜和高山蔬菜，建设粤港澳大湾区“菜篮子”供应基地。</w:t>
      </w:r>
    </w:p>
    <w:p>
      <w:pPr>
        <w:pStyle w:val="7"/>
        <w:keepLines w:val="0"/>
        <w:spacing w:line="60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第二节 完善现代农业经营体系</w:t>
      </w:r>
    </w:p>
    <w:p>
      <w:pPr>
        <w:pStyle w:val="7"/>
        <w:keepLines w:val="0"/>
        <w:spacing w:line="600" w:lineRule="exact"/>
        <w:rPr>
          <w:rFonts w:eastAsia="仿宋_GB2312"/>
          <w:color w:val="000000" w:themeColor="text1"/>
          <w:sz w:val="32"/>
          <w:lang w:val="en"/>
          <w14:textFill>
            <w14:solidFill>
              <w14:schemeClr w14:val="tx1"/>
            </w14:solidFill>
          </w14:textFill>
        </w:rPr>
      </w:pPr>
    </w:p>
    <w:p>
      <w:pPr>
        <w:spacing w:line="600" w:lineRule="exact"/>
        <w:ind w:firstLine="640"/>
        <w:rPr>
          <w:rFonts w:eastAsia="仿宋_GB2312"/>
          <w:bCs w:val="0"/>
          <w:color w:val="000000" w:themeColor="text1"/>
          <w:sz w:val="32"/>
          <w:szCs w:val="32"/>
          <w14:textFill>
            <w14:solidFill>
              <w14:schemeClr w14:val="tx1"/>
            </w14:solidFill>
          </w14:textFill>
        </w:rPr>
      </w:pPr>
      <w:r>
        <w:rPr>
          <w:rFonts w:ascii="Times New Roman" w:hAnsi="Times New Roman" w:eastAsia="仿宋_GB2312" w:cs="Times New Roman"/>
          <w:bCs w:val="0"/>
          <w:color w:val="000000" w:themeColor="text1"/>
          <w:sz w:val="32"/>
          <w:szCs w:val="32"/>
          <w14:textFill>
            <w14:solidFill>
              <w14:schemeClr w14:val="tx1"/>
            </w14:solidFill>
          </w14:textFill>
        </w:rPr>
        <w:t>发展农业适度规模经营，加快培育新型经营主体、新型</w:t>
      </w:r>
      <w:r>
        <w:rPr>
          <w:rFonts w:hint="eastAsia" w:eastAsia="仿宋_GB2312" w:cs="Times New Roman"/>
          <w:bCs w:val="0"/>
          <w:color w:val="000000" w:themeColor="text1"/>
          <w:sz w:val="32"/>
          <w:szCs w:val="32"/>
          <w14:textFill>
            <w14:solidFill>
              <w14:schemeClr w14:val="tx1"/>
            </w14:solidFill>
          </w14:textFill>
        </w:rPr>
        <w:t>职业</w:t>
      </w:r>
      <w:r>
        <w:rPr>
          <w:rFonts w:ascii="Times New Roman" w:hAnsi="Times New Roman" w:eastAsia="仿宋_GB2312" w:cs="Times New Roman"/>
          <w:bCs w:val="0"/>
          <w:color w:val="000000" w:themeColor="text1"/>
          <w:sz w:val="32"/>
          <w:szCs w:val="32"/>
          <w14:textFill>
            <w14:solidFill>
              <w14:schemeClr w14:val="tx1"/>
            </w14:solidFill>
          </w14:textFill>
        </w:rPr>
        <w:t>农民，构建集约化、专业化、组织化、社会化相结合的新型农业经营体系。加大龙头企业培育力度，加强农业产业集群、农业产业园区和农业产业强镇建设。健全农业社会化服务体系，推广土地托管、代耕代种等模式，建设一批实体化农业综合性服务中心。发展新型农村集体经济，推广“资源变资产、资金变股金、农民变股东”改革。实施品牌打造、品牌唱响、品牌运营三大行动，构建“区域公用品牌+企业品牌+产品品牌”联动体系。健全农产品出口支持体系，重点支持油茶、柑橘等特色农产品出口，推动“怀味”出湘出海。到2030年，力争全市规模以上农产品加工企业达500家以上，农产品加工业产值年均增长7%以上，怀化国际陆港出口农产品标箱1500个以上，农产品出口总值达到30亿元以上。</w:t>
      </w:r>
    </w:p>
    <w:p>
      <w:pPr>
        <w:pStyle w:val="7"/>
        <w:keepLines w:val="0"/>
        <w:spacing w:line="600" w:lineRule="exact"/>
        <w:rPr>
          <w:rFonts w:eastAsia="仿宋_GB2312"/>
          <w:color w:val="000000" w:themeColor="text1"/>
          <w:sz w:val="32"/>
          <w14:textFill>
            <w14:solidFill>
              <w14:schemeClr w14:val="tx1"/>
            </w14:solidFill>
          </w14:textFill>
        </w:rPr>
      </w:pPr>
    </w:p>
    <w:p>
      <w:pPr>
        <w:pStyle w:val="7"/>
        <w:keepLines w:val="0"/>
        <w:spacing w:line="60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第三节 强化农业科技支撑</w:t>
      </w:r>
    </w:p>
    <w:p>
      <w:pPr>
        <w:pStyle w:val="7"/>
        <w:keepLines w:val="0"/>
        <w:spacing w:line="600" w:lineRule="exact"/>
        <w:rPr>
          <w:rFonts w:eastAsia="仿宋_GB2312"/>
          <w:color w:val="000000" w:themeColor="text1"/>
          <w:sz w:val="32"/>
          <w14:textFill>
            <w14:solidFill>
              <w14:schemeClr w14:val="tx1"/>
            </w14:solidFill>
          </w14:textFill>
        </w:rPr>
      </w:pPr>
    </w:p>
    <w:p>
      <w:pPr>
        <w:spacing w:line="60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深入实施种业振兴行动，重点建设怀化·安江现代作物分子设计育种产业园，充分发挥刘良院士工作站、岳麓山种业创新中心大湘西区域中心创新引领作用，筹建雪峰—武陵山区特色种质资源保护利用中心和“北纬28水果产业带”品种适应性评价基地。加强湘西黑猪、溆浦鹅、雪峰乌骨鸡、湘华鲮、“怀六味”中药材等地方特色种质资源保护与创新利用。完善现代农业产业技术体系，推广应用先进适用农机装备，促进良田、良种、良机、良法集成增效。大力发展智慧农业，推广物联网、无人机巡检、智能灌溉等技术。推动农业绿色低碳发展，建设农业低碳示范园，推广畜禽粪污资源化利用和秸秆还田技术。推动设施农业提质增效，科学布局设施蔬菜、设施养殖和工厂化渔业，完善从育种研发到加工流通的全产业链科技支撑体系。</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9071" w:type="dxa"/>
          </w:tcPr>
          <w:p>
            <w:pPr>
              <w:spacing w:line="570" w:lineRule="exact"/>
              <w:jc w:val="center"/>
              <w:rPr>
                <w:rFonts w:ascii="Times New Roman" w:hAnsi="Times New Roman" w:eastAsia="黑体" w:cs="Times New Roman"/>
                <w:color w:val="000000" w:themeColor="text1"/>
                <w:sz w:val="32"/>
                <w:szCs w:val="32"/>
                <w14:textFill>
                  <w14:solidFill>
                    <w14:schemeClr w14:val="tx1"/>
                  </w14:solidFill>
                </w14:textFill>
              </w:rPr>
            </w:pPr>
            <w:r>
              <w:rPr>
                <w:rFonts w:ascii="Times New Roman" w:hAnsi="Times New Roman" w:eastAsia="黑体" w:cs="Times New Roman"/>
                <w:bCs w:val="0"/>
                <w:color w:val="000000" w:themeColor="text1"/>
                <w:sz w:val="32"/>
                <w:szCs w:val="32"/>
                <w14:textFill>
                  <w14:solidFill>
                    <w14:schemeClr w14:val="tx1"/>
                  </w14:solidFill>
                </w14:textFill>
              </w:rPr>
              <w:t>专栏10—1 农业综合生产能力提升工程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71" w:type="dxa"/>
          </w:tcPr>
          <w:p>
            <w:pPr>
              <w:numPr>
                <w:ilvl w:val="255"/>
                <w:numId w:val="0"/>
              </w:numPr>
              <w:adjustRightInd w:val="0"/>
              <w:snapToGrid w:val="0"/>
              <w:spacing w:line="500" w:lineRule="exact"/>
              <w:ind w:firstLine="642" w:firstLineChars="200"/>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1.粮食和重要农产品供给。</w:t>
            </w:r>
            <w:r>
              <w:rPr>
                <w:rFonts w:ascii="Times New Roman" w:hAnsi="Times New Roman" w:eastAsia="楷体_GB2312" w:cs="Times New Roman"/>
                <w:color w:val="000000" w:themeColor="text1"/>
                <w:sz w:val="32"/>
                <w:szCs w:val="32"/>
                <w14:textFill>
                  <w14:solidFill>
                    <w14:schemeClr w14:val="tx1"/>
                  </w14:solidFill>
                </w14:textFill>
              </w:rPr>
              <w:t>粮食播种面积稳定在462万亩以上、粮食产量稳定在39.2亿斤以上，大豆种植面积增加至15万亩以上，油料种植面积稳定在210万亩以上，蔬菜种植面积稳定在130万亩以上，生猪出栏</w:t>
            </w:r>
            <w:r>
              <w:rPr>
                <w:rFonts w:hint="eastAsia" w:ascii="Times New Roman" w:hAnsi="Times New Roman" w:eastAsia="楷体_GB2312" w:cs="Times New Roman"/>
                <w:color w:val="000000" w:themeColor="text1"/>
                <w:sz w:val="32"/>
                <w:szCs w:val="32"/>
                <w14:textFill>
                  <w14:solidFill>
                    <w14:schemeClr w14:val="tx1"/>
                  </w14:solidFill>
                </w14:textFill>
              </w:rPr>
              <w:t>稳定在</w:t>
            </w:r>
            <w:r>
              <w:rPr>
                <w:rFonts w:ascii="Times New Roman" w:hAnsi="Times New Roman" w:eastAsia="楷体_GB2312" w:cs="Times New Roman"/>
                <w:color w:val="000000" w:themeColor="text1"/>
                <w:sz w:val="32"/>
                <w:szCs w:val="32"/>
                <w14:textFill>
                  <w14:solidFill>
                    <w14:schemeClr w14:val="tx1"/>
                  </w14:solidFill>
                </w14:textFill>
              </w:rPr>
              <w:t>420万头以上。</w:t>
            </w:r>
          </w:p>
          <w:p>
            <w:pPr>
              <w:numPr>
                <w:ilvl w:val="255"/>
                <w:numId w:val="0"/>
              </w:numPr>
              <w:adjustRightInd w:val="0"/>
              <w:snapToGrid w:val="0"/>
              <w:spacing w:line="500" w:lineRule="exact"/>
              <w:ind w:firstLine="642" w:firstLineChars="200"/>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2.高标准农田建设。</w:t>
            </w:r>
            <w:r>
              <w:rPr>
                <w:rFonts w:ascii="Times New Roman" w:hAnsi="Times New Roman" w:eastAsia="楷体_GB2312" w:cs="Times New Roman"/>
                <w:bCs w:val="0"/>
                <w:color w:val="000000" w:themeColor="text1"/>
                <w:sz w:val="32"/>
                <w:szCs w:val="32"/>
                <w14:textFill>
                  <w14:solidFill>
                    <w14:schemeClr w14:val="tx1"/>
                  </w14:solidFill>
                </w14:textFill>
              </w:rPr>
              <w:t>新建高标准</w:t>
            </w:r>
            <w:r>
              <w:rPr>
                <w:rFonts w:ascii="Times New Roman" w:hAnsi="Times New Roman" w:eastAsia="楷体_GB2312" w:cs="Times New Roman"/>
                <w:color w:val="000000" w:themeColor="text1"/>
                <w:sz w:val="32"/>
                <w:szCs w:val="32"/>
                <w14:textFill>
                  <w14:solidFill>
                    <w14:schemeClr w14:val="tx1"/>
                  </w14:solidFill>
                </w14:textFill>
              </w:rPr>
              <w:t>农田35万亩以上、改造提升55万亩以上。实施㵲水大型灌区提升</w:t>
            </w:r>
            <w:r>
              <w:rPr>
                <w:rFonts w:ascii="Times New Roman" w:hAnsi="Times New Roman" w:eastAsia="楷体_GB2312" w:cs="Times New Roman"/>
                <w:bCs w:val="0"/>
                <w:color w:val="000000" w:themeColor="text1"/>
                <w:sz w:val="32"/>
                <w:szCs w:val="32"/>
                <w14:textFill>
                  <w14:solidFill>
                    <w14:schemeClr w14:val="tx1"/>
                  </w14:solidFill>
                </w14:textFill>
              </w:rPr>
              <w:t>改造行动，打造集中连片制种基地。</w:t>
            </w:r>
          </w:p>
          <w:p>
            <w:pPr>
              <w:numPr>
                <w:ilvl w:val="255"/>
                <w:numId w:val="0"/>
              </w:numPr>
              <w:adjustRightInd w:val="0"/>
              <w:snapToGrid w:val="0"/>
              <w:spacing w:line="500" w:lineRule="exact"/>
              <w:ind w:firstLine="642" w:firstLineChars="200"/>
              <w:rPr>
                <w:rFonts w:ascii="Times New Roman" w:hAnsi="Times New Roman" w:eastAsia="楷体_GB2312" w:cs="Times New Roman"/>
                <w:b/>
                <w:bCs w:val="0"/>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3.种业振兴与智慧农业发展。</w:t>
            </w:r>
            <w:r>
              <w:rPr>
                <w:rFonts w:ascii="Times New Roman" w:hAnsi="Times New Roman" w:eastAsia="楷体_GB2312" w:cs="Times New Roman"/>
                <w:bCs w:val="0"/>
                <w:color w:val="000000" w:themeColor="text1"/>
                <w:sz w:val="32"/>
                <w:szCs w:val="32"/>
                <w14:textFill>
                  <w14:solidFill>
                    <w14:schemeClr w14:val="tx1"/>
                  </w14:solidFill>
                </w14:textFill>
              </w:rPr>
              <w:t>建成现代化种子种苗基地25万亩以上，建设10个智慧农业示范园，智慧农业覆盖率达40%</w:t>
            </w:r>
            <w:r>
              <w:rPr>
                <w:rFonts w:hint="eastAsia" w:ascii="Times New Roman" w:hAnsi="Times New Roman" w:eastAsia="楷体_GB2312" w:cs="Times New Roman"/>
                <w:bCs w:val="0"/>
                <w:color w:val="000000" w:themeColor="text1"/>
                <w:sz w:val="32"/>
                <w:szCs w:val="32"/>
                <w14:textFill>
                  <w14:solidFill>
                    <w14:schemeClr w14:val="tx1"/>
                  </w14:solidFill>
                </w14:textFill>
              </w:rPr>
              <w:t>以上</w:t>
            </w:r>
            <w:r>
              <w:rPr>
                <w:rFonts w:ascii="Times New Roman" w:hAnsi="Times New Roman" w:eastAsia="楷体_GB2312" w:cs="Times New Roman"/>
                <w:bCs w:val="0"/>
                <w:color w:val="000000" w:themeColor="text1"/>
                <w:sz w:val="32"/>
                <w:szCs w:val="32"/>
                <w14:textFill>
                  <w14:solidFill>
                    <w14:schemeClr w14:val="tx1"/>
                  </w14:solidFill>
                </w14:textFill>
              </w:rPr>
              <w:t>。</w:t>
            </w:r>
          </w:p>
          <w:p>
            <w:pPr>
              <w:adjustRightInd w:val="0"/>
              <w:snapToGrid w:val="0"/>
              <w:spacing w:line="50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4.农业品牌培育。</w:t>
            </w:r>
            <w:r>
              <w:rPr>
                <w:rFonts w:ascii="Times New Roman" w:hAnsi="Times New Roman" w:eastAsia="楷体_GB2312" w:cs="Times New Roman"/>
                <w:bCs w:val="0"/>
                <w:color w:val="000000" w:themeColor="text1"/>
                <w:sz w:val="32"/>
                <w:szCs w:val="32"/>
                <w14:textFill>
                  <w14:solidFill>
                    <w14:schemeClr w14:val="tx1"/>
                  </w14:solidFill>
                </w14:textFill>
              </w:rPr>
              <w:t>培育打造县级优秀区域公用品牌12个、重点企业品牌10个及重点产品品牌20个，力争打造一批综合产值100亿元以上区域公用品牌。争取</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怀乡怀品</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区域公用品牌评估价值达30亿元以上。</w:t>
            </w:r>
          </w:p>
          <w:p>
            <w:pPr>
              <w:adjustRightInd w:val="0"/>
              <w:snapToGrid w:val="0"/>
              <w:spacing w:line="50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5.农业产业提升。</w:t>
            </w:r>
            <w:r>
              <w:rPr>
                <w:rFonts w:ascii="Times New Roman" w:hAnsi="Times New Roman" w:eastAsia="楷体_GB2312" w:cs="Times New Roman"/>
                <w:bCs w:val="0"/>
                <w:color w:val="000000" w:themeColor="text1"/>
                <w:sz w:val="32"/>
                <w:szCs w:val="32"/>
                <w14:textFill>
                  <w14:solidFill>
                    <w14:schemeClr w14:val="tx1"/>
                  </w14:solidFill>
                </w14:textFill>
              </w:rPr>
              <w:t>新增国家产业集群项目1个、国家级现代农业产业园1个、省级现代农业产业园5个、国家农业产业强镇2个、省级农业产业强镇10个。力争柑橘产业集群入选农业农村部优势特色产业集群项目。</w:t>
            </w:r>
          </w:p>
          <w:p>
            <w:pPr>
              <w:adjustRightInd w:val="0"/>
              <w:snapToGrid w:val="0"/>
              <w:spacing w:line="50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6.农业龙头企业培育。</w:t>
            </w:r>
            <w:r>
              <w:rPr>
                <w:rFonts w:ascii="Times New Roman" w:hAnsi="Times New Roman" w:eastAsia="楷体_GB2312" w:cs="Times New Roman"/>
                <w:bCs w:val="0"/>
                <w:color w:val="000000" w:themeColor="text1"/>
                <w:sz w:val="32"/>
                <w:szCs w:val="32"/>
                <w14:textFill>
                  <w14:solidFill>
                    <w14:schemeClr w14:val="tx1"/>
                  </w14:solidFill>
                </w14:textFill>
              </w:rPr>
              <w:t>新增国家级龙头企业3家、省级龙头企业50家、市级龙头企业100家。</w:t>
            </w:r>
          </w:p>
          <w:p>
            <w:pPr>
              <w:adjustRightInd w:val="0"/>
              <w:snapToGrid w:val="0"/>
              <w:spacing w:line="500" w:lineRule="exact"/>
              <w:ind w:firstLine="643"/>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7.农产品外贸出口提质扩量。</w:t>
            </w:r>
            <w:r>
              <w:rPr>
                <w:rFonts w:ascii="Times New Roman" w:hAnsi="Times New Roman" w:eastAsia="楷体_GB2312" w:cs="Times New Roman"/>
                <w:color w:val="000000" w:themeColor="text1"/>
                <w:sz w:val="32"/>
                <w:szCs w:val="32"/>
                <w14:textFill>
                  <w14:solidFill>
                    <w14:schemeClr w14:val="tx1"/>
                  </w14:solidFill>
                </w14:textFill>
              </w:rPr>
              <w:t>力争培育农产品出口认定基地和备案企业200个以上、农产品出口龙头企业30家、农产品国际外贸产业园2个。</w:t>
            </w:r>
          </w:p>
        </w:tc>
      </w:tr>
    </w:tbl>
    <w:p>
      <w:pPr>
        <w:pStyle w:val="6"/>
        <w:spacing w:line="610" w:lineRule="exact"/>
        <w:rPr>
          <w:rFonts w:ascii="Times New Roman" w:hAnsi="Times New Roman" w:eastAsia="黑体" w:cs="Times New Roman"/>
          <w:color w:val="000000" w:themeColor="text1"/>
          <w:sz w:val="32"/>
          <w14:textFill>
            <w14:solidFill>
              <w14:schemeClr w14:val="tx1"/>
            </w14:solidFill>
          </w14:textFill>
        </w:rPr>
      </w:pPr>
    </w:p>
    <w:p>
      <w:pPr>
        <w:pStyle w:val="6"/>
        <w:spacing w:line="610" w:lineRule="exact"/>
        <w:rPr>
          <w:rFonts w:ascii="Times New Roman" w:hAnsi="Times New Roman" w:eastAsia="黑体" w:cs="Times New Roman"/>
          <w:color w:val="000000" w:themeColor="text1"/>
          <w:sz w:val="32"/>
          <w14:textFill>
            <w14:solidFill>
              <w14:schemeClr w14:val="tx1"/>
            </w14:solidFill>
          </w14:textFill>
        </w:rPr>
      </w:pPr>
      <w:bookmarkStart w:id="58" w:name="_Toc3213"/>
      <w:r>
        <w:rPr>
          <w:rFonts w:ascii="Times New Roman" w:hAnsi="Times New Roman" w:eastAsia="黑体" w:cs="Times New Roman"/>
          <w:color w:val="000000" w:themeColor="text1"/>
          <w:sz w:val="32"/>
          <w14:textFill>
            <w14:solidFill>
              <w14:schemeClr w14:val="tx1"/>
            </w14:solidFill>
          </w14:textFill>
        </w:rPr>
        <w:t>第三十四章 建设宜居宜业和美乡村</w:t>
      </w:r>
      <w:bookmarkEnd w:id="58"/>
    </w:p>
    <w:p>
      <w:pPr>
        <w:pStyle w:val="7"/>
        <w:spacing w:line="610" w:lineRule="exact"/>
        <w:rPr>
          <w:rFonts w:eastAsia="仿宋_GB2312"/>
          <w:color w:val="000000" w:themeColor="text1"/>
          <w:sz w:val="32"/>
          <w14:textFill>
            <w14:solidFill>
              <w14:schemeClr w14:val="tx1"/>
            </w14:solidFill>
          </w14:textFill>
        </w:rPr>
      </w:pPr>
    </w:p>
    <w:p>
      <w:pPr>
        <w:pStyle w:val="7"/>
        <w:spacing w:line="61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第一节 提高乡村建设水平</w:t>
      </w:r>
    </w:p>
    <w:p>
      <w:pPr>
        <w:spacing w:line="610" w:lineRule="exact"/>
        <w:ind w:firstLine="640"/>
        <w:rPr>
          <w:rFonts w:eastAsia="仿宋_GB2312"/>
          <w:color w:val="000000" w:themeColor="text1"/>
          <w:sz w:val="32"/>
          <w:szCs w:val="32"/>
          <w14:textFill>
            <w14:solidFill>
              <w14:schemeClr w14:val="tx1"/>
            </w14:solidFill>
          </w14:textFill>
        </w:rPr>
      </w:pPr>
    </w:p>
    <w:p>
      <w:pPr>
        <w:spacing w:line="580" w:lineRule="exact"/>
        <w:ind w:firstLine="641"/>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推进村庄规划编制与全生命周期管理，打造彰显“怀景怀乡”风韵的和美乡村。统筹城乡基础设施和公共服务布局，推动县域基础设施一体化规划建设管护，协同推进县域国土空间治理，稳步开展全域土地综合整治。全域推广“五共五美”模式，持续改善农村人居环境。扎实推进农村厕所革命，分类治理生活污水，加强生活垃圾治理，推进源头分类减量与资源化利用。推动农村基础设施提档升级，实施新一轮农村公路提升和电网巩固工程，推进城乡供水一体化，农村自来水普及率达95%以上。加快千兆光网和5G网络延伸。开展村容村貌整体提升与“点亮乡村”行动，持续深入推动美丽乡村建设。</w:t>
      </w:r>
    </w:p>
    <w:p>
      <w:pPr>
        <w:pStyle w:val="7"/>
        <w:spacing w:line="57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第二节 提升乡村治理效能</w:t>
      </w:r>
    </w:p>
    <w:p>
      <w:pPr>
        <w:spacing w:line="570" w:lineRule="exact"/>
        <w:ind w:firstLine="640"/>
        <w:rPr>
          <w:rFonts w:eastAsia="仿宋_GB2312"/>
          <w:color w:val="000000" w:themeColor="text1"/>
          <w:sz w:val="32"/>
          <w:szCs w:val="32"/>
          <w14:textFill>
            <w14:solidFill>
              <w14:schemeClr w14:val="tx1"/>
            </w14:solidFill>
          </w14:textFill>
        </w:rPr>
      </w:pPr>
    </w:p>
    <w:p>
      <w:pPr>
        <w:spacing w:line="57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bCs w:val="0"/>
          <w:color w:val="000000" w:themeColor="text1"/>
          <w:sz w:val="32"/>
          <w:szCs w:val="32"/>
          <w14:textFill>
            <w14:solidFill>
              <w14:schemeClr w14:val="tx1"/>
            </w14:solidFill>
          </w14:textFill>
        </w:rPr>
        <w:t>坚持党建引领，健全自治、法治、德治相结合的乡村治理体系。强化农村基层党组织建设，深入实施村党组织书记后备力量培育储备三年行动，选优配强乡镇领导班子和村“两委”成员。全面推行片组邻“三长制”，深化“边界六联共治”机制，推广“党建+群建+村规民约+幸福基金”模式。完善村民自治，发挥“道德银行”激励作用和村规民约约束力，持续治理高额彩礼、大操大办等。深化法治乡村建设，落实“一村一辅警”“一村一法律顾问”机制。提升数字治理效能，完善“三务”公开信息化平台，有序扩大智慧村（居）试点。持续为基层减负赋能，严格执行乡镇履职清单和村社事项准入制度，加强干部关心关爱。</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3" w:hRule="atLeast"/>
        </w:trPr>
        <w:tc>
          <w:tcPr>
            <w:tcW w:w="9242" w:type="dxa"/>
            <w:vAlign w:val="center"/>
          </w:tcPr>
          <w:p>
            <w:pPr>
              <w:spacing w:line="570" w:lineRule="exact"/>
              <w:jc w:val="center"/>
              <w:rPr>
                <w:rFonts w:ascii="Times New Roman" w:hAnsi="Times New Roman" w:eastAsia="黑体" w:cs="Times New Roman"/>
                <w:color w:val="000000" w:themeColor="text1"/>
                <w:sz w:val="32"/>
                <w:szCs w:val="32"/>
                <w14:textFill>
                  <w14:solidFill>
                    <w14:schemeClr w14:val="tx1"/>
                  </w14:solidFill>
                </w14:textFill>
              </w:rPr>
            </w:pPr>
            <w:r>
              <w:rPr>
                <w:rFonts w:ascii="Times New Roman" w:hAnsi="Times New Roman" w:eastAsia="黑体" w:cs="Times New Roman"/>
                <w:bCs w:val="0"/>
                <w:color w:val="000000" w:themeColor="text1"/>
                <w:sz w:val="32"/>
                <w:szCs w:val="32"/>
                <w14:textFill>
                  <w14:solidFill>
                    <w14:schemeClr w14:val="tx1"/>
                  </w14:solidFill>
                </w14:textFill>
              </w:rPr>
              <w:t xml:space="preserve">专栏10—2 </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黑体" w:cs="Times New Roman"/>
                <w:bCs w:val="0"/>
                <w:color w:val="000000" w:themeColor="text1"/>
                <w:sz w:val="32"/>
                <w:szCs w:val="32"/>
                <w14:textFill>
                  <w14:solidFill>
                    <w14:schemeClr w14:val="tx1"/>
                  </w14:solidFill>
                </w14:textFill>
              </w:rPr>
              <w:t>和美乡村</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黑体" w:cs="Times New Roman"/>
                <w:bCs w:val="0"/>
                <w:color w:val="000000" w:themeColor="text1"/>
                <w:sz w:val="32"/>
                <w:szCs w:val="32"/>
                <w14:textFill>
                  <w14:solidFill>
                    <w14:schemeClr w14:val="tx1"/>
                  </w14:solidFill>
                </w14:textFill>
              </w:rPr>
              <w:t>建设重点行动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242" w:type="dxa"/>
          </w:tcPr>
          <w:p>
            <w:pPr>
              <w:adjustRightInd w:val="0"/>
              <w:snapToGrid w:val="0"/>
              <w:spacing w:line="48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1.农村人居环境整治提升。</w:t>
            </w:r>
            <w:r>
              <w:rPr>
                <w:rFonts w:ascii="Times New Roman" w:hAnsi="Times New Roman" w:eastAsia="楷体_GB2312" w:cs="Times New Roman"/>
                <w:color w:val="000000" w:themeColor="text1"/>
                <w:sz w:val="32"/>
                <w:szCs w:val="32"/>
                <w14:textFill>
                  <w14:solidFill>
                    <w14:schemeClr w14:val="tx1"/>
                  </w14:solidFill>
                </w14:textFill>
              </w:rPr>
              <w:t>完成2个整县推进美丽乡村建设，新增省级美丽乡村50个，力争农村卫生厕所普及率达99%以上，农村生活污水治理率达70%，基本消除农村较大面积黑臭水体，新建30座乡镇生活垃圾中转站。</w:t>
            </w:r>
          </w:p>
          <w:p>
            <w:pPr>
              <w:adjustRightInd w:val="0"/>
              <w:snapToGrid w:val="0"/>
              <w:spacing w:line="48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2.乡村基础设施提质。</w:t>
            </w:r>
            <w:r>
              <w:rPr>
                <w:rFonts w:ascii="Times New Roman" w:hAnsi="Times New Roman" w:eastAsia="楷体_GB2312" w:cs="Times New Roman"/>
                <w:color w:val="000000" w:themeColor="text1"/>
                <w:sz w:val="32"/>
                <w:szCs w:val="32"/>
                <w14:textFill>
                  <w14:solidFill>
                    <w14:schemeClr w14:val="tx1"/>
                  </w14:solidFill>
                </w14:textFill>
              </w:rPr>
              <w:t>稳步推行农村供水县域统管，实施新一轮农村公路提升行动，</w:t>
            </w:r>
            <w:r>
              <w:rPr>
                <w:rFonts w:ascii="Times New Roman" w:hAnsi="Times New Roman" w:eastAsia="楷体_GB2312" w:cs="Times New Roman"/>
                <w:bCs w:val="0"/>
                <w:color w:val="000000" w:themeColor="text1"/>
                <w:sz w:val="32"/>
                <w:szCs w:val="32"/>
                <w14:textFill>
                  <w14:solidFill>
                    <w14:schemeClr w14:val="tx1"/>
                  </w14:solidFill>
                </w14:textFill>
              </w:rPr>
              <w:t>推动农村电网与新能源并网，争取自然村光纤通达率达100%、行政村5G覆盖率超95%。</w:t>
            </w:r>
          </w:p>
          <w:p>
            <w:pPr>
              <w:adjustRightInd w:val="0"/>
              <w:snapToGrid w:val="0"/>
              <w:spacing w:line="48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3.乡村基本公共服务提质。</w:t>
            </w:r>
            <w:r>
              <w:rPr>
                <w:rFonts w:ascii="Times New Roman" w:hAnsi="Times New Roman" w:eastAsia="楷体_GB2312" w:cs="Times New Roman"/>
                <w:bCs w:val="0"/>
                <w:color w:val="000000" w:themeColor="text1"/>
                <w:sz w:val="32"/>
                <w:szCs w:val="32"/>
                <w14:textFill>
                  <w14:solidFill>
                    <w14:schemeClr w14:val="tx1"/>
                  </w14:solidFill>
                </w14:textFill>
              </w:rPr>
              <w:t>加强城乡学校结对帮扶，提升中心乡镇卫生院服务能力，持续提高困难群众救助、农村低保标准，加大对留守、困境儿童的摸排保障力度，</w:t>
            </w:r>
            <w:r>
              <w:rPr>
                <w:rFonts w:ascii="Times New Roman" w:hAnsi="Times New Roman" w:eastAsia="楷体_GB2312" w:cs="Times New Roman"/>
                <w:color w:val="000000" w:themeColor="text1"/>
                <w:sz w:val="32"/>
                <w:szCs w:val="32"/>
                <w14:textFill>
                  <w14:solidFill>
                    <w14:schemeClr w14:val="tx1"/>
                  </w14:solidFill>
                </w14:textFill>
              </w:rPr>
              <w:t>加强村级养老服务站（点）、互助幸福院、邻里服务点建设</w:t>
            </w:r>
            <w:r>
              <w:rPr>
                <w:rFonts w:ascii="Times New Roman" w:hAnsi="Times New Roman" w:eastAsia="楷体_GB2312" w:cs="Times New Roman"/>
                <w:bCs w:val="0"/>
                <w:color w:val="000000" w:themeColor="text1"/>
                <w:sz w:val="32"/>
                <w:szCs w:val="32"/>
                <w14:textFill>
                  <w14:solidFill>
                    <w14:schemeClr w14:val="tx1"/>
                  </w14:solidFill>
                </w14:textFill>
              </w:rPr>
              <w:t>。</w:t>
            </w:r>
          </w:p>
          <w:p>
            <w:pPr>
              <w:adjustRightInd w:val="0"/>
              <w:snapToGrid w:val="0"/>
              <w:spacing w:line="48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4.乡村组织振兴。</w:t>
            </w:r>
            <w:r>
              <w:rPr>
                <w:rFonts w:ascii="Times New Roman" w:hAnsi="Times New Roman" w:eastAsia="楷体_GB2312" w:cs="Times New Roman"/>
                <w:bCs w:val="0"/>
                <w:color w:val="000000" w:themeColor="text1"/>
                <w:sz w:val="32"/>
                <w:szCs w:val="32"/>
                <w14:textFill>
                  <w14:solidFill>
                    <w14:schemeClr w14:val="tx1"/>
                  </w14:solidFill>
                </w14:textFill>
              </w:rPr>
              <w:t>开展培育储备村党组织书记后备力量行动。持续加强乡镇领导班子和干部队伍建设。深化整治群众身边不正之风和腐败问题，因地制宜开展对村巡察。</w:t>
            </w:r>
          </w:p>
          <w:p>
            <w:pPr>
              <w:adjustRightInd w:val="0"/>
              <w:snapToGrid w:val="0"/>
              <w:spacing w:line="48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5.乡村文化振兴。</w:t>
            </w:r>
            <w:r>
              <w:rPr>
                <w:rFonts w:ascii="Times New Roman" w:hAnsi="Times New Roman" w:eastAsia="楷体_GB2312" w:cs="Times New Roman"/>
                <w:color w:val="000000" w:themeColor="text1"/>
                <w:sz w:val="32"/>
                <w:szCs w:val="32"/>
                <w14:textFill>
                  <w14:solidFill>
                    <w14:schemeClr w14:val="tx1"/>
                  </w14:solidFill>
                </w14:textFill>
              </w:rPr>
              <w:t>推进农村移风易俗，</w:t>
            </w:r>
            <w:r>
              <w:rPr>
                <w:rFonts w:ascii="Times New Roman" w:hAnsi="Times New Roman" w:eastAsia="楷体_GB2312" w:cs="Times New Roman"/>
                <w:bCs w:val="0"/>
                <w:color w:val="000000" w:themeColor="text1"/>
                <w:sz w:val="32"/>
                <w:szCs w:val="32"/>
                <w14:textFill>
                  <w14:solidFill>
                    <w14:schemeClr w14:val="tx1"/>
                  </w14:solidFill>
                </w14:textFill>
              </w:rPr>
              <w:t>开展</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理论微宣讲</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道德模范</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进基层等文明实践活动。支持群众性活动健康发展。推进传统村落特色保护区建设和农业文化遗产保护利用。</w:t>
            </w:r>
          </w:p>
          <w:p>
            <w:pPr>
              <w:adjustRightInd w:val="0"/>
              <w:snapToGrid w:val="0"/>
              <w:spacing w:line="480" w:lineRule="exact"/>
              <w:ind w:firstLine="643"/>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6.乡村治理提效。</w:t>
            </w:r>
            <w:r>
              <w:rPr>
                <w:rFonts w:ascii="Times New Roman" w:hAnsi="Times New Roman" w:eastAsia="楷体_GB2312" w:cs="Times New Roman"/>
                <w:bCs w:val="0"/>
                <w:color w:val="000000" w:themeColor="text1"/>
                <w:sz w:val="32"/>
                <w:szCs w:val="32"/>
                <w14:textFill>
                  <w14:solidFill>
                    <w14:schemeClr w14:val="tx1"/>
                  </w14:solidFill>
                </w14:textFill>
              </w:rPr>
              <w:t>鼓励和引导高校毕业生、退役军人、返乡创业人员等投身乡村治理，常态化开展农村地区扫黑除恶斗争，加强禁毒宣传，持续防范化解村级债务风险，实现每村至少1名“法律明白人”。</w:t>
            </w:r>
          </w:p>
        </w:tc>
      </w:tr>
    </w:tbl>
    <w:p>
      <w:pPr>
        <w:pStyle w:val="6"/>
        <w:spacing w:line="570" w:lineRule="exact"/>
        <w:rPr>
          <w:rFonts w:ascii="Times New Roman" w:hAnsi="Times New Roman" w:eastAsia="黑体" w:cs="Times New Roman"/>
          <w:color w:val="000000" w:themeColor="text1"/>
          <w:sz w:val="32"/>
          <w14:textFill>
            <w14:solidFill>
              <w14:schemeClr w14:val="tx1"/>
            </w14:solidFill>
          </w14:textFill>
        </w:rPr>
      </w:pPr>
    </w:p>
    <w:p>
      <w:pPr>
        <w:pStyle w:val="6"/>
        <w:spacing w:line="580" w:lineRule="exact"/>
        <w:rPr>
          <w:rFonts w:ascii="Times New Roman" w:hAnsi="Times New Roman" w:eastAsia="黑体" w:cs="Times New Roman"/>
          <w:color w:val="000000" w:themeColor="text1"/>
          <w:sz w:val="32"/>
          <w14:textFill>
            <w14:solidFill>
              <w14:schemeClr w14:val="tx1"/>
            </w14:solidFill>
          </w14:textFill>
        </w:rPr>
      </w:pPr>
      <w:bookmarkStart w:id="59" w:name="_Toc15986"/>
      <w:r>
        <w:rPr>
          <w:rFonts w:ascii="Times New Roman" w:hAnsi="Times New Roman" w:eastAsia="黑体" w:cs="Times New Roman"/>
          <w:color w:val="000000" w:themeColor="text1"/>
          <w:sz w:val="32"/>
          <w14:textFill>
            <w14:solidFill>
              <w14:schemeClr w14:val="tx1"/>
            </w14:solidFill>
          </w14:textFill>
        </w:rPr>
        <w:t>第三十五章 落实强农惠农富农政策</w:t>
      </w:r>
      <w:bookmarkEnd w:id="59"/>
    </w:p>
    <w:p>
      <w:pPr>
        <w:pStyle w:val="7"/>
        <w:spacing w:line="580" w:lineRule="exact"/>
        <w:rPr>
          <w:rFonts w:eastAsia="仿宋_GB2312"/>
          <w:color w:val="000000" w:themeColor="text1"/>
          <w:sz w:val="32"/>
          <w14:textFill>
            <w14:solidFill>
              <w14:schemeClr w14:val="tx1"/>
            </w14:solidFill>
          </w14:textFill>
        </w:rPr>
      </w:pPr>
    </w:p>
    <w:p>
      <w:pPr>
        <w:pStyle w:val="7"/>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第一节 促进农民持续增收</w:t>
      </w:r>
    </w:p>
    <w:p>
      <w:pPr>
        <w:spacing w:line="580" w:lineRule="exact"/>
        <w:ind w:firstLine="640"/>
        <w:rPr>
          <w:rFonts w:eastAsia="仿宋_GB2312"/>
          <w:color w:val="000000" w:themeColor="text1"/>
          <w:sz w:val="32"/>
          <w:szCs w:val="32"/>
          <w14:textFill>
            <w14:solidFill>
              <w14:schemeClr w14:val="tx1"/>
            </w14:solidFill>
          </w14:textFill>
        </w:rPr>
      </w:pPr>
    </w:p>
    <w:p>
      <w:pPr>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深入实施“农户增收共富工程”，拓宽工资性、经营性、财产性、转移性收入渠道。健全城乡就业公共服务体系，深化跨区域劳务协作，在重点工程和农业农村基础设施建设领域积极推广以工代赈方式。依托“一户一产业工人”培养工程，加强针对性技能培训。开展农民返乡创业促进计划，实施“头雁”培育项目。引导农民发展“一主多辅”家庭经营，完善“龙头企业+合作社+农户”利益联结机制。深入实施“农民持股计划”，盘活土地经营权、林权、闲置农房等资源，增加财产性收入。支持农民对闲置宅基地和农房进行改造利用，发展乡村旅游、仓储租赁等，盘活乡村资源资产。落实各项惠农补贴政策，拓宽农业保险覆盖面，降低农户保费。到2030年，农村居民人均可支配收入达24500元以上，城乡居民收入比缩小至2.1以下。</w:t>
      </w:r>
    </w:p>
    <w:p>
      <w:pPr>
        <w:spacing w:line="580" w:lineRule="exact"/>
        <w:ind w:firstLine="640"/>
        <w:rPr>
          <w:rFonts w:eastAsia="仿宋_GB2312"/>
          <w:color w:val="000000" w:themeColor="text1"/>
          <w:sz w:val="32"/>
          <w:szCs w:val="32"/>
          <w14:textFill>
            <w14:solidFill>
              <w14:schemeClr w14:val="tx1"/>
            </w14:solidFill>
          </w14:textFill>
        </w:rPr>
      </w:pPr>
    </w:p>
    <w:p>
      <w:pPr>
        <w:keepNext/>
        <w:keepLines/>
        <w:spacing w:line="580" w:lineRule="exact"/>
        <w:jc w:val="center"/>
        <w:outlineLvl w:val="2"/>
        <w:rPr>
          <w:rFonts w:eastAsia="仿宋_GB2312"/>
          <w:b/>
          <w:bCs w:val="0"/>
          <w:color w:val="000000" w:themeColor="text1"/>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第二节 统筹建立常态化防止返贫致贫机制</w:t>
      </w:r>
    </w:p>
    <w:p>
      <w:pPr>
        <w:spacing w:line="580" w:lineRule="exact"/>
        <w:ind w:firstLine="640"/>
        <w:rPr>
          <w:rFonts w:eastAsia="仿宋_GB2312"/>
          <w:color w:val="000000" w:themeColor="text1"/>
          <w:sz w:val="32"/>
          <w:szCs w:val="32"/>
          <w14:textFill>
            <w14:solidFill>
              <w14:schemeClr w14:val="tx1"/>
            </w14:solidFill>
          </w14:textFill>
        </w:rPr>
      </w:pPr>
    </w:p>
    <w:p>
      <w:pPr>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完善常态化防止返贫致贫机制，深入推进“一户一画像、一户一套餐”，持续巩固“三保障”和饮水安全。继续支持330个易地搬迁集中安置点融入发展，严格落实防止返贫监测帮扶工作迁入地负责制。集中资源支持沅陵、溆浦、麻阳、通道4个省级乡村振兴重点帮扶县和278个重点帮扶村发展。强化开发式帮扶，分类制定“四个一批”产业发展帮扶政策，健全完善联农带农和风险防范机制，抓好农村低收入人口分类帮扶。引导脱贫地区立足资源禀赋，积极承接和发展特色种养、农产品加工、乡村旅游等劳动密集型产业。深化“雨溆对口帮扶”等机制，强化跨区域劳务协作、职业技能培训、公益性岗位开发与管理，因地制宜发展就业帮扶车间，着力提升脱贫劳动力就业稳定性与质量，确保不发生规模性返贫致贫。</w:t>
      </w:r>
    </w:p>
    <w:p>
      <w:pPr>
        <w:pStyle w:val="7"/>
        <w:spacing w:line="580" w:lineRule="exact"/>
        <w:rPr>
          <w:rFonts w:eastAsia="仿宋_GB2312"/>
          <w:color w:val="000000" w:themeColor="text1"/>
          <w:sz w:val="32"/>
          <w14:textFill>
            <w14:solidFill>
              <w14:schemeClr w14:val="tx1"/>
            </w14:solidFill>
          </w14:textFill>
        </w:rPr>
      </w:pPr>
    </w:p>
    <w:p>
      <w:pPr>
        <w:pStyle w:val="7"/>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第三节 加强乡村发展要素保障</w:t>
      </w:r>
    </w:p>
    <w:p>
      <w:pPr>
        <w:spacing w:line="580" w:lineRule="exact"/>
        <w:ind w:firstLine="640"/>
        <w:rPr>
          <w:rFonts w:eastAsia="仿宋_GB2312"/>
          <w:color w:val="000000" w:themeColor="text1"/>
          <w:sz w:val="32"/>
          <w:szCs w:val="32"/>
          <w14:textFill>
            <w14:solidFill>
              <w14:schemeClr w14:val="tx1"/>
            </w14:solidFill>
          </w14:textFill>
        </w:rPr>
      </w:pPr>
    </w:p>
    <w:p>
      <w:pPr>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完善财政优先保障、金融重点倾斜、社会积极参与的多元投入格局，确保乡村振兴投入力度不断增强。健全财政投入稳定增长机制，稳步提高土地出让收入用于农业农村比例。强化价格、补贴、保险等政策支持和协同，保护和调动农民务农种粮积极性。创新“活体抵押”</w:t>
      </w:r>
      <w:r>
        <w:rPr>
          <w:rFonts w:hint="eastAsia"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农业设施确权抵押</w:t>
      </w:r>
      <w:r>
        <w:rPr>
          <w:rFonts w:hint="eastAsia"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等金融</w:t>
      </w:r>
      <w:r>
        <w:rPr>
          <w:rFonts w:hint="eastAsia" w:eastAsia="仿宋_GB2312" w:cs="Times New Roman"/>
          <w:color w:val="000000" w:themeColor="text1"/>
          <w:sz w:val="32"/>
          <w:szCs w:val="32"/>
          <w14:textFill>
            <w14:solidFill>
              <w14:schemeClr w14:val="tx1"/>
            </w14:solidFill>
          </w14:textFill>
        </w:rPr>
        <w:t>产品</w:t>
      </w:r>
      <w:r>
        <w:rPr>
          <w:rFonts w:ascii="Times New Roman" w:hAnsi="Times New Roman" w:eastAsia="仿宋_GB2312" w:cs="Times New Roman"/>
          <w:color w:val="000000" w:themeColor="text1"/>
          <w:sz w:val="32"/>
          <w:szCs w:val="32"/>
          <w14:textFill>
            <w14:solidFill>
              <w14:schemeClr w14:val="tx1"/>
            </w14:solidFill>
          </w14:textFill>
        </w:rPr>
        <w:t>服务，引导工商资本投资现代农业和乡村旅游。深化农村集体产权制度改革，推动资源变资产、资金变股金、农民变股东。健全城乡融合发展体制机制，推动城乡要素平等交换、双向流动和公共资源合理配置，激励各类人才下乡服务和创业就业。构建城乡统一的建设用地市场，重点保障乡村产业发展用地。</w:t>
      </w:r>
    </w:p>
    <w:p>
      <w:pPr>
        <w:pStyle w:val="5"/>
        <w:spacing w:line="580" w:lineRule="exact"/>
        <w:rPr>
          <w:rFonts w:eastAsia="仿宋_GB2312"/>
          <w:color w:val="000000" w:themeColor="text1"/>
          <w:szCs w:val="32"/>
          <w14:textFill>
            <w14:solidFill>
              <w14:schemeClr w14:val="tx1"/>
            </w14:solidFill>
          </w14:textFill>
        </w:rPr>
        <w:sectPr>
          <w:pgSz w:w="11906" w:h="16838"/>
          <w:pgMar w:top="2098" w:right="1361" w:bottom="1701" w:left="1417" w:header="851" w:footer="992" w:gutter="0"/>
          <w:cols w:space="0" w:num="1"/>
          <w:docGrid w:type="lines" w:linePitch="312" w:charSpace="0"/>
        </w:sectPr>
      </w:pPr>
    </w:p>
    <w:p>
      <w:pPr>
        <w:pStyle w:val="5"/>
        <w:spacing w:line="610" w:lineRule="exact"/>
        <w:rPr>
          <w:rFonts w:eastAsia="方正小标宋简体"/>
          <w:color w:val="000000" w:themeColor="text1"/>
          <w:sz w:val="36"/>
          <w:szCs w:val="36"/>
          <w14:textFill>
            <w14:solidFill>
              <w14:schemeClr w14:val="tx1"/>
            </w14:solidFill>
          </w14:textFill>
        </w:rPr>
      </w:pPr>
      <w:bookmarkStart w:id="60" w:name="_Toc11243"/>
      <w:r>
        <w:rPr>
          <w:rFonts w:eastAsia="方正小标宋简体"/>
          <w:color w:val="000000" w:themeColor="text1"/>
          <w:sz w:val="36"/>
          <w:szCs w:val="36"/>
          <w14:textFill>
            <w14:solidFill>
              <w14:schemeClr w14:val="tx1"/>
            </w14:solidFill>
          </w14:textFill>
        </w:rPr>
        <w:t>第十一篇 大力提升文化软实力，繁荣发展社会主义文化</w:t>
      </w:r>
      <w:bookmarkEnd w:id="60"/>
    </w:p>
    <w:p>
      <w:pPr>
        <w:spacing w:line="610" w:lineRule="exact"/>
        <w:ind w:firstLine="640"/>
        <w:rPr>
          <w:rFonts w:eastAsia="仿宋_GB2312"/>
          <w:color w:val="000000" w:themeColor="text1"/>
          <w:sz w:val="32"/>
          <w:szCs w:val="32"/>
          <w14:textFill>
            <w14:solidFill>
              <w14:schemeClr w14:val="tx1"/>
            </w14:solidFill>
          </w14:textFill>
        </w:rPr>
      </w:pPr>
    </w:p>
    <w:p>
      <w:pPr>
        <w:widowControl/>
        <w:spacing w:line="610" w:lineRule="exact"/>
        <w:ind w:firstLine="640"/>
        <w:rPr>
          <w:rFonts w:eastAsia="仿宋_GB2312"/>
          <w:color w:val="000000" w:themeColor="text1"/>
          <w:sz w:val="32"/>
          <w:szCs w:val="32"/>
          <w:lang w:bidi="ar"/>
          <w14:textFill>
            <w14:solidFill>
              <w14:schemeClr w14:val="tx1"/>
            </w14:solidFill>
          </w14:textFill>
        </w:rPr>
      </w:pPr>
      <w:r>
        <w:rPr>
          <w:rFonts w:ascii="Times New Roman" w:hAnsi="Times New Roman" w:eastAsia="仿宋_GB2312" w:cs="Times New Roman"/>
          <w:bCs w:val="0"/>
          <w:color w:val="000000" w:themeColor="text1"/>
          <w:sz w:val="32"/>
          <w:szCs w:val="32"/>
          <w:lang w:bidi="ar"/>
          <w14:textFill>
            <w14:solidFill>
              <w14:schemeClr w14:val="tx1"/>
            </w14:solidFill>
          </w14:textFill>
        </w:rPr>
        <w:t>坚持马克思主义在意识形态领域的指导地位，扎实推进文化强市建设，推动五溪文化创造性转化、创新性发展，更好以文化赋能</w:t>
      </w:r>
      <w:r>
        <w:rPr>
          <w:rFonts w:hint="eastAsia" w:eastAsia="仿宋_GB2312" w:cs="Times New Roman"/>
          <w:bCs w:val="0"/>
          <w:color w:val="000000" w:themeColor="text1"/>
          <w:sz w:val="32"/>
          <w:szCs w:val="32"/>
          <w:lang w:bidi="ar"/>
          <w14:textFill>
            <w14:solidFill>
              <w14:schemeClr w14:val="tx1"/>
            </w14:solidFill>
          </w14:textFill>
        </w:rPr>
        <w:t>全市</w:t>
      </w:r>
      <w:r>
        <w:rPr>
          <w:rFonts w:ascii="Times New Roman" w:hAnsi="Times New Roman" w:eastAsia="仿宋_GB2312" w:cs="Times New Roman"/>
          <w:bCs w:val="0"/>
          <w:color w:val="000000" w:themeColor="text1"/>
          <w:sz w:val="32"/>
          <w:szCs w:val="32"/>
          <w:lang w:bidi="ar"/>
          <w14:textFill>
            <w14:solidFill>
              <w14:schemeClr w14:val="tx1"/>
            </w14:solidFill>
          </w14:textFill>
        </w:rPr>
        <w:t>经济社会</w:t>
      </w:r>
      <w:r>
        <w:rPr>
          <w:rFonts w:hint="eastAsia" w:eastAsia="仿宋_GB2312" w:cs="Times New Roman"/>
          <w:bCs w:val="0"/>
          <w:color w:val="000000" w:themeColor="text1"/>
          <w:sz w:val="32"/>
          <w:szCs w:val="32"/>
          <w:lang w:bidi="ar"/>
          <w14:textFill>
            <w14:solidFill>
              <w14:schemeClr w14:val="tx1"/>
            </w14:solidFill>
          </w14:textFill>
        </w:rPr>
        <w:t>高质量</w:t>
      </w:r>
      <w:r>
        <w:rPr>
          <w:rFonts w:ascii="Times New Roman" w:hAnsi="Times New Roman" w:eastAsia="仿宋_GB2312" w:cs="Times New Roman"/>
          <w:bCs w:val="0"/>
          <w:color w:val="000000" w:themeColor="text1"/>
          <w:sz w:val="32"/>
          <w:szCs w:val="32"/>
          <w:lang w:bidi="ar"/>
          <w14:textFill>
            <w14:solidFill>
              <w14:schemeClr w14:val="tx1"/>
            </w14:solidFill>
          </w14:textFill>
        </w:rPr>
        <w:t>发展。</w:t>
      </w:r>
    </w:p>
    <w:p>
      <w:pPr>
        <w:widowControl/>
        <w:spacing w:line="610" w:lineRule="exact"/>
        <w:ind w:firstLine="720"/>
        <w:rPr>
          <w:rFonts w:eastAsia="黑体"/>
          <w:color w:val="000000" w:themeColor="text1"/>
          <w:kern w:val="0"/>
          <w:sz w:val="36"/>
          <w:szCs w:val="36"/>
          <w:shd w:val="clear" w:color="auto" w:fill="FFFFFF"/>
          <w:lang w:bidi="ar"/>
          <w14:textFill>
            <w14:solidFill>
              <w14:schemeClr w14:val="tx1"/>
            </w14:solidFill>
          </w14:textFill>
        </w:rPr>
      </w:pPr>
    </w:p>
    <w:p>
      <w:pPr>
        <w:pStyle w:val="6"/>
        <w:spacing w:line="610" w:lineRule="exact"/>
        <w:rPr>
          <w:rFonts w:ascii="Times New Roman" w:hAnsi="Times New Roman" w:eastAsia="黑体" w:cs="Times New Roman"/>
          <w:color w:val="000000" w:themeColor="text1"/>
          <w:sz w:val="32"/>
          <w14:textFill>
            <w14:solidFill>
              <w14:schemeClr w14:val="tx1"/>
            </w14:solidFill>
          </w14:textFill>
        </w:rPr>
      </w:pPr>
      <w:bookmarkStart w:id="61" w:name="_Toc29240"/>
      <w:r>
        <w:rPr>
          <w:rFonts w:ascii="Times New Roman" w:hAnsi="Times New Roman" w:eastAsia="黑体" w:cs="Times New Roman"/>
          <w:color w:val="000000" w:themeColor="text1"/>
          <w:sz w:val="32"/>
          <w14:textFill>
            <w14:solidFill>
              <w14:schemeClr w14:val="tx1"/>
            </w14:solidFill>
          </w14:textFill>
        </w:rPr>
        <w:t>第三十六章 提高社会文明程度</w:t>
      </w:r>
      <w:bookmarkEnd w:id="61"/>
    </w:p>
    <w:p>
      <w:pPr>
        <w:spacing w:line="610" w:lineRule="exact"/>
        <w:jc w:val="center"/>
        <w:rPr>
          <w:rFonts w:eastAsia="仿宋_GB2312"/>
          <w:b/>
          <w:color w:val="000000" w:themeColor="text1"/>
          <w:sz w:val="32"/>
          <w:szCs w:val="32"/>
          <w14:textFill>
            <w14:solidFill>
              <w14:schemeClr w14:val="tx1"/>
            </w14:solidFill>
          </w14:textFill>
        </w:rPr>
      </w:pPr>
    </w:p>
    <w:p>
      <w:pPr>
        <w:spacing w:line="610" w:lineRule="exact"/>
        <w:jc w:val="center"/>
        <w:rPr>
          <w:rFonts w:eastAsia="仿宋_GB2312"/>
          <w:b/>
          <w:color w:val="000000" w:themeColor="text1"/>
          <w:sz w:val="32"/>
          <w:szCs w:val="32"/>
          <w14:textFill>
            <w14:solidFill>
              <w14:schemeClr w14:val="tx1"/>
            </w14:solidFill>
          </w14:textFill>
        </w:rPr>
      </w:pPr>
      <w:r>
        <w:rPr>
          <w:rFonts w:ascii="Times New Roman" w:hAnsi="Times New Roman" w:eastAsia="仿宋_GB2312" w:cs="Times New Roman"/>
          <w:b/>
          <w:bCs w:val="0"/>
          <w:color w:val="000000" w:themeColor="text1"/>
          <w:sz w:val="32"/>
          <w:szCs w:val="32"/>
          <w14:textFill>
            <w14:solidFill>
              <w14:schemeClr w14:val="tx1"/>
            </w14:solidFill>
          </w14:textFill>
        </w:rPr>
        <w:t>第一节 深化党的创新理论武装</w:t>
      </w:r>
    </w:p>
    <w:p>
      <w:pPr>
        <w:spacing w:line="610" w:lineRule="exact"/>
        <w:ind w:firstLine="640"/>
        <w:rPr>
          <w:rFonts w:eastAsia="仿宋_GB2312"/>
          <w:color w:val="000000" w:themeColor="text1"/>
          <w:sz w:val="32"/>
          <w:szCs w:val="32"/>
          <w14:textFill>
            <w14:solidFill>
              <w14:schemeClr w14:val="tx1"/>
            </w14:solidFill>
          </w14:textFill>
        </w:rPr>
      </w:pPr>
    </w:p>
    <w:p>
      <w:pPr>
        <w:widowControl/>
        <w:spacing w:line="610" w:lineRule="exact"/>
        <w:ind w:firstLine="640"/>
        <w:rPr>
          <w:rFonts w:eastAsia="仿宋_GB2312"/>
          <w:color w:val="000000" w:themeColor="text1"/>
          <w:sz w:val="32"/>
          <w:szCs w:val="32"/>
          <w:lang w:bidi="ar"/>
          <w14:textFill>
            <w14:solidFill>
              <w14:schemeClr w14:val="tx1"/>
            </w14:solidFill>
          </w14:textFill>
        </w:rPr>
      </w:pPr>
      <w:r>
        <w:rPr>
          <w:rFonts w:ascii="Times New Roman" w:hAnsi="Times New Roman" w:eastAsia="仿宋_GB2312" w:cs="Times New Roman"/>
          <w:bCs w:val="0"/>
          <w:color w:val="000000" w:themeColor="text1"/>
          <w:sz w:val="32"/>
          <w:szCs w:val="32"/>
          <w:lang w:bidi="ar"/>
          <w14:textFill>
            <w14:solidFill>
              <w14:schemeClr w14:val="tx1"/>
            </w14:solidFill>
          </w14:textFill>
        </w:rPr>
        <w:t>坚持不懈用习近平新时代中国特色社会主义思想凝心铸魂。创新推进马克思主义理论研究和建设工程，建好用好湖南省当代中国马克思主义研究中心怀化学院基地、市委党校中国特色社会主义理论研究中心，加强哲学社会科学人才引进培养。深化党的创新理论学习，持续擦亮“五溪大讲堂”理论学习品牌，推动形成“第一议题”学习、理论学习中心组学习、“五溪大讲堂”各有侧重</w:t>
      </w:r>
      <w:r>
        <w:rPr>
          <w:rFonts w:hint="eastAsia" w:eastAsia="仿宋_GB2312" w:cs="Times New Roman"/>
          <w:bCs w:val="0"/>
          <w:color w:val="000000" w:themeColor="text1"/>
          <w:sz w:val="32"/>
          <w:szCs w:val="32"/>
          <w:lang w:bidi="ar"/>
          <w14:textFill>
            <w14:solidFill>
              <w14:schemeClr w14:val="tx1"/>
            </w14:solidFill>
          </w14:textFill>
        </w:rPr>
        <w:t>、</w:t>
      </w:r>
      <w:r>
        <w:rPr>
          <w:rFonts w:ascii="Times New Roman" w:hAnsi="Times New Roman" w:eastAsia="仿宋_GB2312" w:cs="Times New Roman"/>
          <w:bCs w:val="0"/>
          <w:color w:val="000000" w:themeColor="text1"/>
          <w:sz w:val="32"/>
          <w:szCs w:val="32"/>
          <w:lang w:bidi="ar"/>
          <w14:textFill>
            <w14:solidFill>
              <w14:schemeClr w14:val="tx1"/>
            </w14:solidFill>
          </w14:textFill>
        </w:rPr>
        <w:t>相互贯通的学习体系。加强党的创新理论宣传宣讲，运营好“学习强国”怀化学习平台，发挥“掌上怀化”</w:t>
      </w:r>
      <w:r>
        <w:rPr>
          <w:rFonts w:hint="eastAsia" w:eastAsia="仿宋_GB2312" w:cs="Times New Roman"/>
          <w:bCs w:val="0"/>
          <w:color w:val="000000" w:themeColor="text1"/>
          <w:sz w:val="32"/>
          <w:szCs w:val="32"/>
          <w:lang w:bidi="ar"/>
          <w14:textFill>
            <w14:solidFill>
              <w14:schemeClr w14:val="tx1"/>
            </w14:solidFill>
          </w14:textFill>
        </w:rPr>
        <w:t>“</w:t>
      </w:r>
      <w:r>
        <w:rPr>
          <w:rFonts w:ascii="Times New Roman" w:hAnsi="Times New Roman" w:eastAsia="仿宋_GB2312" w:cs="Times New Roman"/>
          <w:bCs w:val="0"/>
          <w:color w:val="000000" w:themeColor="text1"/>
          <w:sz w:val="32"/>
          <w:szCs w:val="32"/>
          <w:lang w:bidi="ar"/>
          <w14:textFill>
            <w14:solidFill>
              <w14:schemeClr w14:val="tx1"/>
            </w14:solidFill>
          </w14:textFill>
        </w:rPr>
        <w:t>我的怀化</w:t>
      </w:r>
      <w:r>
        <w:rPr>
          <w:rFonts w:hint="eastAsia" w:eastAsia="仿宋_GB2312" w:cs="Times New Roman"/>
          <w:bCs w:val="0"/>
          <w:color w:val="000000" w:themeColor="text1"/>
          <w:sz w:val="32"/>
          <w:szCs w:val="32"/>
          <w:lang w:bidi="ar"/>
          <w14:textFill>
            <w14:solidFill>
              <w14:schemeClr w14:val="tx1"/>
            </w14:solidFill>
          </w14:textFill>
        </w:rPr>
        <w:t>”</w:t>
      </w:r>
      <w:r>
        <w:rPr>
          <w:rFonts w:ascii="Times New Roman" w:hAnsi="Times New Roman" w:eastAsia="仿宋_GB2312" w:cs="Times New Roman"/>
          <w:bCs w:val="0"/>
          <w:color w:val="000000" w:themeColor="text1"/>
          <w:sz w:val="32"/>
          <w:szCs w:val="32"/>
          <w:lang w:bidi="ar"/>
          <w14:textFill>
            <w14:solidFill>
              <w14:schemeClr w14:val="tx1"/>
            </w14:solidFill>
          </w14:textFill>
        </w:rPr>
        <w:t>等新媒体平台作用，搭建理论传播云平台，打造“理响五溪”理论宣讲品牌，发挥新时代文明实践中心（所、站）、爱国主义教育基地等平台作用，开展对象化、分众化、通俗化微宣讲。</w:t>
      </w:r>
    </w:p>
    <w:p>
      <w:pPr>
        <w:spacing w:line="580" w:lineRule="exact"/>
        <w:jc w:val="center"/>
        <w:rPr>
          <w:rFonts w:eastAsia="仿宋_GB2312"/>
          <w:b/>
          <w:color w:val="000000" w:themeColor="text1"/>
          <w:sz w:val="32"/>
          <w:szCs w:val="32"/>
          <w14:textFill>
            <w14:solidFill>
              <w14:schemeClr w14:val="tx1"/>
            </w14:solidFill>
          </w14:textFill>
        </w:rPr>
      </w:pPr>
      <w:r>
        <w:rPr>
          <w:rFonts w:ascii="Times New Roman" w:hAnsi="Times New Roman" w:eastAsia="仿宋_GB2312" w:cs="Times New Roman"/>
          <w:b/>
          <w:bCs w:val="0"/>
          <w:color w:val="000000" w:themeColor="text1"/>
          <w:sz w:val="32"/>
          <w:szCs w:val="32"/>
          <w14:textFill>
            <w14:solidFill>
              <w14:schemeClr w14:val="tx1"/>
            </w14:solidFill>
          </w14:textFill>
        </w:rPr>
        <w:t>第二节 弘扬和践行社会主义核心价值观</w:t>
      </w:r>
    </w:p>
    <w:p>
      <w:pPr>
        <w:widowControl/>
        <w:adjustRightInd w:val="0"/>
        <w:snapToGrid w:val="0"/>
        <w:spacing w:line="580" w:lineRule="exact"/>
        <w:ind w:firstLine="640"/>
        <w:jc w:val="left"/>
        <w:rPr>
          <w:rFonts w:eastAsia="仿宋_GB2312"/>
          <w:color w:val="000000" w:themeColor="text1"/>
          <w:sz w:val="32"/>
          <w:szCs w:val="32"/>
          <w14:textFill>
            <w14:solidFill>
              <w14:schemeClr w14:val="tx1"/>
            </w14:solidFill>
          </w14:textFill>
        </w:rPr>
      </w:pPr>
    </w:p>
    <w:p>
      <w:pPr>
        <w:widowControl/>
        <w:spacing w:line="580" w:lineRule="exact"/>
        <w:ind w:firstLine="640"/>
        <w:rPr>
          <w:rFonts w:eastAsia="仿宋_GB2312"/>
          <w:color w:val="000000" w:themeColor="text1"/>
          <w:sz w:val="32"/>
          <w:szCs w:val="32"/>
          <w:lang w:bidi="ar"/>
          <w14:textFill>
            <w14:solidFill>
              <w14:schemeClr w14:val="tx1"/>
            </w14:solidFill>
          </w14:textFill>
        </w:rPr>
      </w:pPr>
      <w:r>
        <w:rPr>
          <w:rFonts w:ascii="Times New Roman" w:hAnsi="Times New Roman" w:eastAsia="仿宋_GB2312" w:cs="Times New Roman"/>
          <w:color w:val="000000" w:themeColor="text1"/>
          <w:sz w:val="32"/>
          <w:szCs w:val="32"/>
          <w:lang w:bidi="ar"/>
          <w14:textFill>
            <w14:solidFill>
              <w14:schemeClr w14:val="tx1"/>
            </w14:solidFill>
          </w14:textFill>
        </w:rPr>
        <w:t>以社会主义核心价值观为引领，发展壮大主流价值、主流舆论、主流文化，发挥文化养心志、育情操的作用。推动中华优秀传统文化融入国民教育、道德建设、文化发展和生产生活，广泛开展“我们的节日”主题活动，坚定中华文化认同，弘扬中华民族伟大精神。深入实施公民道德建设工程，持续提升社会公德、职业道德、家庭美德、个人品德，加强家庭家教家风建设，加强和改进未成年人思想道德建设，持续打造家校社协同育人“教联体”品牌，凝聚各方育人合力。大力弘扬劳模精神、劳动精神、工匠精神，广泛开展道德模范、身边好人等先进典型培育选树、学习宣传和帮扶礼遇活动。弘扬诚信文化、廉洁文化。</w:t>
      </w:r>
    </w:p>
    <w:p>
      <w:pPr>
        <w:widowControl/>
        <w:adjustRightInd w:val="0"/>
        <w:snapToGrid w:val="0"/>
        <w:spacing w:line="580" w:lineRule="exact"/>
        <w:ind w:firstLine="640"/>
        <w:jc w:val="left"/>
        <w:rPr>
          <w:rFonts w:eastAsia="仿宋_GB2312"/>
          <w:color w:val="000000" w:themeColor="text1"/>
          <w:sz w:val="32"/>
          <w:szCs w:val="32"/>
          <w14:textFill>
            <w14:solidFill>
              <w14:schemeClr w14:val="tx1"/>
            </w14:solidFill>
          </w14:textFill>
        </w:rPr>
      </w:pPr>
    </w:p>
    <w:p>
      <w:pPr>
        <w:spacing w:line="580" w:lineRule="exact"/>
        <w:jc w:val="center"/>
        <w:rPr>
          <w:rFonts w:eastAsia="仿宋_GB2312"/>
          <w:b/>
          <w:color w:val="000000" w:themeColor="text1"/>
          <w:sz w:val="32"/>
          <w:szCs w:val="32"/>
          <w14:textFill>
            <w14:solidFill>
              <w14:schemeClr w14:val="tx1"/>
            </w14:solidFill>
          </w14:textFill>
        </w:rPr>
      </w:pPr>
      <w:r>
        <w:rPr>
          <w:rFonts w:ascii="Times New Roman" w:hAnsi="Times New Roman" w:eastAsia="仿宋_GB2312" w:cs="Times New Roman"/>
          <w:b/>
          <w:bCs w:val="0"/>
          <w:color w:val="000000" w:themeColor="text1"/>
          <w:sz w:val="32"/>
          <w:szCs w:val="32"/>
          <w14:textFill>
            <w14:solidFill>
              <w14:schemeClr w14:val="tx1"/>
            </w14:solidFill>
          </w14:textFill>
        </w:rPr>
        <w:t>第三节 加强和改进思想政治工作</w:t>
      </w:r>
    </w:p>
    <w:p>
      <w:pPr>
        <w:widowControl/>
        <w:adjustRightInd w:val="0"/>
        <w:snapToGrid w:val="0"/>
        <w:spacing w:line="580" w:lineRule="exact"/>
        <w:ind w:firstLine="640"/>
        <w:jc w:val="left"/>
        <w:rPr>
          <w:rFonts w:eastAsia="仿宋_GB2312"/>
          <w:color w:val="000000" w:themeColor="text1"/>
          <w:sz w:val="32"/>
          <w:szCs w:val="32"/>
          <w14:textFill>
            <w14:solidFill>
              <w14:schemeClr w14:val="tx1"/>
            </w14:solidFill>
          </w14:textFill>
        </w:rPr>
      </w:pPr>
    </w:p>
    <w:p>
      <w:pPr>
        <w:widowControl/>
        <w:spacing w:line="580" w:lineRule="exact"/>
        <w:ind w:firstLine="640"/>
        <w:rPr>
          <w:rFonts w:eastAsia="仿宋_GB2312"/>
          <w:color w:val="000000" w:themeColor="text1"/>
          <w:sz w:val="32"/>
          <w:szCs w:val="32"/>
          <w:lang w:bidi="ar"/>
          <w14:textFill>
            <w14:solidFill>
              <w14:schemeClr w14:val="tx1"/>
            </w14:solidFill>
          </w14:textFill>
        </w:rPr>
      </w:pPr>
      <w:r>
        <w:rPr>
          <w:rFonts w:ascii="Times New Roman" w:hAnsi="Times New Roman" w:eastAsia="仿宋_GB2312" w:cs="Times New Roman"/>
          <w:color w:val="000000" w:themeColor="text1"/>
          <w:sz w:val="32"/>
          <w:szCs w:val="32"/>
          <w:lang w:bidi="ar"/>
          <w14:textFill>
            <w14:solidFill>
              <w14:schemeClr w14:val="tx1"/>
            </w14:solidFill>
          </w14:textFill>
        </w:rPr>
        <w:t>推进大中小学思政课一体化改革创新，打造具有怀化特色的思政课品牌，深化“我的安江行”思想政治教育实践活动，持续开展“学习袁隆平 做一粒好种子”主题宣传教育，加强青少年理想信念教育。加强校园文化建设，用好红色资源，持续开展国防教育进校园活动，引导广大青少年树立正确的世界观、人生观、价值观。加强和改进新时代全民国防教育，积极创建全国爱国主义教育基地和全国国防教育基地。</w:t>
      </w:r>
    </w:p>
    <w:p>
      <w:pPr>
        <w:spacing w:line="610" w:lineRule="exact"/>
        <w:jc w:val="center"/>
        <w:rPr>
          <w:rFonts w:eastAsia="仿宋_GB2312"/>
          <w:b/>
          <w:color w:val="000000" w:themeColor="text1"/>
          <w:sz w:val="32"/>
          <w:szCs w:val="32"/>
          <w14:textFill>
            <w14:solidFill>
              <w14:schemeClr w14:val="tx1"/>
            </w14:solidFill>
          </w14:textFill>
        </w:rPr>
      </w:pPr>
      <w:r>
        <w:rPr>
          <w:rFonts w:ascii="Times New Roman" w:hAnsi="Times New Roman" w:eastAsia="仿宋_GB2312" w:cs="Times New Roman"/>
          <w:b/>
          <w:bCs w:val="0"/>
          <w:color w:val="000000" w:themeColor="text1"/>
          <w:sz w:val="32"/>
          <w:szCs w:val="32"/>
          <w14:textFill>
            <w14:solidFill>
              <w14:schemeClr w14:val="tx1"/>
            </w14:solidFill>
          </w14:textFill>
        </w:rPr>
        <w:t>第四节 着力建设崇德向善的文明城市</w:t>
      </w:r>
    </w:p>
    <w:p>
      <w:pPr>
        <w:widowControl/>
        <w:adjustRightInd w:val="0"/>
        <w:snapToGrid w:val="0"/>
        <w:spacing w:line="610" w:lineRule="exact"/>
        <w:ind w:firstLine="640"/>
        <w:jc w:val="left"/>
        <w:rPr>
          <w:rFonts w:eastAsia="仿宋_GB2312"/>
          <w:color w:val="000000" w:themeColor="text1"/>
          <w:sz w:val="32"/>
          <w:szCs w:val="32"/>
          <w14:textFill>
            <w14:solidFill>
              <w14:schemeClr w14:val="tx1"/>
            </w14:solidFill>
          </w14:textFill>
        </w:rPr>
      </w:pPr>
    </w:p>
    <w:p>
      <w:pPr>
        <w:widowControl/>
        <w:spacing w:line="610" w:lineRule="exact"/>
        <w:ind w:firstLine="640"/>
        <w:rPr>
          <w:rFonts w:eastAsia="仿宋_GB2312"/>
          <w:color w:val="000000" w:themeColor="text1"/>
          <w:sz w:val="32"/>
          <w:szCs w:val="32"/>
          <w:lang w:bidi="ar"/>
          <w14:textFill>
            <w14:solidFill>
              <w14:schemeClr w14:val="tx1"/>
            </w14:solidFill>
          </w14:textFill>
        </w:rPr>
      </w:pPr>
      <w:r>
        <w:rPr>
          <w:rFonts w:ascii="Times New Roman" w:hAnsi="Times New Roman" w:eastAsia="仿宋_GB2312" w:cs="Times New Roman"/>
          <w:color w:val="000000" w:themeColor="text1"/>
          <w:sz w:val="32"/>
          <w:szCs w:val="32"/>
          <w:lang w:bidi="ar"/>
          <w14:textFill>
            <w14:solidFill>
              <w14:schemeClr w14:val="tx1"/>
            </w14:solidFill>
          </w14:textFill>
        </w:rPr>
        <w:t>深入开展城市文明建设工程，突出抓好全域、全员、全程、全面创建，常态化开展文明行为教育引导，着力提升城市文明形象。全力推进全国文明城市创建工作，争取创成全国文明城市，1—2个县创成全国文明城市（县城）。深化群众性精神文明创建活动，深入开展志愿服务活动，高标准推进新时代文明实践中心建设。统筹推进城乡精神文明建设，提升人的文明素养，持续推进移风易俗，树立文明乡风。</w:t>
      </w:r>
    </w:p>
    <w:p>
      <w:pPr>
        <w:widowControl/>
        <w:adjustRightInd w:val="0"/>
        <w:snapToGrid w:val="0"/>
        <w:spacing w:line="610" w:lineRule="exact"/>
        <w:ind w:firstLine="640"/>
        <w:jc w:val="left"/>
        <w:rPr>
          <w:rFonts w:eastAsia="仿宋_GB2312"/>
          <w:color w:val="000000" w:themeColor="text1"/>
          <w:sz w:val="32"/>
          <w:szCs w:val="32"/>
          <w14:textFill>
            <w14:solidFill>
              <w14:schemeClr w14:val="tx1"/>
            </w14:solidFill>
          </w14:textFill>
        </w:rPr>
      </w:pPr>
    </w:p>
    <w:p>
      <w:pPr>
        <w:widowControl/>
        <w:adjustRightInd w:val="0"/>
        <w:snapToGrid w:val="0"/>
        <w:spacing w:line="610" w:lineRule="exact"/>
        <w:jc w:val="center"/>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第五节 强化网络内容建设和管理</w:t>
      </w:r>
    </w:p>
    <w:p>
      <w:pPr>
        <w:widowControl/>
        <w:adjustRightInd w:val="0"/>
        <w:snapToGrid w:val="0"/>
        <w:spacing w:line="610" w:lineRule="exact"/>
        <w:ind w:firstLine="640"/>
        <w:jc w:val="left"/>
        <w:rPr>
          <w:rFonts w:eastAsia="仿宋_GB2312"/>
          <w:color w:val="000000" w:themeColor="text1"/>
          <w:sz w:val="32"/>
          <w:szCs w:val="32"/>
          <w14:textFill>
            <w14:solidFill>
              <w14:schemeClr w14:val="tx1"/>
            </w14:solidFill>
          </w14:textFill>
        </w:rPr>
      </w:pPr>
    </w:p>
    <w:p>
      <w:pPr>
        <w:widowControl/>
        <w:spacing w:line="610" w:lineRule="exact"/>
        <w:ind w:firstLine="640"/>
        <w:rPr>
          <w:rFonts w:eastAsia="仿宋_GB2312"/>
          <w:color w:val="000000" w:themeColor="text1"/>
          <w:sz w:val="32"/>
          <w:szCs w:val="32"/>
          <w:lang w:bidi="ar"/>
          <w14:textFill>
            <w14:solidFill>
              <w14:schemeClr w14:val="tx1"/>
            </w14:solidFill>
          </w14:textFill>
        </w:rPr>
      </w:pPr>
      <w:r>
        <w:rPr>
          <w:rFonts w:ascii="Times New Roman" w:hAnsi="Times New Roman" w:eastAsia="仿宋_GB2312" w:cs="Times New Roman"/>
          <w:color w:val="000000" w:themeColor="text1"/>
          <w:sz w:val="32"/>
          <w:szCs w:val="32"/>
          <w:lang w:bidi="ar"/>
          <w14:textFill>
            <w14:solidFill>
              <w14:schemeClr w14:val="tx1"/>
            </w14:solidFill>
          </w14:textFill>
        </w:rPr>
        <w:t>用好“1+2+N”网络传播联盟，讲好怀化高水平开放高质量发展生动实践，巩固壮大网上主流思想舆论。深入实施怀化—东盟国际网络传播</w:t>
      </w:r>
      <w:r>
        <w:rPr>
          <w:rFonts w:ascii="Times New Roman" w:hAnsi="Times New Roman" w:eastAsia="仿宋_GB2312" w:cs="Times New Roman"/>
          <w:color w:val="000000" w:themeColor="text1"/>
          <w:spacing w:val="6"/>
          <w:sz w:val="32"/>
          <w:szCs w:val="32"/>
          <w:lang w:bidi="ar"/>
          <w14:textFill>
            <w14:solidFill>
              <w14:schemeClr w14:val="tx1"/>
            </w14:solidFill>
          </w14:textFill>
        </w:rPr>
        <w:t>项目，不断推动怀化形象破圈出海。深化网络生态治理，擦亮“清朗五溪”品牌，建立全市管网治网基础数据</w:t>
      </w:r>
      <w:r>
        <w:rPr>
          <w:rFonts w:hint="eastAsia" w:eastAsia="仿宋_GB2312" w:cs="Times New Roman"/>
          <w:color w:val="000000" w:themeColor="text1"/>
          <w:spacing w:val="6"/>
          <w:sz w:val="32"/>
          <w:szCs w:val="32"/>
          <w:lang w:bidi="ar"/>
          <w14:textFill>
            <w14:solidFill>
              <w14:schemeClr w14:val="tx1"/>
            </w14:solidFill>
          </w14:textFill>
        </w:rPr>
        <w:t>库</w:t>
      </w:r>
      <w:r>
        <w:rPr>
          <w:rFonts w:ascii="Times New Roman" w:hAnsi="Times New Roman" w:eastAsia="仿宋_GB2312" w:cs="Times New Roman"/>
          <w:color w:val="000000" w:themeColor="text1"/>
          <w:spacing w:val="6"/>
          <w:sz w:val="32"/>
          <w:szCs w:val="32"/>
          <w:lang w:bidi="ar"/>
          <w14:textFill>
            <w14:solidFill>
              <w14:schemeClr w14:val="tx1"/>
            </w14:solidFill>
          </w14:textFill>
        </w:rPr>
        <w:t>台账，压实网络平台主体责任，开展“清朗”系列等专项行动。提升信息化条件下文化领域治理能力，打造“网信怀化</w:t>
      </w:r>
      <w:r>
        <w:rPr>
          <w:rFonts w:hint="eastAsia" w:ascii="宋体" w:hAnsi="宋体" w:eastAsia="宋体" w:cs="Times New Roman"/>
          <w:color w:val="000000" w:themeColor="text1"/>
          <w:spacing w:val="6"/>
          <w:sz w:val="32"/>
          <w:szCs w:val="32"/>
          <w:lang w:bidi="ar"/>
          <w14:textFill>
            <w14:solidFill>
              <w14:schemeClr w14:val="tx1"/>
            </w14:solidFill>
          </w14:textFill>
        </w:rPr>
        <w:t>•</w:t>
      </w:r>
      <w:r>
        <w:rPr>
          <w:rFonts w:ascii="Times New Roman" w:hAnsi="Times New Roman" w:eastAsia="仿宋_GB2312" w:cs="Times New Roman"/>
          <w:color w:val="000000" w:themeColor="text1"/>
          <w:spacing w:val="6"/>
          <w:sz w:val="32"/>
          <w:szCs w:val="32"/>
          <w:lang w:bidi="ar"/>
          <w14:textFill>
            <w14:solidFill>
              <w14:schemeClr w14:val="tx1"/>
            </w14:solidFill>
          </w14:textFill>
        </w:rPr>
        <w:t>素养提升”宣传品牌。持续推进一体化网络应急指挥体系建设，不断提升舆论引导和舆情应对效能。</w:t>
      </w:r>
    </w:p>
    <w:p>
      <w:pPr>
        <w:widowControl/>
        <w:adjustRightInd w:val="0"/>
        <w:snapToGrid w:val="0"/>
        <w:spacing w:line="600" w:lineRule="exact"/>
        <w:ind w:firstLine="640"/>
        <w:jc w:val="left"/>
        <w:rPr>
          <w:rFonts w:eastAsia="仿宋_GB2312"/>
          <w:color w:val="000000" w:themeColor="text1"/>
          <w:sz w:val="32"/>
          <w:szCs w:val="32"/>
          <w14:textFill>
            <w14:solidFill>
              <w14:schemeClr w14:val="tx1"/>
            </w14:solidFill>
          </w14:textFill>
        </w:rPr>
      </w:pPr>
    </w:p>
    <w:p>
      <w:pPr>
        <w:pStyle w:val="6"/>
        <w:spacing w:line="560" w:lineRule="exact"/>
        <w:rPr>
          <w:rFonts w:ascii="Times New Roman" w:hAnsi="Times New Roman" w:eastAsia="黑体" w:cs="Times New Roman"/>
          <w:color w:val="000000" w:themeColor="text1"/>
          <w:sz w:val="32"/>
          <w14:textFill>
            <w14:solidFill>
              <w14:schemeClr w14:val="tx1"/>
            </w14:solidFill>
          </w14:textFill>
        </w:rPr>
      </w:pPr>
      <w:bookmarkStart w:id="62" w:name="_Toc27291"/>
      <w:r>
        <w:rPr>
          <w:rFonts w:ascii="Times New Roman" w:hAnsi="Times New Roman" w:eastAsia="黑体" w:cs="Times New Roman"/>
          <w:color w:val="000000" w:themeColor="text1"/>
          <w:sz w:val="32"/>
          <w14:textFill>
            <w14:solidFill>
              <w14:schemeClr w14:val="tx1"/>
            </w14:solidFill>
          </w14:textFill>
        </w:rPr>
        <w:t>第三十七章 繁荣发展文化事业</w:t>
      </w:r>
      <w:bookmarkEnd w:id="62"/>
    </w:p>
    <w:p>
      <w:pPr>
        <w:spacing w:line="560" w:lineRule="exact"/>
        <w:ind w:firstLine="640"/>
        <w:jc w:val="left"/>
        <w:rPr>
          <w:rFonts w:eastAsia="方正楷体_GB2312"/>
          <w:color w:val="000000" w:themeColor="text1"/>
          <w:sz w:val="32"/>
          <w:szCs w:val="32"/>
          <w14:textFill>
            <w14:solidFill>
              <w14:schemeClr w14:val="tx1"/>
            </w14:solidFill>
          </w14:textFill>
        </w:rPr>
      </w:pPr>
    </w:p>
    <w:p>
      <w:pPr>
        <w:spacing w:line="560" w:lineRule="exact"/>
        <w:jc w:val="center"/>
        <w:rPr>
          <w:rFonts w:eastAsia="仿宋_GB2312"/>
          <w:b/>
          <w:bCs w:val="0"/>
          <w:color w:val="000000" w:themeColor="text1"/>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第一节 加强文艺精品创作</w:t>
      </w:r>
    </w:p>
    <w:p>
      <w:pPr>
        <w:widowControl/>
        <w:spacing w:line="560" w:lineRule="exact"/>
        <w:ind w:firstLine="640"/>
        <w:jc w:val="left"/>
        <w:rPr>
          <w:rFonts w:eastAsia="方正仿宋_GB2312"/>
          <w:color w:val="000000" w:themeColor="text1"/>
          <w:kern w:val="0"/>
          <w:sz w:val="32"/>
          <w:szCs w:val="32"/>
          <w:shd w:val="clear" w:color="auto" w:fill="FFFFFF"/>
          <w:lang w:bidi="ar"/>
          <w14:textFill>
            <w14:solidFill>
              <w14:schemeClr w14:val="tx1"/>
            </w14:solidFill>
          </w14:textFill>
        </w:rPr>
      </w:pPr>
    </w:p>
    <w:p>
      <w:pPr>
        <w:widowControl/>
        <w:spacing w:line="590" w:lineRule="exact"/>
        <w:ind w:firstLine="640"/>
        <w:jc w:val="left"/>
        <w:rPr>
          <w:rFonts w:eastAsia="仿宋_GB2312"/>
          <w:color w:val="000000" w:themeColor="text1"/>
          <w:sz w:val="32"/>
          <w:szCs w:val="32"/>
          <w:lang w:bidi="ar"/>
          <w14:textFill>
            <w14:solidFill>
              <w14:schemeClr w14:val="tx1"/>
            </w14:solidFill>
          </w14:textFill>
        </w:rPr>
      </w:pPr>
      <w:r>
        <w:rPr>
          <w:rFonts w:ascii="Times New Roman" w:hAnsi="Times New Roman" w:eastAsia="仿宋_GB2312" w:cs="Times New Roman"/>
          <w:color w:val="000000" w:themeColor="text1"/>
          <w:sz w:val="32"/>
          <w:szCs w:val="32"/>
          <w:lang w:bidi="ar"/>
          <w14:textFill>
            <w14:solidFill>
              <w14:schemeClr w14:val="tx1"/>
            </w14:solidFill>
          </w14:textFill>
        </w:rPr>
        <w:t>坚持以人民为中心的创作导向，实施“五溪文化精品”创作工程，加强艺术与现代创作理念、表达形式深度融合，推出更多体现怀化印记的精品力作。建立健全文艺创作扶持激励机制，力争更多的作品入选国家级、省级重大奖项。搭建文艺成果展示交流平台，精心办好第三届、第四届怀化艺术展演活动，推动怀化文艺创作高质量发展。加强文化人才队伍建设，启动文化人才信息数据库建设，推进“青年文化英才计划”，举办各类文化人才培训班。</w:t>
      </w:r>
    </w:p>
    <w:p>
      <w:pPr>
        <w:widowControl/>
        <w:spacing w:line="590" w:lineRule="exact"/>
        <w:ind w:firstLine="640"/>
        <w:jc w:val="left"/>
        <w:rPr>
          <w:rFonts w:eastAsia="方正楷体_GB2312"/>
          <w:color w:val="000000" w:themeColor="text1"/>
          <w:sz w:val="32"/>
          <w:szCs w:val="32"/>
          <w14:textFill>
            <w14:solidFill>
              <w14:schemeClr w14:val="tx1"/>
            </w14:solidFill>
          </w14:textFill>
        </w:rPr>
      </w:pPr>
    </w:p>
    <w:p>
      <w:pPr>
        <w:widowControl/>
        <w:spacing w:line="590" w:lineRule="exact"/>
        <w:jc w:val="center"/>
        <w:rPr>
          <w:rFonts w:eastAsia="仿宋_GB2312"/>
          <w:b/>
          <w:bCs w:val="0"/>
          <w:color w:val="000000" w:themeColor="text1"/>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第二节 促进公共文化服务提质增效</w:t>
      </w:r>
    </w:p>
    <w:p>
      <w:pPr>
        <w:widowControl/>
        <w:spacing w:line="590" w:lineRule="exact"/>
        <w:ind w:firstLine="643"/>
        <w:jc w:val="left"/>
        <w:rPr>
          <w:rFonts w:eastAsia="方正仿宋_GB2312"/>
          <w:b/>
          <w:bCs w:val="0"/>
          <w:color w:val="000000" w:themeColor="text1"/>
          <w:sz w:val="32"/>
          <w:szCs w:val="32"/>
          <w14:textFill>
            <w14:solidFill>
              <w14:schemeClr w14:val="tx1"/>
            </w14:solidFill>
          </w14:textFill>
        </w:rPr>
      </w:pPr>
    </w:p>
    <w:p>
      <w:pPr>
        <w:widowControl/>
        <w:spacing w:line="590" w:lineRule="exact"/>
        <w:ind w:firstLine="640"/>
        <w:jc w:val="left"/>
        <w:rPr>
          <w:rFonts w:eastAsia="仿宋_GB2312"/>
          <w:color w:val="000000" w:themeColor="text1"/>
          <w:sz w:val="32"/>
          <w:szCs w:val="32"/>
          <w:lang w:bidi="ar"/>
          <w14:textFill>
            <w14:solidFill>
              <w14:schemeClr w14:val="tx1"/>
            </w14:solidFill>
          </w14:textFill>
        </w:rPr>
      </w:pPr>
      <w:r>
        <w:rPr>
          <w:rFonts w:ascii="Times New Roman" w:hAnsi="Times New Roman" w:eastAsia="仿宋_GB2312" w:cs="Times New Roman"/>
          <w:color w:val="000000" w:themeColor="text1"/>
          <w:sz w:val="32"/>
          <w:szCs w:val="32"/>
          <w:lang w:bidi="ar"/>
          <w14:textFill>
            <w14:solidFill>
              <w14:schemeClr w14:val="tx1"/>
            </w14:solidFill>
          </w14:textFill>
        </w:rPr>
        <w:t>全面落实国家基本公共服务标准，推进城乡公共文化服务一体化建设，发挥好怀化博物馆、图书馆、大剧院、五溪非遗馆等文化设施功能，支持县（市</w:t>
      </w:r>
      <w:r>
        <w:rPr>
          <w:rFonts w:hint="eastAsia" w:ascii="Times New Roman" w:hAnsi="Times New Roman" w:eastAsia="仿宋_GB2312" w:cs="Times New Roman"/>
          <w:color w:val="000000" w:themeColor="text1"/>
          <w:sz w:val="32"/>
          <w:szCs w:val="32"/>
          <w:lang w:bidi="ar"/>
          <w14:textFill>
            <w14:solidFill>
              <w14:schemeClr w14:val="tx1"/>
            </w14:solidFill>
          </w14:textFill>
        </w:rPr>
        <w:t>、</w:t>
      </w:r>
      <w:r>
        <w:rPr>
          <w:rFonts w:ascii="Times New Roman" w:hAnsi="Times New Roman" w:eastAsia="仿宋_GB2312" w:cs="Times New Roman"/>
          <w:color w:val="000000" w:themeColor="text1"/>
          <w:sz w:val="32"/>
          <w:szCs w:val="32"/>
          <w:lang w:bidi="ar"/>
          <w14:textFill>
            <w14:solidFill>
              <w14:schemeClr w14:val="tx1"/>
            </w14:solidFill>
          </w14:textFill>
        </w:rPr>
        <w:t>区）图书馆、文化馆标准化、智慧化提质改造。鼓励新型公共文化空间纳入服务网络，积极支持社会力量参与公共文化设施建设运营。深入实施国家文化数字化战略，推动图书馆、文化馆、博物馆、文旅驿站等公共文化场所转型升级。</w:t>
      </w:r>
      <w:r>
        <w:rPr>
          <w:rFonts w:ascii="Times New Roman" w:hAnsi="Times New Roman" w:eastAsia="仿宋_GB2312" w:cs="Times New Roman"/>
          <w:color w:val="000000" w:themeColor="text1"/>
          <w:sz w:val="32"/>
          <w:szCs w:val="32"/>
          <w14:textFill>
            <w14:solidFill>
              <w14:schemeClr w14:val="tx1"/>
            </w14:solidFill>
          </w14:textFill>
        </w:rPr>
        <w:t>发展档案事业，推进档案数字化建设，加强档案收集、整理、保管、利用。</w:t>
      </w:r>
      <w:r>
        <w:rPr>
          <w:rFonts w:ascii="Times New Roman" w:hAnsi="Times New Roman" w:eastAsia="仿宋_GB2312" w:cs="Times New Roman"/>
          <w:color w:val="000000" w:themeColor="text1"/>
          <w:sz w:val="32"/>
          <w:szCs w:val="32"/>
          <w:lang w:bidi="ar"/>
          <w14:textFill>
            <w14:solidFill>
              <w14:schemeClr w14:val="tx1"/>
            </w14:solidFill>
          </w14:textFill>
        </w:rPr>
        <w:t>常态化开展群众性文化活动，持续做强“怀化有戏”“四季村晚”等特色品牌，擦亮“怀化有歌”文化名片，鼓励引导群众自主开展村晚、“村BA”、村歌、村戏等“村字号”文体活动。持续提升“三下乡”“文旅体惠民进社区”“送戏下乡”等活动实效。繁荣互联网条件下新大众文艺，支持人民群众利用数智技术积极参与文艺创作。深入开展“书香五溪”全民阅读活动，构建“书山、书店、书吧、书屋”四位一体全民阅读体系，夯实全民阅读阵地、优化阅读环境。</w:t>
      </w:r>
    </w:p>
    <w:p>
      <w:pPr>
        <w:widowControl/>
        <w:spacing w:line="590" w:lineRule="exact"/>
        <w:ind w:firstLine="640"/>
        <w:jc w:val="left"/>
        <w:rPr>
          <w:rFonts w:eastAsia="方正仿宋_GB2312"/>
          <w:color w:val="000000" w:themeColor="text1"/>
          <w:kern w:val="0"/>
          <w:sz w:val="32"/>
          <w:szCs w:val="32"/>
          <w:shd w:val="clear" w:color="auto" w:fill="FFFFFF"/>
          <w:lang w:bidi="ar"/>
          <w14:textFill>
            <w14:solidFill>
              <w14:schemeClr w14:val="tx1"/>
            </w14:solidFill>
          </w14:textFill>
        </w:rPr>
      </w:pPr>
    </w:p>
    <w:p>
      <w:pPr>
        <w:pStyle w:val="2"/>
        <w:spacing w:line="590" w:lineRule="exact"/>
        <w:ind w:left="0" w:leftChars="0" w:firstLine="0" w:firstLineChars="0"/>
        <w:jc w:val="center"/>
        <w:rPr>
          <w:rFonts w:eastAsia="仿宋_GB2312"/>
          <w:b/>
          <w:bCs w:val="0"/>
          <w:color w:val="000000" w:themeColor="text1"/>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第三节 提高地域文化影响力传播力</w:t>
      </w:r>
    </w:p>
    <w:p>
      <w:pPr>
        <w:widowControl/>
        <w:spacing w:line="590" w:lineRule="exact"/>
        <w:ind w:firstLine="640"/>
        <w:jc w:val="left"/>
        <w:rPr>
          <w:rFonts w:eastAsia="方正仿宋_GB2312"/>
          <w:color w:val="000000" w:themeColor="text1"/>
          <w:kern w:val="0"/>
          <w:sz w:val="32"/>
          <w:szCs w:val="32"/>
          <w:shd w:val="clear" w:color="auto" w:fill="FFFFFF"/>
          <w:lang w:bidi="ar"/>
          <w14:textFill>
            <w14:solidFill>
              <w14:schemeClr w14:val="tx1"/>
            </w14:solidFill>
          </w14:textFill>
        </w:rPr>
      </w:pPr>
    </w:p>
    <w:p>
      <w:pPr>
        <w:widowControl/>
        <w:spacing w:line="590" w:lineRule="exact"/>
        <w:ind w:firstLine="640"/>
        <w:jc w:val="left"/>
        <w:rPr>
          <w:rFonts w:eastAsia="仿宋_GB2312"/>
          <w:color w:val="000000" w:themeColor="text1"/>
          <w:sz w:val="32"/>
          <w:szCs w:val="32"/>
          <w:lang w:bidi="ar"/>
          <w14:textFill>
            <w14:solidFill>
              <w14:schemeClr w14:val="tx1"/>
            </w14:solidFill>
          </w14:textFill>
        </w:rPr>
      </w:pPr>
      <w:r>
        <w:rPr>
          <w:rFonts w:ascii="Times New Roman" w:hAnsi="Times New Roman" w:eastAsia="仿宋_GB2312" w:cs="Times New Roman"/>
          <w:color w:val="000000" w:themeColor="text1"/>
          <w:sz w:val="32"/>
          <w:szCs w:val="32"/>
          <w:lang w:bidi="ar"/>
          <w14:textFill>
            <w14:solidFill>
              <w14:schemeClr w14:val="tx1"/>
            </w14:solidFill>
          </w14:textFill>
        </w:rPr>
        <w:t>深入推进中华优秀传统文化传承发展，挖掘农耕文化、红色文化、屈原文化、商道文化、民族文化、和平文化等文化内涵，开展以高庙文化为重点的沅水文化研究，加快高庙国家考古遗址公园建设。加强文化遗产系统性保护和活化利用，积极融入“中华文明探源工程”和“考古中国”重大项目。建设全市文化遗产名录体系，完成全市文化遗产资源普查，做好成果梳理和创新转化利用。传承弘扬红色革命文化，围绕长征胜利90周年等重要节点和重大节庆，突出做好通道转兵、芷江受降等在地红色文化遗产资源活化利用。探索优秀传统文化与现代文明融合发展，实施“非遗点亮怀化”行动，深化非遗系统性保护，申建国家级怀化五溪文化生态保护区，强化传承人队伍培育，构建活态传承场景，加强非遗工坊、非遗村镇、非遗街区建设。</w:t>
      </w:r>
    </w:p>
    <w:p>
      <w:pPr>
        <w:widowControl/>
        <w:adjustRightInd w:val="0"/>
        <w:snapToGrid w:val="0"/>
        <w:spacing w:line="560" w:lineRule="exact"/>
        <w:ind w:firstLine="640"/>
        <w:jc w:val="left"/>
        <w:rPr>
          <w:rFonts w:eastAsia="仿宋_GB2312"/>
          <w:color w:val="000000" w:themeColor="text1"/>
          <w:sz w:val="32"/>
          <w:szCs w:val="32"/>
          <w14:textFill>
            <w14:solidFill>
              <w14:schemeClr w14:val="tx1"/>
            </w14:solidFill>
          </w14:textFill>
        </w:rPr>
      </w:pPr>
    </w:p>
    <w:p>
      <w:pPr>
        <w:widowControl/>
        <w:adjustRightInd w:val="0"/>
        <w:snapToGrid w:val="0"/>
        <w:spacing w:line="560" w:lineRule="exact"/>
        <w:jc w:val="center"/>
        <w:rPr>
          <w:rFonts w:eastAsia="仿宋_GB2312"/>
          <w:b/>
          <w:bCs w:val="0"/>
          <w:color w:val="000000" w:themeColor="text1"/>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第四节 深化文化体制机制改革</w:t>
      </w:r>
    </w:p>
    <w:p>
      <w:pPr>
        <w:widowControl/>
        <w:adjustRightInd w:val="0"/>
        <w:snapToGrid w:val="0"/>
        <w:spacing w:line="580" w:lineRule="exact"/>
        <w:ind w:firstLine="640"/>
        <w:jc w:val="left"/>
        <w:rPr>
          <w:rFonts w:eastAsia="仿宋_GB2312"/>
          <w:color w:val="000000" w:themeColor="text1"/>
          <w:sz w:val="32"/>
          <w:szCs w:val="32"/>
          <w14:textFill>
            <w14:solidFill>
              <w14:schemeClr w14:val="tx1"/>
            </w14:solidFill>
          </w14:textFill>
        </w:rPr>
      </w:pPr>
    </w:p>
    <w:p>
      <w:pPr>
        <w:widowControl/>
        <w:spacing w:line="540" w:lineRule="exact"/>
        <w:ind w:firstLine="640"/>
        <w:rPr>
          <w:rFonts w:eastAsia="仿宋_GB2312"/>
          <w:color w:val="000000" w:themeColor="text1"/>
          <w:sz w:val="32"/>
          <w:szCs w:val="32"/>
          <w:lang w:bidi="ar"/>
          <w14:textFill>
            <w14:solidFill>
              <w14:schemeClr w14:val="tx1"/>
            </w14:solidFill>
          </w14:textFill>
        </w:rPr>
      </w:pPr>
      <w:r>
        <w:rPr>
          <w:rFonts w:ascii="Times New Roman" w:hAnsi="Times New Roman" w:eastAsia="仿宋_GB2312" w:cs="Times New Roman"/>
          <w:color w:val="000000" w:themeColor="text1"/>
          <w:sz w:val="32"/>
          <w:szCs w:val="32"/>
          <w:lang w:bidi="ar"/>
          <w14:textFill>
            <w14:solidFill>
              <w14:schemeClr w14:val="tx1"/>
            </w14:solidFill>
          </w14:textFill>
        </w:rPr>
        <w:t>深入推进主流媒体系统性变革，加快怀化市融媒体中心建设，深化县级融媒体中心改革创新，着力构建“大宣传”格局。推进新闻宣传和网络舆论一体化管理，抓好重大突发敏感舆情应急处置。建好怀化国际传播中心、怀化市网络安全协调指挥平台等一批重点项目。深化国有文艺院团改革，加大辰河高腔、上河阳戏、花灯戏等地方剧种保护力度。深化国有景区管理体制改革，推动景区运营机制创新与效能提升，建立科学高效的管理体系和市场化运营模式。</w:t>
      </w:r>
    </w:p>
    <w:p>
      <w:pPr>
        <w:widowControl/>
        <w:spacing w:line="540" w:lineRule="exact"/>
        <w:ind w:firstLine="640"/>
        <w:rPr>
          <w:rFonts w:eastAsia="仿宋_GB2312"/>
          <w:color w:val="000000" w:themeColor="text1"/>
          <w:sz w:val="32"/>
          <w:szCs w:val="32"/>
          <w:lang w:bidi="ar"/>
          <w14:textFill>
            <w14:solidFill>
              <w14:schemeClr w14:val="tx1"/>
            </w14:solidFill>
          </w14:textFill>
        </w:rPr>
      </w:pPr>
    </w:p>
    <w:p>
      <w:pPr>
        <w:pStyle w:val="6"/>
        <w:keepNext w:val="0"/>
        <w:keepLines w:val="0"/>
        <w:spacing w:line="540" w:lineRule="exact"/>
        <w:rPr>
          <w:rFonts w:ascii="Times New Roman" w:hAnsi="Times New Roman" w:eastAsia="黑体" w:cs="Times New Roman"/>
          <w:color w:val="000000" w:themeColor="text1"/>
          <w:sz w:val="32"/>
          <w14:textFill>
            <w14:solidFill>
              <w14:schemeClr w14:val="tx1"/>
            </w14:solidFill>
          </w14:textFill>
        </w:rPr>
      </w:pPr>
      <w:bookmarkStart w:id="63" w:name="_Toc31041"/>
      <w:r>
        <w:rPr>
          <w:rFonts w:ascii="Times New Roman" w:hAnsi="Times New Roman" w:eastAsia="黑体" w:cs="Times New Roman"/>
          <w:color w:val="000000" w:themeColor="text1"/>
          <w:sz w:val="32"/>
          <w14:textFill>
            <w14:solidFill>
              <w14:schemeClr w14:val="tx1"/>
            </w14:solidFill>
          </w14:textFill>
        </w:rPr>
        <w:t>第三十八章 发展壮大文化创意产业</w:t>
      </w:r>
      <w:bookmarkEnd w:id="63"/>
    </w:p>
    <w:p>
      <w:pPr>
        <w:pStyle w:val="6"/>
        <w:keepNext w:val="0"/>
        <w:keepLines w:val="0"/>
        <w:spacing w:line="540" w:lineRule="exact"/>
        <w:ind w:firstLine="640" w:firstLineChars="200"/>
        <w:jc w:val="left"/>
        <w:rPr>
          <w:rFonts w:ascii="Times New Roman" w:hAnsi="Times New Roman" w:eastAsia="方正楷体_GB2312" w:cs="Times New Roman"/>
          <w:bCs w:val="0"/>
          <w:color w:val="000000" w:themeColor="text1"/>
          <w:sz w:val="32"/>
          <w14:textFill>
            <w14:solidFill>
              <w14:schemeClr w14:val="tx1"/>
            </w14:solidFill>
          </w14:textFill>
        </w:rPr>
      </w:pPr>
    </w:p>
    <w:p>
      <w:pPr>
        <w:pStyle w:val="6"/>
        <w:keepNext w:val="0"/>
        <w:keepLines w:val="0"/>
        <w:spacing w:line="540" w:lineRule="exact"/>
        <w:rPr>
          <w:rFonts w:ascii="Times New Roman" w:hAnsi="Times New Roman" w:eastAsia="仿宋_GB2312" w:cs="Times New Roman"/>
          <w:b/>
          <w:color w:val="000000" w:themeColor="text1"/>
          <w:sz w:val="32"/>
          <w14:textFill>
            <w14:solidFill>
              <w14:schemeClr w14:val="tx1"/>
            </w14:solidFill>
          </w14:textFill>
        </w:rPr>
      </w:pPr>
      <w:bookmarkStart w:id="64" w:name="_Toc6351"/>
      <w:r>
        <w:rPr>
          <w:rFonts w:ascii="Times New Roman" w:hAnsi="Times New Roman" w:eastAsia="仿宋_GB2312" w:cs="Times New Roman"/>
          <w:b/>
          <w:color w:val="000000" w:themeColor="text1"/>
          <w:sz w:val="32"/>
          <w14:textFill>
            <w14:solidFill>
              <w14:schemeClr w14:val="tx1"/>
            </w14:solidFill>
          </w14:textFill>
        </w:rPr>
        <w:t>第一节 推动文化和科技深度融合</w:t>
      </w:r>
      <w:bookmarkEnd w:id="64"/>
    </w:p>
    <w:p>
      <w:pPr>
        <w:widowControl/>
        <w:spacing w:line="540" w:lineRule="exact"/>
        <w:ind w:firstLine="640"/>
        <w:jc w:val="left"/>
        <w:rPr>
          <w:rFonts w:eastAsia="方正仿宋_GB2312"/>
          <w:color w:val="000000" w:themeColor="text1"/>
          <w:kern w:val="0"/>
          <w:sz w:val="32"/>
          <w:szCs w:val="32"/>
          <w:shd w:val="clear" w:color="auto" w:fill="FFFFFF"/>
          <w:lang w:bidi="ar"/>
          <w14:textFill>
            <w14:solidFill>
              <w14:schemeClr w14:val="tx1"/>
            </w14:solidFill>
          </w14:textFill>
        </w:rPr>
      </w:pPr>
    </w:p>
    <w:p>
      <w:pPr>
        <w:widowControl/>
        <w:spacing w:line="540" w:lineRule="exact"/>
        <w:ind w:firstLine="640"/>
        <w:rPr>
          <w:rFonts w:eastAsia="仿宋_GB2312"/>
          <w:color w:val="000000" w:themeColor="text1"/>
          <w:sz w:val="32"/>
          <w:szCs w:val="32"/>
          <w:lang w:bidi="ar"/>
          <w14:textFill>
            <w14:solidFill>
              <w14:schemeClr w14:val="tx1"/>
            </w14:solidFill>
          </w14:textFill>
        </w:rPr>
      </w:pPr>
      <w:r>
        <w:rPr>
          <w:rFonts w:ascii="Times New Roman" w:hAnsi="Times New Roman" w:eastAsia="仿宋_GB2312" w:cs="Times New Roman"/>
          <w:color w:val="000000" w:themeColor="text1"/>
          <w:sz w:val="32"/>
          <w:szCs w:val="32"/>
          <w:lang w:bidi="ar"/>
          <w14:textFill>
            <w14:solidFill>
              <w14:schemeClr w14:val="tx1"/>
            </w14:solidFill>
          </w14:textFill>
        </w:rPr>
        <w:t>大力推动文化建设数智化赋能、信息化发展，依托怀化国际陆港文化产业园，发挥好国家文化和科技融合示范基地作用，建设全国性</w:t>
      </w:r>
      <w:r>
        <w:rPr>
          <w:rFonts w:hint="eastAsia" w:eastAsia="仿宋_GB2312" w:cs="Times New Roman"/>
          <w:color w:val="000000" w:themeColor="text1"/>
          <w:sz w:val="32"/>
          <w:szCs w:val="32"/>
          <w:lang w:bidi="ar"/>
          <w14:textFill>
            <w14:solidFill>
              <w14:schemeClr w14:val="tx1"/>
            </w14:solidFill>
          </w14:textFill>
        </w:rPr>
        <w:t>“</w:t>
      </w:r>
      <w:r>
        <w:rPr>
          <w:rFonts w:ascii="Times New Roman" w:hAnsi="Times New Roman" w:eastAsia="仿宋_GB2312" w:cs="Times New Roman"/>
          <w:color w:val="000000" w:themeColor="text1"/>
          <w:sz w:val="32"/>
          <w:szCs w:val="32"/>
          <w:lang w:bidi="ar"/>
          <w14:textFill>
            <w14:solidFill>
              <w14:schemeClr w14:val="tx1"/>
            </w14:solidFill>
          </w14:textFill>
        </w:rPr>
        <w:t>科技+文旅</w:t>
      </w:r>
      <w:r>
        <w:rPr>
          <w:rFonts w:hint="eastAsia" w:eastAsia="仿宋_GB2312" w:cs="Times New Roman"/>
          <w:color w:val="000000" w:themeColor="text1"/>
          <w:sz w:val="32"/>
          <w:szCs w:val="32"/>
          <w:lang w:bidi="ar"/>
          <w14:textFill>
            <w14:solidFill>
              <w14:schemeClr w14:val="tx1"/>
            </w14:solidFill>
          </w14:textFill>
        </w:rPr>
        <w:t>”</w:t>
      </w:r>
      <w:r>
        <w:rPr>
          <w:rFonts w:ascii="Times New Roman" w:hAnsi="Times New Roman" w:eastAsia="仿宋_GB2312" w:cs="Times New Roman"/>
          <w:color w:val="000000" w:themeColor="text1"/>
          <w:sz w:val="32"/>
          <w:szCs w:val="32"/>
          <w:lang w:bidi="ar"/>
          <w14:textFill>
            <w14:solidFill>
              <w14:schemeClr w14:val="tx1"/>
            </w14:solidFill>
          </w14:textFill>
        </w:rPr>
        <w:t>资源融合数据基地。鼓励本地文旅企业加强与马栏山视频文创园的资源对接，支持本地文旅企业在长沙设立“科创飞地”，攻关孵化怀化特色文创IP。深化企业与高校院所的产学研合作，支持怀化学院等本地高校共建“非遗出海”行动培训基地。系统推进非遗项目数字化建档，运用高清影像、三维建模等技术，完成对侗族大歌、苗绣、侗锦等核心项目数字化采集，构建“五溪文化生态数据库”，实现文化资源的永久保存与创新复用。</w:t>
      </w:r>
    </w:p>
    <w:p>
      <w:pPr>
        <w:widowControl/>
        <w:adjustRightInd w:val="0"/>
        <w:snapToGrid w:val="0"/>
        <w:spacing w:line="540" w:lineRule="exact"/>
        <w:ind w:firstLine="640"/>
        <w:jc w:val="center"/>
        <w:rPr>
          <w:rFonts w:eastAsia="仿宋_GB2312"/>
          <w:color w:val="000000" w:themeColor="text1"/>
          <w:sz w:val="32"/>
          <w:szCs w:val="32"/>
          <w14:textFill>
            <w14:solidFill>
              <w14:schemeClr w14:val="tx1"/>
            </w14:solidFill>
          </w14:textFill>
        </w:rPr>
      </w:pPr>
    </w:p>
    <w:p>
      <w:pPr>
        <w:pStyle w:val="7"/>
        <w:spacing w:line="54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第二节 培优做强文创产业经营主体</w:t>
      </w:r>
    </w:p>
    <w:p>
      <w:pPr>
        <w:widowControl/>
        <w:spacing w:line="540" w:lineRule="exact"/>
        <w:ind w:firstLine="640"/>
        <w:jc w:val="left"/>
        <w:rPr>
          <w:rFonts w:eastAsia="方正仿宋_GB2312"/>
          <w:color w:val="000000" w:themeColor="text1"/>
          <w:kern w:val="0"/>
          <w:sz w:val="32"/>
          <w:szCs w:val="32"/>
          <w:shd w:val="clear" w:color="auto" w:fill="FFFFFF"/>
          <w:lang w:bidi="ar"/>
          <w14:textFill>
            <w14:solidFill>
              <w14:schemeClr w14:val="tx1"/>
            </w14:solidFill>
          </w14:textFill>
        </w:rPr>
      </w:pPr>
    </w:p>
    <w:p>
      <w:pPr>
        <w:widowControl/>
        <w:spacing w:line="540" w:lineRule="exact"/>
        <w:ind w:firstLine="640"/>
        <w:rPr>
          <w:rFonts w:eastAsia="仿宋_GB2312"/>
          <w:color w:val="000000" w:themeColor="text1"/>
          <w:sz w:val="32"/>
          <w:szCs w:val="32"/>
          <w:lang w:bidi="ar"/>
          <w14:textFill>
            <w14:solidFill>
              <w14:schemeClr w14:val="tx1"/>
            </w14:solidFill>
          </w14:textFill>
        </w:rPr>
      </w:pPr>
      <w:r>
        <w:rPr>
          <w:rFonts w:ascii="Times New Roman" w:hAnsi="Times New Roman" w:eastAsia="仿宋_GB2312" w:cs="Times New Roman"/>
          <w:color w:val="000000" w:themeColor="text1"/>
          <w:sz w:val="32"/>
          <w:szCs w:val="32"/>
          <w:lang w:bidi="ar"/>
          <w14:textFill>
            <w14:solidFill>
              <w14:schemeClr w14:val="tx1"/>
            </w14:solidFill>
          </w14:textFill>
        </w:rPr>
        <w:t>实施文创企业“强链育群”工程，加大对出版发行、广电影视、新闻传媒、演艺娱乐、文化旅游等</w:t>
      </w:r>
      <w:r>
        <w:rPr>
          <w:rFonts w:hint="eastAsia" w:eastAsia="仿宋_GB2312" w:cs="Times New Roman"/>
          <w:color w:val="000000" w:themeColor="text1"/>
          <w:sz w:val="32"/>
          <w:szCs w:val="32"/>
          <w:lang w:bidi="ar"/>
          <w14:textFill>
            <w14:solidFill>
              <w14:schemeClr w14:val="tx1"/>
            </w14:solidFill>
          </w14:textFill>
        </w:rPr>
        <w:t>领域</w:t>
      </w:r>
      <w:r>
        <w:rPr>
          <w:rFonts w:ascii="Times New Roman" w:hAnsi="Times New Roman" w:eastAsia="仿宋_GB2312" w:cs="Times New Roman"/>
          <w:color w:val="000000" w:themeColor="text1"/>
          <w:sz w:val="32"/>
          <w:szCs w:val="32"/>
          <w:lang w:bidi="ar"/>
          <w14:textFill>
            <w14:solidFill>
              <w14:schemeClr w14:val="tx1"/>
            </w14:solidFill>
          </w14:textFill>
        </w:rPr>
        <w:t>文化企业扶持力度，加快培育一批文化“链主”企业。引进一批文化领军企业、龙头企业，培育壮大本地骨干企业，支持国有文化企业通过资源整合、并购重组做大做强，打造文化创意企业协同发展产业集群。建立全市文化企业名录库，大力扶持一批聚焦非遗活化、内容电商、微短剧等新兴领域的众创空间和孵化平台，引育一批文旅装备、动漫游戏、露营等专业化、特色化企业。实施文创企业服务保障工程，鼓励金融机构开发适合文化企业的金融产品，建立健全文旅领域高层次人才和创新创</w:t>
      </w:r>
      <w:r>
        <w:rPr>
          <w:rFonts w:ascii="Times New Roman" w:hAnsi="Times New Roman" w:eastAsia="仿宋_GB2312" w:cs="Times New Roman"/>
          <w:color w:val="000000" w:themeColor="text1"/>
          <w:spacing w:val="6"/>
          <w:sz w:val="32"/>
          <w:szCs w:val="32"/>
          <w:lang w:bidi="ar"/>
          <w14:textFill>
            <w14:solidFill>
              <w14:schemeClr w14:val="tx1"/>
            </w14:solidFill>
          </w14:textFill>
        </w:rPr>
        <w:t>业团队的引进、培育与激励机制，建立文化企业全生命周期服务体系。</w:t>
      </w:r>
    </w:p>
    <w:p>
      <w:pPr>
        <w:pStyle w:val="7"/>
        <w:spacing w:line="540" w:lineRule="exact"/>
        <w:rPr>
          <w:rFonts w:eastAsia="仿宋_GB2312"/>
          <w:color w:val="000000" w:themeColor="text1"/>
          <w:sz w:val="32"/>
          <w14:textFill>
            <w14:solidFill>
              <w14:schemeClr w14:val="tx1"/>
            </w14:solidFill>
          </w14:textFill>
        </w:rPr>
      </w:pPr>
    </w:p>
    <w:p>
      <w:pPr>
        <w:pStyle w:val="7"/>
        <w:spacing w:line="55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第三节 创新拓展文创产业业态</w:t>
      </w:r>
    </w:p>
    <w:p>
      <w:pPr>
        <w:widowControl/>
        <w:spacing w:line="580" w:lineRule="exact"/>
        <w:ind w:firstLine="640"/>
        <w:jc w:val="left"/>
        <w:rPr>
          <w:rFonts w:eastAsia="方正仿宋_GB2312"/>
          <w:color w:val="000000" w:themeColor="text1"/>
          <w:kern w:val="0"/>
          <w:sz w:val="32"/>
          <w:szCs w:val="32"/>
          <w:shd w:val="clear" w:color="auto" w:fill="FFFFFF"/>
          <w:lang w:bidi="ar"/>
          <w14:textFill>
            <w14:solidFill>
              <w14:schemeClr w14:val="tx1"/>
            </w14:solidFill>
          </w14:textFill>
        </w:rPr>
      </w:pPr>
    </w:p>
    <w:p>
      <w:pPr>
        <w:spacing w:line="580" w:lineRule="exact"/>
        <w:ind w:firstLine="640"/>
        <w:rPr>
          <w:rFonts w:eastAsia="方正小标宋简体"/>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lang w:bidi="ar"/>
          <w14:textFill>
            <w14:solidFill>
              <w14:schemeClr w14:val="tx1"/>
            </w14:solidFill>
          </w14:textFill>
        </w:rPr>
        <w:t>推动数字技术在文化创意产业领域的全链条渗透、场景化应用与要素化流通，依托怀化丰富的革命文化、农耕文化、民族文化等，推进传统文化业态数字化智能化转型，深化数字图书馆、数字博物馆、线上演艺等平台建设。培育沉浸式数字文旅体验项目，推动五溪非遗园、巫傩部落等新空间实现深度数字化，打造一批标杆性沉浸式文旅体验新业态、新场景。发展新型文化创意产业，提升文化原创能力，支持非遗传承、动漫游戏、网络文学、内容电商、文创产品开发、艺术品经营等新业态健康发展，推进文化与科技、旅游、体育、工业、现代农业高水平、深层次、宽领域融合发展，培育一批具有科技感、时尚范的文化消费新场景。</w:t>
      </w:r>
      <w:r>
        <w:rPr>
          <w:rFonts w:ascii="Times New Roman" w:hAnsi="Times New Roman" w:eastAsia="方正小标宋简体" w:cs="Times New Roman"/>
          <w:color w:val="000000" w:themeColor="text1"/>
          <w:sz w:val="32"/>
          <w:szCs w:val="32"/>
          <w14:textFill>
            <w14:solidFill>
              <w14:schemeClr w14:val="tx1"/>
            </w14:solidFill>
          </w14:textFill>
        </w:rPr>
        <w:br w:type="page"/>
      </w:r>
    </w:p>
    <w:p>
      <w:pPr>
        <w:pStyle w:val="5"/>
        <w:spacing w:line="540" w:lineRule="exact"/>
        <w:rPr>
          <w:rFonts w:eastAsia="方正小标宋简体"/>
          <w:color w:val="000000" w:themeColor="text1"/>
          <w:sz w:val="44"/>
          <w14:textFill>
            <w14:solidFill>
              <w14:schemeClr w14:val="tx1"/>
            </w14:solidFill>
          </w14:textFill>
        </w:rPr>
      </w:pPr>
      <w:bookmarkStart w:id="65" w:name="_Toc32468"/>
      <w:r>
        <w:rPr>
          <w:rFonts w:eastAsia="方正小标宋简体"/>
          <w:color w:val="000000" w:themeColor="text1"/>
          <w:sz w:val="36"/>
          <w:szCs w:val="36"/>
          <w14:textFill>
            <w14:solidFill>
              <w14:schemeClr w14:val="tx1"/>
            </w14:solidFill>
          </w14:textFill>
        </w:rPr>
        <w:t>第十二篇 完善基础设施网络，构建现代化基础设施体系</w:t>
      </w:r>
      <w:bookmarkEnd w:id="65"/>
    </w:p>
    <w:p>
      <w:pPr>
        <w:spacing w:line="540" w:lineRule="exact"/>
        <w:ind w:firstLine="640"/>
        <w:rPr>
          <w:rFonts w:eastAsia="仿宋_GB2312"/>
          <w:color w:val="000000" w:themeColor="text1"/>
          <w:sz w:val="32"/>
          <w:szCs w:val="32"/>
          <w14:textFill>
            <w14:solidFill>
              <w14:schemeClr w14:val="tx1"/>
            </w14:solidFill>
          </w14:textFill>
        </w:rPr>
      </w:pPr>
    </w:p>
    <w:p>
      <w:pPr>
        <w:spacing w:line="54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坚持系统谋划、整体协同，统筹存量和增量、传统和新型基础设施发展，聚焦联网补网强链，优化基础设施布局、结构、功能和发展模式，加快构建先进适用、系统完备、集约高效、安全绿色的现代化基础设施体系。</w:t>
      </w:r>
    </w:p>
    <w:p>
      <w:pPr>
        <w:pStyle w:val="6"/>
        <w:spacing w:line="540" w:lineRule="exact"/>
        <w:rPr>
          <w:rFonts w:ascii="Times New Roman" w:hAnsi="Times New Roman" w:eastAsia="仿宋_GB2312" w:cs="Times New Roman"/>
          <w:color w:val="000000" w:themeColor="text1"/>
          <w:sz w:val="32"/>
          <w14:textFill>
            <w14:solidFill>
              <w14:schemeClr w14:val="tx1"/>
            </w14:solidFill>
          </w14:textFill>
        </w:rPr>
      </w:pPr>
    </w:p>
    <w:p>
      <w:pPr>
        <w:pStyle w:val="6"/>
        <w:spacing w:line="540" w:lineRule="exact"/>
        <w:rPr>
          <w:rFonts w:ascii="Times New Roman" w:hAnsi="Times New Roman" w:eastAsia="黑体" w:cs="Times New Roman"/>
          <w:color w:val="000000" w:themeColor="text1"/>
          <w:sz w:val="32"/>
          <w14:textFill>
            <w14:solidFill>
              <w14:schemeClr w14:val="tx1"/>
            </w14:solidFill>
          </w14:textFill>
        </w:rPr>
      </w:pPr>
      <w:bookmarkStart w:id="66" w:name="_Toc18726"/>
      <w:r>
        <w:rPr>
          <w:rFonts w:ascii="Times New Roman" w:hAnsi="Times New Roman" w:eastAsia="黑体" w:cs="Times New Roman"/>
          <w:color w:val="000000" w:themeColor="text1"/>
          <w:sz w:val="32"/>
          <w14:textFill>
            <w14:solidFill>
              <w14:schemeClr w14:val="tx1"/>
            </w14:solidFill>
          </w14:textFill>
        </w:rPr>
        <w:t>第三十九章 完善现代综合交通运输体系</w:t>
      </w:r>
      <w:bookmarkEnd w:id="66"/>
    </w:p>
    <w:p>
      <w:pPr>
        <w:pStyle w:val="7"/>
        <w:spacing w:line="540" w:lineRule="exact"/>
        <w:rPr>
          <w:rFonts w:eastAsia="仿宋_GB2312"/>
          <w:color w:val="000000" w:themeColor="text1"/>
          <w:sz w:val="32"/>
          <w14:textFill>
            <w14:solidFill>
              <w14:schemeClr w14:val="tx1"/>
            </w14:solidFill>
          </w14:textFill>
        </w:rPr>
      </w:pPr>
    </w:p>
    <w:p>
      <w:pPr>
        <w:pStyle w:val="7"/>
        <w:spacing w:line="54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第一节 完善区域综合立体交通网络</w:t>
      </w:r>
    </w:p>
    <w:p>
      <w:pPr>
        <w:spacing w:line="540" w:lineRule="exact"/>
        <w:ind w:firstLine="640"/>
        <w:rPr>
          <w:rFonts w:eastAsia="仿宋_GB2312"/>
          <w:color w:val="000000" w:themeColor="text1"/>
          <w:sz w:val="32"/>
          <w:szCs w:val="32"/>
          <w14:textFill>
            <w14:solidFill>
              <w14:schemeClr w14:val="tx1"/>
            </w14:solidFill>
          </w14:textFill>
        </w:rPr>
      </w:pPr>
    </w:p>
    <w:p>
      <w:pPr>
        <w:spacing w:line="54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优化交通网络布局，补齐通道能力短板，畅通通道内外联接，推动交通快速网、干线网、基础网协同发展。完善“五横三纵”铁路网，畅通国家高速公路主通道，补齐省内城际快速通道短板，构建“一环四纵七横”高速公路网，实施普通国省干线品质提升工程，推进普通国省干线待贯通路段、省际瓶颈路段</w:t>
      </w:r>
      <w:r>
        <w:rPr>
          <w:rFonts w:hint="eastAsia"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过城镇拥堵路段、低等级路段新建扩容和提质改造。实施新一轮农村公路提升行</w:t>
      </w:r>
      <w:r>
        <w:rPr>
          <w:rFonts w:ascii="Times New Roman" w:hAnsi="Times New Roman" w:eastAsia="仿宋_GB2312" w:cs="Times New Roman"/>
          <w:bCs w:val="0"/>
          <w:color w:val="000000" w:themeColor="text1"/>
          <w:sz w:val="32"/>
          <w:szCs w:val="32"/>
          <w14:textFill>
            <w14:solidFill>
              <w14:schemeClr w14:val="tx1"/>
            </w14:solidFill>
          </w14:textFill>
        </w:rPr>
        <w:t>动，推进乡镇通三级及以上公路，加强县城、乡镇及重要交通节点、产业园区便捷连通。畅通骨干航道，完善“一港四区”港口布局</w:t>
      </w:r>
      <w:r>
        <w:rPr>
          <w:rFonts w:ascii="Times New Roman" w:hAnsi="Times New Roman" w:eastAsia="仿宋_GB2312" w:cs="Times New Roman"/>
          <w:color w:val="000000" w:themeColor="text1"/>
          <w:sz w:val="32"/>
          <w:szCs w:val="32"/>
          <w14:textFill>
            <w14:solidFill>
              <w14:schemeClr w14:val="tx1"/>
            </w14:solidFill>
          </w14:textFill>
        </w:rPr>
        <w:t>。提升航空机场</w:t>
      </w:r>
      <w:r>
        <w:rPr>
          <w:rFonts w:hint="eastAsia" w:eastAsia="仿宋_GB2312" w:cs="Times New Roman"/>
          <w:color w:val="000000" w:themeColor="text1"/>
          <w:sz w:val="32"/>
          <w:szCs w:val="32"/>
          <w14:textFill>
            <w14:solidFill>
              <w14:schemeClr w14:val="tx1"/>
            </w14:solidFill>
          </w14:textFill>
        </w:rPr>
        <w:t>综合服务</w:t>
      </w:r>
      <w:r>
        <w:rPr>
          <w:rFonts w:ascii="Times New Roman" w:hAnsi="Times New Roman" w:eastAsia="仿宋_GB2312" w:cs="Times New Roman"/>
          <w:color w:val="000000" w:themeColor="text1"/>
          <w:sz w:val="32"/>
          <w:szCs w:val="32"/>
          <w14:textFill>
            <w14:solidFill>
              <w14:schemeClr w14:val="tx1"/>
            </w14:solidFill>
          </w14:textFill>
        </w:rPr>
        <w:t>功能。</w:t>
      </w:r>
    </w:p>
    <w:p>
      <w:pPr>
        <w:spacing w:line="540" w:lineRule="exact"/>
        <w:rPr>
          <w:rFonts w:eastAsia="仿宋_GB2312"/>
          <w:color w:val="000000" w:themeColor="text1"/>
          <w14:textFill>
            <w14:solidFill>
              <w14:schemeClr w14:val="tx1"/>
            </w14:solidFill>
          </w14:textFill>
        </w:rPr>
      </w:pPr>
    </w:p>
    <w:p>
      <w:pPr>
        <w:pStyle w:val="7"/>
        <w:spacing w:line="54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第二节 提升综合交通枢纽城市能级</w:t>
      </w:r>
    </w:p>
    <w:p>
      <w:pPr>
        <w:spacing w:line="540" w:lineRule="exact"/>
        <w:ind w:firstLine="640"/>
        <w:rPr>
          <w:rFonts w:eastAsia="仿宋_GB2312"/>
          <w:color w:val="000000" w:themeColor="text1"/>
          <w:sz w:val="32"/>
          <w:szCs w:val="32"/>
          <w14:textFill>
            <w14:solidFill>
              <w14:schemeClr w14:val="tx1"/>
            </w14:solidFill>
          </w14:textFill>
        </w:rPr>
      </w:pPr>
    </w:p>
    <w:p>
      <w:pPr>
        <w:spacing w:line="56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完善客运枢纽综合服务功能，强化货运枢纽场站服务怀化国际陆港的支撑保障能力，巩固提升全国性综合交通枢纽城市地位。进一步增强怀化西站铁路站集装箱编组能力，加快推进怀化南动车所建设。完善市域铁路专用线网络，推动铁路专用线进站场、进园区，完善怀化市与武陵山片区铁路运输网络，加强不同运输方式转运场站和“不落地”装卸设施建设，提升一体化转运和货物快速换装能力，打通公铁联运衔接的“最后一公里”。推动芷江机场提质升级改造，积极拓展国内国际航线。加快通用机场建设，推动通用机场与支线机场协同发展。推动公路客运站转型发展，打造“一站多能”枢纽站点。大力推动农村客货邮融合发展。优化货运枢纽场站（园区）布局，完善枢纽集疏运网络体系，争创国家综合货运枢纽强链补链延链城市试点。完善邮（快）件分拨转运设施网络，推动怀化国家邮政快递枢纽建设。持续推</w:t>
      </w:r>
      <w:r>
        <w:rPr>
          <w:rFonts w:ascii="Times New Roman" w:hAnsi="Times New Roman" w:eastAsia="仿宋_GB2312" w:cs="Times New Roman"/>
          <w:color w:val="000000" w:themeColor="text1"/>
          <w:spacing w:val="6"/>
          <w:sz w:val="32"/>
          <w:szCs w:val="32"/>
          <w14:textFill>
            <w14:solidFill>
              <w14:schemeClr w14:val="tx1"/>
            </w14:solidFill>
          </w14:textFill>
        </w:rPr>
        <w:t>进快递物流园区建设，重点建设快递分拨中心和共同配送中心。</w:t>
      </w:r>
    </w:p>
    <w:p>
      <w:pPr>
        <w:pStyle w:val="7"/>
        <w:spacing w:line="560" w:lineRule="exact"/>
        <w:rPr>
          <w:rFonts w:eastAsia="仿宋_GB2312"/>
          <w:color w:val="000000" w:themeColor="text1"/>
          <w:sz w:val="32"/>
          <w14:textFill>
            <w14:solidFill>
              <w14:schemeClr w14:val="tx1"/>
            </w14:solidFill>
          </w14:textFill>
        </w:rPr>
      </w:pPr>
    </w:p>
    <w:p>
      <w:pPr>
        <w:pStyle w:val="7"/>
        <w:spacing w:line="56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第三节 提高交通运输服务质量水平</w:t>
      </w:r>
    </w:p>
    <w:p>
      <w:pPr>
        <w:spacing w:line="560" w:lineRule="exact"/>
        <w:ind w:firstLine="640"/>
        <w:rPr>
          <w:rFonts w:eastAsia="仿宋_GB2312"/>
          <w:color w:val="000000" w:themeColor="text1"/>
          <w:sz w:val="32"/>
          <w:szCs w:val="32"/>
          <w14:textFill>
            <w14:solidFill>
              <w14:schemeClr w14:val="tx1"/>
            </w14:solidFill>
          </w14:textFill>
        </w:rPr>
      </w:pPr>
    </w:p>
    <w:p>
      <w:pPr>
        <w:spacing w:line="56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加强各种运输方式一体衔接，提升货物流通周转效率和旅客出行服务品质。持续推动交通运输结构调整，有效降低全社会物流成本。提高城乡交通运输公共服务均等化水平。推动交通绿色可持续发展，积极谋划城市绿色货运配送示范工程。加强无障碍交通基础设施建设，健全老年人交通运输服务体系。推进区域性公路交通应急装备、粮食和战略物资储备等国家安全基础设施建设。推进交通基础设施全生命周期养护。</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3" w:hRule="atLeast"/>
          <w:jc w:val="center"/>
        </w:trPr>
        <w:tc>
          <w:tcPr>
            <w:tcW w:w="9025" w:type="dxa"/>
            <w:tcBorders>
              <w:top w:val="single" w:color="auto" w:sz="4" w:space="0"/>
              <w:left w:val="single" w:color="auto" w:sz="4" w:space="0"/>
              <w:bottom w:val="single" w:color="auto" w:sz="4" w:space="0"/>
              <w:right w:val="single" w:color="auto" w:sz="4" w:space="0"/>
            </w:tcBorders>
            <w:noWrap/>
            <w:vAlign w:val="center"/>
          </w:tcPr>
          <w:p>
            <w:pPr>
              <w:pStyle w:val="13"/>
              <w:spacing w:after="0" w:line="490" w:lineRule="exact"/>
              <w:jc w:val="center"/>
              <w:rPr>
                <w:rFonts w:eastAsia="方正黑体_GBK"/>
                <w:b/>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专栏12—1 交通重大工程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025" w:type="dxa"/>
            <w:tcBorders>
              <w:top w:val="single" w:color="auto" w:sz="4" w:space="0"/>
              <w:left w:val="single" w:color="auto" w:sz="4" w:space="0"/>
              <w:bottom w:val="single" w:color="auto" w:sz="4" w:space="0"/>
              <w:right w:val="single" w:color="auto" w:sz="4" w:space="0"/>
            </w:tcBorders>
            <w:noWrap/>
          </w:tcPr>
          <w:p>
            <w:pPr>
              <w:adjustRightInd w:val="0"/>
              <w:snapToGrid w:val="0"/>
              <w:spacing w:line="480" w:lineRule="exact"/>
              <w:ind w:firstLine="643"/>
              <w:rPr>
                <w:rFonts w:eastAsia="楷体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1.铁路。</w:t>
            </w:r>
            <w:r>
              <w:rPr>
                <w:rFonts w:ascii="Times New Roman" w:hAnsi="Times New Roman" w:eastAsia="楷体_GB2312" w:cs="Times New Roman"/>
                <w:color w:val="000000" w:themeColor="text1"/>
                <w:sz w:val="32"/>
                <w:szCs w:val="32"/>
                <w14:textFill>
                  <w14:solidFill>
                    <w14:schemeClr w14:val="tx1"/>
                  </w14:solidFill>
                </w14:textFill>
              </w:rPr>
              <w:t>推动怀桂高铁、兴永郴赣铁路纳入国家</w:t>
            </w:r>
            <w:r>
              <w:rPr>
                <w:rFonts w:hint="eastAsia" w:eastAsia="楷体_GB2312" w:cs="Times New Roman"/>
                <w:color w:val="000000" w:themeColor="text1"/>
                <w:sz w:val="32"/>
                <w:szCs w:val="32"/>
                <w14:textFill>
                  <w14:solidFill>
                    <w14:schemeClr w14:val="tx1"/>
                  </w14:solidFill>
                </w14:textFill>
              </w:rPr>
              <w:t>“</w:t>
            </w:r>
            <w:r>
              <w:rPr>
                <w:rFonts w:ascii="Times New Roman" w:hAnsi="Times New Roman" w:eastAsia="楷体_GB2312" w:cs="Times New Roman"/>
                <w:color w:val="000000" w:themeColor="text1"/>
                <w:sz w:val="32"/>
                <w:szCs w:val="32"/>
                <w14:textFill>
                  <w14:solidFill>
                    <w14:schemeClr w14:val="tx1"/>
                  </w14:solidFill>
                </w14:textFill>
              </w:rPr>
              <w:t>十五五</w:t>
            </w:r>
            <w:r>
              <w:rPr>
                <w:rFonts w:hint="eastAsia" w:eastAsia="楷体_GB2312" w:cs="Times New Roman"/>
                <w:color w:val="000000" w:themeColor="text1"/>
                <w:sz w:val="32"/>
                <w:szCs w:val="32"/>
                <w14:textFill>
                  <w14:solidFill>
                    <w14:schemeClr w14:val="tx1"/>
                  </w14:solidFill>
                </w14:textFill>
              </w:rPr>
              <w:t>”</w:t>
            </w:r>
            <w:r>
              <w:rPr>
                <w:rFonts w:ascii="Times New Roman" w:hAnsi="Times New Roman" w:eastAsia="楷体_GB2312" w:cs="Times New Roman"/>
                <w:color w:val="000000" w:themeColor="text1"/>
                <w:sz w:val="32"/>
                <w:szCs w:val="32"/>
                <w14:textFill>
                  <w14:solidFill>
                    <w14:schemeClr w14:val="tx1"/>
                  </w14:solidFill>
                </w14:textFill>
              </w:rPr>
              <w:t>铁路发展规划，尽早启动前期工作，力争吉首至益阳铁路纳入中长期铁路网规划修编。加快推进怀化南站增设南站房扩建工程、怀化南动车所二期工程、怀化南站与怀化站互联互通改造升级工程。完成怀化国际陆港铁路专用线、怀化国际粮食物流加工产业园铁路专用线、新晃大新公铁联运物流园专用线、会同县连山工业园铁路专用线、靖州县瑞盛物流铁路专用</w:t>
            </w:r>
            <w:r>
              <w:rPr>
                <w:rFonts w:ascii="Times New Roman" w:hAnsi="Times New Roman" w:eastAsia="楷体_GB2312" w:cs="Times New Roman"/>
                <w:color w:val="000000" w:themeColor="text1"/>
                <w:spacing w:val="11"/>
                <w:sz w:val="32"/>
                <w:szCs w:val="32"/>
                <w14:textFill>
                  <w14:solidFill>
                    <w14:schemeClr w14:val="tx1"/>
                  </w14:solidFill>
                </w14:textFill>
              </w:rPr>
              <w:t>线、蓝伯新材料实业集团有限公司铁路专用线等铁路专用线工程。</w:t>
            </w:r>
          </w:p>
          <w:p>
            <w:pPr>
              <w:adjustRightInd w:val="0"/>
              <w:snapToGrid w:val="0"/>
              <w:spacing w:line="480" w:lineRule="exact"/>
              <w:ind w:firstLine="643"/>
              <w:rPr>
                <w:rFonts w:eastAsia="楷体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2.公路。</w:t>
            </w:r>
            <w:r>
              <w:rPr>
                <w:rFonts w:ascii="Times New Roman" w:hAnsi="Times New Roman" w:eastAsia="楷体_GB2312" w:cs="Times New Roman"/>
                <w:color w:val="000000" w:themeColor="text1"/>
                <w:sz w:val="32"/>
                <w:szCs w:val="32"/>
                <w14:textFill>
                  <w14:solidFill>
                    <w14:schemeClr w14:val="tx1"/>
                  </w14:solidFill>
                </w14:textFill>
              </w:rPr>
              <w:t>完成洞口至天柱、铜仁至天柱高速公路建设，开工建设安化至溆浦、溆浦至洞口、辰溪至凤凰等高速公路，推进张家界至沅陵、辰溪至绥宁、安化至沅陵、通道至资源高速公路北延至靖州（藕团）等高速公路项目前期工作。</w:t>
            </w:r>
          </w:p>
          <w:p>
            <w:pPr>
              <w:adjustRightInd w:val="0"/>
              <w:snapToGrid w:val="0"/>
              <w:spacing w:line="480" w:lineRule="exact"/>
              <w:ind w:firstLine="643"/>
              <w:rPr>
                <w:rFonts w:eastAsia="楷体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3.港航。</w:t>
            </w:r>
            <w:r>
              <w:rPr>
                <w:rFonts w:ascii="Times New Roman" w:hAnsi="Times New Roman" w:eastAsia="楷体_GB2312" w:cs="Times New Roman"/>
                <w:color w:val="000000" w:themeColor="text1"/>
                <w:sz w:val="32"/>
                <w:szCs w:val="32"/>
                <w14:textFill>
                  <w14:solidFill>
                    <w14:schemeClr w14:val="tx1"/>
                  </w14:solidFill>
                </w14:textFill>
              </w:rPr>
              <w:t>建成沅水洪江至辰溪航道</w:t>
            </w:r>
            <w:r>
              <w:rPr>
                <w:rFonts w:ascii="Times New Roman" w:hAnsi="Times New Roman" w:eastAsia="楷体_GB2312" w:cs="Times New Roman"/>
                <w:color w:val="000000" w:themeColor="text1"/>
                <w:sz w:val="32"/>
                <w:szCs w:val="32"/>
                <w:lang w:val="en"/>
                <w14:textFill>
                  <w14:solidFill>
                    <w14:schemeClr w14:val="tx1"/>
                  </w14:solidFill>
                </w14:textFill>
              </w:rPr>
              <w:t>，</w:t>
            </w:r>
            <w:r>
              <w:rPr>
                <w:rFonts w:ascii="Times New Roman" w:hAnsi="Times New Roman" w:eastAsia="楷体_GB2312" w:cs="Times New Roman"/>
                <w:color w:val="000000" w:themeColor="text1"/>
                <w:sz w:val="32"/>
                <w:szCs w:val="32"/>
                <w14:textFill>
                  <w14:solidFill>
                    <w14:schemeClr w14:val="tx1"/>
                  </w14:solidFill>
                </w14:textFill>
              </w:rPr>
              <w:t>推进沅水鱼潭航电枢纽、</w:t>
            </w:r>
            <w:r>
              <w:rPr>
                <w:rFonts w:ascii="Times New Roman" w:hAnsi="Times New Roman" w:eastAsia="楷体_GB2312" w:cs="Times New Roman"/>
                <w:color w:val="000000" w:themeColor="text1"/>
                <w:spacing w:val="11"/>
                <w:sz w:val="32"/>
                <w:szCs w:val="32"/>
                <w14:textFill>
                  <w14:solidFill>
                    <w14:schemeClr w14:val="tx1"/>
                  </w14:solidFill>
                </w14:textFill>
              </w:rPr>
              <w:t>沅水金紫至洪江、㵲水怀化至黔城四级航道（500吨级）建设工程。</w:t>
            </w:r>
          </w:p>
          <w:p>
            <w:pPr>
              <w:adjustRightInd w:val="0"/>
              <w:snapToGrid w:val="0"/>
              <w:spacing w:line="480" w:lineRule="exact"/>
              <w:ind w:firstLine="643"/>
              <w:rPr>
                <w:rFonts w:eastAsia="楷体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4.航空</w:t>
            </w:r>
            <w:r>
              <w:rPr>
                <w:rFonts w:ascii="Times New Roman" w:hAnsi="Times New Roman" w:eastAsia="楷体_GB2312" w:cs="Times New Roman"/>
                <w:color w:val="000000" w:themeColor="text1"/>
                <w:sz w:val="32"/>
                <w:szCs w:val="32"/>
                <w14:textFill>
                  <w14:solidFill>
                    <w14:schemeClr w14:val="tx1"/>
                  </w14:solidFill>
                </w14:textFill>
              </w:rPr>
              <w:t>。提质升级改造芷江机场，新建新晃、辰溪、沅陵等通用机场。</w:t>
            </w:r>
          </w:p>
        </w:tc>
      </w:tr>
    </w:tbl>
    <w:p>
      <w:pPr>
        <w:ind w:firstLine="640"/>
        <w:rPr>
          <w:rFonts w:eastAsia="楷体_GB2312"/>
          <w:bCs w:val="0"/>
          <w:color w:val="000000" w:themeColor="text1"/>
          <w:sz w:val="32"/>
          <w:szCs w:val="32"/>
          <w14:textFill>
            <w14:solidFill>
              <w14:schemeClr w14:val="tx1"/>
            </w14:solidFill>
          </w14:textFill>
        </w:rPr>
      </w:pPr>
      <w:r>
        <w:rPr>
          <w:rFonts w:ascii="Times New Roman" w:hAnsi="Times New Roman" w:eastAsia="楷体_GB2312" w:cs="Times New Roman"/>
          <w:color w:val="000000" w:themeColor="text1"/>
          <w:sz w:val="32"/>
          <w:szCs w:val="32"/>
          <w14:textFill>
            <w14:solidFill>
              <w14:schemeClr w14:val="tx1"/>
            </w14:solidFill>
          </w14:textFill>
        </w:rPr>
        <w:br w:type="page"/>
      </w:r>
    </w:p>
    <w:p>
      <w:pPr>
        <w:ind w:firstLine="643"/>
        <w:rPr>
          <w:color w:val="000000" w:themeColor="text1"/>
          <w14:textFill>
            <w14:solidFill>
              <w14:schemeClr w14:val="tx1"/>
            </w14:solidFill>
          </w14:textFill>
        </w:rPr>
      </w:pPr>
      <w:r>
        <w:rPr>
          <w:rFonts w:eastAsia="楷体_GB2312"/>
          <w:b/>
          <w:color w:val="000000" w:themeColor="text1"/>
          <w:sz w:val="32"/>
          <w14:textFill>
            <w14:solidFill>
              <w14:schemeClr w14:val="tx1"/>
            </w14:solidFill>
          </w14:textFill>
        </w:rPr>
        <w:drawing>
          <wp:anchor distT="0" distB="0" distL="114300" distR="114300" simplePos="0" relativeHeight="251667456" behindDoc="1" locked="0" layoutInCell="1" allowOverlap="1">
            <wp:simplePos x="0" y="0"/>
            <wp:positionH relativeFrom="column">
              <wp:posOffset>53340</wp:posOffset>
            </wp:positionH>
            <wp:positionV relativeFrom="paragraph">
              <wp:posOffset>79375</wp:posOffset>
            </wp:positionV>
            <wp:extent cx="5731510" cy="7399020"/>
            <wp:effectExtent l="0" t="0" r="2540" b="11430"/>
            <wp:wrapNone/>
            <wp:docPr id="34" name="图片 34" descr="微信图片_2025121711083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4" name="图片 34" descr="微信图片_20251217110836"/>
                    <pic:cNvPicPr>
                      <a:picLocks noChangeAspect="true"/>
                    </pic:cNvPicPr>
                  </pic:nvPicPr>
                  <pic:blipFill>
                    <a:blip r:embed="rId22"/>
                    <a:srcRect l="2881" t="10810" r="2582" b="5325"/>
                    <a:stretch>
                      <a:fillRect/>
                    </a:stretch>
                  </pic:blipFill>
                  <pic:spPr>
                    <a:xfrm>
                      <a:off x="0" y="0"/>
                      <a:ext cx="5731510" cy="7399020"/>
                    </a:xfrm>
                    <a:prstGeom prst="rect">
                      <a:avLst/>
                    </a:prstGeom>
                  </pic:spPr>
                </pic:pic>
              </a:graphicData>
            </a:graphic>
          </wp:anchor>
        </w:drawing>
      </w:r>
    </w:p>
    <w:p>
      <w:pPr>
        <w:pStyle w:val="6"/>
        <w:spacing w:after="156" w:afterLines="50" w:line="540" w:lineRule="exact"/>
        <w:rPr>
          <w:rFonts w:ascii="Times New Roman" w:hAnsi="Times New Roman" w:eastAsia="楷体_GB2312" w:cs="Times New Roman"/>
          <w:b/>
          <w:color w:val="000000" w:themeColor="text1"/>
          <w:sz w:val="32"/>
          <w14:textFill>
            <w14:solidFill>
              <w14:schemeClr w14:val="tx1"/>
            </w14:solidFill>
          </w14:textFill>
        </w:rPr>
      </w:pPr>
    </w:p>
    <w:p>
      <w:pPr>
        <w:pStyle w:val="6"/>
        <w:spacing w:after="156" w:afterLines="50" w:line="540" w:lineRule="exact"/>
        <w:rPr>
          <w:rFonts w:ascii="Times New Roman" w:hAnsi="Times New Roman" w:eastAsia="楷体_GB2312" w:cs="Times New Roman"/>
          <w:b/>
          <w:color w:val="000000" w:themeColor="text1"/>
          <w:sz w:val="32"/>
          <w14:textFill>
            <w14:solidFill>
              <w14:schemeClr w14:val="tx1"/>
            </w14:solidFill>
          </w14:textFill>
        </w:rPr>
      </w:pPr>
    </w:p>
    <w:p>
      <w:pPr>
        <w:pStyle w:val="6"/>
        <w:spacing w:after="156" w:afterLines="50" w:line="540" w:lineRule="exact"/>
        <w:rPr>
          <w:rFonts w:ascii="Times New Roman" w:hAnsi="Times New Roman" w:eastAsia="楷体_GB2312" w:cs="Times New Roman"/>
          <w:b/>
          <w:color w:val="000000" w:themeColor="text1"/>
          <w:sz w:val="32"/>
          <w14:textFill>
            <w14:solidFill>
              <w14:schemeClr w14:val="tx1"/>
            </w14:solidFill>
          </w14:textFill>
        </w:rPr>
      </w:pPr>
    </w:p>
    <w:p>
      <w:pPr>
        <w:pStyle w:val="6"/>
        <w:spacing w:after="156" w:afterLines="50" w:line="540" w:lineRule="exact"/>
        <w:rPr>
          <w:rFonts w:ascii="Times New Roman" w:hAnsi="Times New Roman" w:eastAsia="楷体_GB2312" w:cs="Times New Roman"/>
          <w:b/>
          <w:color w:val="000000" w:themeColor="text1"/>
          <w:sz w:val="32"/>
          <w14:textFill>
            <w14:solidFill>
              <w14:schemeClr w14:val="tx1"/>
            </w14:solidFill>
          </w14:textFill>
        </w:rPr>
      </w:pPr>
    </w:p>
    <w:p>
      <w:pPr>
        <w:ind w:firstLine="643"/>
        <w:rPr>
          <w:rFonts w:eastAsia="楷体_GB2312"/>
          <w:b/>
          <w:bCs w:val="0"/>
          <w:color w:val="000000" w:themeColor="text1"/>
          <w:sz w:val="32"/>
          <w:szCs w:val="32"/>
          <w14:textFill>
            <w14:solidFill>
              <w14:schemeClr w14:val="tx1"/>
            </w14:solidFill>
          </w14:textFill>
        </w:rPr>
      </w:pPr>
    </w:p>
    <w:p>
      <w:pPr>
        <w:ind w:firstLine="643"/>
        <w:rPr>
          <w:rFonts w:eastAsia="楷体_GB2312"/>
          <w:b/>
          <w:bCs w:val="0"/>
          <w:color w:val="000000" w:themeColor="text1"/>
          <w:sz w:val="32"/>
          <w:szCs w:val="32"/>
          <w14:textFill>
            <w14:solidFill>
              <w14:schemeClr w14:val="tx1"/>
            </w14:solidFill>
          </w14:textFill>
        </w:rPr>
      </w:pPr>
    </w:p>
    <w:p>
      <w:pPr>
        <w:ind w:firstLine="643"/>
        <w:rPr>
          <w:rFonts w:eastAsia="楷体_GB2312"/>
          <w:b/>
          <w:bCs w:val="0"/>
          <w:color w:val="000000" w:themeColor="text1"/>
          <w:sz w:val="32"/>
          <w:szCs w:val="32"/>
          <w14:textFill>
            <w14:solidFill>
              <w14:schemeClr w14:val="tx1"/>
            </w14:solidFill>
          </w14:textFill>
        </w:rPr>
      </w:pPr>
    </w:p>
    <w:p>
      <w:pPr>
        <w:ind w:firstLine="643"/>
        <w:rPr>
          <w:rFonts w:eastAsia="楷体_GB2312"/>
          <w:b/>
          <w:bCs w:val="0"/>
          <w:color w:val="000000" w:themeColor="text1"/>
          <w:sz w:val="32"/>
          <w:szCs w:val="32"/>
          <w14:textFill>
            <w14:solidFill>
              <w14:schemeClr w14:val="tx1"/>
            </w14:solidFill>
          </w14:textFill>
        </w:rPr>
      </w:pPr>
    </w:p>
    <w:p>
      <w:pPr>
        <w:ind w:firstLine="643"/>
        <w:rPr>
          <w:rFonts w:eastAsia="楷体_GB2312"/>
          <w:b/>
          <w:bCs w:val="0"/>
          <w:color w:val="000000" w:themeColor="text1"/>
          <w:sz w:val="32"/>
          <w:szCs w:val="32"/>
          <w14:textFill>
            <w14:solidFill>
              <w14:schemeClr w14:val="tx1"/>
            </w14:solidFill>
          </w14:textFill>
        </w:rPr>
      </w:pPr>
    </w:p>
    <w:p>
      <w:pPr>
        <w:ind w:firstLine="643"/>
        <w:rPr>
          <w:rFonts w:eastAsia="楷体_GB2312"/>
          <w:b/>
          <w:bCs w:val="0"/>
          <w:color w:val="000000" w:themeColor="text1"/>
          <w:sz w:val="32"/>
          <w:szCs w:val="32"/>
          <w14:textFill>
            <w14:solidFill>
              <w14:schemeClr w14:val="tx1"/>
            </w14:solidFill>
          </w14:textFill>
        </w:rPr>
      </w:pPr>
    </w:p>
    <w:p>
      <w:pPr>
        <w:ind w:firstLine="643"/>
        <w:rPr>
          <w:rFonts w:eastAsia="楷体_GB2312"/>
          <w:b/>
          <w:bCs w:val="0"/>
          <w:color w:val="000000" w:themeColor="text1"/>
          <w:sz w:val="32"/>
          <w:szCs w:val="32"/>
          <w14:textFill>
            <w14:solidFill>
              <w14:schemeClr w14:val="tx1"/>
            </w14:solidFill>
          </w14:textFill>
        </w:rPr>
      </w:pPr>
    </w:p>
    <w:p>
      <w:pPr>
        <w:ind w:firstLine="643"/>
        <w:rPr>
          <w:rFonts w:eastAsia="楷体_GB2312"/>
          <w:b/>
          <w:bCs w:val="0"/>
          <w:color w:val="000000" w:themeColor="text1"/>
          <w:sz w:val="32"/>
          <w:szCs w:val="32"/>
          <w14:textFill>
            <w14:solidFill>
              <w14:schemeClr w14:val="tx1"/>
            </w14:solidFill>
          </w14:textFill>
        </w:rPr>
      </w:pPr>
    </w:p>
    <w:p>
      <w:pPr>
        <w:pStyle w:val="6"/>
        <w:spacing w:after="156" w:afterLines="50" w:line="540" w:lineRule="exact"/>
        <w:rPr>
          <w:rFonts w:ascii="Times New Roman" w:hAnsi="Times New Roman" w:eastAsia="楷体_GB2312" w:cs="Times New Roman"/>
          <w:b/>
          <w:color w:val="000000" w:themeColor="text1"/>
          <w:sz w:val="32"/>
          <w14:textFill>
            <w14:solidFill>
              <w14:schemeClr w14:val="tx1"/>
            </w14:solidFill>
          </w14:textFill>
        </w:rPr>
      </w:pPr>
    </w:p>
    <w:p>
      <w:pPr>
        <w:pStyle w:val="6"/>
        <w:spacing w:after="156" w:afterLines="50" w:line="540" w:lineRule="exact"/>
        <w:rPr>
          <w:rFonts w:ascii="Times New Roman" w:hAnsi="Times New Roman" w:eastAsia="楷体_GB2312" w:cs="Times New Roman"/>
          <w:b/>
          <w:color w:val="000000" w:themeColor="text1"/>
          <w:sz w:val="32"/>
          <w14:textFill>
            <w14:solidFill>
              <w14:schemeClr w14:val="tx1"/>
            </w14:solidFill>
          </w14:textFill>
        </w:rPr>
      </w:pPr>
    </w:p>
    <w:p>
      <w:pPr>
        <w:pStyle w:val="6"/>
        <w:spacing w:after="156" w:afterLines="50" w:line="540" w:lineRule="exact"/>
        <w:rPr>
          <w:rFonts w:ascii="Times New Roman" w:hAnsi="Times New Roman" w:eastAsia="楷体_GB2312" w:cs="Times New Roman"/>
          <w:b/>
          <w:color w:val="000000" w:themeColor="text1"/>
          <w:sz w:val="32"/>
          <w14:textFill>
            <w14:solidFill>
              <w14:schemeClr w14:val="tx1"/>
            </w14:solidFill>
          </w14:textFill>
        </w:rPr>
      </w:pPr>
    </w:p>
    <w:p>
      <w:pPr>
        <w:pStyle w:val="6"/>
        <w:spacing w:after="156" w:afterLines="50" w:line="540" w:lineRule="exact"/>
        <w:rPr>
          <w:rFonts w:ascii="Times New Roman" w:hAnsi="Times New Roman" w:eastAsia="楷体_GB2312" w:cs="Times New Roman"/>
          <w:b/>
          <w:color w:val="000000" w:themeColor="text1"/>
          <w:sz w:val="32"/>
          <w14:textFill>
            <w14:solidFill>
              <w14:schemeClr w14:val="tx1"/>
            </w14:solidFill>
          </w14:textFill>
        </w:rPr>
      </w:pPr>
    </w:p>
    <w:p>
      <w:pPr>
        <w:pStyle w:val="6"/>
        <w:spacing w:after="156" w:afterLines="50" w:line="540" w:lineRule="exact"/>
        <w:rPr>
          <w:rFonts w:ascii="Times New Roman" w:hAnsi="Times New Roman" w:eastAsia="楷体_GB2312" w:cs="Times New Roman"/>
          <w:b/>
          <w:color w:val="000000" w:themeColor="text1"/>
          <w:sz w:val="32"/>
          <w14:textFill>
            <w14:solidFill>
              <w14:schemeClr w14:val="tx1"/>
            </w14:solidFill>
          </w14:textFill>
        </w:rPr>
      </w:pPr>
    </w:p>
    <w:p>
      <w:pPr>
        <w:pStyle w:val="6"/>
        <w:spacing w:before="468" w:beforeLines="150" w:after="156" w:afterLines="50" w:line="540" w:lineRule="exact"/>
        <w:rPr>
          <w:rFonts w:ascii="Times New Roman" w:hAnsi="Times New Roman" w:eastAsia="楷体_GB2312" w:cs="Times New Roman"/>
          <w:bCs w:val="0"/>
          <w:color w:val="000000" w:themeColor="text1"/>
          <w:sz w:val="32"/>
          <w14:textFill>
            <w14:solidFill>
              <w14:schemeClr w14:val="tx1"/>
            </w14:solidFill>
          </w14:textFill>
        </w:rPr>
      </w:pPr>
      <w:bookmarkStart w:id="67" w:name="_Toc2871"/>
      <w:r>
        <w:rPr>
          <w:rFonts w:ascii="Times New Roman" w:hAnsi="Times New Roman" w:eastAsia="楷体_GB2312" w:cs="Times New Roman"/>
          <w:bCs w:val="0"/>
          <w:color w:val="000000" w:themeColor="text1"/>
          <w:sz w:val="32"/>
          <w14:textFill>
            <w14:solidFill>
              <w14:schemeClr w14:val="tx1"/>
            </w14:solidFill>
          </w14:textFill>
        </w:rPr>
        <w:t>图12—1 怀化市</w:t>
      </w:r>
      <w:r>
        <w:rPr>
          <w:rFonts w:ascii="Times New Roman" w:hAnsi="Times New Roman" w:eastAsia="仿宋_GB2312" w:cs="Times New Roman"/>
          <w:bCs w:val="0"/>
          <w:color w:val="000000" w:themeColor="text1"/>
          <w:sz w:val="32"/>
          <w14:textFill>
            <w14:solidFill>
              <w14:schemeClr w14:val="tx1"/>
            </w14:solidFill>
          </w14:textFill>
        </w:rPr>
        <w:t>“</w:t>
      </w:r>
      <w:r>
        <w:rPr>
          <w:rFonts w:ascii="Times New Roman" w:hAnsi="Times New Roman" w:eastAsia="楷体_GB2312" w:cs="Times New Roman"/>
          <w:bCs w:val="0"/>
          <w:color w:val="000000" w:themeColor="text1"/>
          <w:sz w:val="32"/>
          <w14:textFill>
            <w14:solidFill>
              <w14:schemeClr w14:val="tx1"/>
            </w14:solidFill>
          </w14:textFill>
        </w:rPr>
        <w:t>十五五</w:t>
      </w:r>
      <w:r>
        <w:rPr>
          <w:rFonts w:ascii="Times New Roman" w:hAnsi="Times New Roman" w:eastAsia="仿宋_GB2312" w:cs="Times New Roman"/>
          <w:bCs w:val="0"/>
          <w:color w:val="000000" w:themeColor="text1"/>
          <w:sz w:val="32"/>
          <w14:textFill>
            <w14:solidFill>
              <w14:schemeClr w14:val="tx1"/>
            </w14:solidFill>
          </w14:textFill>
        </w:rPr>
        <w:t>”</w:t>
      </w:r>
      <w:r>
        <w:rPr>
          <w:rFonts w:ascii="Times New Roman" w:hAnsi="Times New Roman" w:eastAsia="楷体_GB2312" w:cs="Times New Roman"/>
          <w:bCs w:val="0"/>
          <w:color w:val="000000" w:themeColor="text1"/>
          <w:sz w:val="32"/>
          <w14:textFill>
            <w14:solidFill>
              <w14:schemeClr w14:val="tx1"/>
            </w14:solidFill>
          </w14:textFill>
        </w:rPr>
        <w:t>综合交通运输通道示意图</w:t>
      </w:r>
      <w:bookmarkEnd w:id="67"/>
    </w:p>
    <w:p>
      <w:pPr>
        <w:jc w:val="center"/>
        <w:rPr>
          <w:rFonts w:eastAsia="仿宋_GB2312"/>
          <w:color w:val="000000" w:themeColor="text1"/>
          <w14:textFill>
            <w14:solidFill>
              <w14:schemeClr w14:val="tx1"/>
            </w14:solidFill>
          </w14:textFill>
        </w:rPr>
      </w:pPr>
    </w:p>
    <w:p>
      <w:pPr>
        <w:pStyle w:val="6"/>
        <w:spacing w:line="560" w:lineRule="exact"/>
        <w:rPr>
          <w:rFonts w:ascii="Times New Roman" w:hAnsi="Times New Roman" w:eastAsia="仿宋_GB2312" w:cs="Times New Roman"/>
          <w:color w:val="000000" w:themeColor="text1"/>
          <w:sz w:val="32"/>
          <w14:textFill>
            <w14:solidFill>
              <w14:schemeClr w14:val="tx1"/>
            </w14:solidFill>
          </w14:textFill>
        </w:rPr>
      </w:pPr>
      <w:bookmarkStart w:id="68" w:name="_Toc16182"/>
      <w:r>
        <w:rPr>
          <w:rFonts w:ascii="Times New Roman" w:hAnsi="Times New Roman" w:eastAsia="黑体" w:cs="Times New Roman"/>
          <w:color w:val="000000" w:themeColor="text1"/>
          <w:sz w:val="32"/>
          <w14:textFill>
            <w14:solidFill>
              <w14:schemeClr w14:val="tx1"/>
            </w14:solidFill>
          </w14:textFill>
        </w:rPr>
        <w:t>第四十章 加快构建新型能源体系</w:t>
      </w:r>
      <w:bookmarkEnd w:id="68"/>
    </w:p>
    <w:p>
      <w:pPr>
        <w:spacing w:line="560" w:lineRule="exact"/>
        <w:rPr>
          <w:rFonts w:eastAsia="仿宋_GB2312"/>
          <w:color w:val="000000" w:themeColor="text1"/>
          <w14:textFill>
            <w14:solidFill>
              <w14:schemeClr w14:val="tx1"/>
            </w14:solidFill>
          </w14:textFill>
        </w:rPr>
      </w:pPr>
    </w:p>
    <w:p>
      <w:pPr>
        <w:pStyle w:val="7"/>
        <w:spacing w:line="56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第一节 提升能源生产和供给保障水平</w:t>
      </w:r>
    </w:p>
    <w:p>
      <w:pPr>
        <w:spacing w:line="560" w:lineRule="exact"/>
        <w:ind w:firstLine="640"/>
        <w:rPr>
          <w:rFonts w:eastAsia="仿宋_GB2312"/>
          <w:color w:val="000000" w:themeColor="text1"/>
          <w:sz w:val="32"/>
          <w:szCs w:val="32"/>
          <w14:textFill>
            <w14:solidFill>
              <w14:schemeClr w14:val="tx1"/>
            </w14:solidFill>
          </w14:textFill>
        </w:rPr>
      </w:pPr>
    </w:p>
    <w:p>
      <w:pPr>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坚持风光水储等多能并举，实施清洁能源装机规模增容行动，持续</w:t>
      </w:r>
      <w:r>
        <w:rPr>
          <w:rFonts w:hint="eastAsia" w:eastAsia="仿宋_GB2312" w:cs="Times New Roman"/>
          <w:color w:val="000000" w:themeColor="text1"/>
          <w:sz w:val="32"/>
          <w:szCs w:val="32"/>
          <w14:textFill>
            <w14:solidFill>
              <w14:schemeClr w14:val="tx1"/>
            </w14:solidFill>
          </w14:textFill>
        </w:rPr>
        <w:t>提升</w:t>
      </w:r>
      <w:r>
        <w:rPr>
          <w:rFonts w:ascii="Times New Roman" w:hAnsi="Times New Roman" w:eastAsia="仿宋_GB2312" w:cs="Times New Roman"/>
          <w:color w:val="000000" w:themeColor="text1"/>
          <w:sz w:val="32"/>
          <w:szCs w:val="32"/>
          <w14:textFill>
            <w14:solidFill>
              <w14:schemeClr w14:val="tx1"/>
            </w14:solidFill>
          </w14:textFill>
        </w:rPr>
        <w:t>清洁能源生产能力。到2030年，清洁能源装机规模突破1200万千瓦。水电方面，深入挖潜水电发电能力，推动一批符合条件的水电站扩容增效。风电方面，谋划和储备一批条件成熟度高、经济效益好的集中式风电项目。光伏发电方面，因地制宜推进分布式光伏开发建设，探索实施一批“农光互补”光伏项目。生物质发电方面，推动怀化市北部生活垃圾焚烧发电项目建成投产，推进怀化市南部生活垃圾焚烧发电工程建设，因地制宜建设生物质发电项目。持续强化能源供应能力，加快推动遵义—吉安天然气管道工程（湖南段）和“气化湖南工程”怀化项目建设，争取长输管道覆盖所有县（市、区），推动市内管道与国家和省内管网互联互通、共保互济，提升管网覆盖和应急调峰能力。</w:t>
      </w:r>
    </w:p>
    <w:p>
      <w:pPr>
        <w:pStyle w:val="7"/>
        <w:spacing w:line="560" w:lineRule="exact"/>
        <w:rPr>
          <w:rFonts w:eastAsia="仿宋_GB2312"/>
          <w:color w:val="000000" w:themeColor="text1"/>
          <w:sz w:val="32"/>
          <w14:textFill>
            <w14:solidFill>
              <w14:schemeClr w14:val="tx1"/>
            </w14:solidFill>
          </w14:textFill>
        </w:rPr>
      </w:pPr>
    </w:p>
    <w:p>
      <w:pPr>
        <w:pStyle w:val="7"/>
        <w:spacing w:line="56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第二节 增强新型电力系统支撑能力</w:t>
      </w:r>
    </w:p>
    <w:p>
      <w:pPr>
        <w:spacing w:line="560" w:lineRule="exact"/>
        <w:ind w:firstLine="640"/>
        <w:rPr>
          <w:rFonts w:eastAsia="仿宋_GB2312"/>
          <w:color w:val="000000" w:themeColor="text1"/>
          <w:sz w:val="32"/>
          <w:szCs w:val="32"/>
          <w14:textFill>
            <w14:solidFill>
              <w14:schemeClr w14:val="tx1"/>
            </w14:solidFill>
          </w14:textFill>
        </w:rPr>
      </w:pPr>
    </w:p>
    <w:p>
      <w:pPr>
        <w:spacing w:line="60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持续优化完善电力网架结构，协同推进配电网升级改造，加快建设数智化坚强电网。加快推进湘黔直流背靠背联网工程等重点电网工程建设，提升电网供电安全保障能力。统筹源网荷储资源，开展源网荷储一体化坚强局部电网建设。加强电网调峰储能能力建设，有序推进辰溪、沅陵等抽水蓄能电站建设，探索不间断电源、电动汽车等用户侧储能设施建设，推动新型储能技术多元化协调发展。探索以清洁能源为主的微电网、直流配电网模式，在偏远地区结合新型储能建设独立供电系统。</w:t>
      </w:r>
    </w:p>
    <w:p>
      <w:pPr>
        <w:pStyle w:val="7"/>
        <w:spacing w:line="560" w:lineRule="exact"/>
        <w:rPr>
          <w:rFonts w:eastAsia="仿宋_GB2312"/>
          <w:color w:val="000000" w:themeColor="text1"/>
          <w:sz w:val="32"/>
          <w14:textFill>
            <w14:solidFill>
              <w14:schemeClr w14:val="tx1"/>
            </w14:solidFill>
          </w14:textFill>
        </w:rPr>
      </w:pPr>
    </w:p>
    <w:p>
      <w:pPr>
        <w:pStyle w:val="7"/>
        <w:spacing w:line="56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第三节 推进能源消费绿色低碳转型</w:t>
      </w:r>
    </w:p>
    <w:p>
      <w:pPr>
        <w:spacing w:line="560" w:lineRule="exact"/>
        <w:ind w:firstLine="640"/>
        <w:rPr>
          <w:rFonts w:eastAsia="仿宋_GB2312"/>
          <w:color w:val="000000" w:themeColor="text1"/>
          <w:sz w:val="32"/>
          <w:szCs w:val="32"/>
          <w14:textFill>
            <w14:solidFill>
              <w14:schemeClr w14:val="tx1"/>
            </w14:solidFill>
          </w14:textFill>
        </w:rPr>
      </w:pPr>
    </w:p>
    <w:p>
      <w:pPr>
        <w:spacing w:line="60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实施能源结构优化行动，提高终端用能清洁化水平。有序实施重点领域多元清洁替代，深入推进工业、交通、建筑领域电能替代。稳步提高绿色电力消费比例，因地制宜发展绿电直连，推进新能源就近消纳，鼓励参与绿证绿电交易。支持传统加油站建设成为集加油、充电、加氢等功能于一体的综合能源站，满足市场多样化需求，推动绿色转型发展。加快布局和完善新能源汽车充电基础设施，满足日益增长的新能源汽车充电需求。到2030年，基本建成覆盖广泛、规模适度、通用开放、智能高效、业态丰富的高质量充电基础设施体系，新能源汽车渗透率达60%以上。</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9071" w:type="dxa"/>
            <w:tcBorders>
              <w:top w:val="single" w:color="auto" w:sz="4" w:space="0"/>
              <w:left w:val="single" w:color="auto" w:sz="4" w:space="0"/>
              <w:bottom w:val="single" w:color="auto" w:sz="4" w:space="0"/>
              <w:right w:val="single" w:color="auto" w:sz="4" w:space="0"/>
            </w:tcBorders>
            <w:noWrap/>
            <w:vAlign w:val="center"/>
          </w:tcPr>
          <w:p>
            <w:pPr>
              <w:pStyle w:val="13"/>
              <w:spacing w:after="0" w:line="528" w:lineRule="exact"/>
              <w:jc w:val="center"/>
              <w:rPr>
                <w:rFonts w:eastAsia="楷体_GB2312"/>
                <w:b/>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专栏12—2 能源重大工程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907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480" w:lineRule="exact"/>
              <w:ind w:firstLine="643"/>
              <w:rPr>
                <w:rFonts w:eastAsia="楷体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1.电源。</w:t>
            </w:r>
            <w:r>
              <w:rPr>
                <w:rFonts w:ascii="Times New Roman" w:hAnsi="Times New Roman" w:eastAsia="楷体_GB2312" w:cs="Times New Roman"/>
                <w:color w:val="000000" w:themeColor="text1"/>
                <w:sz w:val="32"/>
                <w:szCs w:val="32"/>
                <w14:textFill>
                  <w14:solidFill>
                    <w14:schemeClr w14:val="tx1"/>
                  </w14:solidFill>
                </w14:textFill>
              </w:rPr>
              <w:t>实施水电站扩容增效工程，力争新增装机20万千瓦；实施风电、光伏发电、生物质发电等新能源建设工程，力争新增风电装机400万千瓦以上、光伏装机50万千瓦以上、生物质发电10万千瓦以上。</w:t>
            </w:r>
          </w:p>
          <w:p>
            <w:pPr>
              <w:adjustRightInd w:val="0"/>
              <w:snapToGrid w:val="0"/>
              <w:spacing w:line="480" w:lineRule="exact"/>
              <w:ind w:firstLine="643"/>
              <w:rPr>
                <w:rFonts w:eastAsia="楷体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2.电网。</w:t>
            </w:r>
            <w:r>
              <w:rPr>
                <w:rFonts w:ascii="Times New Roman" w:hAnsi="Times New Roman" w:eastAsia="楷体_GB2312" w:cs="Times New Roman"/>
                <w:color w:val="000000" w:themeColor="text1"/>
                <w:sz w:val="32"/>
                <w:szCs w:val="32"/>
                <w14:textFill>
                  <w14:solidFill>
                    <w14:schemeClr w14:val="tx1"/>
                  </w14:solidFill>
                </w14:textFill>
              </w:rPr>
              <w:t>实施湘黔直流背靠背联网工程怀化段建设项目；实施牌楼500千伏变电站改扩建，鹤城北、洪江区、牌楼至黔城、石家坪至黔城等220千伏输变电及线路改造工程，鹤城刘塘、芷江罗旧、沅陵沃溪、辰溪黄溪口、辰溪王安坪、会同团河、沅陵太常等110千伏输变电及线路改造工程；实施辰溪孝坪抽水蓄能电站及风电、光伏发电、生物质发电等重点能源电力项目配套输电工程。</w:t>
            </w:r>
          </w:p>
          <w:p>
            <w:pPr>
              <w:adjustRightInd w:val="0"/>
              <w:snapToGrid w:val="0"/>
              <w:spacing w:line="480" w:lineRule="exact"/>
              <w:ind w:firstLine="643"/>
              <w:rPr>
                <w:rFonts w:eastAsia="楷体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3.储能。</w:t>
            </w:r>
            <w:r>
              <w:rPr>
                <w:rFonts w:ascii="Times New Roman" w:hAnsi="Times New Roman" w:eastAsia="楷体_GB2312" w:cs="Times New Roman"/>
                <w:color w:val="000000" w:themeColor="text1"/>
                <w:sz w:val="32"/>
                <w:szCs w:val="32"/>
                <w14:textFill>
                  <w14:solidFill>
                    <w14:schemeClr w14:val="tx1"/>
                  </w14:solidFill>
                </w14:textFill>
              </w:rPr>
              <w:t>实施辰溪抽水蓄能电站建设项目，积极推进沅陵抽水蓄能项目前期工作，</w:t>
            </w:r>
            <w:r>
              <w:rPr>
                <w:rFonts w:ascii="Times New Roman" w:hAnsi="Times New Roman" w:eastAsia="楷体_GB2312" w:cs="Times New Roman"/>
                <w:bCs w:val="0"/>
                <w:color w:val="000000" w:themeColor="text1"/>
                <w:sz w:val="32"/>
                <w:szCs w:val="32"/>
                <w14:textFill>
                  <w14:solidFill>
                    <w14:schemeClr w14:val="tx1"/>
                  </w14:solidFill>
                </w14:textFill>
              </w:rPr>
              <w:t>实施怀化高新区200兆瓦/800兆瓦时、辰溪县100兆瓦/200兆瓦时等电网侧新型储能电站建设项目，因地制宜建设一批用户侧储能项目。</w:t>
            </w:r>
          </w:p>
          <w:p>
            <w:pPr>
              <w:adjustRightInd w:val="0"/>
              <w:snapToGrid w:val="0"/>
              <w:spacing w:line="480" w:lineRule="exact"/>
              <w:ind w:firstLine="643"/>
              <w:rPr>
                <w:rFonts w:eastAsia="楷体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4.油气。</w:t>
            </w:r>
            <w:r>
              <w:rPr>
                <w:rFonts w:ascii="Times New Roman" w:hAnsi="Times New Roman" w:eastAsia="楷体_GB2312" w:cs="Times New Roman"/>
                <w:bCs w:val="0"/>
                <w:color w:val="000000" w:themeColor="text1"/>
                <w:sz w:val="32"/>
                <w:szCs w:val="32"/>
                <w14:textFill>
                  <w14:solidFill>
                    <w14:schemeClr w14:val="tx1"/>
                  </w14:solidFill>
                </w14:textFill>
              </w:rPr>
              <w:t>实施遵义—吉安天然气管道项目（湖南段）建设工程，实施“气化湖南工程”辰溪—泸溪—沅陵、辰溪—溆浦等天然气管道建设项目。</w:t>
            </w:r>
          </w:p>
        </w:tc>
      </w:tr>
    </w:tbl>
    <w:p>
      <w:pPr>
        <w:pStyle w:val="6"/>
        <w:spacing w:line="540" w:lineRule="exact"/>
        <w:rPr>
          <w:rFonts w:ascii="Times New Roman" w:hAnsi="Times New Roman" w:eastAsia="黑体" w:cs="Times New Roman"/>
          <w:color w:val="000000" w:themeColor="text1"/>
          <w:sz w:val="32"/>
          <w14:textFill>
            <w14:solidFill>
              <w14:schemeClr w14:val="tx1"/>
            </w14:solidFill>
          </w14:textFill>
        </w:rPr>
      </w:pPr>
    </w:p>
    <w:p>
      <w:pPr>
        <w:pStyle w:val="6"/>
        <w:spacing w:line="540" w:lineRule="exact"/>
        <w:rPr>
          <w:rFonts w:ascii="Times New Roman" w:hAnsi="Times New Roman" w:eastAsia="黑体" w:cs="Times New Roman"/>
          <w:color w:val="000000" w:themeColor="text1"/>
          <w:sz w:val="32"/>
          <w14:textFill>
            <w14:solidFill>
              <w14:schemeClr w14:val="tx1"/>
            </w14:solidFill>
          </w14:textFill>
        </w:rPr>
      </w:pPr>
      <w:bookmarkStart w:id="69" w:name="_Toc13179"/>
      <w:r>
        <w:rPr>
          <w:rFonts w:ascii="Times New Roman" w:hAnsi="Times New Roman" w:eastAsia="黑体" w:cs="Times New Roman"/>
          <w:color w:val="000000" w:themeColor="text1"/>
          <w:sz w:val="32"/>
          <w14:textFill>
            <w14:solidFill>
              <w14:schemeClr w14:val="tx1"/>
            </w14:solidFill>
          </w14:textFill>
        </w:rPr>
        <w:t>第四十一章 建设安全韧性的现代水网</w:t>
      </w:r>
      <w:bookmarkEnd w:id="69"/>
    </w:p>
    <w:p>
      <w:pPr>
        <w:pStyle w:val="7"/>
        <w:spacing w:line="540" w:lineRule="exact"/>
        <w:rPr>
          <w:rFonts w:eastAsia="仿宋_GB2312"/>
          <w:color w:val="000000" w:themeColor="text1"/>
          <w:sz w:val="32"/>
          <w14:textFill>
            <w14:solidFill>
              <w14:schemeClr w14:val="tx1"/>
            </w14:solidFill>
          </w14:textFill>
        </w:rPr>
      </w:pPr>
    </w:p>
    <w:p>
      <w:pPr>
        <w:pStyle w:val="7"/>
        <w:spacing w:line="54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第一节 加强防洪减灾体系建设</w:t>
      </w:r>
    </w:p>
    <w:p>
      <w:pPr>
        <w:spacing w:line="540" w:lineRule="exact"/>
        <w:ind w:firstLine="640"/>
        <w:rPr>
          <w:rFonts w:eastAsia="仿宋_GB2312"/>
          <w:color w:val="000000" w:themeColor="text1"/>
          <w:sz w:val="32"/>
          <w:szCs w:val="32"/>
          <w14:textFill>
            <w14:solidFill>
              <w14:schemeClr w14:val="tx1"/>
            </w14:solidFill>
          </w14:textFill>
        </w:rPr>
      </w:pPr>
    </w:p>
    <w:p>
      <w:pPr>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加强防洪控制性枢纽建设和干支流治理，构建防洪工程网，守牢防洪安全底线。加快推进山阳水库前期工作，加强薄弱环节修复整治，全面提升防洪减灾能力。加快推进沅江水系重点中小河流防洪治理，推动牧马溪等25条中小河流系统治理。加强重要山洪沟治理，实现病险水库（水闸）除险加固动态清零。构筑雨水情监测预报体系，持续推动水文基础设施建设。</w:t>
      </w:r>
      <w:r>
        <w:rPr>
          <w:rFonts w:ascii="Times New Roman" w:hAnsi="Times New Roman" w:eastAsia="仿宋_GB2312" w:cs="Times New Roman"/>
          <w:color w:val="000000" w:themeColor="text1"/>
          <w:sz w:val="32"/>
          <w:szCs w:val="32"/>
          <w14:textFill>
            <w14:solidFill>
              <w14:schemeClr w14:val="tx1"/>
            </w14:solidFill>
          </w14:textFill>
        </w:rPr>
        <w:br w:type="page"/>
      </w:r>
    </w:p>
    <w:p>
      <w:pPr>
        <w:pStyle w:val="7"/>
        <w:spacing w:line="54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第二节 健全空间均衡水网体系</w:t>
      </w:r>
    </w:p>
    <w:p>
      <w:pPr>
        <w:spacing w:line="540" w:lineRule="exact"/>
        <w:ind w:firstLine="640"/>
        <w:rPr>
          <w:rFonts w:eastAsia="仿宋_GB2312"/>
          <w:color w:val="000000" w:themeColor="text1"/>
          <w:sz w:val="32"/>
          <w:szCs w:val="32"/>
          <w14:textFill>
            <w14:solidFill>
              <w14:schemeClr w14:val="tx1"/>
            </w14:solidFill>
          </w14:textFill>
        </w:rPr>
      </w:pPr>
    </w:p>
    <w:p>
      <w:pPr>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优化区域水资源配置，推动跨流域跨区域供水水源互联互通、联网联调，推进区域引调排水工程建设，加快构建“七脉千库、一圈六带”水网体系。加快重点水源工程建设，聚焦水资源保障薄弱区域，优化现有水库、输供水工程调度运用方式，提升区域水源调蓄与长效保障能力。完善农田灌排体系，加快构建节水高效</w:t>
      </w:r>
      <w:r>
        <w:rPr>
          <w:rFonts w:hint="eastAsia"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配套完善的现代化灌排工程体系。持续推进城乡供水一体化、集中供水规模化、因地制宜实施山丘区小型供水工程规范化建设，扩大延伸城市供水管网，提高农村地区自来水普及率、规模化供水工程覆盖农村人口比例和供水保证率。</w:t>
      </w:r>
    </w:p>
    <w:p>
      <w:pPr>
        <w:pStyle w:val="7"/>
        <w:keepNext w:val="0"/>
        <w:keepLines w:val="0"/>
        <w:spacing w:line="540" w:lineRule="exact"/>
        <w:rPr>
          <w:rFonts w:eastAsia="仿宋_GB2312"/>
          <w:color w:val="000000" w:themeColor="text1"/>
          <w:sz w:val="32"/>
          <w14:textFill>
            <w14:solidFill>
              <w14:schemeClr w14:val="tx1"/>
            </w14:solidFill>
          </w14:textFill>
        </w:rPr>
      </w:pPr>
    </w:p>
    <w:p>
      <w:pPr>
        <w:pStyle w:val="7"/>
        <w:spacing w:line="54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第三节 完善水生态环境修复保护</w:t>
      </w:r>
    </w:p>
    <w:p>
      <w:pPr>
        <w:spacing w:line="540" w:lineRule="exact"/>
        <w:ind w:firstLine="640"/>
        <w:rPr>
          <w:rFonts w:eastAsia="仿宋_GB2312"/>
          <w:color w:val="000000" w:themeColor="text1"/>
          <w:sz w:val="32"/>
          <w:szCs w:val="32"/>
          <w14:textFill>
            <w14:solidFill>
              <w14:schemeClr w14:val="tx1"/>
            </w14:solidFill>
          </w14:textFill>
        </w:rPr>
      </w:pPr>
    </w:p>
    <w:p>
      <w:pPr>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扎实推进河长制，统筹水资源、水环境、水生态治理，推动市级河湖复苏行动，实施河流水生态修复保护工程，落实科学生态补水、加强水资源集约节约调度、强化生态流量泄放等措施，改善河湖生态环境。持续实施水土流失综合治理，不断提升市域水土流失治理率，一体化推进水土保持工程建设，培育水土保持生态产品，探索建立水土保持投入循环机制。</w:t>
      </w:r>
    </w:p>
    <w:p>
      <w:pPr>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br w:type="page"/>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8" w:hRule="atLeast"/>
        </w:trPr>
        <w:tc>
          <w:tcPr>
            <w:tcW w:w="9071" w:type="dxa"/>
            <w:tcBorders>
              <w:top w:val="single" w:color="auto" w:sz="4" w:space="0"/>
              <w:left w:val="single" w:color="auto" w:sz="4" w:space="0"/>
              <w:bottom w:val="single" w:color="auto" w:sz="4" w:space="0"/>
              <w:right w:val="single" w:color="auto" w:sz="4" w:space="0"/>
            </w:tcBorders>
            <w:noWrap/>
            <w:vAlign w:val="center"/>
          </w:tcPr>
          <w:p>
            <w:pPr>
              <w:pStyle w:val="13"/>
              <w:spacing w:after="0" w:line="490" w:lineRule="exact"/>
              <w:jc w:val="center"/>
              <w:rPr>
                <w:rFonts w:eastAsia="方正黑体_GBK"/>
                <w:b/>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专栏12—3 水利重大工程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9071" w:type="dxa"/>
            <w:tcBorders>
              <w:top w:val="single" w:color="auto" w:sz="4" w:space="0"/>
              <w:left w:val="single" w:color="auto" w:sz="4" w:space="0"/>
              <w:bottom w:val="single" w:color="auto" w:sz="4" w:space="0"/>
              <w:right w:val="single" w:color="auto" w:sz="4" w:space="0"/>
            </w:tcBorders>
            <w:noWrap/>
          </w:tcPr>
          <w:p>
            <w:pPr>
              <w:adjustRightInd w:val="0"/>
              <w:snapToGrid w:val="0"/>
              <w:spacing w:line="490" w:lineRule="exact"/>
              <w:ind w:firstLine="643"/>
              <w:rPr>
                <w:rFonts w:eastAsia="楷体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1.防洪减灾。</w:t>
            </w:r>
            <w:r>
              <w:rPr>
                <w:rFonts w:ascii="Times New Roman" w:hAnsi="Times New Roman" w:eastAsia="楷体_GB2312" w:cs="Times New Roman"/>
                <w:color w:val="000000" w:themeColor="text1"/>
                <w:sz w:val="32"/>
                <w:szCs w:val="32"/>
                <w14:textFill>
                  <w14:solidFill>
                    <w14:schemeClr w14:val="tx1"/>
                  </w14:solidFill>
                </w14:textFill>
              </w:rPr>
              <w:t>完成沅江干流防洪治理工程，实施城市防洪保护圈闭合工程、病险水库（水闸）除险加固工程、雨水情监测预报工程。</w:t>
            </w:r>
          </w:p>
          <w:p>
            <w:pPr>
              <w:spacing w:line="490" w:lineRule="exact"/>
              <w:ind w:firstLine="643"/>
              <w:rPr>
                <w:rFonts w:eastAsia="楷体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2.水网建设。</w:t>
            </w:r>
            <w:r>
              <w:rPr>
                <w:rFonts w:ascii="Times New Roman" w:hAnsi="Times New Roman" w:eastAsia="楷体_GB2312" w:cs="Times New Roman"/>
                <w:color w:val="000000" w:themeColor="text1"/>
                <w:sz w:val="32"/>
                <w:szCs w:val="32"/>
                <w14:textFill>
                  <w14:solidFill>
                    <w14:schemeClr w14:val="tx1"/>
                  </w14:solidFill>
                </w14:textFill>
              </w:rPr>
              <w:t>建成岩板田水库，适时启动龙王洞、狮子岩、五斗坪、杉木冲等</w:t>
            </w:r>
            <w:r>
              <w:rPr>
                <w:rFonts w:hint="eastAsia" w:ascii="Times New Roman" w:hAnsi="Times New Roman" w:eastAsia="楷体_GB2312" w:cs="Times New Roman"/>
                <w:color w:val="000000" w:themeColor="text1"/>
                <w:sz w:val="32"/>
                <w:szCs w:val="32"/>
                <w14:textFill>
                  <w14:solidFill>
                    <w14:schemeClr w14:val="tx1"/>
                  </w14:solidFill>
                </w14:textFill>
              </w:rPr>
              <w:t>水库</w:t>
            </w:r>
            <w:r>
              <w:rPr>
                <w:rFonts w:ascii="Times New Roman" w:hAnsi="Times New Roman" w:eastAsia="楷体_GB2312" w:cs="Times New Roman"/>
                <w:color w:val="000000" w:themeColor="text1"/>
                <w:sz w:val="32"/>
                <w:szCs w:val="32"/>
                <w14:textFill>
                  <w14:solidFill>
                    <w14:schemeClr w14:val="tx1"/>
                  </w14:solidFill>
                </w14:textFill>
              </w:rPr>
              <w:t>项目前期工作。建成㵲水、金麦等大中型灌区，力争开工王家洞中型灌区建设</w:t>
            </w:r>
            <w:r>
              <w:rPr>
                <w:rFonts w:hint="eastAsia" w:ascii="Times New Roman" w:hAnsi="Times New Roman" w:eastAsia="楷体_GB2312" w:cs="Times New Roman"/>
                <w:color w:val="000000" w:themeColor="text1"/>
                <w:sz w:val="32"/>
                <w:szCs w:val="32"/>
                <w14:textFill>
                  <w14:solidFill>
                    <w14:schemeClr w14:val="tx1"/>
                  </w14:solidFill>
                </w14:textFill>
              </w:rPr>
              <w:t>。</w:t>
            </w:r>
            <w:r>
              <w:rPr>
                <w:rFonts w:ascii="Times New Roman" w:hAnsi="Times New Roman" w:eastAsia="楷体_GB2312" w:cs="Times New Roman"/>
                <w:color w:val="000000" w:themeColor="text1"/>
                <w:sz w:val="32"/>
                <w:szCs w:val="32"/>
                <w14:textFill>
                  <w14:solidFill>
                    <w14:schemeClr w14:val="tx1"/>
                  </w14:solidFill>
                </w14:textFill>
              </w:rPr>
              <w:t>持续推进溆水大型灌区续建配套与现代化改造前期</w:t>
            </w:r>
            <w:r>
              <w:rPr>
                <w:rFonts w:hint="eastAsia" w:eastAsia="楷体_GB2312" w:cs="Times New Roman"/>
                <w:color w:val="000000" w:themeColor="text1"/>
                <w:sz w:val="32"/>
                <w:szCs w:val="32"/>
                <w14:textFill>
                  <w14:solidFill>
                    <w14:schemeClr w14:val="tx1"/>
                  </w14:solidFill>
                </w14:textFill>
              </w:rPr>
              <w:t>工作</w:t>
            </w:r>
            <w:r>
              <w:rPr>
                <w:rFonts w:ascii="Times New Roman" w:hAnsi="Times New Roman" w:eastAsia="楷体_GB2312" w:cs="Times New Roman"/>
                <w:color w:val="000000" w:themeColor="text1"/>
                <w:sz w:val="32"/>
                <w:szCs w:val="32"/>
                <w14:textFill>
                  <w14:solidFill>
                    <w14:schemeClr w14:val="tx1"/>
                  </w14:solidFill>
                </w14:textFill>
              </w:rPr>
              <w:t>，加快推进湖南省渠水大型灌区</w:t>
            </w:r>
            <w:r>
              <w:rPr>
                <w:rFonts w:hint="eastAsia" w:ascii="Times New Roman" w:hAnsi="Times New Roman" w:eastAsia="楷体_GB2312" w:cs="Times New Roman"/>
                <w:color w:val="000000" w:themeColor="text1"/>
                <w:sz w:val="32"/>
                <w:szCs w:val="32"/>
                <w14:textFill>
                  <w14:solidFill>
                    <w14:schemeClr w14:val="tx1"/>
                  </w14:solidFill>
                </w14:textFill>
              </w:rPr>
              <w:t>、</w:t>
            </w:r>
            <w:r>
              <w:rPr>
                <w:rFonts w:ascii="Times New Roman" w:hAnsi="Times New Roman" w:eastAsia="楷体_GB2312" w:cs="Times New Roman"/>
                <w:color w:val="000000" w:themeColor="text1"/>
                <w:sz w:val="32"/>
                <w:szCs w:val="32"/>
                <w14:textFill>
                  <w14:solidFill>
                    <w14:schemeClr w14:val="tx1"/>
                  </w14:solidFill>
                </w14:textFill>
              </w:rPr>
              <w:t>岩屋潭</w:t>
            </w:r>
            <w:r>
              <w:rPr>
                <w:rFonts w:hint="eastAsia" w:ascii="Times New Roman" w:hAnsi="Times New Roman" w:eastAsia="楷体_GB2312" w:cs="Times New Roman"/>
                <w:color w:val="000000" w:themeColor="text1"/>
                <w:sz w:val="32"/>
                <w:szCs w:val="32"/>
                <w14:textFill>
                  <w14:solidFill>
                    <w14:schemeClr w14:val="tx1"/>
                  </w14:solidFill>
                </w14:textFill>
              </w:rPr>
              <w:t>中型灌区</w:t>
            </w:r>
            <w:r>
              <w:rPr>
                <w:rFonts w:ascii="Times New Roman" w:hAnsi="Times New Roman" w:eastAsia="楷体_GB2312" w:cs="Times New Roman"/>
                <w:color w:val="000000" w:themeColor="text1"/>
                <w:sz w:val="32"/>
                <w:szCs w:val="32"/>
                <w14:textFill>
                  <w14:solidFill>
                    <w14:schemeClr w14:val="tx1"/>
                  </w14:solidFill>
                </w14:textFill>
              </w:rPr>
              <w:t>前期论证。实施农村供水“三化”建设工程（城乡供水一体化、集中供水规模化、小型供水工程</w:t>
            </w:r>
            <w:r>
              <w:rPr>
                <w:rFonts w:hint="eastAsia" w:eastAsia="楷体_GB2312" w:cs="Times New Roman"/>
                <w:color w:val="000000" w:themeColor="text1"/>
                <w:sz w:val="32"/>
                <w:szCs w:val="32"/>
                <w14:textFill>
                  <w14:solidFill>
                    <w14:schemeClr w14:val="tx1"/>
                  </w14:solidFill>
                </w14:textFill>
              </w:rPr>
              <w:t>规范</w:t>
            </w:r>
            <w:r>
              <w:rPr>
                <w:rFonts w:ascii="Times New Roman" w:hAnsi="Times New Roman" w:eastAsia="楷体_GB2312" w:cs="Times New Roman"/>
                <w:color w:val="000000" w:themeColor="text1"/>
                <w:sz w:val="32"/>
                <w:szCs w:val="32"/>
                <w14:textFill>
                  <w14:solidFill>
                    <w14:schemeClr w14:val="tx1"/>
                  </w14:solidFill>
                </w14:textFill>
              </w:rPr>
              <w:t>化建设）</w:t>
            </w:r>
            <w:r>
              <w:rPr>
                <w:rFonts w:hint="eastAsia" w:ascii="Times New Roman" w:hAnsi="Times New Roman" w:eastAsia="楷体_GB2312" w:cs="Times New Roman"/>
                <w:color w:val="000000" w:themeColor="text1"/>
                <w:sz w:val="32"/>
                <w:szCs w:val="32"/>
                <w14:textFill>
                  <w14:solidFill>
                    <w14:schemeClr w14:val="tx1"/>
                  </w14:solidFill>
                </w14:textFill>
              </w:rPr>
              <w:t>。</w:t>
            </w:r>
          </w:p>
          <w:p>
            <w:pPr>
              <w:adjustRightInd w:val="0"/>
              <w:snapToGrid w:val="0"/>
              <w:spacing w:line="490" w:lineRule="exact"/>
              <w:ind w:firstLine="643"/>
              <w:rPr>
                <w:rFonts w:eastAsia="仿宋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3.水生态保护修复。</w:t>
            </w:r>
            <w:r>
              <w:rPr>
                <w:rFonts w:ascii="Times New Roman" w:hAnsi="Times New Roman" w:eastAsia="楷体_GB2312" w:cs="Times New Roman"/>
                <w:color w:val="000000" w:themeColor="text1"/>
                <w:sz w:val="32"/>
                <w:szCs w:val="32"/>
                <w14:textFill>
                  <w14:solidFill>
                    <w14:schemeClr w14:val="tx1"/>
                  </w14:solidFill>
                </w14:textFill>
              </w:rPr>
              <w:t>完成幸福河湖工程及芷江县一体化推进水土保持工程等项目建设。</w:t>
            </w:r>
          </w:p>
        </w:tc>
      </w:tr>
    </w:tbl>
    <w:p>
      <w:pPr>
        <w:rPr>
          <w:rFonts w:eastAsia="仿宋_GB2312"/>
          <w:color w:val="000000" w:themeColor="text1"/>
          <w14:textFill>
            <w14:solidFill>
              <w14:schemeClr w14:val="tx1"/>
            </w14:solidFill>
          </w14:textFill>
        </w:rPr>
      </w:pPr>
    </w:p>
    <w:p>
      <w:pPr>
        <w:pStyle w:val="5"/>
        <w:spacing w:line="560" w:lineRule="exact"/>
        <w:rPr>
          <w:rFonts w:eastAsia="方正小标宋简体"/>
          <w:color w:val="000000" w:themeColor="text1"/>
          <w:szCs w:val="32"/>
          <w14:textFill>
            <w14:solidFill>
              <w14:schemeClr w14:val="tx1"/>
            </w14:solidFill>
          </w14:textFill>
        </w:rPr>
      </w:pPr>
    </w:p>
    <w:p>
      <w:pPr>
        <w:ind w:firstLine="640"/>
        <w:rPr>
          <w:rFonts w:eastAsia="方正小标宋简体"/>
          <w:bCs w:val="0"/>
          <w:color w:val="000000" w:themeColor="text1"/>
          <w:sz w:val="32"/>
          <w:szCs w:val="32"/>
          <w14:textFill>
            <w14:solidFill>
              <w14:schemeClr w14:val="tx1"/>
            </w14:solidFill>
          </w14:textFill>
        </w:rPr>
      </w:pPr>
    </w:p>
    <w:p>
      <w:pPr>
        <w:ind w:firstLine="640"/>
        <w:rPr>
          <w:rFonts w:eastAsia="方正小标宋简体"/>
          <w:bCs w:val="0"/>
          <w:color w:val="000000" w:themeColor="text1"/>
          <w:sz w:val="32"/>
          <w:szCs w:val="32"/>
          <w14:textFill>
            <w14:solidFill>
              <w14:schemeClr w14:val="tx1"/>
            </w14:solidFill>
          </w14:textFill>
        </w:rPr>
        <w:sectPr>
          <w:pgSz w:w="11906" w:h="16838"/>
          <w:pgMar w:top="2098" w:right="1361" w:bottom="1701" w:left="1417" w:header="851" w:footer="992" w:gutter="0"/>
          <w:cols w:space="0" w:num="1"/>
          <w:docGrid w:type="lines" w:linePitch="312" w:charSpace="0"/>
        </w:sectPr>
      </w:pPr>
    </w:p>
    <w:p>
      <w:pPr>
        <w:pStyle w:val="5"/>
        <w:spacing w:line="560" w:lineRule="exact"/>
        <w:rPr>
          <w:rFonts w:eastAsia="方正小标宋简体"/>
          <w:color w:val="000000" w:themeColor="text1"/>
          <w:spacing w:val="-6"/>
          <w:sz w:val="36"/>
          <w:szCs w:val="36"/>
          <w14:textFill>
            <w14:solidFill>
              <w14:schemeClr w14:val="tx1"/>
            </w14:solidFill>
          </w14:textFill>
        </w:rPr>
      </w:pPr>
      <w:bookmarkStart w:id="70" w:name="_Toc15764"/>
      <w:r>
        <w:rPr>
          <w:rFonts w:eastAsia="方正小标宋简体"/>
          <w:color w:val="000000" w:themeColor="text1"/>
          <w:spacing w:val="-6"/>
          <w:sz w:val="36"/>
          <w:szCs w:val="36"/>
          <w14:textFill>
            <w14:solidFill>
              <w14:schemeClr w14:val="tx1"/>
            </w14:solidFill>
          </w14:textFill>
        </w:rPr>
        <w:t>第十三篇 推动经济社会数智化转型，深入推进数字怀化建设</w:t>
      </w:r>
      <w:bookmarkEnd w:id="70"/>
    </w:p>
    <w:p>
      <w:pPr>
        <w:spacing w:line="560" w:lineRule="exact"/>
        <w:ind w:firstLine="640"/>
        <w:rPr>
          <w:rFonts w:eastAsia="仿宋_GB2312"/>
          <w:color w:val="000000" w:themeColor="text1"/>
          <w:sz w:val="32"/>
          <w:szCs w:val="32"/>
          <w:lang w:val="en"/>
          <w14:textFill>
            <w14:solidFill>
              <w14:schemeClr w14:val="tx1"/>
            </w14:solidFill>
          </w14:textFill>
        </w:rPr>
      </w:pPr>
    </w:p>
    <w:p>
      <w:pPr>
        <w:spacing w:line="56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bCs w:val="0"/>
          <w:color w:val="000000" w:themeColor="text1"/>
          <w:sz w:val="32"/>
          <w:szCs w:val="32"/>
          <w:lang w:val="en"/>
          <w14:textFill>
            <w14:solidFill>
              <w14:schemeClr w14:val="tx1"/>
            </w14:solidFill>
          </w14:textFill>
        </w:rPr>
        <w:t>加快全域数字化智能化转型升级，系统推进数字设施共建、数据要素共用、场景应用共创、数字环境共治，推动人工智能与经济社会各行业各领域广泛深度融合，提升数字经济发展能级</w:t>
      </w:r>
      <w:r>
        <w:rPr>
          <w:rFonts w:ascii="Times New Roman" w:hAnsi="Times New Roman" w:eastAsia="仿宋_GB2312" w:cs="Times New Roman"/>
          <w:bCs w:val="0"/>
          <w:color w:val="000000" w:themeColor="text1"/>
          <w:sz w:val="32"/>
          <w:szCs w:val="32"/>
          <w14:textFill>
            <w14:solidFill>
              <w14:schemeClr w14:val="tx1"/>
            </w14:solidFill>
          </w14:textFill>
        </w:rPr>
        <w:t>。</w:t>
      </w:r>
    </w:p>
    <w:p>
      <w:pPr>
        <w:pStyle w:val="6"/>
        <w:spacing w:line="560" w:lineRule="exact"/>
        <w:rPr>
          <w:rFonts w:ascii="Times New Roman" w:hAnsi="Times New Roman" w:eastAsia="仿宋_GB2312" w:cs="Times New Roman"/>
          <w:color w:val="000000" w:themeColor="text1"/>
          <w:sz w:val="32"/>
          <w14:textFill>
            <w14:solidFill>
              <w14:schemeClr w14:val="tx1"/>
            </w14:solidFill>
          </w14:textFill>
        </w:rPr>
      </w:pPr>
    </w:p>
    <w:p>
      <w:pPr>
        <w:pStyle w:val="6"/>
        <w:spacing w:line="560" w:lineRule="exact"/>
        <w:rPr>
          <w:rFonts w:ascii="Times New Roman" w:hAnsi="Times New Roman" w:eastAsia="黑体" w:cs="Times New Roman"/>
          <w:color w:val="000000" w:themeColor="text1"/>
          <w:sz w:val="32"/>
          <w14:textFill>
            <w14:solidFill>
              <w14:schemeClr w14:val="tx1"/>
            </w14:solidFill>
          </w14:textFill>
        </w:rPr>
      </w:pPr>
      <w:bookmarkStart w:id="71" w:name="_Toc25467"/>
      <w:r>
        <w:rPr>
          <w:rFonts w:ascii="Times New Roman" w:hAnsi="Times New Roman" w:eastAsia="黑体" w:cs="Times New Roman"/>
          <w:color w:val="000000" w:themeColor="text1"/>
          <w:sz w:val="32"/>
          <w14:textFill>
            <w14:solidFill>
              <w14:schemeClr w14:val="tx1"/>
            </w14:solidFill>
          </w14:textFill>
        </w:rPr>
        <w:t>第四十二章 夯实数字化智能化发展基础</w:t>
      </w:r>
      <w:bookmarkEnd w:id="71"/>
    </w:p>
    <w:p>
      <w:pPr>
        <w:pStyle w:val="7"/>
        <w:spacing w:line="560" w:lineRule="exact"/>
        <w:rPr>
          <w:rFonts w:eastAsia="仿宋_GB2312"/>
          <w:color w:val="000000" w:themeColor="text1"/>
          <w:sz w:val="32"/>
          <w14:textFill>
            <w14:solidFill>
              <w14:schemeClr w14:val="tx1"/>
            </w14:solidFill>
          </w14:textFill>
        </w:rPr>
      </w:pPr>
    </w:p>
    <w:p>
      <w:pPr>
        <w:pStyle w:val="7"/>
        <w:spacing w:line="56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第一节 扎实推进高水平网络基础设施建设</w:t>
      </w:r>
    </w:p>
    <w:p>
      <w:pPr>
        <w:spacing w:line="560" w:lineRule="exact"/>
        <w:ind w:firstLine="640"/>
        <w:rPr>
          <w:rFonts w:eastAsia="仿宋_GB2312"/>
          <w:color w:val="000000" w:themeColor="text1"/>
          <w:sz w:val="32"/>
          <w:szCs w:val="32"/>
          <w:lang w:val="en"/>
          <w14:textFill>
            <w14:solidFill>
              <w14:schemeClr w14:val="tx1"/>
            </w14:solidFill>
          </w14:textFill>
        </w:rPr>
      </w:pPr>
    </w:p>
    <w:p>
      <w:pPr>
        <w:spacing w:line="56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bCs w:val="0"/>
          <w:color w:val="000000" w:themeColor="text1"/>
          <w:sz w:val="32"/>
          <w:szCs w:val="32"/>
          <w14:textFill>
            <w14:solidFill>
              <w14:schemeClr w14:val="tx1"/>
            </w14:solidFill>
          </w14:textFill>
        </w:rPr>
        <w:t>夯实全域优质5G网络覆盖，</w:t>
      </w:r>
      <w:r>
        <w:rPr>
          <w:rFonts w:ascii="Times New Roman" w:hAnsi="Times New Roman" w:eastAsia="仿宋_GB2312" w:cs="Times New Roman"/>
          <w:bCs w:val="0"/>
          <w:color w:val="000000" w:themeColor="text1"/>
          <w:sz w:val="32"/>
          <w:szCs w:val="32"/>
          <w:lang w:val="en"/>
          <w14:textFill>
            <w14:solidFill>
              <w14:schemeClr w14:val="tx1"/>
            </w14:solidFill>
          </w14:textFill>
        </w:rPr>
        <w:t>扩大5G—</w:t>
      </w:r>
      <w:r>
        <w:rPr>
          <w:rFonts w:ascii="Times New Roman" w:hAnsi="Times New Roman" w:eastAsia="仿宋_GB2312" w:cs="Times New Roman"/>
          <w:bCs w:val="0"/>
          <w:color w:val="000000" w:themeColor="text1"/>
          <w:sz w:val="32"/>
          <w:szCs w:val="32"/>
          <w14:textFill>
            <w14:solidFill>
              <w14:schemeClr w14:val="tx1"/>
            </w14:solidFill>
          </w14:textFill>
        </w:rPr>
        <w:t>A商用部署</w:t>
      </w:r>
      <w:r>
        <w:rPr>
          <w:rFonts w:ascii="Times New Roman" w:hAnsi="Times New Roman" w:eastAsia="仿宋_GB2312" w:cs="Times New Roman"/>
          <w:bCs w:val="0"/>
          <w:color w:val="000000" w:themeColor="text1"/>
          <w:sz w:val="32"/>
          <w:szCs w:val="32"/>
          <w:lang w:val="en"/>
          <w14:textFill>
            <w14:solidFill>
              <w14:schemeClr w14:val="tx1"/>
            </w14:solidFill>
          </w14:textFill>
        </w:rPr>
        <w:t>，</w:t>
      </w:r>
      <w:r>
        <w:rPr>
          <w:rFonts w:ascii="Times New Roman" w:hAnsi="Times New Roman" w:eastAsia="仿宋_GB2312" w:cs="Times New Roman"/>
          <w:bCs w:val="0"/>
          <w:color w:val="000000" w:themeColor="text1"/>
          <w:sz w:val="32"/>
          <w:szCs w:val="32"/>
          <w14:textFill>
            <w14:solidFill>
              <w14:schemeClr w14:val="tx1"/>
            </w14:solidFill>
          </w14:textFill>
        </w:rPr>
        <w:t>实现市级5G—A超宽带特性规模覆盖，探索6G网络商业化落地路径</w:t>
      </w:r>
      <w:r>
        <w:rPr>
          <w:rFonts w:ascii="Times New Roman" w:hAnsi="Times New Roman" w:eastAsia="仿宋_GB2312" w:cs="Times New Roman"/>
          <w:bCs w:val="0"/>
          <w:color w:val="000000" w:themeColor="text1"/>
          <w:sz w:val="32"/>
          <w:szCs w:val="32"/>
          <w:lang w:val="en"/>
          <w14:textFill>
            <w14:solidFill>
              <w14:schemeClr w14:val="tx1"/>
            </w14:solidFill>
          </w14:textFill>
        </w:rPr>
        <w:t>。加快推动互联网协议第六版（IPv6）升级部署，提升IPv6用户普及率和网络接入覆盖率。</w:t>
      </w:r>
      <w:r>
        <w:rPr>
          <w:rFonts w:ascii="Times New Roman" w:hAnsi="Times New Roman" w:eastAsia="仿宋_GB2312" w:cs="Times New Roman"/>
          <w:bCs w:val="0"/>
          <w:color w:val="000000" w:themeColor="text1"/>
          <w:sz w:val="32"/>
          <w:szCs w:val="32"/>
          <w14:textFill>
            <w14:solidFill>
              <w14:schemeClr w14:val="tx1"/>
            </w14:solidFill>
          </w14:textFill>
        </w:rPr>
        <w:t>推进骨干网、城域网、接入网升级改造，推动建设SDN、NFV等新型网络，争取建设新型互联网交换中心。</w:t>
      </w:r>
      <w:r>
        <w:rPr>
          <w:rFonts w:ascii="Times New Roman" w:hAnsi="Times New Roman" w:eastAsia="仿宋_GB2312" w:cs="Times New Roman"/>
          <w:bCs w:val="0"/>
          <w:color w:val="000000" w:themeColor="text1"/>
          <w:sz w:val="32"/>
          <w:szCs w:val="32"/>
          <w:lang w:val="en"/>
          <w14:textFill>
            <w14:solidFill>
              <w14:schemeClr w14:val="tx1"/>
            </w14:solidFill>
          </w14:textFill>
        </w:rPr>
        <w:t>加快</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仿宋_GB2312" w:cs="Times New Roman"/>
          <w:bCs w:val="0"/>
          <w:color w:val="000000" w:themeColor="text1"/>
          <w:sz w:val="32"/>
          <w:szCs w:val="32"/>
          <w:lang w:val="en"/>
          <w14:textFill>
            <w14:solidFill>
              <w14:schemeClr w14:val="tx1"/>
            </w14:solidFill>
          </w14:textFill>
        </w:rPr>
        <w:t>人工智能+</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仿宋_GB2312" w:cs="Times New Roman"/>
          <w:bCs w:val="0"/>
          <w:color w:val="000000" w:themeColor="text1"/>
          <w:sz w:val="32"/>
          <w:szCs w:val="32"/>
          <w:lang w:val="en"/>
          <w14:textFill>
            <w14:solidFill>
              <w14:schemeClr w14:val="tx1"/>
            </w14:solidFill>
          </w14:textFill>
        </w:rPr>
        <w:t>终端部署与应用，持续缩小城乡数字鸿沟。积极</w:t>
      </w:r>
      <w:r>
        <w:rPr>
          <w:rFonts w:ascii="Times New Roman" w:hAnsi="Times New Roman" w:eastAsia="仿宋_GB2312" w:cs="Times New Roman"/>
          <w:bCs w:val="0"/>
          <w:color w:val="000000" w:themeColor="text1"/>
          <w:sz w:val="32"/>
          <w:szCs w:val="32"/>
          <w14:textFill>
            <w14:solidFill>
              <w14:schemeClr w14:val="tx1"/>
            </w14:solidFill>
          </w14:textFill>
        </w:rPr>
        <w:t>融入</w:t>
      </w:r>
      <w:r>
        <w:rPr>
          <w:rFonts w:ascii="Times New Roman" w:hAnsi="Times New Roman" w:eastAsia="仿宋_GB2312" w:cs="Times New Roman"/>
          <w:bCs w:val="0"/>
          <w:color w:val="000000" w:themeColor="text1"/>
          <w:sz w:val="32"/>
          <w:szCs w:val="32"/>
          <w:lang w:val="en"/>
          <w14:textFill>
            <w14:solidFill>
              <w14:schemeClr w14:val="tx1"/>
            </w14:solidFill>
          </w14:textFill>
        </w:rPr>
        <w:t>国家卫星互联网，</w:t>
      </w:r>
      <w:r>
        <w:rPr>
          <w:rFonts w:ascii="Times New Roman" w:hAnsi="Times New Roman" w:eastAsia="仿宋_GB2312" w:cs="Times New Roman"/>
          <w:bCs w:val="0"/>
          <w:color w:val="000000" w:themeColor="text1"/>
          <w:sz w:val="32"/>
          <w:szCs w:val="32"/>
          <w14:textFill>
            <w14:solidFill>
              <w14:schemeClr w14:val="tx1"/>
            </w14:solidFill>
          </w14:textFill>
        </w:rPr>
        <w:t>争取</w:t>
      </w:r>
      <w:r>
        <w:rPr>
          <w:rFonts w:ascii="Times New Roman" w:hAnsi="Times New Roman" w:eastAsia="仿宋_GB2312" w:cs="Times New Roman"/>
          <w:bCs w:val="0"/>
          <w:color w:val="000000" w:themeColor="text1"/>
          <w:sz w:val="32"/>
          <w:szCs w:val="32"/>
          <w:lang w:val="en"/>
          <w14:textFill>
            <w14:solidFill>
              <w14:schemeClr w14:val="tx1"/>
            </w14:solidFill>
          </w14:textFill>
        </w:rPr>
        <w:t>布局地面运控中心</w:t>
      </w:r>
      <w:r>
        <w:rPr>
          <w:rFonts w:ascii="Times New Roman" w:hAnsi="Times New Roman" w:eastAsia="仿宋_GB2312" w:cs="Times New Roman"/>
          <w:bCs w:val="0"/>
          <w:color w:val="000000" w:themeColor="text1"/>
          <w:sz w:val="32"/>
          <w:szCs w:val="32"/>
          <w14:textFill>
            <w14:solidFill>
              <w14:schemeClr w14:val="tx1"/>
            </w14:solidFill>
          </w14:textFill>
        </w:rPr>
        <w:t>及</w:t>
      </w:r>
      <w:r>
        <w:rPr>
          <w:rFonts w:ascii="Times New Roman" w:hAnsi="Times New Roman" w:eastAsia="仿宋_GB2312" w:cs="Times New Roman"/>
          <w:bCs w:val="0"/>
          <w:color w:val="000000" w:themeColor="text1"/>
          <w:sz w:val="32"/>
          <w:szCs w:val="32"/>
          <w:lang w:val="en"/>
          <w14:textFill>
            <w14:solidFill>
              <w14:schemeClr w14:val="tx1"/>
            </w14:solidFill>
          </w14:textFill>
        </w:rPr>
        <w:t>数据接收站。适度超前布局量子信息、区块链等前沿领域基础设施。</w:t>
      </w:r>
    </w:p>
    <w:p>
      <w:pPr>
        <w:spacing w:line="560" w:lineRule="exact"/>
        <w:ind w:firstLine="640"/>
        <w:rPr>
          <w:rFonts w:eastAsia="仿宋_GB2312"/>
          <w:color w:val="000000" w:themeColor="text1"/>
          <w:sz w:val="32"/>
          <w:szCs w:val="32"/>
          <w14:textFill>
            <w14:solidFill>
              <w14:schemeClr w14:val="tx1"/>
            </w14:solidFill>
          </w14:textFill>
        </w:rPr>
      </w:pPr>
    </w:p>
    <w:p>
      <w:pPr>
        <w:pStyle w:val="7"/>
        <w:spacing w:line="56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第二节 适度扩大算力供给</w:t>
      </w:r>
    </w:p>
    <w:p>
      <w:pPr>
        <w:spacing w:line="560" w:lineRule="exact"/>
        <w:ind w:firstLine="640"/>
        <w:rPr>
          <w:rFonts w:eastAsia="仿宋_GB2312"/>
          <w:color w:val="000000" w:themeColor="text1"/>
          <w:sz w:val="32"/>
          <w:szCs w:val="32"/>
          <w:lang w:val="en"/>
          <w14:textFill>
            <w14:solidFill>
              <w14:schemeClr w14:val="tx1"/>
            </w14:solidFill>
          </w14:textFill>
        </w:rPr>
      </w:pPr>
    </w:p>
    <w:p>
      <w:pPr>
        <w:spacing w:line="560" w:lineRule="exact"/>
        <w:ind w:firstLine="640"/>
        <w:rPr>
          <w:rFonts w:eastAsia="仿宋_GB2312"/>
          <w:color w:val="000000" w:themeColor="text1"/>
          <w:sz w:val="32"/>
          <w:szCs w:val="32"/>
          <w:lang w:val="en"/>
          <w14:textFill>
            <w14:solidFill>
              <w14:schemeClr w14:val="tx1"/>
            </w14:solidFill>
          </w14:textFill>
        </w:rPr>
      </w:pPr>
      <w:r>
        <w:rPr>
          <w:rFonts w:ascii="Times New Roman" w:hAnsi="Times New Roman" w:eastAsia="仿宋_GB2312" w:cs="Times New Roman"/>
          <w:bCs w:val="0"/>
          <w:color w:val="000000" w:themeColor="text1"/>
          <w:sz w:val="32"/>
          <w:szCs w:val="32"/>
          <w:lang w:val="en"/>
          <w14:textFill>
            <w14:solidFill>
              <w14:schemeClr w14:val="tx1"/>
            </w14:solidFill>
          </w14:textFill>
        </w:rPr>
        <w:t>积极对接国家一体化大数据中心、一体化政务大数据体系等重大战略工程。推动算力跨区域互联互通，强化算力资源全域统筹，</w:t>
      </w:r>
      <w:r>
        <w:rPr>
          <w:rFonts w:ascii="Times New Roman" w:hAnsi="Times New Roman" w:eastAsia="仿宋_GB2312" w:cs="Times New Roman"/>
          <w:color w:val="000000" w:themeColor="text1"/>
          <w:sz w:val="32"/>
          <w:szCs w:val="32"/>
          <w:lang w:val="en"/>
          <w14:textFill>
            <w14:solidFill>
              <w14:schemeClr w14:val="tx1"/>
            </w14:solidFill>
          </w14:textFill>
        </w:rPr>
        <w:t>推动算力资源规模化、集约化、绿色化、普惠化发展。提升算力普惠易用水平，用好用足</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算力券</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政策，降低中小企业用算成本。</w:t>
      </w:r>
      <w:r>
        <w:rPr>
          <w:rFonts w:ascii="Times New Roman" w:hAnsi="Times New Roman" w:eastAsia="仿宋_GB2312" w:cs="Times New Roman"/>
          <w:bCs w:val="0"/>
          <w:color w:val="000000" w:themeColor="text1"/>
          <w:sz w:val="32"/>
          <w:szCs w:val="32"/>
          <w14:textFill>
            <w14:solidFill>
              <w14:schemeClr w14:val="tx1"/>
            </w14:solidFill>
          </w14:textFill>
        </w:rPr>
        <w:t>探索建立跨地区算力调度网络传输、算电融合、运营服务等协同机制，</w:t>
      </w:r>
      <w:r>
        <w:rPr>
          <w:rFonts w:ascii="Times New Roman" w:hAnsi="Times New Roman" w:eastAsia="仿宋_GB2312" w:cs="Times New Roman"/>
          <w:bCs w:val="0"/>
          <w:color w:val="000000" w:themeColor="text1"/>
          <w:sz w:val="32"/>
          <w:szCs w:val="32"/>
          <w:lang w:val="en"/>
          <w14:textFill>
            <w14:solidFill>
              <w14:schemeClr w14:val="tx1"/>
            </w14:solidFill>
          </w14:textFill>
        </w:rPr>
        <w:t>联动国家超级计算长沙中心</w:t>
      </w:r>
      <w:r>
        <w:rPr>
          <w:rFonts w:ascii="Times New Roman" w:hAnsi="Times New Roman" w:eastAsia="仿宋_GB2312" w:cs="Times New Roman"/>
          <w:bCs w:val="0"/>
          <w:color w:val="000000" w:themeColor="text1"/>
          <w:sz w:val="32"/>
          <w:szCs w:val="32"/>
          <w14:textFill>
            <w14:solidFill>
              <w14:schemeClr w14:val="tx1"/>
            </w14:solidFill>
          </w14:textFill>
        </w:rPr>
        <w:t>等</w:t>
      </w:r>
      <w:r>
        <w:rPr>
          <w:rFonts w:ascii="Times New Roman" w:hAnsi="Times New Roman" w:eastAsia="仿宋_GB2312" w:cs="Times New Roman"/>
          <w:bCs w:val="0"/>
          <w:color w:val="000000" w:themeColor="text1"/>
          <w:sz w:val="32"/>
          <w:szCs w:val="32"/>
          <w:lang w:val="en"/>
          <w14:textFill>
            <w14:solidFill>
              <w14:schemeClr w14:val="tx1"/>
            </w14:solidFill>
          </w14:textFill>
        </w:rPr>
        <w:t>区域算力节点，建立</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仿宋_GB2312" w:cs="Times New Roman"/>
          <w:bCs w:val="0"/>
          <w:color w:val="000000" w:themeColor="text1"/>
          <w:sz w:val="32"/>
          <w:szCs w:val="32"/>
          <w:lang w:val="en"/>
          <w14:textFill>
            <w14:solidFill>
              <w14:schemeClr w14:val="tx1"/>
            </w14:solidFill>
          </w14:textFill>
        </w:rPr>
        <w:t>异地灾备+算力互补</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仿宋_GB2312" w:cs="Times New Roman"/>
          <w:bCs w:val="0"/>
          <w:color w:val="000000" w:themeColor="text1"/>
          <w:sz w:val="32"/>
          <w:szCs w:val="32"/>
          <w:lang w:val="en"/>
          <w14:textFill>
            <w14:solidFill>
              <w14:schemeClr w14:val="tx1"/>
            </w14:solidFill>
          </w14:textFill>
        </w:rPr>
        <w:t>机制，保障怀化国际陆港、高铁站</w:t>
      </w:r>
      <w:r>
        <w:rPr>
          <w:rFonts w:ascii="Times New Roman" w:hAnsi="Times New Roman" w:eastAsia="仿宋_GB2312" w:cs="Times New Roman"/>
          <w:bCs w:val="0"/>
          <w:color w:val="000000" w:themeColor="text1"/>
          <w:sz w:val="32"/>
          <w:szCs w:val="32"/>
          <w14:textFill>
            <w14:solidFill>
              <w14:schemeClr w14:val="tx1"/>
            </w14:solidFill>
          </w14:textFill>
        </w:rPr>
        <w:t>等</w:t>
      </w:r>
      <w:r>
        <w:rPr>
          <w:rFonts w:ascii="Times New Roman" w:hAnsi="Times New Roman" w:eastAsia="仿宋_GB2312" w:cs="Times New Roman"/>
          <w:bCs w:val="0"/>
          <w:color w:val="000000" w:themeColor="text1"/>
          <w:sz w:val="32"/>
          <w:szCs w:val="32"/>
          <w:lang w:val="en"/>
          <w14:textFill>
            <w14:solidFill>
              <w14:schemeClr w14:val="tx1"/>
            </w14:solidFill>
          </w14:textFill>
        </w:rPr>
        <w:t>重点区域低时延需求，推进中方</w:t>
      </w:r>
      <w:r>
        <w:rPr>
          <w:rFonts w:ascii="Times New Roman" w:hAnsi="Times New Roman" w:eastAsia="仿宋_GB2312" w:cs="Times New Roman"/>
          <w:bCs w:val="0"/>
          <w:color w:val="000000" w:themeColor="text1"/>
          <w:sz w:val="32"/>
          <w:szCs w:val="32"/>
          <w14:textFill>
            <w14:solidFill>
              <w14:schemeClr w14:val="tx1"/>
            </w14:solidFill>
          </w14:textFill>
        </w:rPr>
        <w:t>县“</w:t>
      </w:r>
      <w:r>
        <w:rPr>
          <w:rFonts w:ascii="Times New Roman" w:hAnsi="Times New Roman" w:eastAsia="仿宋_GB2312" w:cs="Times New Roman"/>
          <w:bCs w:val="0"/>
          <w:color w:val="000000" w:themeColor="text1"/>
          <w:sz w:val="32"/>
          <w:szCs w:val="32"/>
          <w:lang w:val="en"/>
          <w14:textFill>
            <w14:solidFill>
              <w14:schemeClr w14:val="tx1"/>
            </w14:solidFill>
          </w14:textFill>
        </w:rPr>
        <w:t>湘首云</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仿宋_GB2312" w:cs="Times New Roman"/>
          <w:bCs w:val="0"/>
          <w:color w:val="000000" w:themeColor="text1"/>
          <w:sz w:val="32"/>
          <w:szCs w:val="32"/>
          <w:lang w:val="en"/>
          <w14:textFill>
            <w14:solidFill>
              <w14:schemeClr w14:val="tx1"/>
            </w14:solidFill>
          </w14:textFill>
        </w:rPr>
        <w:t>数据中心等算力项目接入</w:t>
      </w:r>
      <w:r>
        <w:rPr>
          <w:rFonts w:ascii="Times New Roman" w:hAnsi="Times New Roman" w:eastAsia="仿宋_GB2312" w:cs="Times New Roman"/>
          <w:bCs w:val="0"/>
          <w:color w:val="000000" w:themeColor="text1"/>
          <w:sz w:val="32"/>
          <w:szCs w:val="32"/>
          <w14:textFill>
            <w14:solidFill>
              <w14:schemeClr w14:val="tx1"/>
            </w14:solidFill>
          </w14:textFill>
        </w:rPr>
        <w:t>贵州省、长沙市等</w:t>
      </w:r>
      <w:r>
        <w:rPr>
          <w:rFonts w:ascii="Times New Roman" w:hAnsi="Times New Roman" w:eastAsia="仿宋_GB2312" w:cs="Times New Roman"/>
          <w:bCs w:val="0"/>
          <w:color w:val="000000" w:themeColor="text1"/>
          <w:sz w:val="32"/>
          <w:szCs w:val="32"/>
          <w:lang w:val="en"/>
          <w14:textFill>
            <w14:solidFill>
              <w14:schemeClr w14:val="tx1"/>
            </w14:solidFill>
          </w14:textFill>
        </w:rPr>
        <w:t>省市算力网络。</w:t>
      </w:r>
      <w:r>
        <w:rPr>
          <w:rFonts w:ascii="Times New Roman" w:hAnsi="Times New Roman" w:eastAsia="仿宋_GB2312" w:cs="Times New Roman"/>
          <w:bCs w:val="0"/>
          <w:color w:val="000000" w:themeColor="text1"/>
          <w:sz w:val="32"/>
          <w:szCs w:val="32"/>
          <w14:textFill>
            <w14:solidFill>
              <w14:schemeClr w14:val="tx1"/>
            </w14:solidFill>
          </w14:textFill>
        </w:rPr>
        <w:t>推动怀化市云计算中心等传统数据中心向智算中心升级。</w:t>
      </w:r>
      <w:r>
        <w:rPr>
          <w:rFonts w:ascii="Times New Roman" w:hAnsi="Times New Roman" w:eastAsia="仿宋_GB2312" w:cs="Times New Roman"/>
          <w:bCs w:val="0"/>
          <w:color w:val="000000" w:themeColor="text1"/>
          <w:sz w:val="32"/>
          <w:szCs w:val="32"/>
          <w:lang w:val="en"/>
          <w14:textFill>
            <w14:solidFill>
              <w14:schemeClr w14:val="tx1"/>
            </w14:solidFill>
          </w14:textFill>
        </w:rPr>
        <w:t>支持有条件的企业在怀</w:t>
      </w:r>
      <w:r>
        <w:rPr>
          <w:rFonts w:ascii="Times New Roman" w:hAnsi="Times New Roman" w:eastAsia="仿宋_GB2312" w:cs="Times New Roman"/>
          <w:bCs w:val="0"/>
          <w:color w:val="000000" w:themeColor="text1"/>
          <w:sz w:val="32"/>
          <w:szCs w:val="32"/>
          <w14:textFill>
            <w14:solidFill>
              <w14:schemeClr w14:val="tx1"/>
            </w14:solidFill>
          </w14:textFill>
        </w:rPr>
        <w:t>化</w:t>
      </w:r>
      <w:r>
        <w:rPr>
          <w:rFonts w:ascii="Times New Roman" w:hAnsi="Times New Roman" w:eastAsia="仿宋_GB2312" w:cs="Times New Roman"/>
          <w:bCs w:val="0"/>
          <w:color w:val="000000" w:themeColor="text1"/>
          <w:sz w:val="32"/>
          <w:szCs w:val="32"/>
          <w:lang w:val="en"/>
          <w14:textFill>
            <w14:solidFill>
              <w14:schemeClr w14:val="tx1"/>
            </w14:solidFill>
          </w14:textFill>
        </w:rPr>
        <w:t>建设商用大数据中心。</w:t>
      </w:r>
    </w:p>
    <w:p>
      <w:pPr>
        <w:pStyle w:val="7"/>
        <w:spacing w:line="560" w:lineRule="exact"/>
        <w:rPr>
          <w:rFonts w:eastAsia="仿宋_GB2312"/>
          <w:color w:val="000000" w:themeColor="text1"/>
          <w:sz w:val="32"/>
          <w14:textFill>
            <w14:solidFill>
              <w14:schemeClr w14:val="tx1"/>
            </w14:solidFill>
          </w14:textFill>
        </w:rPr>
      </w:pPr>
    </w:p>
    <w:p>
      <w:pPr>
        <w:pStyle w:val="7"/>
        <w:spacing w:line="56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第三节 加快建设数据流通利用基础设施</w:t>
      </w:r>
    </w:p>
    <w:p>
      <w:pPr>
        <w:spacing w:line="560" w:lineRule="exact"/>
        <w:ind w:firstLine="640"/>
        <w:rPr>
          <w:rFonts w:eastAsia="仿宋_GB2312"/>
          <w:color w:val="000000" w:themeColor="text1"/>
          <w:sz w:val="32"/>
          <w:szCs w:val="32"/>
          <w14:textFill>
            <w14:solidFill>
              <w14:schemeClr w14:val="tx1"/>
            </w14:solidFill>
          </w14:textFill>
        </w:rPr>
      </w:pPr>
    </w:p>
    <w:p>
      <w:pPr>
        <w:spacing w:line="56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bCs w:val="0"/>
          <w:color w:val="000000" w:themeColor="text1"/>
          <w:sz w:val="32"/>
          <w:szCs w:val="32"/>
          <w14:textFill>
            <w14:solidFill>
              <w14:schemeClr w14:val="tx1"/>
            </w14:solidFill>
          </w14:textFill>
        </w:rPr>
        <w:t>积极争创数据流通利用建设试点示范城市。实施可信数据空间发展行动计划，推进企业、行业、城市、个人、跨境五类可信数据空间建设。加强公共领域数字化建设，提升能源、路网、水利、仓储等基础设施智慧化水平。</w:t>
      </w:r>
      <w:r>
        <w:rPr>
          <w:rFonts w:ascii="Times New Roman" w:hAnsi="Times New Roman" w:eastAsia="仿宋_GB2312" w:cs="Times New Roman"/>
          <w:color w:val="000000" w:themeColor="text1"/>
          <w:sz w:val="32"/>
          <w:szCs w:val="32"/>
          <w14:textFill>
            <w14:solidFill>
              <w14:schemeClr w14:val="tx1"/>
            </w14:solidFill>
          </w14:textFill>
        </w:rPr>
        <w:t>支持基础好、有条件、意愿强的行业探索建设行业垂类大模型。</w:t>
      </w:r>
      <w:r>
        <w:rPr>
          <w:rFonts w:ascii="Times New Roman" w:hAnsi="Times New Roman" w:eastAsia="仿宋_GB2312" w:cs="Times New Roman"/>
          <w:bCs w:val="0"/>
          <w:color w:val="000000" w:themeColor="text1"/>
          <w:sz w:val="32"/>
          <w:szCs w:val="32"/>
          <w14:textFill>
            <w14:solidFill>
              <w14:schemeClr w14:val="tx1"/>
            </w14:solidFill>
          </w14:textFill>
        </w:rPr>
        <w:t>加快“5G+工业互联网”建设，搭建全市工业互联网公共服务平台，鼓励和支持龙头企业加快推进工业互联网平台建设。到2030年，力争建成1—2个可信数据空间项目。</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9071" w:type="dxa"/>
          </w:tcPr>
          <w:p>
            <w:pPr>
              <w:spacing w:line="570" w:lineRule="exact"/>
              <w:jc w:val="center"/>
              <w:rPr>
                <w:rFonts w:ascii="Times New Roman" w:hAnsi="Times New Roman" w:eastAsia="黑体"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专栏13—1 数字基础设施建设工程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71" w:type="dxa"/>
          </w:tcPr>
          <w:p>
            <w:pPr>
              <w:spacing w:line="48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1.算力中心建设。</w:t>
            </w:r>
            <w:r>
              <w:rPr>
                <w:rFonts w:ascii="Times New Roman" w:hAnsi="Times New Roman" w:eastAsia="楷体_GB2312" w:cs="Times New Roman"/>
                <w:color w:val="000000" w:themeColor="text1"/>
                <w:sz w:val="32"/>
                <w:szCs w:val="32"/>
                <w14:textFill>
                  <w14:solidFill>
                    <w14:schemeClr w14:val="tx1"/>
                  </w14:solidFill>
                </w14:textFill>
              </w:rPr>
              <w:t>推进中方</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楷体_GB2312" w:cs="Times New Roman"/>
                <w:color w:val="000000" w:themeColor="text1"/>
                <w:sz w:val="32"/>
                <w:szCs w:val="32"/>
                <w14:textFill>
                  <w14:solidFill>
                    <w14:schemeClr w14:val="tx1"/>
                  </w14:solidFill>
                </w14:textFill>
              </w:rPr>
              <w:t>湘首云</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楷体_GB2312" w:cs="Times New Roman"/>
                <w:color w:val="000000" w:themeColor="text1"/>
                <w:sz w:val="32"/>
                <w:szCs w:val="32"/>
                <w14:textFill>
                  <w14:solidFill>
                    <w14:schemeClr w14:val="tx1"/>
                  </w14:solidFill>
                </w14:textFill>
              </w:rPr>
              <w:t>数据中心建成运营，引导社会资本建设绿色低碳区域智算中心，积极融入联动国家超算计算长沙中心区域算力节点。</w:t>
            </w:r>
          </w:p>
          <w:p>
            <w:pPr>
              <w:spacing w:line="48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2.城市信息模型（CIM）平台建设。</w:t>
            </w:r>
            <w:r>
              <w:rPr>
                <w:rFonts w:ascii="Times New Roman" w:hAnsi="Times New Roman" w:eastAsia="楷体_GB2312" w:cs="Times New Roman"/>
                <w:bCs w:val="0"/>
                <w:color w:val="000000" w:themeColor="text1"/>
                <w:sz w:val="32"/>
                <w:szCs w:val="32"/>
                <w14:textFill>
                  <w14:solidFill>
                    <w14:schemeClr w14:val="tx1"/>
                  </w14:solidFill>
                </w14:textFill>
              </w:rPr>
              <w:t>以实景三维数字空间为底座，</w:t>
            </w:r>
            <w:r>
              <w:rPr>
                <w:rFonts w:ascii="Times New Roman" w:hAnsi="Times New Roman" w:eastAsia="楷体_GB2312" w:cs="Times New Roman"/>
                <w:color w:val="000000" w:themeColor="text1"/>
                <w:sz w:val="32"/>
                <w:szCs w:val="32"/>
                <w14:textFill>
                  <w14:solidFill>
                    <w14:schemeClr w14:val="tx1"/>
                  </w14:solidFill>
                </w14:textFill>
              </w:rPr>
              <w:t>实现市政设施、地下管网、空间地理等基础数据一体化管理，构建三维数字怀化模型。</w:t>
            </w:r>
          </w:p>
          <w:p>
            <w:pPr>
              <w:spacing w:line="480" w:lineRule="exact"/>
              <w:ind w:firstLine="643"/>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3.可信数据空间建设。</w:t>
            </w:r>
            <w:r>
              <w:rPr>
                <w:rFonts w:ascii="Times New Roman" w:hAnsi="Times New Roman" w:eastAsia="楷体_GB2312" w:cs="Times New Roman"/>
                <w:color w:val="000000" w:themeColor="text1"/>
                <w:sz w:val="32"/>
                <w:szCs w:val="32"/>
                <w14:textFill>
                  <w14:solidFill>
                    <w14:schemeClr w14:val="tx1"/>
                  </w14:solidFill>
                </w14:textFill>
              </w:rPr>
              <w:t>整合物联网、区块链等技术，建设城市可信数据空间，打造城市级可信数据底座与智能中枢。在怀化国际陆港搭建跨境可信数据空间。</w:t>
            </w:r>
          </w:p>
        </w:tc>
      </w:tr>
    </w:tbl>
    <w:p>
      <w:pPr>
        <w:pStyle w:val="9"/>
        <w:spacing w:line="570" w:lineRule="exact"/>
        <w:ind w:firstLine="640"/>
        <w:rPr>
          <w:rFonts w:eastAsia="仿宋_GB2312"/>
          <w:color w:val="000000" w:themeColor="text1"/>
          <w:sz w:val="32"/>
          <w:szCs w:val="32"/>
          <w14:textFill>
            <w14:solidFill>
              <w14:schemeClr w14:val="tx1"/>
            </w14:solidFill>
          </w14:textFill>
        </w:rPr>
      </w:pPr>
    </w:p>
    <w:p>
      <w:pPr>
        <w:pStyle w:val="6"/>
        <w:spacing w:line="580" w:lineRule="exact"/>
        <w:rPr>
          <w:rFonts w:ascii="Times New Roman" w:hAnsi="Times New Roman" w:eastAsia="黑体" w:cs="Times New Roman"/>
          <w:color w:val="000000" w:themeColor="text1"/>
          <w:sz w:val="32"/>
          <w14:textFill>
            <w14:solidFill>
              <w14:schemeClr w14:val="tx1"/>
            </w14:solidFill>
          </w14:textFill>
        </w:rPr>
      </w:pPr>
      <w:bookmarkStart w:id="72" w:name="_Toc31324"/>
      <w:r>
        <w:rPr>
          <w:rFonts w:ascii="Times New Roman" w:hAnsi="Times New Roman" w:eastAsia="黑体" w:cs="Times New Roman"/>
          <w:color w:val="000000" w:themeColor="text1"/>
          <w:sz w:val="32"/>
          <w14:textFill>
            <w14:solidFill>
              <w14:schemeClr w14:val="tx1"/>
            </w14:solidFill>
          </w14:textFill>
        </w:rPr>
        <w:t>第四十三章 大力实施</w:t>
      </w:r>
      <w:r>
        <w:rPr>
          <w:rFonts w:ascii="Times New Roman" w:hAnsi="Times New Roman" w:eastAsia="仿宋_GB2312" w:cs="Times New Roman"/>
          <w:color w:val="000000" w:themeColor="text1"/>
          <w:sz w:val="32"/>
          <w14:textFill>
            <w14:solidFill>
              <w14:schemeClr w14:val="tx1"/>
            </w14:solidFill>
          </w14:textFill>
        </w:rPr>
        <w:t>“</w:t>
      </w:r>
      <w:r>
        <w:rPr>
          <w:rFonts w:ascii="Times New Roman" w:hAnsi="Times New Roman" w:eastAsia="黑体" w:cs="Times New Roman"/>
          <w:color w:val="000000" w:themeColor="text1"/>
          <w:sz w:val="32"/>
          <w14:textFill>
            <w14:solidFill>
              <w14:schemeClr w14:val="tx1"/>
            </w14:solidFill>
          </w14:textFill>
        </w:rPr>
        <w:t>人工智能+</w:t>
      </w:r>
      <w:r>
        <w:rPr>
          <w:rFonts w:ascii="Times New Roman" w:hAnsi="Times New Roman" w:eastAsia="仿宋_GB2312" w:cs="Times New Roman"/>
          <w:color w:val="000000" w:themeColor="text1"/>
          <w:sz w:val="32"/>
          <w14:textFill>
            <w14:solidFill>
              <w14:schemeClr w14:val="tx1"/>
            </w14:solidFill>
          </w14:textFill>
        </w:rPr>
        <w:t>”</w:t>
      </w:r>
      <w:r>
        <w:rPr>
          <w:rFonts w:ascii="Times New Roman" w:hAnsi="Times New Roman" w:eastAsia="黑体" w:cs="Times New Roman"/>
          <w:color w:val="000000" w:themeColor="text1"/>
          <w:sz w:val="32"/>
          <w14:textFill>
            <w14:solidFill>
              <w14:schemeClr w14:val="tx1"/>
            </w14:solidFill>
          </w14:textFill>
        </w:rPr>
        <w:t>行动</w:t>
      </w:r>
      <w:bookmarkEnd w:id="72"/>
    </w:p>
    <w:p>
      <w:pPr>
        <w:pStyle w:val="7"/>
        <w:spacing w:line="580" w:lineRule="exact"/>
        <w:rPr>
          <w:rFonts w:eastAsia="仿宋_GB2312"/>
          <w:color w:val="000000" w:themeColor="text1"/>
          <w:sz w:val="32"/>
          <w14:textFill>
            <w14:solidFill>
              <w14:schemeClr w14:val="tx1"/>
            </w14:solidFill>
          </w14:textFill>
        </w:rPr>
      </w:pPr>
    </w:p>
    <w:p>
      <w:pPr>
        <w:pStyle w:val="7"/>
        <w:spacing w:line="580" w:lineRule="exact"/>
        <w:rPr>
          <w:rFonts w:eastAsia="仿宋_GB2312"/>
          <w:color w:val="000000" w:themeColor="text1"/>
          <w:sz w:val="32"/>
          <w:lang w:val="en"/>
          <w14:textFill>
            <w14:solidFill>
              <w14:schemeClr w14:val="tx1"/>
            </w14:solidFill>
          </w14:textFill>
        </w:rPr>
      </w:pPr>
      <w:r>
        <w:rPr>
          <w:rFonts w:eastAsia="仿宋_GB2312"/>
          <w:color w:val="000000" w:themeColor="text1"/>
          <w:sz w:val="32"/>
          <w14:textFill>
            <w14:solidFill>
              <w14:schemeClr w14:val="tx1"/>
            </w14:solidFill>
          </w14:textFill>
        </w:rPr>
        <w:t>第一节 培育壮大数字产业</w:t>
      </w:r>
    </w:p>
    <w:p>
      <w:pPr>
        <w:pStyle w:val="47"/>
        <w:spacing w:before="0" w:after="0" w:line="580" w:lineRule="exact"/>
        <w:ind w:firstLine="640"/>
        <w:rPr>
          <w:rFonts w:eastAsia="仿宋_GB2312"/>
          <w:color w:val="000000" w:themeColor="text1"/>
          <w:sz w:val="32"/>
          <w:szCs w:val="32"/>
          <w:lang w:val="en"/>
          <w14:textFill>
            <w14:solidFill>
              <w14:schemeClr w14:val="tx1"/>
            </w14:solidFill>
          </w14:textFill>
        </w:rPr>
      </w:pPr>
    </w:p>
    <w:p>
      <w:pPr>
        <w:pStyle w:val="47"/>
        <w:spacing w:before="0" w:after="0" w:line="580" w:lineRule="exact"/>
        <w:ind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lang w:val="en"/>
          <w14:textFill>
            <w14:solidFill>
              <w14:schemeClr w14:val="tx1"/>
            </w14:solidFill>
          </w14:textFill>
        </w:rPr>
        <w:t>常态化推进</w:t>
      </w: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lang w:val="en"/>
          <w14:textFill>
            <w14:solidFill>
              <w14:schemeClr w14:val="tx1"/>
            </w14:solidFill>
          </w14:textFill>
        </w:rPr>
        <w:t>智赋千企</w:t>
      </w: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lang w:val="en"/>
          <w14:textFill>
            <w14:solidFill>
              <w14:schemeClr w14:val="tx1"/>
            </w14:solidFill>
          </w14:textFill>
        </w:rPr>
        <w:t>行动，加快数字产业化和产业数字化，推动实体经济和数字经济深度融合。围绕数字产品制造、数字产品服务、数字技术应用、数字要素驱动、数字化效率提升五大核心方向，打造布局合理、特色鲜明、协同发展的数字产业集群体系。推动人工智能赋能千行百业，打造一批深度应用场景项目，加快形成人机协同、跨界融合、共创分享的智能经济和智能社会新形态。加快培育以电子信息制造、智能终端及传感器为重点的数字制造产业，</w:t>
      </w:r>
      <w:r>
        <w:rPr>
          <w:rFonts w:eastAsia="仿宋_GB2312"/>
          <w:color w:val="000000" w:themeColor="text1"/>
          <w:sz w:val="32"/>
          <w:szCs w:val="32"/>
          <w14:textFill>
            <w14:solidFill>
              <w14:schemeClr w14:val="tx1"/>
            </w14:solidFill>
          </w14:textFill>
        </w:rPr>
        <w:t>发展</w:t>
      </w:r>
      <w:r>
        <w:rPr>
          <w:rFonts w:eastAsia="仿宋_GB2312"/>
          <w:color w:val="000000" w:themeColor="text1"/>
          <w:sz w:val="32"/>
          <w:szCs w:val="32"/>
          <w:lang w:val="en"/>
          <w14:textFill>
            <w14:solidFill>
              <w14:schemeClr w14:val="tx1"/>
            </w14:solidFill>
          </w14:textFill>
        </w:rPr>
        <w:t>以数据标注、云计算、软件开发、数字内容创制为主的数字服务产业，深化拓展</w:t>
      </w: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lang w:val="en"/>
          <w14:textFill>
            <w14:solidFill>
              <w14:schemeClr w14:val="tx1"/>
            </w14:solidFill>
          </w14:textFill>
        </w:rPr>
        <w:t>AI+农业</w:t>
      </w: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lang w:val="en"/>
          <w14:textFill>
            <w14:solidFill>
              <w14:schemeClr w14:val="tx1"/>
            </w14:solidFill>
          </w14:textFill>
        </w:rPr>
        <w:t>5G+制造</w:t>
      </w: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lang w:val="en"/>
          <w14:textFill>
            <w14:solidFill>
              <w14:schemeClr w14:val="tx1"/>
            </w14:solidFill>
          </w14:textFill>
        </w:rPr>
        <w:t>大数据+文旅</w:t>
      </w: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lang w:val="en"/>
          <w14:textFill>
            <w14:solidFill>
              <w14:schemeClr w14:val="tx1"/>
            </w14:solidFill>
          </w14:textFill>
        </w:rPr>
        <w:t>等数字技术应用场景落地。</w:t>
      </w:r>
      <w:r>
        <w:rPr>
          <w:rFonts w:eastAsia="仿宋_GB2312"/>
          <w:color w:val="000000" w:themeColor="text1"/>
          <w:sz w:val="32"/>
          <w:szCs w:val="32"/>
          <w14:textFill>
            <w14:solidFill>
              <w14:schemeClr w14:val="tx1"/>
            </w14:solidFill>
          </w14:textFill>
        </w:rPr>
        <w:t>发展以</w:t>
      </w:r>
      <w:r>
        <w:rPr>
          <w:rFonts w:eastAsia="仿宋_GB2312"/>
          <w:color w:val="000000" w:themeColor="text1"/>
          <w:sz w:val="32"/>
          <w:szCs w:val="32"/>
          <w:lang w:val="en"/>
          <w14:textFill>
            <w14:solidFill>
              <w14:schemeClr w14:val="tx1"/>
            </w14:solidFill>
          </w14:textFill>
        </w:rPr>
        <w:t>数据资产评估、数据托管、数据安全服务等数字要素驱动</w:t>
      </w:r>
      <w:r>
        <w:rPr>
          <w:rFonts w:eastAsia="仿宋_GB2312"/>
          <w:color w:val="000000" w:themeColor="text1"/>
          <w:sz w:val="32"/>
          <w:szCs w:val="32"/>
          <w14:textFill>
            <w14:solidFill>
              <w14:schemeClr w14:val="tx1"/>
            </w14:solidFill>
          </w14:textFill>
        </w:rPr>
        <w:t>的</w:t>
      </w:r>
      <w:r>
        <w:rPr>
          <w:rFonts w:eastAsia="仿宋_GB2312"/>
          <w:color w:val="000000" w:themeColor="text1"/>
          <w:sz w:val="32"/>
          <w:szCs w:val="32"/>
          <w:lang w:val="en"/>
          <w14:textFill>
            <w14:solidFill>
              <w14:schemeClr w14:val="tx1"/>
            </w14:solidFill>
          </w14:textFill>
        </w:rPr>
        <w:t>新业态，积极培育低空经济、跨境电商、数据服务三大新兴集群。厚植</w:t>
      </w: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lang w:val="en"/>
          <w14:textFill>
            <w14:solidFill>
              <w14:schemeClr w14:val="tx1"/>
            </w14:solidFill>
          </w14:textFill>
        </w:rPr>
        <w:t>互联网+</w:t>
      </w: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lang w:val="en"/>
          <w14:textFill>
            <w14:solidFill>
              <w14:schemeClr w14:val="tx1"/>
            </w14:solidFill>
          </w14:textFill>
        </w:rPr>
        <w:t>创新创业生态，推动各行业各领域与数字技术深度融合。到</w:t>
      </w:r>
      <w:r>
        <w:rPr>
          <w:rFonts w:eastAsia="仿宋_GB2312"/>
          <w:color w:val="000000" w:themeColor="text1"/>
          <w:sz w:val="32"/>
          <w:szCs w:val="32"/>
          <w14:textFill>
            <w14:solidFill>
              <w14:schemeClr w14:val="tx1"/>
            </w14:solidFill>
          </w14:textFill>
        </w:rPr>
        <w:t>2030年，力争数字经济核心产业企业达300家，创建1个省级以上数据产业集聚区，数字经济核心产业增加值达300亿元。</w:t>
      </w:r>
    </w:p>
    <w:p>
      <w:pPr>
        <w:pStyle w:val="7"/>
        <w:spacing w:line="580" w:lineRule="exact"/>
        <w:rPr>
          <w:rFonts w:eastAsia="仿宋_GB2312"/>
          <w:color w:val="000000" w:themeColor="text1"/>
          <w:sz w:val="32"/>
          <w14:textFill>
            <w14:solidFill>
              <w14:schemeClr w14:val="tx1"/>
            </w14:solidFill>
          </w14:textFill>
        </w:rPr>
      </w:pPr>
    </w:p>
    <w:p>
      <w:pPr>
        <w:pStyle w:val="7"/>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第二节 拓展数智化赋能空间</w:t>
      </w:r>
    </w:p>
    <w:p>
      <w:pPr>
        <w:spacing w:line="580" w:lineRule="exact"/>
        <w:ind w:firstLine="640"/>
        <w:rPr>
          <w:rFonts w:eastAsia="仿宋_GB2312"/>
          <w:color w:val="000000" w:themeColor="text1"/>
          <w:sz w:val="32"/>
          <w:szCs w:val="32"/>
          <w:lang w:val="en"/>
          <w14:textFill>
            <w14:solidFill>
              <w14:schemeClr w14:val="tx1"/>
            </w14:solidFill>
          </w14:textFill>
        </w:rPr>
      </w:pPr>
    </w:p>
    <w:p>
      <w:pPr>
        <w:spacing w:line="580" w:lineRule="exact"/>
        <w:ind w:firstLine="640"/>
        <w:rPr>
          <w:rFonts w:eastAsia="仿宋_GB2312"/>
          <w:color w:val="000000" w:themeColor="text1"/>
          <w:sz w:val="32"/>
          <w:szCs w:val="32"/>
          <w:lang w:val="en"/>
          <w14:textFill>
            <w14:solidFill>
              <w14:schemeClr w14:val="tx1"/>
            </w14:solidFill>
          </w14:textFill>
        </w:rPr>
      </w:pPr>
      <w:r>
        <w:rPr>
          <w:rFonts w:ascii="Times New Roman" w:hAnsi="Times New Roman" w:eastAsia="仿宋_GB2312" w:cs="Times New Roman"/>
          <w:bCs w:val="0"/>
          <w:color w:val="000000" w:themeColor="text1"/>
          <w:sz w:val="32"/>
          <w:szCs w:val="32"/>
          <w:lang w:val="en"/>
          <w14:textFill>
            <w14:solidFill>
              <w14:schemeClr w14:val="tx1"/>
            </w14:solidFill>
          </w14:textFill>
        </w:rPr>
        <w:t>实施产业数字化改造行动，加强人工智能与</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仿宋_GB2312" w:cs="Times New Roman"/>
          <w:bCs w:val="0"/>
          <w:color w:val="000000" w:themeColor="text1"/>
          <w:sz w:val="32"/>
          <w:szCs w:val="32"/>
          <w:lang w:val="en"/>
          <w14:textFill>
            <w14:solidFill>
              <w14:schemeClr w14:val="tx1"/>
            </w14:solidFill>
          </w14:textFill>
        </w:rPr>
        <w:t>数据要素×</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仿宋_GB2312" w:cs="Times New Roman"/>
          <w:bCs w:val="0"/>
          <w:color w:val="000000" w:themeColor="text1"/>
          <w:sz w:val="32"/>
          <w:szCs w:val="32"/>
          <w:lang w:val="en"/>
          <w14:textFill>
            <w14:solidFill>
              <w14:schemeClr w14:val="tx1"/>
            </w14:solidFill>
          </w14:textFill>
        </w:rPr>
        <w:t>在工业、农业、文旅、物流等领域的深度融合应用，推动企业在生产、管理、供应链、营销等环节系统性</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仿宋_GB2312" w:cs="Times New Roman"/>
          <w:bCs w:val="0"/>
          <w:color w:val="000000" w:themeColor="text1"/>
          <w:sz w:val="32"/>
          <w:szCs w:val="32"/>
          <w:lang w:val="en"/>
          <w14:textFill>
            <w14:solidFill>
              <w14:schemeClr w14:val="tx1"/>
            </w14:solidFill>
          </w14:textFill>
        </w:rPr>
        <w:t>上云、用数、赋智</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仿宋_GB2312" w:cs="Times New Roman"/>
          <w:bCs w:val="0"/>
          <w:color w:val="000000" w:themeColor="text1"/>
          <w:sz w:val="32"/>
          <w:szCs w:val="32"/>
          <w:lang w:val="en"/>
          <w14:textFill>
            <w14:solidFill>
              <w14:schemeClr w14:val="tx1"/>
            </w14:solidFill>
          </w14:textFill>
        </w:rPr>
        <w:t>，推进设备上云、业务上平台、流程再造与智能协同场景建设，加快人工智能在设计、中试、生产、服务、运营全环节落地应用。加快文化资源数字化，</w:t>
      </w:r>
      <w:r>
        <w:rPr>
          <w:rFonts w:ascii="Times New Roman" w:hAnsi="Times New Roman" w:eastAsia="仿宋_GB2312" w:cs="Times New Roman"/>
          <w:color w:val="000000" w:themeColor="text1"/>
          <w:sz w:val="32"/>
          <w:szCs w:val="32"/>
          <w:lang w:val="en"/>
          <w14:textFill>
            <w14:solidFill>
              <w14:schemeClr w14:val="tx1"/>
            </w14:solidFill>
          </w14:textFill>
        </w:rPr>
        <w:t>重点推动一批具有地方特色的文化音视频内容创作及装备研发，谋划建设集文化资源搜集、整理、展示、传播、互动、教育于一体的数字化服务平台。</w:t>
      </w:r>
      <w:r>
        <w:rPr>
          <w:rFonts w:ascii="Times New Roman" w:hAnsi="Times New Roman" w:eastAsia="仿宋_GB2312" w:cs="Times New Roman"/>
          <w:bCs w:val="0"/>
          <w:color w:val="000000" w:themeColor="text1"/>
          <w:sz w:val="32"/>
          <w:szCs w:val="32"/>
          <w:lang w:val="en"/>
          <w14:textFill>
            <w14:solidFill>
              <w14:schemeClr w14:val="tx1"/>
            </w14:solidFill>
          </w14:textFill>
        </w:rPr>
        <w:t>建设数商培训基地，面向工业制造、特色农业、跨境电商等行业，构建分层分类的数商培育体系，重点培育</w:t>
      </w:r>
      <w:r>
        <w:rPr>
          <w:rFonts w:ascii="Times New Roman" w:hAnsi="Times New Roman" w:eastAsia="仿宋_GB2312" w:cs="Times New Roman"/>
          <w:bCs w:val="0"/>
          <w:color w:val="000000" w:themeColor="text1"/>
          <w:sz w:val="32"/>
          <w:szCs w:val="32"/>
          <w14:textFill>
            <w14:solidFill>
              <w14:schemeClr w14:val="tx1"/>
            </w14:solidFill>
          </w14:textFill>
        </w:rPr>
        <w:t>一批</w:t>
      </w:r>
      <w:r>
        <w:rPr>
          <w:rFonts w:ascii="Times New Roman" w:hAnsi="Times New Roman" w:eastAsia="仿宋_GB2312" w:cs="Times New Roman"/>
          <w:bCs w:val="0"/>
          <w:color w:val="000000" w:themeColor="text1"/>
          <w:sz w:val="32"/>
          <w:szCs w:val="32"/>
          <w:lang w:val="en"/>
          <w14:textFill>
            <w14:solidFill>
              <w14:schemeClr w14:val="tx1"/>
            </w14:solidFill>
          </w14:textFill>
        </w:rPr>
        <w:t>数据流通服务机构</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仿宋_GB2312" w:cs="Times New Roman"/>
          <w:bCs w:val="0"/>
          <w:color w:val="000000" w:themeColor="text1"/>
          <w:sz w:val="32"/>
          <w:szCs w:val="32"/>
          <w:lang w:val="en"/>
          <w14:textFill>
            <w14:solidFill>
              <w14:schemeClr w14:val="tx1"/>
            </w14:solidFill>
          </w14:textFill>
        </w:rPr>
        <w:t>加强人工智能在安全生产监管、防灾减</w:t>
      </w:r>
      <w:r>
        <w:rPr>
          <w:rFonts w:ascii="Times New Roman" w:hAnsi="Times New Roman" w:eastAsia="仿宋_GB2312" w:cs="Times New Roman"/>
          <w:bCs w:val="0"/>
          <w:color w:val="000000" w:themeColor="text1"/>
          <w:spacing w:val="-6"/>
          <w:sz w:val="32"/>
          <w:szCs w:val="32"/>
          <w:lang w:val="en"/>
          <w14:textFill>
            <w14:solidFill>
              <w14:schemeClr w14:val="tx1"/>
            </w14:solidFill>
          </w14:textFill>
        </w:rPr>
        <w:t>灾救灾、公共安全预警、社会治安管理、生态环境保护等方面的应用。</w:t>
      </w:r>
    </w:p>
    <w:p>
      <w:pPr>
        <w:spacing w:line="580" w:lineRule="exact"/>
        <w:ind w:firstLine="640"/>
        <w:rPr>
          <w:rFonts w:eastAsia="仿宋_GB2312"/>
          <w:color w:val="000000" w:themeColor="text1"/>
          <w:sz w:val="32"/>
          <w:szCs w:val="32"/>
          <w14:textFill>
            <w14:solidFill>
              <w14:schemeClr w14:val="tx1"/>
            </w14:solidFill>
          </w14:textFill>
        </w:rPr>
      </w:pPr>
    </w:p>
    <w:p>
      <w:pPr>
        <w:pStyle w:val="7"/>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第三节 积极打造高效协同数字政府</w:t>
      </w:r>
    </w:p>
    <w:p>
      <w:pPr>
        <w:spacing w:line="580" w:lineRule="exact"/>
        <w:ind w:firstLine="640"/>
        <w:rPr>
          <w:rFonts w:eastAsia="仿宋_GB2312"/>
          <w:color w:val="000000" w:themeColor="text1"/>
          <w:sz w:val="32"/>
          <w:szCs w:val="32"/>
          <w:lang w:val="en"/>
          <w14:textFill>
            <w14:solidFill>
              <w14:schemeClr w14:val="tx1"/>
            </w14:solidFill>
          </w14:textFill>
        </w:rPr>
      </w:pPr>
    </w:p>
    <w:p>
      <w:pPr>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bCs w:val="0"/>
          <w:color w:val="000000" w:themeColor="text1"/>
          <w:sz w:val="32"/>
          <w:szCs w:val="32"/>
          <w:lang w:val="en"/>
          <w14:textFill>
            <w14:solidFill>
              <w14:schemeClr w14:val="tx1"/>
            </w14:solidFill>
          </w14:textFill>
        </w:rPr>
        <w:t>加快建设整体协同、敏捷高效、智能精准、开放透明、公平普惠的数字政府，增强政务云平台的承载能力与服务效能，提升电子政务外网的覆盖广度与传输速度，推动更多高频民生事项通过</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仿宋_GB2312" w:cs="Times New Roman"/>
          <w:bCs w:val="0"/>
          <w:color w:val="000000" w:themeColor="text1"/>
          <w:sz w:val="32"/>
          <w:szCs w:val="32"/>
          <w:lang w:val="en"/>
          <w14:textFill>
            <w14:solidFill>
              <w14:schemeClr w14:val="tx1"/>
            </w14:solidFill>
          </w14:textFill>
        </w:rPr>
        <w:t>湘易办</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仿宋_GB2312" w:cs="Times New Roman"/>
          <w:bCs w:val="0"/>
          <w:color w:val="000000" w:themeColor="text1"/>
          <w:sz w:val="32"/>
          <w:szCs w:val="32"/>
          <w:lang w:val="en"/>
          <w14:textFill>
            <w14:solidFill>
              <w14:schemeClr w14:val="tx1"/>
            </w14:solidFill>
          </w14:textFill>
        </w:rPr>
        <w:t>、政务</w:t>
      </w:r>
      <w:r>
        <w:rPr>
          <w:rFonts w:ascii="Times New Roman" w:hAnsi="Times New Roman" w:eastAsia="仿宋_GB2312" w:cs="Times New Roman"/>
          <w:bCs w:val="0"/>
          <w:color w:val="000000" w:themeColor="text1"/>
          <w:sz w:val="32"/>
          <w:szCs w:val="32"/>
          <w14:textFill>
            <w14:solidFill>
              <w14:schemeClr w14:val="tx1"/>
            </w14:solidFill>
          </w14:textFill>
        </w:rPr>
        <w:t>服</w:t>
      </w:r>
      <w:r>
        <w:rPr>
          <w:rFonts w:ascii="Times New Roman" w:hAnsi="Times New Roman" w:eastAsia="仿宋_GB2312" w:cs="Times New Roman"/>
          <w:bCs w:val="0"/>
          <w:color w:val="000000" w:themeColor="text1"/>
          <w:sz w:val="32"/>
          <w:szCs w:val="32"/>
          <w:lang w:val="en"/>
          <w14:textFill>
            <w14:solidFill>
              <w14:schemeClr w14:val="tx1"/>
            </w14:solidFill>
          </w14:textFill>
        </w:rPr>
        <w:t>务网</w:t>
      </w:r>
      <w:r>
        <w:rPr>
          <w:rFonts w:ascii="Times New Roman" w:hAnsi="Times New Roman" w:eastAsia="仿宋_GB2312" w:cs="Times New Roman"/>
          <w:bCs w:val="0"/>
          <w:color w:val="000000" w:themeColor="text1"/>
          <w:sz w:val="32"/>
          <w:szCs w:val="32"/>
          <w14:textFill>
            <w14:solidFill>
              <w14:schemeClr w14:val="tx1"/>
            </w14:solidFill>
          </w14:textFill>
        </w:rPr>
        <w:t>实现</w:t>
      </w:r>
      <w:r>
        <w:rPr>
          <w:rFonts w:ascii="Times New Roman" w:hAnsi="Times New Roman" w:eastAsia="仿宋_GB2312" w:cs="Times New Roman"/>
          <w:bCs w:val="0"/>
          <w:color w:val="000000" w:themeColor="text1"/>
          <w:sz w:val="32"/>
          <w:szCs w:val="32"/>
          <w:lang w:val="en"/>
          <w14:textFill>
            <w14:solidFill>
              <w14:schemeClr w14:val="tx1"/>
            </w14:solidFill>
          </w14:textFill>
        </w:rPr>
        <w:t>可办、好办、易办、快办。打造全市统一的</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仿宋_GB2312" w:cs="Times New Roman"/>
          <w:bCs w:val="0"/>
          <w:color w:val="000000" w:themeColor="text1"/>
          <w:sz w:val="32"/>
          <w:szCs w:val="32"/>
          <w:lang w:val="en"/>
          <w14:textFill>
            <w14:solidFill>
              <w14:schemeClr w14:val="tx1"/>
            </w14:solidFill>
          </w14:textFill>
        </w:rPr>
        <w:t>智慧政务大脑</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仿宋_GB2312" w:cs="Times New Roman"/>
          <w:bCs w:val="0"/>
          <w:color w:val="000000" w:themeColor="text1"/>
          <w:sz w:val="32"/>
          <w:szCs w:val="32"/>
          <w:lang w:val="en"/>
          <w14:textFill>
            <w14:solidFill>
              <w14:schemeClr w14:val="tx1"/>
            </w14:solidFill>
          </w14:textFill>
        </w:rPr>
        <w:t>，</w:t>
      </w:r>
      <w:r>
        <w:rPr>
          <w:rFonts w:ascii="Times New Roman" w:hAnsi="Times New Roman" w:eastAsia="仿宋_GB2312" w:cs="Times New Roman"/>
          <w:bCs w:val="0"/>
          <w:color w:val="000000" w:themeColor="text1"/>
          <w:sz w:val="32"/>
          <w:szCs w:val="32"/>
          <w14:textFill>
            <w14:solidFill>
              <w14:schemeClr w14:val="tx1"/>
            </w14:solidFill>
          </w14:textFill>
        </w:rPr>
        <w:t>大力推行“湘办通”，</w:t>
      </w:r>
      <w:r>
        <w:rPr>
          <w:rFonts w:ascii="Times New Roman" w:hAnsi="Times New Roman" w:eastAsia="仿宋_GB2312" w:cs="Times New Roman"/>
          <w:bCs w:val="0"/>
          <w:color w:val="000000" w:themeColor="text1"/>
          <w:sz w:val="32"/>
          <w:szCs w:val="32"/>
          <w:lang w:val="en"/>
          <w14:textFill>
            <w14:solidFill>
              <w14:schemeClr w14:val="tx1"/>
            </w14:solidFill>
          </w14:textFill>
        </w:rPr>
        <w:t>深入推进行政办公</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仿宋_GB2312" w:cs="Times New Roman"/>
          <w:bCs w:val="0"/>
          <w:color w:val="000000" w:themeColor="text1"/>
          <w:sz w:val="32"/>
          <w:szCs w:val="32"/>
          <w:lang w:val="en"/>
          <w14:textFill>
            <w14:solidFill>
              <w14:schemeClr w14:val="tx1"/>
            </w14:solidFill>
          </w14:textFill>
        </w:rPr>
        <w:t>一网协同</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仿宋_GB2312" w:cs="Times New Roman"/>
          <w:bCs w:val="0"/>
          <w:color w:val="000000" w:themeColor="text1"/>
          <w:sz w:val="32"/>
          <w:szCs w:val="32"/>
          <w:lang w:val="en"/>
          <w14:textFill>
            <w14:solidFill>
              <w14:schemeClr w14:val="tx1"/>
            </w14:solidFill>
          </w14:textFill>
        </w:rPr>
        <w:t>、政府治理</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仿宋_GB2312" w:cs="Times New Roman"/>
          <w:bCs w:val="0"/>
          <w:color w:val="000000" w:themeColor="text1"/>
          <w:sz w:val="32"/>
          <w:szCs w:val="32"/>
          <w:lang w:val="en"/>
          <w14:textFill>
            <w14:solidFill>
              <w14:schemeClr w14:val="tx1"/>
            </w14:solidFill>
          </w14:textFill>
        </w:rPr>
        <w:t>一网统管</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仿宋_GB2312" w:cs="Times New Roman"/>
          <w:bCs w:val="0"/>
          <w:color w:val="000000" w:themeColor="text1"/>
          <w:sz w:val="32"/>
          <w:szCs w:val="32"/>
          <w:lang w:val="en"/>
          <w14:textFill>
            <w14:solidFill>
              <w14:schemeClr w14:val="tx1"/>
            </w14:solidFill>
          </w14:textFill>
        </w:rPr>
        <w:t>、政务服务</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仿宋_GB2312" w:cs="Times New Roman"/>
          <w:bCs w:val="0"/>
          <w:color w:val="000000" w:themeColor="text1"/>
          <w:sz w:val="32"/>
          <w:szCs w:val="32"/>
          <w:lang w:val="en"/>
          <w14:textFill>
            <w14:solidFill>
              <w14:schemeClr w14:val="tx1"/>
            </w14:solidFill>
          </w14:textFill>
        </w:rPr>
        <w:t>一网通办</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仿宋_GB2312" w:cs="Times New Roman"/>
          <w:bCs w:val="0"/>
          <w:color w:val="000000" w:themeColor="text1"/>
          <w:sz w:val="32"/>
          <w:szCs w:val="32"/>
          <w:lang w:val="en"/>
          <w14:textFill>
            <w14:solidFill>
              <w14:schemeClr w14:val="tx1"/>
            </w14:solidFill>
          </w14:textFill>
        </w:rPr>
        <w:t>。创新数字政务服务模式，聚焦</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仿宋_GB2312" w:cs="Times New Roman"/>
          <w:bCs w:val="0"/>
          <w:color w:val="000000" w:themeColor="text1"/>
          <w:sz w:val="32"/>
          <w:szCs w:val="32"/>
          <w:lang w:val="en"/>
          <w14:textFill>
            <w14:solidFill>
              <w14:schemeClr w14:val="tx1"/>
            </w14:solidFill>
          </w14:textFill>
        </w:rPr>
        <w:t>急难愁盼</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仿宋_GB2312" w:cs="Times New Roman"/>
          <w:bCs w:val="0"/>
          <w:color w:val="000000" w:themeColor="text1"/>
          <w:sz w:val="32"/>
          <w:szCs w:val="32"/>
          <w:lang w:val="en"/>
          <w14:textFill>
            <w14:solidFill>
              <w14:schemeClr w14:val="tx1"/>
            </w14:solidFill>
          </w14:textFill>
        </w:rPr>
        <w:t>场景，开发并推广一批具有示范效应的</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仿宋_GB2312" w:cs="Times New Roman"/>
          <w:bCs w:val="0"/>
          <w:color w:val="000000" w:themeColor="text1"/>
          <w:sz w:val="32"/>
          <w:szCs w:val="32"/>
          <w:lang w:val="en"/>
          <w14:textFill>
            <w14:solidFill>
              <w14:schemeClr w14:val="tx1"/>
            </w14:solidFill>
          </w14:textFill>
        </w:rPr>
        <w:t>人工智能+</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仿宋_GB2312" w:cs="Times New Roman"/>
          <w:bCs w:val="0"/>
          <w:color w:val="000000" w:themeColor="text1"/>
          <w:sz w:val="32"/>
          <w:szCs w:val="32"/>
          <w:lang w:val="en"/>
          <w14:textFill>
            <w14:solidFill>
              <w14:schemeClr w14:val="tx1"/>
            </w14:solidFill>
          </w14:textFill>
        </w:rPr>
        <w:t>智慧政务应用。完善</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仿宋_GB2312" w:cs="Times New Roman"/>
          <w:bCs w:val="0"/>
          <w:color w:val="000000" w:themeColor="text1"/>
          <w:sz w:val="32"/>
          <w:szCs w:val="32"/>
          <w:lang w:val="en"/>
          <w14:textFill>
            <w14:solidFill>
              <w14:schemeClr w14:val="tx1"/>
            </w14:solidFill>
          </w14:textFill>
        </w:rPr>
        <w:t>政府门户+新媒体+服务热线</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仿宋_GB2312" w:cs="Times New Roman"/>
          <w:bCs w:val="0"/>
          <w:color w:val="000000" w:themeColor="text1"/>
          <w:sz w:val="32"/>
          <w:szCs w:val="32"/>
          <w:lang w:val="en"/>
          <w14:textFill>
            <w14:solidFill>
              <w14:schemeClr w14:val="tx1"/>
            </w14:solidFill>
          </w14:textFill>
        </w:rPr>
        <w:t>多渠道反馈体系，加强政务信息系统互联互通，健全跨区域事项清单、业务规范与数据共享规则，打造</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仿宋_GB2312" w:cs="Times New Roman"/>
          <w:bCs w:val="0"/>
          <w:color w:val="000000" w:themeColor="text1"/>
          <w:sz w:val="32"/>
          <w:szCs w:val="32"/>
          <w:lang w:val="en"/>
          <w14:textFill>
            <w14:solidFill>
              <w14:schemeClr w14:val="tx1"/>
            </w14:solidFill>
          </w14:textFill>
        </w:rPr>
        <w:t>标准统一、互信互认、就近可办、高效便捷</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仿宋_GB2312" w:cs="Times New Roman"/>
          <w:bCs w:val="0"/>
          <w:color w:val="000000" w:themeColor="text1"/>
          <w:sz w:val="32"/>
          <w:szCs w:val="32"/>
          <w:lang w:val="en"/>
          <w14:textFill>
            <w14:solidFill>
              <w14:schemeClr w14:val="tx1"/>
            </w14:solidFill>
          </w14:textFill>
        </w:rPr>
        <w:t>的特色跨区域通办模式。升级怀化市一体化政务大数据平台，推进跨部门公共数据共享、联动分析和协同指挥调度。</w:t>
      </w:r>
      <w:r>
        <w:rPr>
          <w:rFonts w:ascii="Times New Roman" w:hAnsi="Times New Roman" w:eastAsia="仿宋_GB2312" w:cs="Times New Roman"/>
          <w:bCs w:val="0"/>
          <w:color w:val="000000" w:themeColor="text1"/>
          <w:sz w:val="32"/>
          <w:szCs w:val="32"/>
          <w14:textFill>
            <w14:solidFill>
              <w14:schemeClr w14:val="tx1"/>
            </w14:solidFill>
          </w14:textFill>
        </w:rPr>
        <w:t>强化基层填表报数</w:t>
      </w:r>
      <w:r>
        <w:rPr>
          <w:rFonts w:hint="eastAsia" w:eastAsia="仿宋_GB2312" w:cs="Times New Roman"/>
          <w:bCs w:val="0"/>
          <w:color w:val="000000" w:themeColor="text1"/>
          <w:sz w:val="32"/>
          <w:szCs w:val="32"/>
          <w14:textFill>
            <w14:solidFill>
              <w14:schemeClr w14:val="tx1"/>
            </w14:solidFill>
          </w14:textFill>
        </w:rPr>
        <w:t>“</w:t>
      </w:r>
      <w:r>
        <w:rPr>
          <w:rFonts w:ascii="Times New Roman" w:hAnsi="Times New Roman" w:eastAsia="仿宋_GB2312" w:cs="Times New Roman"/>
          <w:bCs w:val="0"/>
          <w:color w:val="000000" w:themeColor="text1"/>
          <w:sz w:val="32"/>
          <w:szCs w:val="32"/>
          <w14:textFill>
            <w14:solidFill>
              <w14:schemeClr w14:val="tx1"/>
            </w14:solidFill>
          </w14:textFill>
        </w:rPr>
        <w:t>一表通</w:t>
      </w:r>
      <w:r>
        <w:rPr>
          <w:rFonts w:hint="eastAsia" w:eastAsia="仿宋_GB2312" w:cs="Times New Roman"/>
          <w:bCs w:val="0"/>
          <w:color w:val="000000" w:themeColor="text1"/>
          <w:sz w:val="32"/>
          <w:szCs w:val="32"/>
          <w14:textFill>
            <w14:solidFill>
              <w14:schemeClr w14:val="tx1"/>
            </w14:solidFill>
          </w14:textFill>
        </w:rPr>
        <w:t>”</w:t>
      </w:r>
      <w:r>
        <w:rPr>
          <w:rFonts w:ascii="Times New Roman" w:hAnsi="Times New Roman" w:eastAsia="仿宋_GB2312" w:cs="Times New Roman"/>
          <w:bCs w:val="0"/>
          <w:color w:val="000000" w:themeColor="text1"/>
          <w:sz w:val="32"/>
          <w:szCs w:val="32"/>
          <w14:textFill>
            <w14:solidFill>
              <w14:schemeClr w14:val="tx1"/>
            </w14:solidFill>
          </w14:textFill>
        </w:rPr>
        <w:t>工作，提升基层治理效能。推进政务信息系统大运维大安全改革，加强政务信息化项目全生命周期管理。</w:t>
      </w:r>
    </w:p>
    <w:p>
      <w:pPr>
        <w:pStyle w:val="7"/>
        <w:spacing w:line="580" w:lineRule="exact"/>
        <w:rPr>
          <w:rFonts w:eastAsia="仿宋_GB2312"/>
          <w:color w:val="000000" w:themeColor="text1"/>
          <w:sz w:val="32"/>
          <w14:textFill>
            <w14:solidFill>
              <w14:schemeClr w14:val="tx1"/>
            </w14:solidFill>
          </w14:textFill>
        </w:rPr>
      </w:pPr>
    </w:p>
    <w:p>
      <w:pPr>
        <w:pStyle w:val="7"/>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第四节 加快建设普惠便捷的数字社会</w:t>
      </w:r>
    </w:p>
    <w:p>
      <w:pPr>
        <w:spacing w:line="580" w:lineRule="exact"/>
        <w:ind w:firstLine="640"/>
        <w:rPr>
          <w:rFonts w:eastAsia="仿宋_GB2312"/>
          <w:color w:val="000000" w:themeColor="text1"/>
          <w:sz w:val="32"/>
          <w:szCs w:val="32"/>
          <w:lang w:val="en"/>
          <w14:textFill>
            <w14:solidFill>
              <w14:schemeClr w14:val="tx1"/>
            </w14:solidFill>
          </w14:textFill>
        </w:rPr>
      </w:pPr>
    </w:p>
    <w:p>
      <w:pPr>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bCs w:val="0"/>
          <w:color w:val="000000" w:themeColor="text1"/>
          <w:sz w:val="32"/>
          <w:szCs w:val="32"/>
          <w:lang w:val="en"/>
          <w14:textFill>
            <w14:solidFill>
              <w14:schemeClr w14:val="tx1"/>
            </w14:solidFill>
          </w14:textFill>
        </w:rPr>
        <w:t>聚焦教育、医疗、养老、社保等关键领域，大力发展</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仿宋_GB2312" w:cs="Times New Roman"/>
          <w:bCs w:val="0"/>
          <w:color w:val="000000" w:themeColor="text1"/>
          <w:sz w:val="32"/>
          <w:szCs w:val="32"/>
          <w:lang w:val="en"/>
          <w14:textFill>
            <w14:solidFill>
              <w14:schemeClr w14:val="tx1"/>
            </w14:solidFill>
          </w14:textFill>
        </w:rPr>
        <w:t>人工智能+社会服务</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仿宋_GB2312" w:cs="Times New Roman"/>
          <w:bCs w:val="0"/>
          <w:color w:val="000000" w:themeColor="text1"/>
          <w:sz w:val="32"/>
          <w:szCs w:val="32"/>
          <w:lang w:val="en"/>
          <w14:textFill>
            <w14:solidFill>
              <w14:schemeClr w14:val="tx1"/>
            </w14:solidFill>
          </w14:textFill>
        </w:rPr>
        <w:t>，以数字化全面赋能社会民生与城市治理，加速优质公共服务向基层与农村辐射延伸，构筑普惠包容、智能便捷的数字生活新图景。深入实施教育数字化行动，依托国家及湖南智慧教育平台，构建智慧教育服务体系。依托</w:t>
      </w:r>
      <w:r>
        <w:rPr>
          <w:rFonts w:ascii="Times New Roman" w:hAnsi="Times New Roman" w:eastAsia="仿宋_GB2312" w:cs="Times New Roman"/>
          <w:bCs w:val="0"/>
          <w:color w:val="000000" w:themeColor="text1"/>
          <w:sz w:val="32"/>
          <w:szCs w:val="32"/>
          <w14:textFill>
            <w14:solidFill>
              <w14:schemeClr w14:val="tx1"/>
            </w14:solidFill>
          </w14:textFill>
        </w:rPr>
        <w:t>湖南省</w:t>
      </w:r>
      <w:r>
        <w:rPr>
          <w:rFonts w:ascii="Times New Roman" w:hAnsi="Times New Roman" w:eastAsia="仿宋_GB2312" w:cs="Times New Roman"/>
          <w:bCs w:val="0"/>
          <w:color w:val="000000" w:themeColor="text1"/>
          <w:sz w:val="32"/>
          <w:szCs w:val="32"/>
          <w:lang w:val="en"/>
          <w14:textFill>
            <w14:solidFill>
              <w14:schemeClr w14:val="tx1"/>
            </w14:solidFill>
          </w14:textFill>
        </w:rPr>
        <w:t>全民健康信息平台，推动人工智能在辅助诊疗、远程会诊、健康管理中的应用。探索建立居家养老和社区养老智能监测系统，构建全周期数字健康养老服务体系。推进数字社会治理创新，强化风险智能感知、态势精准研</w:t>
      </w:r>
      <w:r>
        <w:rPr>
          <w:rFonts w:ascii="Times New Roman" w:hAnsi="Times New Roman" w:eastAsia="仿宋_GB2312" w:cs="Times New Roman"/>
          <w:bCs w:val="0"/>
          <w:color w:val="000000" w:themeColor="text1"/>
          <w:spacing w:val="-6"/>
          <w:sz w:val="32"/>
          <w:szCs w:val="32"/>
          <w:lang w:val="en"/>
          <w14:textFill>
            <w14:solidFill>
              <w14:schemeClr w14:val="tx1"/>
            </w14:solidFill>
          </w14:textFill>
        </w:rPr>
        <w:t>判、事件高效协同处置能力。加快数字城乡发展，推进大数据、云计算、人工智能等先进技术在城市建设领域广泛应用，建设城市综合运行管理平台，实施数字乡村新基建工程。协同推进智慧社区和数字家庭建设，推动购物消费、居家生活、交通出行等各类生活场景数字化。</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9071" w:type="dxa"/>
            <w:vAlign w:val="center"/>
          </w:tcPr>
          <w:p>
            <w:pPr>
              <w:spacing w:line="570" w:lineRule="exact"/>
              <w:jc w:val="center"/>
              <w:rPr>
                <w:rFonts w:ascii="Times New Roman" w:hAnsi="Times New Roman" w:eastAsia="黑体"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 xml:space="preserve">专栏13—2 </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黑体" w:cs="Times New Roman"/>
                <w:color w:val="000000" w:themeColor="text1"/>
                <w:sz w:val="32"/>
                <w:szCs w:val="32"/>
                <w14:textFill>
                  <w14:solidFill>
                    <w14:schemeClr w14:val="tx1"/>
                  </w14:solidFill>
                </w14:textFill>
              </w:rPr>
              <w:t>人工智能+</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黑体" w:cs="Times New Roman"/>
                <w:color w:val="000000" w:themeColor="text1"/>
                <w:sz w:val="32"/>
                <w:szCs w:val="32"/>
                <w14:textFill>
                  <w14:solidFill>
                    <w14:schemeClr w14:val="tx1"/>
                  </w14:solidFill>
                </w14:textFill>
              </w:rPr>
              <w:t>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64" w:hRule="atLeast"/>
        </w:trPr>
        <w:tc>
          <w:tcPr>
            <w:tcW w:w="9071" w:type="dxa"/>
            <w:vAlign w:val="center"/>
          </w:tcPr>
          <w:p>
            <w:pPr>
              <w:spacing w:line="44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1.科学技术领域。</w:t>
            </w:r>
            <w:r>
              <w:rPr>
                <w:rFonts w:ascii="Times New Roman" w:hAnsi="Times New Roman" w:eastAsia="楷体_GB2312" w:cs="Times New Roman"/>
                <w:color w:val="000000" w:themeColor="text1"/>
                <w:sz w:val="32"/>
                <w:szCs w:val="32"/>
                <w14:textFill>
                  <w14:solidFill>
                    <w14:schemeClr w14:val="tx1"/>
                  </w14:solidFill>
                </w14:textFill>
              </w:rPr>
              <w:t>加强人工智能与生物医药、医疗辅助、分子育种、文化旅游、智慧物流、智慧城市等领域的协同创新。推进“人工智能+生物医药”研究，利用人工智能垂类大模型提升中药研发能力。</w:t>
            </w:r>
          </w:p>
          <w:p>
            <w:pPr>
              <w:spacing w:line="44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2.产业发展领域。</w:t>
            </w:r>
            <w:r>
              <w:rPr>
                <w:rFonts w:ascii="Times New Roman" w:hAnsi="Times New Roman" w:eastAsia="楷体_GB2312" w:cs="Times New Roman"/>
                <w:color w:val="000000" w:themeColor="text1"/>
                <w:sz w:val="32"/>
                <w:szCs w:val="32"/>
                <w14:textFill>
                  <w14:solidFill>
                    <w14:schemeClr w14:val="tx1"/>
                  </w14:solidFill>
                </w14:textFill>
              </w:rPr>
              <w:t>围绕先进制造业，推动人工智能技术在研发设计、生产制造、营销服务、运营管理、现代物流等关键环节融合应用，提升产业链全流程智能化水平。围绕农业，推动人工智能与山区特色种养、精深加工、品牌营销深度融合，大力发展智能农机装备。围绕文化旅游，升级智慧服务体系，应用AR/VR、智能感知、数字光影等前沿技术，打造怀化数字文旅IP。</w:t>
            </w:r>
          </w:p>
          <w:p>
            <w:pPr>
              <w:spacing w:line="44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3.消费提质领域。</w:t>
            </w:r>
            <w:r>
              <w:rPr>
                <w:rFonts w:ascii="Times New Roman" w:hAnsi="Times New Roman" w:eastAsia="楷体_GB2312" w:cs="Times New Roman"/>
                <w:color w:val="000000" w:themeColor="text1"/>
                <w:sz w:val="32"/>
                <w:szCs w:val="32"/>
                <w:lang w:val="en"/>
                <w14:textFill>
                  <w14:solidFill>
                    <w14:schemeClr w14:val="tx1"/>
                  </w14:solidFill>
                </w14:textFill>
              </w:rPr>
              <w:t>推动快递配送、外卖零售、货物运输等无人车在园区、景区、矿山等封闭区域、城市道路等场景应用。</w:t>
            </w:r>
            <w:r>
              <w:rPr>
                <w:rFonts w:ascii="Times New Roman" w:hAnsi="Times New Roman" w:eastAsia="楷体_GB2312" w:cs="Times New Roman"/>
                <w:color w:val="000000" w:themeColor="text1"/>
                <w:sz w:val="32"/>
                <w:szCs w:val="32"/>
                <w14:textFill>
                  <w14:solidFill>
                    <w14:schemeClr w14:val="tx1"/>
                  </w14:solidFill>
                </w14:textFill>
              </w:rPr>
              <w:t>加快公路水路交通基础设施数字化升级，构建智能综合交通体系。加快推广智能计算机、智能平板，实现端侧大模型轻量化部署。</w:t>
            </w:r>
          </w:p>
          <w:p>
            <w:pPr>
              <w:spacing w:line="440" w:lineRule="exact"/>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color w:val="000000" w:themeColor="text1"/>
                <w:sz w:val="32"/>
                <w:szCs w:val="32"/>
                <w14:textFill>
                  <w14:solidFill>
                    <w14:schemeClr w14:val="tx1"/>
                  </w14:solidFill>
                </w14:textFill>
              </w:rPr>
              <w:t>积极融入全省低空智联一张网建设布局，实现95%以上飞行任务自动化调度。</w:t>
            </w:r>
          </w:p>
          <w:p>
            <w:pPr>
              <w:spacing w:line="44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4.民生福祉领域。</w:t>
            </w:r>
            <w:r>
              <w:rPr>
                <w:rFonts w:ascii="Times New Roman" w:hAnsi="Times New Roman" w:eastAsia="楷体_GB2312" w:cs="Times New Roman"/>
                <w:color w:val="000000" w:themeColor="text1"/>
                <w:sz w:val="32"/>
                <w:szCs w:val="32"/>
                <w14:textFill>
                  <w14:solidFill>
                    <w14:schemeClr w14:val="tx1"/>
                  </w14:solidFill>
                </w14:textFill>
              </w:rPr>
              <w:t>探索人工智能在诊疗服务、基本公共卫生、慢病协同管理、家庭医生签约服务、中医智能辅诊等领域融合应用。构建分层递进中小学人工智能通识教育体系，推动平台智能学习助手、教学助手等通用型人工智能教学工具实践应用，推进区域教育数据中心建设和智慧校园建设。加大智能机器人在高危岗位替代应用力度，推进矿山、危险化学品、烟花爆竹、工贸等行业安全生产监管智能化升级。</w:t>
            </w:r>
          </w:p>
          <w:p>
            <w:pPr>
              <w:spacing w:line="44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5.治理能力领域。</w:t>
            </w:r>
            <w:r>
              <w:rPr>
                <w:rFonts w:ascii="Times New Roman" w:hAnsi="Times New Roman" w:eastAsia="楷体_GB2312" w:cs="Times New Roman"/>
                <w:color w:val="000000" w:themeColor="text1"/>
                <w:sz w:val="32"/>
                <w:szCs w:val="32"/>
                <w14:textFill>
                  <w14:solidFill>
                    <w14:schemeClr w14:val="tx1"/>
                  </w14:solidFill>
                </w14:textFill>
              </w:rPr>
              <w:t>推动人工智能与政务服务深度融合，升级提质市一体化政务大数据平台，构建全市统一的政务数据资源池和交换通道。增强人工智能在灾害事故风险监测、应急响应、复</w:t>
            </w:r>
            <w:r>
              <w:rPr>
                <w:rFonts w:ascii="Times New Roman" w:hAnsi="Times New Roman" w:eastAsia="楷体_GB2312" w:cs="Times New Roman"/>
                <w:color w:val="000000" w:themeColor="text1"/>
                <w:spacing w:val="-6"/>
                <w:sz w:val="32"/>
                <w:szCs w:val="32"/>
                <w14:textFill>
                  <w14:solidFill>
                    <w14:schemeClr w14:val="tx1"/>
                  </w14:solidFill>
                </w14:textFill>
              </w:rPr>
              <w:t>盘分析等环节辅助决策能力。推广智能机器人和“铁塔哨兵”系统在巡堤查险、隐患排查、灾害事故救援、森林防灭火等场景中的应用。</w:t>
            </w:r>
          </w:p>
        </w:tc>
      </w:tr>
    </w:tbl>
    <w:p>
      <w:pPr>
        <w:pStyle w:val="6"/>
        <w:spacing w:line="580" w:lineRule="exact"/>
        <w:rPr>
          <w:rFonts w:ascii="Times New Roman" w:hAnsi="Times New Roman" w:eastAsia="黑体" w:cs="Times New Roman"/>
          <w:color w:val="000000" w:themeColor="text1"/>
          <w:sz w:val="32"/>
          <w14:textFill>
            <w14:solidFill>
              <w14:schemeClr w14:val="tx1"/>
            </w14:solidFill>
          </w14:textFill>
        </w:rPr>
      </w:pPr>
      <w:bookmarkStart w:id="73" w:name="_Toc23659"/>
    </w:p>
    <w:p>
      <w:pPr>
        <w:pStyle w:val="6"/>
        <w:spacing w:line="580" w:lineRule="exact"/>
        <w:rPr>
          <w:rFonts w:ascii="Times New Roman" w:hAnsi="Times New Roman" w:eastAsia="黑体" w:cs="Times New Roman"/>
          <w:color w:val="000000" w:themeColor="text1"/>
          <w:sz w:val="32"/>
          <w14:textFill>
            <w14:solidFill>
              <w14:schemeClr w14:val="tx1"/>
            </w14:solidFill>
          </w14:textFill>
        </w:rPr>
      </w:pPr>
      <w:r>
        <w:rPr>
          <w:rFonts w:ascii="Times New Roman" w:hAnsi="Times New Roman" w:eastAsia="黑体" w:cs="Times New Roman"/>
          <w:color w:val="000000" w:themeColor="text1"/>
          <w:sz w:val="32"/>
          <w14:textFill>
            <w14:solidFill>
              <w14:schemeClr w14:val="tx1"/>
            </w14:solidFill>
          </w14:textFill>
        </w:rPr>
        <w:t>第四十四章 营造良好数字生态</w:t>
      </w:r>
      <w:bookmarkEnd w:id="73"/>
    </w:p>
    <w:p>
      <w:pPr>
        <w:pStyle w:val="7"/>
        <w:spacing w:line="580" w:lineRule="exact"/>
        <w:rPr>
          <w:rFonts w:eastAsia="仿宋_GB2312"/>
          <w:color w:val="000000" w:themeColor="text1"/>
          <w:sz w:val="32"/>
          <w14:textFill>
            <w14:solidFill>
              <w14:schemeClr w14:val="tx1"/>
            </w14:solidFill>
          </w14:textFill>
        </w:rPr>
      </w:pPr>
    </w:p>
    <w:p>
      <w:pPr>
        <w:pStyle w:val="7"/>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第一节 提升数字治理能力</w:t>
      </w:r>
    </w:p>
    <w:p>
      <w:pPr>
        <w:spacing w:line="580" w:lineRule="exact"/>
        <w:ind w:firstLine="640"/>
        <w:rPr>
          <w:rFonts w:eastAsia="仿宋_GB2312"/>
          <w:color w:val="000000" w:themeColor="text1"/>
          <w:sz w:val="32"/>
          <w:szCs w:val="32"/>
          <w:lang w:val="en"/>
          <w14:textFill>
            <w14:solidFill>
              <w14:schemeClr w14:val="tx1"/>
            </w14:solidFill>
          </w14:textFill>
        </w:rPr>
      </w:pPr>
    </w:p>
    <w:p>
      <w:pPr>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bCs w:val="0"/>
          <w:color w:val="000000" w:themeColor="text1"/>
          <w:sz w:val="32"/>
          <w:szCs w:val="32"/>
          <w:lang w:val="en"/>
          <w14:textFill>
            <w14:solidFill>
              <w14:schemeClr w14:val="tx1"/>
            </w14:solidFill>
          </w14:textFill>
        </w:rPr>
        <w:t>完善数字怀化建设统筹协同机制，建立包容审慎的数字治理规则体系，强化公共参与和社会共治，形成数据驱动、规则健全、社会共创的数字治理新生态。</w:t>
      </w:r>
      <w:r>
        <w:rPr>
          <w:rFonts w:ascii="Times New Roman" w:hAnsi="Times New Roman" w:eastAsia="仿宋_GB2312" w:cs="Times New Roman"/>
          <w:bCs w:val="0"/>
          <w:color w:val="000000" w:themeColor="text1"/>
          <w:sz w:val="32"/>
          <w:szCs w:val="32"/>
          <w14:textFill>
            <w14:solidFill>
              <w14:schemeClr w14:val="tx1"/>
            </w14:solidFill>
          </w14:textFill>
        </w:rPr>
        <w:t>健全</w:t>
      </w:r>
      <w:r>
        <w:rPr>
          <w:rFonts w:ascii="Times New Roman" w:hAnsi="Times New Roman" w:eastAsia="仿宋_GB2312" w:cs="Times New Roman"/>
          <w:bCs w:val="0"/>
          <w:color w:val="000000" w:themeColor="text1"/>
          <w:sz w:val="32"/>
          <w:szCs w:val="32"/>
          <w:lang w:val="en"/>
          <w14:textFill>
            <w14:solidFill>
              <w14:schemeClr w14:val="tx1"/>
            </w14:solidFill>
          </w14:textFill>
        </w:rPr>
        <w:t>数据共享开放规则、强化个人信息保护机制、规范人工智能治理体系，完善数据产权、流通交易、收益分配、安全治理等方面基础制度。深入实施</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仿宋_GB2312" w:cs="Times New Roman"/>
          <w:bCs w:val="0"/>
          <w:color w:val="000000" w:themeColor="text1"/>
          <w:sz w:val="32"/>
          <w:szCs w:val="32"/>
          <w:lang w:val="en"/>
          <w14:textFill>
            <w14:solidFill>
              <w14:schemeClr w14:val="tx1"/>
            </w14:solidFill>
          </w14:textFill>
        </w:rPr>
        <w:t>数据要素×</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仿宋_GB2312" w:cs="Times New Roman"/>
          <w:bCs w:val="0"/>
          <w:color w:val="000000" w:themeColor="text1"/>
          <w:sz w:val="32"/>
          <w:szCs w:val="32"/>
          <w:lang w:val="en"/>
          <w14:textFill>
            <w14:solidFill>
              <w14:schemeClr w14:val="tx1"/>
            </w14:solidFill>
          </w14:textFill>
        </w:rPr>
        <w:t>行动，健全公共数据资源管理和运营机制，以公共数据开发利用引领撬动各方数据的融合应用。推进公共数据资源登记和授权运营，推动高质量数据集建设，</w:t>
      </w:r>
      <w:r>
        <w:rPr>
          <w:rFonts w:ascii="Times New Roman" w:hAnsi="Times New Roman" w:eastAsia="仿宋_GB2312" w:cs="Times New Roman"/>
          <w:bCs w:val="0"/>
          <w:color w:val="000000" w:themeColor="text1"/>
          <w:sz w:val="32"/>
          <w:szCs w:val="32"/>
          <w14:textFill>
            <w14:solidFill>
              <w14:schemeClr w14:val="tx1"/>
            </w14:solidFill>
          </w14:textFill>
        </w:rPr>
        <w:t>保证关键领域数据库、语料库全覆盖。积极引进人工智能领域高端人才，发挥高能级创新平台、行业龙头企业等机构的人才集聚作用，引育一批具有场景创新意识和能力的专业人才。到2030年，力争推出100个</w:t>
      </w:r>
      <w:r>
        <w:rPr>
          <w:rFonts w:ascii="Times New Roman" w:hAnsi="Times New Roman" w:eastAsia="仿宋_GB2312" w:cs="Times New Roman"/>
          <w:color w:val="000000" w:themeColor="text1"/>
          <w:sz w:val="32"/>
          <w:szCs w:val="32"/>
          <w14:textFill>
            <w14:solidFill>
              <w14:schemeClr w14:val="tx1"/>
            </w14:solidFill>
          </w14:textFill>
        </w:rPr>
        <w:t>公共数据产品和服务，建设30个高质量数据集，打造</w:t>
      </w:r>
      <w:r>
        <w:rPr>
          <w:rFonts w:ascii="Times New Roman" w:hAnsi="Times New Roman" w:eastAsia="仿宋_GB2312" w:cs="Times New Roman"/>
          <w:bCs w:val="0"/>
          <w:color w:val="000000" w:themeColor="text1"/>
          <w:sz w:val="32"/>
          <w:szCs w:val="32"/>
          <w14:textFill>
            <w14:solidFill>
              <w14:schemeClr w14:val="tx1"/>
            </w14:solidFill>
          </w14:textFill>
        </w:rPr>
        <w:t>10个</w:t>
      </w:r>
      <w:r>
        <w:rPr>
          <w:rFonts w:ascii="Times New Roman" w:hAnsi="Times New Roman" w:eastAsia="仿宋_GB2312" w:cs="Times New Roman"/>
          <w:color w:val="000000" w:themeColor="text1"/>
          <w:sz w:val="32"/>
          <w:szCs w:val="32"/>
          <w14:textFill>
            <w14:solidFill>
              <w14:schemeClr w14:val="tx1"/>
            </w14:solidFill>
          </w14:textFill>
        </w:rPr>
        <w:t>公共数据“跑起来”示范场景。</w:t>
      </w:r>
    </w:p>
    <w:p>
      <w:pPr>
        <w:pStyle w:val="7"/>
        <w:spacing w:line="60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第二节 深化数字领域开放合作</w:t>
      </w:r>
    </w:p>
    <w:p>
      <w:pPr>
        <w:spacing w:line="600" w:lineRule="exact"/>
        <w:ind w:firstLine="640"/>
        <w:rPr>
          <w:rFonts w:eastAsia="仿宋_GB2312"/>
          <w:color w:val="000000" w:themeColor="text1"/>
          <w:sz w:val="32"/>
          <w:szCs w:val="32"/>
          <w:lang w:val="en"/>
          <w14:textFill>
            <w14:solidFill>
              <w14:schemeClr w14:val="tx1"/>
            </w14:solidFill>
          </w14:textFill>
        </w:rPr>
      </w:pPr>
    </w:p>
    <w:p>
      <w:pPr>
        <w:spacing w:line="600" w:lineRule="exact"/>
        <w:ind w:firstLine="640"/>
        <w:rPr>
          <w:rFonts w:eastAsia="仿宋_GB2312"/>
          <w:color w:val="000000" w:themeColor="text1"/>
          <w:sz w:val="32"/>
          <w:szCs w:val="32"/>
          <w:lang w:val="en"/>
          <w14:textFill>
            <w14:solidFill>
              <w14:schemeClr w14:val="tx1"/>
            </w14:solidFill>
          </w14:textFill>
        </w:rPr>
      </w:pPr>
      <w:r>
        <w:rPr>
          <w:rFonts w:ascii="Times New Roman" w:hAnsi="Times New Roman" w:eastAsia="仿宋_GB2312" w:cs="Times New Roman"/>
          <w:bCs w:val="0"/>
          <w:color w:val="000000" w:themeColor="text1"/>
          <w:sz w:val="32"/>
          <w:szCs w:val="32"/>
          <w:lang w:val="en"/>
          <w14:textFill>
            <w14:solidFill>
              <w14:schemeClr w14:val="tx1"/>
            </w14:solidFill>
          </w14:textFill>
        </w:rPr>
        <w:t>推动公共数据资源有序开放，建立以应用为导向的数据共享机制。强化周边省市合作，构建多层次、宽领域、开放型数字合作网络，全面提升怀化在区域数字经济发展中的集聚辐射能力。</w:t>
      </w:r>
      <w:r>
        <w:rPr>
          <w:rFonts w:ascii="Times New Roman" w:hAnsi="Times New Roman" w:eastAsia="仿宋_GB2312" w:cs="Times New Roman"/>
          <w:bCs w:val="0"/>
          <w:color w:val="000000" w:themeColor="text1"/>
          <w:sz w:val="32"/>
          <w:szCs w:val="32"/>
          <w14:textFill>
            <w14:solidFill>
              <w14:schemeClr w14:val="tx1"/>
            </w14:solidFill>
          </w14:textFill>
        </w:rPr>
        <w:t>深化数字陆海新通道建设，搭建数字化综合服务平台，以AI陆港建设推进跨境数据流动、检验检疫互认、海外仓共建共享。</w:t>
      </w:r>
      <w:r>
        <w:rPr>
          <w:rFonts w:ascii="Times New Roman" w:hAnsi="Times New Roman" w:eastAsia="仿宋_GB2312" w:cs="Times New Roman"/>
          <w:bCs w:val="0"/>
          <w:color w:val="000000" w:themeColor="text1"/>
          <w:sz w:val="32"/>
          <w:szCs w:val="32"/>
          <w:lang w:val="en"/>
          <w14:textFill>
            <w14:solidFill>
              <w14:schemeClr w14:val="tx1"/>
            </w14:solidFill>
          </w14:textFill>
        </w:rPr>
        <w:t>主动融入数字中国、数字湖南建设，</w:t>
      </w:r>
      <w:r>
        <w:rPr>
          <w:rFonts w:ascii="Times New Roman" w:hAnsi="Times New Roman" w:eastAsia="仿宋_GB2312" w:cs="Times New Roman"/>
          <w:bCs w:val="0"/>
          <w:color w:val="000000" w:themeColor="text1"/>
          <w:sz w:val="32"/>
          <w:szCs w:val="32"/>
          <w14:textFill>
            <w14:solidFill>
              <w14:schemeClr w14:val="tx1"/>
            </w14:solidFill>
          </w14:textFill>
        </w:rPr>
        <w:t>积极</w:t>
      </w:r>
      <w:r>
        <w:rPr>
          <w:rFonts w:ascii="Times New Roman" w:hAnsi="Times New Roman" w:eastAsia="仿宋_GB2312" w:cs="Times New Roman"/>
          <w:bCs w:val="0"/>
          <w:color w:val="000000" w:themeColor="text1"/>
          <w:sz w:val="32"/>
          <w:szCs w:val="32"/>
          <w:lang w:val="en"/>
          <w14:textFill>
            <w14:solidFill>
              <w14:schemeClr w14:val="tx1"/>
            </w14:solidFill>
          </w14:textFill>
        </w:rPr>
        <w:t>参与国家数据要素综合试验区</w:t>
      </w:r>
      <w:r>
        <w:rPr>
          <w:rFonts w:ascii="Times New Roman" w:hAnsi="Times New Roman" w:eastAsia="仿宋_GB2312" w:cs="Times New Roman"/>
          <w:bCs w:val="0"/>
          <w:color w:val="000000" w:themeColor="text1"/>
          <w:sz w:val="32"/>
          <w:szCs w:val="32"/>
          <w14:textFill>
            <w14:solidFill>
              <w14:schemeClr w14:val="tx1"/>
            </w14:solidFill>
          </w14:textFill>
        </w:rPr>
        <w:t>建设</w:t>
      </w:r>
      <w:r>
        <w:rPr>
          <w:rFonts w:ascii="Times New Roman" w:hAnsi="Times New Roman" w:eastAsia="仿宋_GB2312" w:cs="Times New Roman"/>
          <w:bCs w:val="0"/>
          <w:color w:val="000000" w:themeColor="text1"/>
          <w:sz w:val="32"/>
          <w:szCs w:val="32"/>
          <w:lang w:val="en"/>
          <w14:textFill>
            <w14:solidFill>
              <w14:schemeClr w14:val="tx1"/>
            </w14:solidFill>
          </w14:textFill>
        </w:rPr>
        <w:t>，争取国省数字化改革试点，强化与</w:t>
      </w:r>
      <w:r>
        <w:rPr>
          <w:rFonts w:ascii="Times New Roman" w:hAnsi="Times New Roman" w:eastAsia="仿宋_GB2312" w:cs="Times New Roman"/>
          <w:bCs w:val="0"/>
          <w:color w:val="000000" w:themeColor="text1"/>
          <w:sz w:val="32"/>
          <w:szCs w:val="32"/>
          <w14:textFill>
            <w14:solidFill>
              <w14:schemeClr w14:val="tx1"/>
            </w14:solidFill>
          </w14:textFill>
        </w:rPr>
        <w:t>省内各</w:t>
      </w:r>
      <w:r>
        <w:rPr>
          <w:rFonts w:ascii="Times New Roman" w:hAnsi="Times New Roman" w:eastAsia="仿宋_GB2312" w:cs="Times New Roman"/>
          <w:bCs w:val="0"/>
          <w:color w:val="000000" w:themeColor="text1"/>
          <w:sz w:val="32"/>
          <w:szCs w:val="32"/>
          <w:lang w:val="en"/>
          <w14:textFill>
            <w14:solidFill>
              <w14:schemeClr w14:val="tx1"/>
            </w14:solidFill>
          </w14:textFill>
        </w:rPr>
        <w:t>市州协作，推动区域数字联盟共同体建设。深化与东盟国家在数字贸易、跨境电商、智慧物流等领域合作，探索开展跨境数据流动、数字身份互认等试点。</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9071" w:type="dxa"/>
            <w:vAlign w:val="center"/>
          </w:tcPr>
          <w:p>
            <w:pPr>
              <w:spacing w:line="570" w:lineRule="exact"/>
              <w:jc w:val="center"/>
              <w:rPr>
                <w:rFonts w:ascii="Times New Roman" w:hAnsi="Times New Roman" w:eastAsia="黑体"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专栏13—3 数字生态建设工程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9071" w:type="dxa"/>
          </w:tcPr>
          <w:p>
            <w:pPr>
              <w:spacing w:line="48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1.数据开发利用工程。</w:t>
            </w:r>
            <w:r>
              <w:rPr>
                <w:rFonts w:ascii="Times New Roman" w:hAnsi="Times New Roman" w:eastAsia="楷体_GB2312" w:cs="Times New Roman"/>
                <w:bCs w:val="0"/>
                <w:color w:val="000000" w:themeColor="text1"/>
                <w:sz w:val="32"/>
                <w:szCs w:val="32"/>
                <w14:textFill>
                  <w14:solidFill>
                    <w14:schemeClr w14:val="tx1"/>
                  </w14:solidFill>
                </w14:textFill>
              </w:rPr>
              <w:t>构建全市公共数据资源开发利用体系，全面建立公共数据资源登记与授权运营管理、实施、运营机制，形成具有怀化特色的公共数据授权运营模式。</w:t>
            </w:r>
            <w:r>
              <w:rPr>
                <w:rFonts w:ascii="Times New Roman" w:hAnsi="Times New Roman" w:eastAsia="楷体_GB2312" w:cs="Times New Roman"/>
                <w:color w:val="000000" w:themeColor="text1"/>
                <w:sz w:val="32"/>
                <w:szCs w:val="32"/>
                <w14:textFill>
                  <w14:solidFill>
                    <w14:schemeClr w14:val="tx1"/>
                  </w14:solidFill>
                </w14:textFill>
              </w:rPr>
              <w:t>分类推进企业数据资源开发利用和流通交易，赋能企业转型升级。</w:t>
            </w:r>
            <w:r>
              <w:rPr>
                <w:rFonts w:ascii="Times New Roman" w:hAnsi="Times New Roman" w:eastAsia="楷体_GB2312" w:cs="Times New Roman"/>
                <w:bCs w:val="0"/>
                <w:color w:val="000000" w:themeColor="text1"/>
                <w:sz w:val="32"/>
                <w:szCs w:val="32"/>
                <w14:textFill>
                  <w14:solidFill>
                    <w14:schemeClr w14:val="tx1"/>
                  </w14:solidFill>
                </w14:textFill>
              </w:rPr>
              <w:t>力争培育20家以上本地数据要素型企业，打造5个以上数据企业应用场景优秀案例，建成1个</w:t>
            </w:r>
            <w:r>
              <w:rPr>
                <w:rFonts w:ascii="Times New Roman" w:hAnsi="Times New Roman" w:eastAsia="楷体_GB2312" w:cs="Times New Roman"/>
                <w:color w:val="000000" w:themeColor="text1"/>
                <w:sz w:val="32"/>
                <w:szCs w:val="32"/>
                <w14:textFill>
                  <w14:solidFill>
                    <w14:schemeClr w14:val="tx1"/>
                  </w14:solidFill>
                </w14:textFill>
              </w:rPr>
              <w:t>数据标注基地。</w:t>
            </w:r>
          </w:p>
          <w:p>
            <w:pPr>
              <w:adjustRightInd w:val="0"/>
              <w:snapToGrid w:val="0"/>
              <w:spacing w:line="48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2.数字人才培育工程。</w:t>
            </w:r>
            <w:r>
              <w:rPr>
                <w:rFonts w:ascii="Times New Roman" w:hAnsi="Times New Roman" w:eastAsia="楷体_GB2312" w:cs="Times New Roman"/>
                <w:bCs w:val="0"/>
                <w:color w:val="000000" w:themeColor="text1"/>
                <w:sz w:val="32"/>
                <w:szCs w:val="32"/>
                <w14:textFill>
                  <w14:solidFill>
                    <w14:schemeClr w14:val="tx1"/>
                  </w14:solidFill>
                </w14:textFill>
              </w:rPr>
              <w:t>构建</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高校+职教+继续教育</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的数据人才培养体系，鼓励龙头企业与怀化学院、湖南医药学院等本地高校深化产教融合，培养数据治理、数据安全、人工智能训练和数据标注等领域专业人才。实施</w:t>
            </w:r>
            <w:r>
              <w:rPr>
                <w:rFonts w:hint="eastAsia" w:ascii="Times New Roman" w:hAnsi="Times New Roman" w:eastAsia="楷体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AI人才集聚计划</w:t>
            </w:r>
            <w:r>
              <w:rPr>
                <w:rFonts w:hint="eastAsia" w:ascii="Times New Roman" w:hAnsi="Times New Roman" w:eastAsia="楷体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，引进省内外高端人才和创新团队，推行</w:t>
            </w:r>
            <w:r>
              <w:rPr>
                <w:rFonts w:hint="eastAsia" w:ascii="Times New Roman" w:hAnsi="Times New Roman" w:eastAsia="楷体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周末工程师</w:t>
            </w:r>
            <w:r>
              <w:rPr>
                <w:rFonts w:hint="eastAsia" w:ascii="Times New Roman" w:hAnsi="Times New Roman" w:eastAsia="楷体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等柔性引才模式。</w:t>
            </w:r>
          </w:p>
          <w:p>
            <w:pPr>
              <w:spacing w:line="480" w:lineRule="exact"/>
              <w:ind w:firstLine="643"/>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3.数字安全保障工程。</w:t>
            </w:r>
            <w:r>
              <w:rPr>
                <w:rFonts w:ascii="Times New Roman" w:hAnsi="Times New Roman" w:eastAsia="楷体_GB2312" w:cs="Times New Roman"/>
                <w:color w:val="000000" w:themeColor="text1"/>
                <w:sz w:val="32"/>
                <w:szCs w:val="32"/>
                <w14:textFill>
                  <w14:solidFill>
                    <w14:schemeClr w14:val="tx1"/>
                  </w14:solidFill>
                </w14:textFill>
              </w:rPr>
              <w:t>建设覆盖全域的数字安全运营中心，实施</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楷体_GB2312" w:cs="Times New Roman"/>
                <w:color w:val="000000" w:themeColor="text1"/>
                <w:sz w:val="32"/>
                <w:szCs w:val="32"/>
                <w14:textFill>
                  <w14:solidFill>
                    <w14:schemeClr w14:val="tx1"/>
                  </w14:solidFill>
                </w14:textFill>
              </w:rPr>
              <w:t>政务云+密码应用</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楷体_GB2312" w:cs="Times New Roman"/>
                <w:color w:val="000000" w:themeColor="text1"/>
                <w:sz w:val="32"/>
                <w:szCs w:val="32"/>
                <w14:textFill>
                  <w14:solidFill>
                    <w14:schemeClr w14:val="tx1"/>
                  </w14:solidFill>
                </w14:textFill>
              </w:rPr>
              <w:t>安全提升项目，为政务云平台量身定制国产密码算法的加密机和密钥管理系统，对数据存储、传输、接口调用等进行全程加密保护。</w:t>
            </w:r>
          </w:p>
        </w:tc>
      </w:tr>
      <w:bookmarkEnd w:id="35"/>
      <w:bookmarkEnd w:id="36"/>
      <w:bookmarkEnd w:id="37"/>
    </w:tbl>
    <w:p>
      <w:pPr>
        <w:ind w:firstLine="720"/>
        <w:rPr>
          <w:rFonts w:eastAsia="方正小标宋简体"/>
          <w:color w:val="000000" w:themeColor="text1"/>
          <w:sz w:val="36"/>
          <w:szCs w:val="36"/>
          <w14:textFill>
            <w14:solidFill>
              <w14:schemeClr w14:val="tx1"/>
            </w14:solidFill>
          </w14:textFill>
        </w:rPr>
      </w:pPr>
      <w:bookmarkStart w:id="74" w:name="_Toc16605"/>
      <w:bookmarkStart w:id="75" w:name="_Toc1072456447"/>
      <w:bookmarkStart w:id="76" w:name="_Toc512587976"/>
      <w:r>
        <w:rPr>
          <w:rFonts w:ascii="Times New Roman" w:hAnsi="Times New Roman" w:eastAsia="方正小标宋简体" w:cs="Times New Roman"/>
          <w:color w:val="000000" w:themeColor="text1"/>
          <w:sz w:val="36"/>
          <w:szCs w:val="36"/>
          <w14:textFill>
            <w14:solidFill>
              <w14:schemeClr w14:val="tx1"/>
            </w14:solidFill>
          </w14:textFill>
        </w:rPr>
        <w:br w:type="page"/>
      </w:r>
    </w:p>
    <w:p>
      <w:pPr>
        <w:pStyle w:val="5"/>
        <w:spacing w:line="580" w:lineRule="exact"/>
        <w:rPr>
          <w:rFonts w:eastAsia="方正小标宋简体"/>
          <w:color w:val="000000" w:themeColor="text1"/>
          <w:sz w:val="36"/>
          <w:szCs w:val="36"/>
          <w14:textFill>
            <w14:solidFill>
              <w14:schemeClr w14:val="tx1"/>
            </w14:solidFill>
          </w14:textFill>
        </w:rPr>
      </w:pPr>
      <w:r>
        <w:rPr>
          <w:rFonts w:eastAsia="方正小标宋简体"/>
          <w:color w:val="000000" w:themeColor="text1"/>
          <w:sz w:val="36"/>
          <w:szCs w:val="36"/>
          <w14:textFill>
            <w14:solidFill>
              <w14:schemeClr w14:val="tx1"/>
            </w14:solidFill>
          </w14:textFill>
        </w:rPr>
        <w:t>第十四篇 着力保障和改善民生，扎实推进全体人民</w:t>
      </w:r>
      <w:bookmarkEnd w:id="74"/>
    </w:p>
    <w:p>
      <w:pPr>
        <w:pStyle w:val="5"/>
        <w:spacing w:line="580" w:lineRule="exact"/>
        <w:rPr>
          <w:rFonts w:eastAsia="方正小标宋简体"/>
          <w:color w:val="000000" w:themeColor="text1"/>
          <w:sz w:val="36"/>
          <w:szCs w:val="36"/>
          <w14:textFill>
            <w14:solidFill>
              <w14:schemeClr w14:val="tx1"/>
            </w14:solidFill>
          </w14:textFill>
        </w:rPr>
      </w:pPr>
      <w:bookmarkStart w:id="77" w:name="_Toc14230"/>
      <w:r>
        <w:rPr>
          <w:rFonts w:eastAsia="方正小标宋简体"/>
          <w:color w:val="000000" w:themeColor="text1"/>
          <w:sz w:val="36"/>
          <w:szCs w:val="36"/>
          <w14:textFill>
            <w14:solidFill>
              <w14:schemeClr w14:val="tx1"/>
            </w14:solidFill>
          </w14:textFill>
        </w:rPr>
        <w:t>共同富裕</w:t>
      </w:r>
      <w:bookmarkEnd w:id="77"/>
    </w:p>
    <w:p>
      <w:pPr>
        <w:spacing w:line="580" w:lineRule="exact"/>
        <w:ind w:firstLine="640"/>
        <w:rPr>
          <w:rFonts w:eastAsia="仿宋_GB2312"/>
          <w:color w:val="000000" w:themeColor="text1"/>
          <w:sz w:val="32"/>
          <w:szCs w:val="32"/>
          <w14:textFill>
            <w14:solidFill>
              <w14:schemeClr w14:val="tx1"/>
            </w14:solidFill>
          </w14:textFill>
        </w:rPr>
      </w:pPr>
    </w:p>
    <w:p>
      <w:pPr>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bCs w:val="0"/>
          <w:color w:val="000000" w:themeColor="text1"/>
          <w:sz w:val="32"/>
          <w:szCs w:val="32"/>
          <w14:textFill>
            <w14:solidFill>
              <w14:schemeClr w14:val="tx1"/>
            </w14:solidFill>
          </w14:textFill>
        </w:rPr>
        <w:t>坚持以人民为中心的发展思想，在发展中切实保障和改善民生，用心用情解决好就业增收、社会保障、教育医疗、“一老一小”等群众急难愁盼问题，坚持尽力而为、量力而行，有力推动普惠性、基础性、兜底性民生事业发展，提高人民生活品质。</w:t>
      </w:r>
    </w:p>
    <w:p>
      <w:pPr>
        <w:pStyle w:val="6"/>
        <w:spacing w:line="580" w:lineRule="exact"/>
        <w:rPr>
          <w:rFonts w:ascii="Times New Roman" w:hAnsi="Times New Roman" w:eastAsia="仿宋_GB2312" w:cs="Times New Roman"/>
          <w:color w:val="000000" w:themeColor="text1"/>
          <w:sz w:val="32"/>
          <w14:textFill>
            <w14:solidFill>
              <w14:schemeClr w14:val="tx1"/>
            </w14:solidFill>
          </w14:textFill>
        </w:rPr>
      </w:pPr>
    </w:p>
    <w:p>
      <w:pPr>
        <w:pStyle w:val="6"/>
        <w:spacing w:line="580" w:lineRule="exact"/>
        <w:rPr>
          <w:rFonts w:ascii="Times New Roman" w:hAnsi="Times New Roman" w:eastAsia="黑体" w:cs="Times New Roman"/>
          <w:color w:val="000000" w:themeColor="text1"/>
          <w:sz w:val="32"/>
          <w14:textFill>
            <w14:solidFill>
              <w14:schemeClr w14:val="tx1"/>
            </w14:solidFill>
          </w14:textFill>
        </w:rPr>
      </w:pPr>
      <w:bookmarkStart w:id="78" w:name="_Toc23406"/>
      <w:r>
        <w:rPr>
          <w:rFonts w:ascii="Times New Roman" w:hAnsi="Times New Roman" w:eastAsia="黑体" w:cs="Times New Roman"/>
          <w:color w:val="000000" w:themeColor="text1"/>
          <w:sz w:val="32"/>
          <w14:textFill>
            <w14:solidFill>
              <w14:schemeClr w14:val="tx1"/>
            </w14:solidFill>
          </w14:textFill>
        </w:rPr>
        <w:t>第四十五章 促进高质量充分就业</w:t>
      </w:r>
      <w:bookmarkEnd w:id="78"/>
    </w:p>
    <w:p>
      <w:pPr>
        <w:pStyle w:val="7"/>
        <w:spacing w:line="580" w:lineRule="exact"/>
        <w:rPr>
          <w:rFonts w:eastAsia="仿宋_GB2312"/>
          <w:color w:val="000000" w:themeColor="text1"/>
          <w:sz w:val="32"/>
          <w14:textFill>
            <w14:solidFill>
              <w14:schemeClr w14:val="tx1"/>
            </w14:solidFill>
          </w14:textFill>
        </w:rPr>
      </w:pPr>
    </w:p>
    <w:p>
      <w:pPr>
        <w:pStyle w:val="7"/>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第一节 千方百计扩大和稳定就业</w:t>
      </w:r>
    </w:p>
    <w:p>
      <w:pPr>
        <w:spacing w:line="580" w:lineRule="exact"/>
        <w:ind w:firstLine="640"/>
        <w:rPr>
          <w:rFonts w:eastAsia="仿宋_GB2312"/>
          <w:color w:val="000000" w:themeColor="text1"/>
          <w:sz w:val="32"/>
          <w:szCs w:val="32"/>
          <w14:textFill>
            <w14:solidFill>
              <w14:schemeClr w14:val="tx1"/>
            </w14:solidFill>
          </w14:textFill>
        </w:rPr>
      </w:pPr>
    </w:p>
    <w:p>
      <w:pPr>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bCs w:val="0"/>
          <w:color w:val="000000" w:themeColor="text1"/>
          <w:sz w:val="32"/>
          <w:szCs w:val="32"/>
          <w14:textFill>
            <w14:solidFill>
              <w14:schemeClr w14:val="tx1"/>
            </w14:solidFill>
          </w14:textFill>
        </w:rPr>
        <w:t>深入实施就业优先战略。强化产业对就业的支撑作用，依托生态资源禀赋与历史文化底蕴，大力发展生态文化旅游、精品民宿、休闲农业、健康养老等特色富民产业。大力支持企业稳岗扩岗，推动中小微企业吸纳就业，落实税费减免、社保补贴等政策。积极发展新业态新模式就业，规范平台经济、共享经济用工管理。激发创业带动就业活力，鼓励返乡入乡创业，支持创业孵化基地建设，落实创业担保贷款、场地租金减免等政策。完善人力资源供需匹配制度，健全终身职业技能培训制度，推进职业技能等级认定与专项职业能力考核，畅通高技能人才与工程技术人才职业发展通道。健全就业风险防控机制，完善规模性失业应急处置预案，按规定开发公益性岗位。到2030年，全市城镇累计新增就业人数18万人，农村劳动力转移就业17万人。</w:t>
      </w:r>
    </w:p>
    <w:p>
      <w:pPr>
        <w:spacing w:line="580" w:lineRule="exact"/>
        <w:ind w:firstLine="640"/>
        <w:rPr>
          <w:rFonts w:eastAsia="仿宋_GB2312"/>
          <w:color w:val="000000" w:themeColor="text1"/>
          <w:sz w:val="32"/>
          <w:szCs w:val="32"/>
          <w14:textFill>
            <w14:solidFill>
              <w14:schemeClr w14:val="tx1"/>
            </w14:solidFill>
          </w14:textFill>
        </w:rPr>
      </w:pPr>
    </w:p>
    <w:p>
      <w:pPr>
        <w:pStyle w:val="7"/>
        <w:spacing w:line="580" w:lineRule="exact"/>
        <w:rPr>
          <w:rFonts w:eastAsia="仿宋_GB2312"/>
          <w:color w:val="000000" w:themeColor="text1"/>
          <w:sz w:val="32"/>
          <w14:textFill>
            <w14:solidFill>
              <w14:schemeClr w14:val="tx1"/>
            </w14:solidFill>
          </w14:textFill>
        </w:rPr>
      </w:pPr>
      <w:r>
        <w:rPr>
          <w:rFonts w:hint="eastAsia" w:eastAsia="仿宋_GB2312"/>
          <w:color w:val="000000" w:themeColor="text1"/>
          <w:sz w:val="32"/>
          <w14:textFill>
            <w14:solidFill>
              <w14:schemeClr w14:val="tx1"/>
            </w14:solidFill>
          </w14:textFill>
        </w:rPr>
        <w:t xml:space="preserve">第二节 </w:t>
      </w:r>
      <w:r>
        <w:rPr>
          <w:rFonts w:eastAsia="仿宋_GB2312"/>
          <w:color w:val="000000" w:themeColor="text1"/>
          <w:sz w:val="32"/>
          <w14:textFill>
            <w14:solidFill>
              <w14:schemeClr w14:val="tx1"/>
            </w14:solidFill>
          </w14:textFill>
        </w:rPr>
        <w:t>全就业公共服务体系</w:t>
      </w:r>
    </w:p>
    <w:p>
      <w:pPr>
        <w:spacing w:line="580" w:lineRule="exact"/>
        <w:ind w:firstLine="640"/>
        <w:rPr>
          <w:rFonts w:eastAsia="仿宋_GB2312"/>
          <w:color w:val="000000" w:themeColor="text1"/>
          <w:sz w:val="32"/>
          <w:szCs w:val="32"/>
          <w14:textFill>
            <w14:solidFill>
              <w14:schemeClr w14:val="tx1"/>
            </w14:solidFill>
          </w14:textFill>
        </w:rPr>
      </w:pPr>
    </w:p>
    <w:p>
      <w:pPr>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bCs w:val="0"/>
          <w:color w:val="000000" w:themeColor="text1"/>
          <w:sz w:val="32"/>
          <w:szCs w:val="32"/>
          <w14:textFill>
            <w14:solidFill>
              <w14:schemeClr w14:val="tx1"/>
            </w14:solidFill>
          </w14:textFill>
        </w:rPr>
        <w:t>构建覆盖城乡的公共就业服务网络，推行“全域全业全时全民共享”就业公共服务新模式。用好人社驿站服务功能，大力推广“大数据＋铁脚板”的服务模式，推动就业服务向基层延伸、向群众身边覆盖。高标准建设运营怀化国际陆港人力资源服务港，整合提升零工市场与人力资源市场服务功能，打造区域性人力资源配置枢纽。加快推动就业服务数字化转型，完善就业公共服务信息网络，强化职业介绍、就业援助、创业指导等专业化服务能力。建立健全重点企业用工常态化监测预警和就业影响评估机制，完善就业需求调查和失业登记制度，优化就业信息服务发布机制。强化劳动保障监察执法和信用惩戒，健全欠薪预警与联合处置机制，推动新就业形态劳动者权益保障制度创新，规范平台企业用工行为，完善职业伤害保障与社会保险参保路径，构建和谐劳动关系。</w:t>
      </w:r>
    </w:p>
    <w:p>
      <w:pPr>
        <w:pStyle w:val="7"/>
        <w:spacing w:line="580" w:lineRule="exact"/>
        <w:rPr>
          <w:rFonts w:eastAsia="仿宋_GB2312"/>
          <w:color w:val="000000" w:themeColor="text1"/>
          <w:sz w:val="32"/>
          <w14:textFill>
            <w14:solidFill>
              <w14:schemeClr w14:val="tx1"/>
            </w14:solidFill>
          </w14:textFill>
        </w:rPr>
      </w:pPr>
    </w:p>
    <w:p>
      <w:pPr>
        <w:pStyle w:val="7"/>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第三节 完善重点群体就业支持政策</w:t>
      </w:r>
    </w:p>
    <w:p>
      <w:pPr>
        <w:spacing w:line="580" w:lineRule="exact"/>
        <w:ind w:firstLine="640"/>
        <w:rPr>
          <w:rFonts w:eastAsia="仿宋_GB2312"/>
          <w:color w:val="000000" w:themeColor="text1"/>
          <w:sz w:val="32"/>
          <w:szCs w:val="32"/>
          <w14:textFill>
            <w14:solidFill>
              <w14:schemeClr w14:val="tx1"/>
            </w14:solidFill>
          </w14:textFill>
        </w:rPr>
      </w:pPr>
    </w:p>
    <w:p>
      <w:pPr>
        <w:spacing w:line="600" w:lineRule="exact"/>
        <w:ind w:firstLine="640"/>
        <w:rPr>
          <w:color w:val="000000" w:themeColor="text1"/>
          <w14:textFill>
            <w14:solidFill>
              <w14:schemeClr w14:val="tx1"/>
            </w14:solidFill>
          </w14:textFill>
        </w:rPr>
      </w:pPr>
      <w:r>
        <w:rPr>
          <w:rFonts w:ascii="Times New Roman" w:hAnsi="Times New Roman" w:eastAsia="仿宋_GB2312" w:cs="Times New Roman"/>
          <w:bCs w:val="0"/>
          <w:color w:val="000000" w:themeColor="text1"/>
          <w:sz w:val="32"/>
          <w:szCs w:val="32"/>
          <w14:textFill>
            <w14:solidFill>
              <w14:schemeClr w14:val="tx1"/>
            </w14:solidFill>
          </w14:textFill>
        </w:rPr>
        <w:t>稳定和扩大高校毕业生、农民工、退役军人等重点群体就业，促进灵活就业、新就业形态健康发展。实施高校毕业生就业创业促进计划，畅通岗位开发、就业见习、职业培训、创业扶持等全链条服务，常态化举办线上线下招聘活动，建立大学生创业孵化基地、企事业单位就业见习基地，做好离校未就业高校毕业生就业服务工作，确保就业服务率达到100%。健全农民工就业服务和权益保障机制，加力实施社会保障补贴和就业援助计划，完善就业信息对接、技能培训、社会保险参保等支持，加强对返乡农民工创业的政策扶持。健全退役军人就业安置与创业扶持政策体系，拓展职业技能培训和岗位推荐渠道，落实各项优先优待措施。对残疾人、脱贫人口、长期失业人员、零就业家庭等实行分类帮扶、分层施策，建立帮扶台账，完善公益性岗位托底安置和就业援助长效机制。</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9242" w:type="dxa"/>
            <w:vAlign w:val="center"/>
          </w:tcPr>
          <w:p>
            <w:pPr>
              <w:spacing w:line="490" w:lineRule="exact"/>
              <w:jc w:val="center"/>
              <w:rPr>
                <w:rFonts w:ascii="Times New Roman" w:hAnsi="Times New Roman" w:eastAsia="黑体" w:cs="Times New Roman"/>
                <w:color w:val="000000" w:themeColor="text1"/>
                <w:sz w:val="32"/>
                <w:szCs w:val="32"/>
                <w14:textFill>
                  <w14:solidFill>
                    <w14:schemeClr w14:val="tx1"/>
                  </w14:solidFill>
                </w14:textFill>
              </w:rPr>
            </w:pPr>
            <w:r>
              <w:rPr>
                <w:rFonts w:ascii="Times New Roman" w:hAnsi="Times New Roman" w:eastAsia="黑体" w:cs="Times New Roman"/>
                <w:bCs w:val="0"/>
                <w:color w:val="000000" w:themeColor="text1"/>
                <w:sz w:val="32"/>
                <w:szCs w:val="32"/>
                <w14:textFill>
                  <w14:solidFill>
                    <w14:schemeClr w14:val="tx1"/>
                  </w14:solidFill>
                </w14:textFill>
              </w:rPr>
              <w:t>专栏14—1 就业创业提升行动计划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41" w:hRule="atLeast"/>
        </w:trPr>
        <w:tc>
          <w:tcPr>
            <w:tcW w:w="9242" w:type="dxa"/>
            <w:vAlign w:val="center"/>
          </w:tcPr>
          <w:p>
            <w:pPr>
              <w:adjustRightInd w:val="0"/>
              <w:snapToGrid w:val="0"/>
              <w:spacing w:line="50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1.就业服务全域覆盖行动。</w:t>
            </w:r>
            <w:r>
              <w:rPr>
                <w:rFonts w:ascii="Times New Roman" w:hAnsi="Times New Roman" w:eastAsia="楷体_GB2312" w:cs="Times New Roman"/>
                <w:bCs w:val="0"/>
                <w:color w:val="000000" w:themeColor="text1"/>
                <w:sz w:val="32"/>
                <w:szCs w:val="32"/>
                <w14:textFill>
                  <w14:solidFill>
                    <w14:schemeClr w14:val="tx1"/>
                  </w14:solidFill>
                </w14:textFill>
              </w:rPr>
              <w:t>实施服务能力升级工程，持续擦亮</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怀化人社驿站</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服务品牌，推动服务站点从70个扩容提质至100个。</w:t>
            </w:r>
          </w:p>
          <w:p>
            <w:pPr>
              <w:adjustRightInd w:val="0"/>
              <w:snapToGrid w:val="0"/>
              <w:spacing w:line="50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2.人力资源要素集聚与区域协同共建行动。</w:t>
            </w:r>
            <w:r>
              <w:rPr>
                <w:rFonts w:ascii="Times New Roman" w:hAnsi="Times New Roman" w:eastAsia="楷体_GB2312" w:cs="Times New Roman"/>
                <w:bCs w:val="0"/>
                <w:color w:val="000000" w:themeColor="text1"/>
                <w:sz w:val="32"/>
                <w:szCs w:val="32"/>
                <w14:textFill>
                  <w14:solidFill>
                    <w14:schemeClr w14:val="tx1"/>
                  </w14:solidFill>
                </w14:textFill>
              </w:rPr>
              <w:t>高标准建设怀化国际陆港省级人力资源服务产业园，力争全市人力资源类企业总量突破150家。建设数字人才孵化中心，构建</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培训—认证—输送—孵化</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闭环体系，培育数字化人才2000人以上。强化五省边际区域人力资源协同，互设服务驿站5个以上，年度联合举办招聘类活动4场以上。</w:t>
            </w:r>
          </w:p>
          <w:p>
            <w:pPr>
              <w:adjustRightInd w:val="0"/>
              <w:snapToGrid w:val="0"/>
              <w:spacing w:line="500" w:lineRule="exact"/>
              <w:ind w:firstLine="618"/>
              <w:rPr>
                <w:rFonts w:ascii="Times New Roman" w:hAnsi="Times New Roman" w:eastAsia="楷体_GB2312" w:cs="Times New Roman"/>
                <w:color w:val="000000" w:themeColor="text1"/>
                <w:spacing w:val="-6"/>
                <w:sz w:val="32"/>
                <w:szCs w:val="32"/>
                <w14:textFill>
                  <w14:solidFill>
                    <w14:schemeClr w14:val="tx1"/>
                  </w14:solidFill>
                </w14:textFill>
              </w:rPr>
            </w:pPr>
            <w:r>
              <w:rPr>
                <w:rFonts w:ascii="Times New Roman" w:hAnsi="Times New Roman" w:eastAsia="楷体_GB2312" w:cs="Times New Roman"/>
                <w:b/>
                <w:color w:val="000000" w:themeColor="text1"/>
                <w:spacing w:val="-6"/>
                <w:sz w:val="32"/>
                <w:szCs w:val="32"/>
                <w14:textFill>
                  <w14:solidFill>
                    <w14:schemeClr w14:val="tx1"/>
                  </w14:solidFill>
                </w14:textFill>
              </w:rPr>
              <w:t>3.青年</w:t>
            </w:r>
            <w:r>
              <w:rPr>
                <w:rFonts w:ascii="Times New Roman" w:hAnsi="Times New Roman" w:eastAsia="仿宋_GB2312" w:cs="Times New Roman"/>
                <w:b/>
                <w:color w:val="000000" w:themeColor="text1"/>
                <w:spacing w:val="-6"/>
                <w:sz w:val="32"/>
                <w:szCs w:val="32"/>
                <w14:textFill>
                  <w14:solidFill>
                    <w14:schemeClr w14:val="tx1"/>
                  </w14:solidFill>
                </w14:textFill>
              </w:rPr>
              <w:t>“</w:t>
            </w:r>
            <w:r>
              <w:rPr>
                <w:rFonts w:ascii="Times New Roman" w:hAnsi="Times New Roman" w:eastAsia="楷体_GB2312" w:cs="Times New Roman"/>
                <w:b/>
                <w:color w:val="000000" w:themeColor="text1"/>
                <w:spacing w:val="-6"/>
                <w:sz w:val="32"/>
                <w:szCs w:val="32"/>
                <w14:textFill>
                  <w14:solidFill>
                    <w14:schemeClr w14:val="tx1"/>
                  </w14:solidFill>
                </w14:textFill>
              </w:rPr>
              <w:t>来怀留怀</w:t>
            </w:r>
            <w:r>
              <w:rPr>
                <w:rFonts w:ascii="Times New Roman" w:hAnsi="Times New Roman" w:eastAsia="仿宋_GB2312" w:cs="Times New Roman"/>
                <w:b/>
                <w:color w:val="000000" w:themeColor="text1"/>
                <w:spacing w:val="-6"/>
                <w:sz w:val="32"/>
                <w:szCs w:val="32"/>
                <w14:textFill>
                  <w14:solidFill>
                    <w14:schemeClr w14:val="tx1"/>
                  </w14:solidFill>
                </w14:textFill>
              </w:rPr>
              <w:t>”</w:t>
            </w:r>
            <w:r>
              <w:rPr>
                <w:rFonts w:ascii="Times New Roman" w:hAnsi="Times New Roman" w:eastAsia="楷体_GB2312" w:cs="Times New Roman"/>
                <w:b/>
                <w:color w:val="000000" w:themeColor="text1"/>
                <w:spacing w:val="-6"/>
                <w:sz w:val="32"/>
                <w:szCs w:val="32"/>
                <w14:textFill>
                  <w14:solidFill>
                    <w14:schemeClr w14:val="tx1"/>
                  </w14:solidFill>
                </w14:textFill>
              </w:rPr>
              <w:t>创新创业筑梦行动。</w:t>
            </w:r>
            <w:r>
              <w:rPr>
                <w:rFonts w:ascii="Times New Roman" w:hAnsi="Times New Roman" w:eastAsia="楷体_GB2312" w:cs="Times New Roman"/>
                <w:bCs w:val="0"/>
                <w:color w:val="000000" w:themeColor="text1"/>
                <w:spacing w:val="-6"/>
                <w:sz w:val="32"/>
                <w:szCs w:val="32"/>
                <w14:textFill>
                  <w14:solidFill>
                    <w14:schemeClr w14:val="tx1"/>
                  </w14:solidFill>
                </w14:textFill>
              </w:rPr>
              <w:t>年均孵化创业项目150个以上，组建200人以上的专业化创业导师团。年均开展创业培训2000人次。年度选树20个青年创业典型，举办市级创业大赛。</w:t>
            </w:r>
          </w:p>
          <w:p>
            <w:pPr>
              <w:adjustRightInd w:val="0"/>
              <w:snapToGrid w:val="0"/>
              <w:spacing w:line="50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4.区域人才政企协同培育行动。</w:t>
            </w:r>
            <w:r>
              <w:rPr>
                <w:rFonts w:ascii="Times New Roman" w:hAnsi="Times New Roman" w:eastAsia="楷体_GB2312" w:cs="Times New Roman"/>
                <w:bCs w:val="0"/>
                <w:color w:val="000000" w:themeColor="text1"/>
                <w:sz w:val="32"/>
                <w:szCs w:val="32"/>
                <w14:textFill>
                  <w14:solidFill>
                    <w14:schemeClr w14:val="tx1"/>
                  </w14:solidFill>
                </w14:textFill>
              </w:rPr>
              <w:t>实施</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港培生计划</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，动态</w:t>
            </w:r>
            <w:r>
              <w:rPr>
                <w:rFonts w:ascii="Times New Roman" w:hAnsi="Times New Roman" w:eastAsia="楷体_GB2312" w:cs="Times New Roman"/>
                <w:bCs w:val="0"/>
                <w:color w:val="000000" w:themeColor="text1"/>
                <w:spacing w:val="-11"/>
                <w:sz w:val="32"/>
                <w:szCs w:val="32"/>
                <w14:textFill>
                  <w14:solidFill>
                    <w14:schemeClr w14:val="tx1"/>
                  </w14:solidFill>
                </w14:textFill>
              </w:rPr>
              <w:t>拓展合作企业与岗位资源，年度靶向招募培养30—50名产业急需人才。</w:t>
            </w:r>
          </w:p>
          <w:p>
            <w:pPr>
              <w:adjustRightInd w:val="0"/>
              <w:snapToGrid w:val="0"/>
              <w:spacing w:line="50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5.产业技能人才支撑行动。</w:t>
            </w:r>
            <w:r>
              <w:rPr>
                <w:rFonts w:ascii="Times New Roman" w:hAnsi="Times New Roman" w:eastAsia="楷体_GB2312" w:cs="Times New Roman"/>
                <w:bCs w:val="0"/>
                <w:color w:val="000000" w:themeColor="text1"/>
                <w:sz w:val="32"/>
                <w:szCs w:val="32"/>
                <w14:textFill>
                  <w14:solidFill>
                    <w14:schemeClr w14:val="tx1"/>
                  </w14:solidFill>
                </w14:textFill>
              </w:rPr>
              <w:t>年度开展</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订单式、定向式</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技能培训5000人次以上，开发定制化课程20个以上。大力拓展人工智能、跨境电商、数字化管理等新职业培训，年培训规模0.5万人次以上，每年输送实用型技能人才2000名。</w:t>
            </w:r>
          </w:p>
        </w:tc>
      </w:tr>
    </w:tbl>
    <w:p>
      <w:pPr>
        <w:pStyle w:val="6"/>
        <w:spacing w:line="570" w:lineRule="exact"/>
        <w:rPr>
          <w:rFonts w:ascii="Times New Roman" w:hAnsi="Times New Roman" w:eastAsia="黑体" w:cs="Times New Roman"/>
          <w:color w:val="000000" w:themeColor="text1"/>
          <w:sz w:val="32"/>
          <w14:textFill>
            <w14:solidFill>
              <w14:schemeClr w14:val="tx1"/>
            </w14:solidFill>
          </w14:textFill>
        </w:rPr>
      </w:pPr>
    </w:p>
    <w:p>
      <w:pPr>
        <w:pStyle w:val="6"/>
        <w:spacing w:line="550" w:lineRule="exact"/>
        <w:rPr>
          <w:rFonts w:ascii="Times New Roman" w:hAnsi="Times New Roman" w:eastAsia="黑体" w:cs="Times New Roman"/>
          <w:color w:val="000000" w:themeColor="text1"/>
          <w:sz w:val="32"/>
          <w14:textFill>
            <w14:solidFill>
              <w14:schemeClr w14:val="tx1"/>
            </w14:solidFill>
          </w14:textFill>
        </w:rPr>
      </w:pPr>
      <w:bookmarkStart w:id="79" w:name="_Toc15182"/>
      <w:r>
        <w:rPr>
          <w:rFonts w:ascii="Times New Roman" w:hAnsi="Times New Roman" w:eastAsia="黑体" w:cs="Times New Roman"/>
          <w:color w:val="000000" w:themeColor="text1"/>
          <w:sz w:val="32"/>
          <w14:textFill>
            <w14:solidFill>
              <w14:schemeClr w14:val="tx1"/>
            </w14:solidFill>
          </w14:textFill>
        </w:rPr>
        <w:t>第四十六章 稳步提高居民收入水平</w:t>
      </w:r>
      <w:bookmarkEnd w:id="79"/>
    </w:p>
    <w:p>
      <w:pPr>
        <w:pStyle w:val="7"/>
        <w:spacing w:line="550" w:lineRule="exact"/>
        <w:rPr>
          <w:rFonts w:eastAsia="仿宋_GB2312"/>
          <w:color w:val="000000" w:themeColor="text1"/>
          <w:sz w:val="32"/>
          <w14:textFill>
            <w14:solidFill>
              <w14:schemeClr w14:val="tx1"/>
            </w14:solidFill>
          </w14:textFill>
        </w:rPr>
      </w:pPr>
    </w:p>
    <w:p>
      <w:pPr>
        <w:pStyle w:val="7"/>
        <w:spacing w:line="55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第一节 拓宽城乡居民增收渠道</w:t>
      </w:r>
    </w:p>
    <w:p>
      <w:pPr>
        <w:spacing w:line="550" w:lineRule="exact"/>
        <w:ind w:firstLine="640"/>
        <w:rPr>
          <w:rFonts w:eastAsia="仿宋_GB2312"/>
          <w:color w:val="000000" w:themeColor="text1"/>
          <w:sz w:val="32"/>
          <w:szCs w:val="32"/>
          <w14:textFill>
            <w14:solidFill>
              <w14:schemeClr w14:val="tx1"/>
            </w14:solidFill>
          </w14:textFill>
        </w:rPr>
      </w:pPr>
    </w:p>
    <w:p>
      <w:pPr>
        <w:spacing w:line="55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bCs w:val="0"/>
          <w:color w:val="000000" w:themeColor="text1"/>
          <w:sz w:val="32"/>
          <w:szCs w:val="32"/>
          <w14:textFill>
            <w14:solidFill>
              <w14:schemeClr w14:val="tx1"/>
            </w14:solidFill>
          </w14:textFill>
        </w:rPr>
        <w:t>落实按劳分配为主体、多种分配方式并存的收入分配制度，提高居民收入在国民收入分配中的比重，提高劳动报酬在初次分配中的比重。完善劳动者工资决定、合理增长、支付保障机制，健全最低工资标准调整机制，完善工资指导线发布和企业薪酬调查制度，规范国有企业薪酬制度，优化事业单位岗位绩效工资管理。拓宽城乡居民财产性收入渠道，规范发展房产租赁、理财投资等市场，推动资源要素有序流转。健全再分配调节机制，落实财政补贴、税收优惠等直达性普惠政策，完善基本民生保障、专项救助与临时救助的联动衔接，稳步增加转移性收入。支持平台经济、共享经济健康发展，加强新业态从业者权益保障，通过产业政策扶持创业、拓展经营渠道，为个体工商户、农户等提供更好的经营环境，增加经营</w:t>
      </w:r>
      <w:r>
        <w:rPr>
          <w:rFonts w:ascii="Times New Roman" w:hAnsi="Times New Roman" w:eastAsia="仿宋_GB2312" w:cs="Times New Roman"/>
          <w:bCs w:val="0"/>
          <w:color w:val="000000" w:themeColor="text1"/>
          <w:spacing w:val="6"/>
          <w:sz w:val="32"/>
          <w:szCs w:val="32"/>
          <w14:textFill>
            <w14:solidFill>
              <w14:schemeClr w14:val="tx1"/>
            </w14:solidFill>
          </w14:textFill>
        </w:rPr>
        <w:t>活动收入。到2030年，城乡居民人均可支配收入达到35000元以上。</w:t>
      </w:r>
    </w:p>
    <w:p>
      <w:pPr>
        <w:pStyle w:val="7"/>
        <w:spacing w:line="61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第二节 稳步扩大中等收入群体规模</w:t>
      </w:r>
    </w:p>
    <w:p>
      <w:pPr>
        <w:spacing w:line="610" w:lineRule="exact"/>
        <w:ind w:firstLine="640"/>
        <w:rPr>
          <w:rFonts w:eastAsia="仿宋_GB2312"/>
          <w:color w:val="000000" w:themeColor="text1"/>
          <w:sz w:val="32"/>
          <w:szCs w:val="32"/>
          <w14:textFill>
            <w14:solidFill>
              <w14:schemeClr w14:val="tx1"/>
            </w14:solidFill>
          </w14:textFill>
        </w:rPr>
      </w:pPr>
    </w:p>
    <w:p>
      <w:pPr>
        <w:spacing w:line="610" w:lineRule="exact"/>
        <w:ind w:firstLine="640"/>
        <w:rPr>
          <w:rFonts w:eastAsia="黑体"/>
          <w:color w:val="000000" w:themeColor="text1"/>
          <w:sz w:val="32"/>
          <w:szCs w:val="32"/>
          <w14:textFill>
            <w14:solidFill>
              <w14:schemeClr w14:val="tx1"/>
            </w14:solidFill>
          </w14:textFill>
        </w:rPr>
      </w:pPr>
      <w:r>
        <w:rPr>
          <w:rFonts w:ascii="Times New Roman" w:hAnsi="Times New Roman" w:eastAsia="仿宋_GB2312" w:cs="Times New Roman"/>
          <w:bCs w:val="0"/>
          <w:color w:val="000000" w:themeColor="text1"/>
          <w:sz w:val="32"/>
          <w:szCs w:val="32"/>
          <w14:textFill>
            <w14:solidFill>
              <w14:schemeClr w14:val="tx1"/>
            </w14:solidFill>
          </w14:textFill>
        </w:rPr>
        <w:t>实施城乡居民增收计划。开展中等收入群体培育行动，重点扩大技术工人、科研人员、高校毕业生、中小企业经营者等群体规模，完善中等收入群体统计监测体系。落实以知识价值为导向的分配导向，促进劳动、技术、管理等要素按贡献参与分配。深化“港培生计划”，落实高层次人才子女入学、医疗保障等配套政策。以减税降费、融资增信、用工稳岗等综合举措支持中小微企业健康发展，增强吸纳就业与带动增收能力。加强高素质农民培育，支持农民发展特色种养、农产品加工、农村电商等产业，提高农民收入水平，努力实现农村居民收入增速“四个高于”目标。保护合法收入，取</w:t>
      </w:r>
      <w:r>
        <w:rPr>
          <w:rFonts w:ascii="Times New Roman" w:hAnsi="Times New Roman" w:eastAsia="仿宋_GB2312" w:cs="Times New Roman"/>
          <w:bCs w:val="0"/>
          <w:color w:val="000000" w:themeColor="text1"/>
          <w:spacing w:val="-11"/>
          <w:sz w:val="32"/>
          <w:szCs w:val="32"/>
          <w14:textFill>
            <w14:solidFill>
              <w14:schemeClr w14:val="tx1"/>
            </w14:solidFill>
          </w14:textFill>
        </w:rPr>
        <w:t>缔非法收入，合理调节过高收入，鼓励高收入人群和企业更多回报社会。</w:t>
      </w:r>
    </w:p>
    <w:p>
      <w:pPr>
        <w:keepNext/>
        <w:keepLines/>
        <w:spacing w:line="610" w:lineRule="exact"/>
        <w:jc w:val="center"/>
        <w:outlineLvl w:val="1"/>
        <w:rPr>
          <w:rFonts w:eastAsia="黑体"/>
          <w:bCs w:val="0"/>
          <w:color w:val="000000" w:themeColor="text1"/>
          <w:sz w:val="32"/>
          <w:szCs w:val="32"/>
          <w14:textFill>
            <w14:solidFill>
              <w14:schemeClr w14:val="tx1"/>
            </w14:solidFill>
          </w14:textFill>
        </w:rPr>
      </w:pPr>
    </w:p>
    <w:p>
      <w:pPr>
        <w:keepNext/>
        <w:keepLines/>
        <w:spacing w:line="610" w:lineRule="exact"/>
        <w:jc w:val="center"/>
        <w:outlineLvl w:val="1"/>
        <w:rPr>
          <w:rFonts w:eastAsia="黑体"/>
          <w:bCs w:val="0"/>
          <w:color w:val="000000" w:themeColor="text1"/>
          <w:sz w:val="32"/>
          <w:szCs w:val="32"/>
          <w14:textFill>
            <w14:solidFill>
              <w14:schemeClr w14:val="tx1"/>
            </w14:solidFill>
          </w14:textFill>
        </w:rPr>
      </w:pPr>
      <w:bookmarkStart w:id="80" w:name="_Toc20257"/>
      <w:r>
        <w:rPr>
          <w:rFonts w:ascii="Times New Roman" w:hAnsi="Times New Roman" w:eastAsia="黑体" w:cs="Times New Roman"/>
          <w:color w:val="000000" w:themeColor="text1"/>
          <w:sz w:val="32"/>
          <w:szCs w:val="32"/>
          <w14:textFill>
            <w14:solidFill>
              <w14:schemeClr w14:val="tx1"/>
            </w14:solidFill>
          </w14:textFill>
        </w:rPr>
        <w:t>第四十七章 办好人民满意的教育</w:t>
      </w:r>
      <w:bookmarkEnd w:id="80"/>
    </w:p>
    <w:p>
      <w:pPr>
        <w:keepNext/>
        <w:keepLines/>
        <w:spacing w:line="610" w:lineRule="exact"/>
        <w:jc w:val="center"/>
        <w:outlineLvl w:val="2"/>
        <w:rPr>
          <w:rFonts w:eastAsia="仿宋_GB2312"/>
          <w:b/>
          <w:bCs w:val="0"/>
          <w:color w:val="000000" w:themeColor="text1"/>
          <w:sz w:val="32"/>
          <w:szCs w:val="32"/>
          <w14:textFill>
            <w14:solidFill>
              <w14:schemeClr w14:val="tx1"/>
            </w14:solidFill>
          </w14:textFill>
        </w:rPr>
      </w:pPr>
    </w:p>
    <w:p>
      <w:pPr>
        <w:keepNext/>
        <w:keepLines/>
        <w:spacing w:line="610" w:lineRule="exact"/>
        <w:jc w:val="center"/>
        <w:outlineLvl w:val="2"/>
        <w:rPr>
          <w:rFonts w:eastAsia="仿宋_GB2312"/>
          <w:b/>
          <w:bCs w:val="0"/>
          <w:color w:val="000000" w:themeColor="text1"/>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第一节 推动基础教育扩优提质</w:t>
      </w:r>
    </w:p>
    <w:p>
      <w:pPr>
        <w:spacing w:line="610" w:lineRule="exact"/>
        <w:ind w:firstLine="640"/>
        <w:rPr>
          <w:rFonts w:eastAsia="仿宋_GB2312"/>
          <w:color w:val="000000" w:themeColor="text1"/>
          <w:sz w:val="32"/>
          <w:szCs w:val="32"/>
          <w14:textFill>
            <w14:solidFill>
              <w14:schemeClr w14:val="tx1"/>
            </w14:solidFill>
          </w14:textFill>
        </w:rPr>
      </w:pPr>
    </w:p>
    <w:p>
      <w:pPr>
        <w:spacing w:line="61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bCs w:val="0"/>
          <w:color w:val="000000" w:themeColor="text1"/>
          <w:sz w:val="32"/>
          <w:szCs w:val="32"/>
          <w14:textFill>
            <w14:solidFill>
              <w14:schemeClr w14:val="tx1"/>
            </w14:solidFill>
          </w14:textFill>
        </w:rPr>
        <w:t>坚持教育优先发展，建设区域性教育中心。实施新时代立德树人工程。建立健全与人口变化相适应的教育资源配置机制，因地制宜打通使用各学段教育资源，持续推进阳光招生，进一步化解大班额、大校额问题。落实逐步推行免费学前教育，推动学前教育公益普惠发展，支持具备条件的幼儿园延伸提供托育服务。深入实施义务教育优质均衡发展和城乡一体化行动计划，力争建成7个义务教育优质均衡县（市、区）。深化与长沙、常德等地优质教育资源对口帮扶合作，逐步扩大集团化办学影响力和覆盖面。统筹推进“双减”和教育教学质量提升。深入实施国家教育数字化战略，扩大优质教育资源受益面。实施中小学教育提质计划，加强教育教学改革和质量监测，着力提高课堂教学质量和学生综合素质。推动高中阶段学校扩容提质，加快扩大公办普通高中教育资源供给，到2030年</w:t>
      </w:r>
      <w:r>
        <w:rPr>
          <w:rFonts w:hint="eastAsia"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仿宋_GB2312" w:cs="Times New Roman"/>
          <w:bCs w:val="0"/>
          <w:color w:val="000000" w:themeColor="text1"/>
          <w:sz w:val="32"/>
          <w:szCs w:val="32"/>
          <w14:textFill>
            <w14:solidFill>
              <w14:schemeClr w14:val="tx1"/>
            </w14:solidFill>
          </w14:textFill>
        </w:rPr>
        <w:t>新增学位8500个。实施县域普通高中振兴计划，支持一般高中改善办学条件，鼓励特色高中多样化发展，深化普通高中育人方式改革。办好特殊教育、专门教育，完善随班就读支持体系，加强特殊教育学校建设，切实保障残障儿童受教育权利。规范发展民办教育。到2030年，力争学前教育毛入园率达97%、义务教育巩固率达100%、高中阶段教育毛入学率达89%。</w:t>
      </w:r>
    </w:p>
    <w:p>
      <w:pPr>
        <w:keepNext/>
        <w:keepLines/>
        <w:spacing w:line="610" w:lineRule="exact"/>
        <w:jc w:val="center"/>
        <w:outlineLvl w:val="2"/>
        <w:rPr>
          <w:rFonts w:eastAsia="仿宋_GB2312"/>
          <w:b/>
          <w:bCs w:val="0"/>
          <w:color w:val="000000" w:themeColor="text1"/>
          <w:sz w:val="32"/>
          <w:szCs w:val="32"/>
          <w14:textFill>
            <w14:solidFill>
              <w14:schemeClr w14:val="tx1"/>
            </w14:solidFill>
          </w14:textFill>
        </w:rPr>
      </w:pPr>
    </w:p>
    <w:p>
      <w:pPr>
        <w:keepNext/>
        <w:keepLines/>
        <w:spacing w:line="610" w:lineRule="exact"/>
        <w:jc w:val="center"/>
        <w:outlineLvl w:val="2"/>
        <w:rPr>
          <w:rFonts w:eastAsia="仿宋_GB2312"/>
          <w:b/>
          <w:bCs w:val="0"/>
          <w:color w:val="000000" w:themeColor="text1"/>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第二节 创新发展职业教育</w:t>
      </w:r>
    </w:p>
    <w:p>
      <w:pPr>
        <w:spacing w:line="610" w:lineRule="exact"/>
        <w:ind w:firstLine="640"/>
        <w:rPr>
          <w:rFonts w:eastAsia="仿宋_GB2312"/>
          <w:color w:val="000000" w:themeColor="text1"/>
          <w:sz w:val="32"/>
          <w:szCs w:val="32"/>
          <w14:textFill>
            <w14:solidFill>
              <w14:schemeClr w14:val="tx1"/>
            </w14:solidFill>
          </w14:textFill>
        </w:rPr>
      </w:pPr>
    </w:p>
    <w:p>
      <w:pPr>
        <w:spacing w:line="590" w:lineRule="exact"/>
        <w:ind w:firstLine="640"/>
        <w:jc w:val="left"/>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bCs w:val="0"/>
          <w:color w:val="000000" w:themeColor="text1"/>
          <w:sz w:val="32"/>
          <w:szCs w:val="32"/>
          <w14:textFill>
            <w14:solidFill>
              <w14:schemeClr w14:val="tx1"/>
            </w14:solidFill>
          </w14:textFill>
        </w:rPr>
        <w:t>推动职业学校办学能力和特色发展，加强优质中等职业学校与高等职业院校衔接培养。支持普通中小学开展职业启蒙教育、劳动教育，推动职普融通。发挥公共实训基地和职业院校等功能作用，大力开展职业技能培训，推行企业新型学徒制培训，贯通技能人才培养使用、评价激励、产教融合等全链条。到2030年，力争开设院校与企业共建产教融合课程超80门，平均每年为企业输送技能人才3000人以上。加大在怀高校发展支持力度，大力发展支撑“5+10”现代化产业体系发展的学科专业，提高在怀高校毕业生留怀率。实施“教学—科研—推广”一体化机制，培育创建硕、博士授予单位和授权点。健全高校毕业生就业创业服务体系，显著提升高等教育对区域发展的贡献度。</w:t>
      </w:r>
    </w:p>
    <w:p>
      <w:pPr>
        <w:pStyle w:val="7"/>
        <w:spacing w:line="590" w:lineRule="exact"/>
        <w:jc w:val="left"/>
        <w:rPr>
          <w:rFonts w:eastAsia="仿宋_GB2312"/>
          <w:color w:val="000000" w:themeColor="text1"/>
          <w:sz w:val="32"/>
          <w14:textFill>
            <w14:solidFill>
              <w14:schemeClr w14:val="tx1"/>
            </w14:solidFill>
          </w14:textFill>
        </w:rPr>
      </w:pPr>
    </w:p>
    <w:p>
      <w:pPr>
        <w:pStyle w:val="7"/>
        <w:spacing w:line="59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第三节 加强高素质教师队伍建设</w:t>
      </w:r>
    </w:p>
    <w:p>
      <w:pPr>
        <w:spacing w:line="590" w:lineRule="exact"/>
        <w:ind w:firstLine="640"/>
        <w:jc w:val="left"/>
        <w:rPr>
          <w:rFonts w:eastAsia="仿宋_GB2312"/>
          <w:color w:val="000000" w:themeColor="text1"/>
          <w:sz w:val="32"/>
          <w:szCs w:val="32"/>
          <w14:textFill>
            <w14:solidFill>
              <w14:schemeClr w14:val="tx1"/>
            </w14:solidFill>
          </w14:textFill>
        </w:rPr>
      </w:pPr>
    </w:p>
    <w:p>
      <w:pPr>
        <w:spacing w:line="59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bCs w:val="0"/>
          <w:color w:val="000000" w:themeColor="text1"/>
          <w:sz w:val="32"/>
          <w:szCs w:val="32"/>
          <w14:textFill>
            <w14:solidFill>
              <w14:schemeClr w14:val="tx1"/>
            </w14:solidFill>
          </w14:textFill>
        </w:rPr>
        <w:t>弘扬教育家精神，持续高效推进优秀教师“1358”梯队培养工程，健全师德师风建设长效机制。优化各级各类学校师生配比，统筹做好寄宿制学校、公办幼儿园教职工编制配备，</w:t>
      </w:r>
      <w:r>
        <w:rPr>
          <w:rFonts w:ascii="Times New Roman" w:hAnsi="Times New Roman" w:eastAsia="仿宋_GB2312" w:cs="Times New Roman"/>
          <w:color w:val="000000" w:themeColor="text1"/>
          <w:sz w:val="32"/>
          <w:szCs w:val="32"/>
          <w14:textFill>
            <w14:solidFill>
              <w14:schemeClr w14:val="tx1"/>
            </w14:solidFill>
          </w14:textFill>
        </w:rPr>
        <w:t>强化教师待遇保障</w:t>
      </w:r>
      <w:r>
        <w:rPr>
          <w:rFonts w:ascii="Times New Roman" w:hAnsi="Times New Roman" w:eastAsia="仿宋_GB2312" w:cs="Times New Roman"/>
          <w:bCs w:val="0"/>
          <w:color w:val="000000" w:themeColor="text1"/>
          <w:sz w:val="32"/>
          <w:szCs w:val="32"/>
          <w14:textFill>
            <w14:solidFill>
              <w14:schemeClr w14:val="tx1"/>
            </w14:solidFill>
          </w14:textFill>
        </w:rPr>
        <w:t>。加快补齐高中教师和紧缺学科教师不足短板，支持教师富余的农村地区学校开展紧缺学科教师转岗培训和小班化教学改革。深化教师考核评价、职称评审制度改革，健全教师激励、约束、退出机制。实施“拔萃计划”，优化书记、校长等教育管理队伍。</w:t>
      </w:r>
      <w:r>
        <w:rPr>
          <w:rFonts w:ascii="Times New Roman" w:hAnsi="Times New Roman" w:eastAsia="仿宋_GB2312" w:cs="Times New Roman"/>
          <w:color w:val="000000" w:themeColor="text1"/>
          <w:sz w:val="32"/>
          <w:szCs w:val="32"/>
          <w14:textFill>
            <w14:solidFill>
              <w14:schemeClr w14:val="tx1"/>
            </w14:solidFill>
          </w14:textFill>
        </w:rPr>
        <w:t>加强师德师风建设，健全学校家庭社会协同育人机制，重视青少年身体素质和心理健康。</w:t>
      </w:r>
      <w:r>
        <w:rPr>
          <w:rFonts w:ascii="Times New Roman" w:hAnsi="Times New Roman" w:eastAsia="仿宋_GB2312" w:cs="Times New Roman"/>
          <w:bCs w:val="0"/>
          <w:color w:val="000000" w:themeColor="text1"/>
          <w:sz w:val="32"/>
          <w:szCs w:val="32"/>
          <w14:textFill>
            <w14:solidFill>
              <w14:schemeClr w14:val="tx1"/>
            </w14:solidFill>
          </w14:textFill>
        </w:rPr>
        <w:t>到2030年，建成名师工作室55个、名班主任工作室15个、名校长工作室10个，卓越名师名校长名班主任300名，中小学研究生学历教师达1000名以上。</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9242" w:type="dxa"/>
            <w:vAlign w:val="center"/>
          </w:tcPr>
          <w:p>
            <w:pPr>
              <w:spacing w:line="490" w:lineRule="exact"/>
              <w:jc w:val="center"/>
              <w:rPr>
                <w:rFonts w:ascii="Times New Roman" w:hAnsi="Times New Roman" w:eastAsia="黑体" w:cs="Times New Roman"/>
                <w:color w:val="000000" w:themeColor="text1"/>
                <w:sz w:val="32"/>
                <w:szCs w:val="32"/>
                <w14:textFill>
                  <w14:solidFill>
                    <w14:schemeClr w14:val="tx1"/>
                  </w14:solidFill>
                </w14:textFill>
              </w:rPr>
            </w:pPr>
            <w:r>
              <w:rPr>
                <w:rFonts w:ascii="Times New Roman" w:hAnsi="Times New Roman" w:eastAsia="黑体" w:cs="Times New Roman"/>
                <w:bCs w:val="0"/>
                <w:color w:val="000000" w:themeColor="text1"/>
                <w:sz w:val="32"/>
                <w:szCs w:val="32"/>
                <w14:textFill>
                  <w14:solidFill>
                    <w14:schemeClr w14:val="tx1"/>
                  </w14:solidFill>
                </w14:textFill>
              </w:rPr>
              <w:t>专栏14—2 五省边际区域性教育中心建设行动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61" w:hRule="atLeast"/>
          <w:jc w:val="center"/>
        </w:trPr>
        <w:tc>
          <w:tcPr>
            <w:tcW w:w="9242" w:type="dxa"/>
            <w:vAlign w:val="center"/>
          </w:tcPr>
          <w:p>
            <w:pPr>
              <w:widowControl/>
              <w:spacing w:line="480" w:lineRule="exact"/>
              <w:ind w:firstLine="643"/>
              <w:rPr>
                <w:rFonts w:ascii="Times New Roman" w:hAnsi="Times New Roman" w:eastAsia="楷体_GB2312" w:cs="Times New Roman"/>
                <w:color w:val="000000" w:themeColor="text1"/>
                <w:sz w:val="32"/>
                <w:szCs w:val="32"/>
                <w:lang w:val="en"/>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1.</w:t>
            </w:r>
            <w:r>
              <w:rPr>
                <w:rFonts w:ascii="Times New Roman" w:hAnsi="Times New Roman" w:eastAsia="仿宋_GB2312" w:cs="Times New Roman"/>
                <w:b/>
                <w:color w:val="000000" w:themeColor="text1"/>
                <w:sz w:val="32"/>
                <w:szCs w:val="32"/>
                <w14:textFill>
                  <w14:solidFill>
                    <w14:schemeClr w14:val="tx1"/>
                  </w14:solidFill>
                </w14:textFill>
              </w:rPr>
              <w:t>“</w:t>
            </w:r>
            <w:r>
              <w:rPr>
                <w:rFonts w:ascii="Times New Roman" w:hAnsi="Times New Roman" w:eastAsia="楷体_GB2312" w:cs="Times New Roman"/>
                <w:b/>
                <w:color w:val="000000" w:themeColor="text1"/>
                <w:sz w:val="32"/>
                <w:szCs w:val="32"/>
                <w14:textFill>
                  <w14:solidFill>
                    <w14:schemeClr w14:val="tx1"/>
                  </w14:solidFill>
                </w14:textFill>
              </w:rPr>
              <w:t>五育</w:t>
            </w:r>
            <w:r>
              <w:rPr>
                <w:rFonts w:ascii="Times New Roman" w:hAnsi="Times New Roman" w:eastAsia="仿宋_GB2312" w:cs="Times New Roman"/>
                <w:b/>
                <w:color w:val="000000" w:themeColor="text1"/>
                <w:sz w:val="32"/>
                <w:szCs w:val="32"/>
                <w14:textFill>
                  <w14:solidFill>
                    <w14:schemeClr w14:val="tx1"/>
                  </w14:solidFill>
                </w14:textFill>
              </w:rPr>
              <w:t>”</w:t>
            </w:r>
            <w:r>
              <w:rPr>
                <w:rFonts w:ascii="Times New Roman" w:hAnsi="Times New Roman" w:eastAsia="楷体_GB2312" w:cs="Times New Roman"/>
                <w:b/>
                <w:color w:val="000000" w:themeColor="text1"/>
                <w:sz w:val="32"/>
                <w:szCs w:val="32"/>
                <w14:textFill>
                  <w14:solidFill>
                    <w14:schemeClr w14:val="tx1"/>
                  </w14:solidFill>
                </w14:textFill>
              </w:rPr>
              <w:t>并举育人。</w:t>
            </w:r>
            <w:r>
              <w:rPr>
                <w:rFonts w:ascii="Times New Roman" w:hAnsi="Times New Roman" w:eastAsia="楷体_GB2312" w:cs="Times New Roman"/>
                <w:bCs w:val="0"/>
                <w:color w:val="000000" w:themeColor="text1"/>
                <w:sz w:val="32"/>
                <w:szCs w:val="32"/>
                <w:lang w:val="en"/>
                <w14:textFill>
                  <w14:solidFill>
                    <w14:schemeClr w14:val="tx1"/>
                  </w14:solidFill>
                </w14:textFill>
              </w:rPr>
              <w:t>打造</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lang w:val="en"/>
                <w14:textFill>
                  <w14:solidFill>
                    <w14:schemeClr w14:val="tx1"/>
                  </w14:solidFill>
                </w14:textFill>
              </w:rPr>
              <w:t>我的安江行</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lang w:val="en"/>
                <w14:textFill>
                  <w14:solidFill>
                    <w14:schemeClr w14:val="tx1"/>
                  </w14:solidFill>
                </w14:textFill>
              </w:rPr>
              <w:t>思政实践教育品牌，建设</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lang w:val="en"/>
                <w14:textFill>
                  <w14:solidFill>
                    <w14:schemeClr w14:val="tx1"/>
                  </w14:solidFill>
                </w14:textFill>
              </w:rPr>
              <w:t>一县一品牌、一校一特色</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lang w:val="en"/>
                <w14:textFill>
                  <w14:solidFill>
                    <w14:schemeClr w14:val="tx1"/>
                  </w14:solidFill>
                </w14:textFill>
              </w:rPr>
              <w:t>思政教育格局。建设县级心理发展指导中心。保障中小学生每天综合体育活动时间不低于2小时。推进</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lang w:val="en"/>
                <w14:textFill>
                  <w14:solidFill>
                    <w14:schemeClr w14:val="tx1"/>
                  </w14:solidFill>
                </w14:textFill>
              </w:rPr>
              <w:t>书香校园</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lang w:val="en"/>
                <w14:textFill>
                  <w14:solidFill>
                    <w14:schemeClr w14:val="tx1"/>
                  </w14:solidFill>
                </w14:textFill>
              </w:rPr>
              <w:t>建设。</w:t>
            </w:r>
          </w:p>
          <w:p>
            <w:pPr>
              <w:widowControl/>
              <w:spacing w:line="480" w:lineRule="exact"/>
              <w:ind w:firstLine="643"/>
              <w:rPr>
                <w:rFonts w:ascii="Times New Roman" w:hAnsi="Times New Roman" w:eastAsia="楷体_GB2312" w:cs="Times New Roman"/>
                <w:b/>
                <w:bCs w:val="0"/>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2.教育质量提升。</w:t>
            </w:r>
            <w:r>
              <w:rPr>
                <w:rFonts w:ascii="Times New Roman" w:hAnsi="Times New Roman" w:eastAsia="楷体_GB2312" w:cs="Times New Roman"/>
                <w:bCs w:val="0"/>
                <w:color w:val="000000" w:themeColor="text1"/>
                <w:sz w:val="32"/>
                <w:szCs w:val="32"/>
                <w:lang w:val="en"/>
                <w14:textFill>
                  <w14:solidFill>
                    <w14:schemeClr w14:val="tx1"/>
                  </w14:solidFill>
                </w14:textFill>
              </w:rPr>
              <w:t>建立健全教育质量增值评价，深化集成教研教改，推进智慧校园建设，持续推动大数据、人工智能与教育教学融合应用。</w:t>
            </w:r>
          </w:p>
          <w:p>
            <w:pPr>
              <w:widowControl/>
              <w:spacing w:line="48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3.教育队伍建设。</w:t>
            </w:r>
            <w:r>
              <w:rPr>
                <w:rFonts w:ascii="Times New Roman" w:hAnsi="Times New Roman" w:eastAsia="楷体_GB2312" w:cs="Times New Roman"/>
                <w:bCs w:val="0"/>
                <w:color w:val="000000" w:themeColor="text1"/>
                <w:sz w:val="32"/>
                <w:szCs w:val="32"/>
                <w14:textFill>
                  <w14:solidFill>
                    <w14:schemeClr w14:val="tx1"/>
                  </w14:solidFill>
                </w14:textFill>
              </w:rPr>
              <w:t>确保市县两级教育部门2/3以上管理人员具有2年以上教育教学经验。</w:t>
            </w:r>
          </w:p>
          <w:p>
            <w:pPr>
              <w:widowControl/>
              <w:spacing w:line="48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4.教育要素保障。</w:t>
            </w:r>
            <w:r>
              <w:rPr>
                <w:rFonts w:ascii="Times New Roman" w:hAnsi="Times New Roman" w:eastAsia="楷体_GB2312" w:cs="Times New Roman"/>
                <w:bCs w:val="0"/>
                <w:color w:val="000000" w:themeColor="text1"/>
                <w:sz w:val="32"/>
                <w:szCs w:val="32"/>
                <w14:textFill>
                  <w14:solidFill>
                    <w14:schemeClr w14:val="tx1"/>
                  </w14:solidFill>
                </w14:textFill>
              </w:rPr>
              <w:t>建立预算拨款和绩效激励约束机制，</w:t>
            </w:r>
            <w:r>
              <w:rPr>
                <w:rFonts w:ascii="Times New Roman" w:hAnsi="Times New Roman" w:eastAsia="楷体_GB2312" w:cs="Times New Roman"/>
                <w:bCs w:val="0"/>
                <w:color w:val="000000" w:themeColor="text1"/>
                <w:sz w:val="32"/>
                <w:szCs w:val="32"/>
                <w:lang w:val="en"/>
                <w14:textFill>
                  <w14:solidFill>
                    <w14:schemeClr w14:val="tx1"/>
                  </w14:solidFill>
                </w14:textFill>
              </w:rPr>
              <w:t>落实省属高校市本级投入要求。做大做强各地各校教育基金会。</w:t>
            </w:r>
          </w:p>
        </w:tc>
      </w:tr>
    </w:tbl>
    <w:p>
      <w:pPr>
        <w:pStyle w:val="6"/>
        <w:keepNext w:val="0"/>
        <w:keepLines w:val="0"/>
        <w:spacing w:line="570" w:lineRule="exact"/>
        <w:rPr>
          <w:rFonts w:ascii="Times New Roman" w:hAnsi="Times New Roman" w:eastAsia="黑体" w:cs="Times New Roman"/>
          <w:color w:val="000000" w:themeColor="text1"/>
          <w:sz w:val="32"/>
          <w14:textFill>
            <w14:solidFill>
              <w14:schemeClr w14:val="tx1"/>
            </w14:solidFill>
          </w14:textFill>
        </w:rPr>
      </w:pPr>
    </w:p>
    <w:p>
      <w:pPr>
        <w:pStyle w:val="6"/>
        <w:keepNext w:val="0"/>
        <w:keepLines w:val="0"/>
        <w:spacing w:line="570" w:lineRule="exact"/>
        <w:rPr>
          <w:rFonts w:ascii="Times New Roman" w:hAnsi="Times New Roman" w:eastAsia="黑体" w:cs="Times New Roman"/>
          <w:color w:val="000000" w:themeColor="text1"/>
          <w:sz w:val="32"/>
          <w14:textFill>
            <w14:solidFill>
              <w14:schemeClr w14:val="tx1"/>
            </w14:solidFill>
          </w14:textFill>
        </w:rPr>
      </w:pPr>
      <w:bookmarkStart w:id="81" w:name="_Toc30783"/>
      <w:r>
        <w:rPr>
          <w:rFonts w:ascii="Times New Roman" w:hAnsi="Times New Roman" w:eastAsia="黑体" w:cs="Times New Roman"/>
          <w:color w:val="000000" w:themeColor="text1"/>
          <w:sz w:val="32"/>
          <w14:textFill>
            <w14:solidFill>
              <w14:schemeClr w14:val="tx1"/>
            </w14:solidFill>
          </w14:textFill>
        </w:rPr>
        <w:t>第四十八章 健全多层次社会保障体系</w:t>
      </w:r>
      <w:bookmarkEnd w:id="81"/>
    </w:p>
    <w:p>
      <w:pPr>
        <w:spacing w:line="570" w:lineRule="exact"/>
        <w:ind w:firstLine="640"/>
        <w:rPr>
          <w:rFonts w:eastAsia="仿宋_GB2312"/>
          <w:color w:val="000000" w:themeColor="text1"/>
          <w:sz w:val="32"/>
          <w:szCs w:val="32"/>
          <w14:textFill>
            <w14:solidFill>
              <w14:schemeClr w14:val="tx1"/>
            </w14:solidFill>
          </w14:textFill>
        </w:rPr>
      </w:pPr>
    </w:p>
    <w:p>
      <w:pPr>
        <w:pStyle w:val="7"/>
        <w:keepNext w:val="0"/>
        <w:keepLines w:val="0"/>
        <w:spacing w:line="570" w:lineRule="exact"/>
        <w:rPr>
          <w:rFonts w:eastAsia="仿宋_GB2312"/>
          <w:color w:val="000000" w:themeColor="text1"/>
          <w:sz w:val="32"/>
          <w14:textFill>
            <w14:solidFill>
              <w14:schemeClr w14:val="tx1"/>
            </w14:solidFill>
          </w14:textFill>
        </w:rPr>
      </w:pPr>
      <w:r>
        <w:rPr>
          <w:rFonts w:hint="eastAsia" w:eastAsia="仿宋_GB2312"/>
          <w:color w:val="000000" w:themeColor="text1"/>
          <w:sz w:val="32"/>
          <w14:textFill>
            <w14:solidFill>
              <w14:schemeClr w14:val="tx1"/>
            </w14:solidFill>
          </w14:textFill>
        </w:rPr>
        <w:t xml:space="preserve">第一节 </w:t>
      </w:r>
      <w:r>
        <w:rPr>
          <w:rFonts w:eastAsia="仿宋_GB2312"/>
          <w:color w:val="000000" w:themeColor="text1"/>
          <w:sz w:val="32"/>
          <w14:textFill>
            <w14:solidFill>
              <w14:schemeClr w14:val="tx1"/>
            </w14:solidFill>
          </w14:textFill>
        </w:rPr>
        <w:t>完善多层次社会保险体系</w:t>
      </w:r>
    </w:p>
    <w:p>
      <w:pPr>
        <w:spacing w:line="570" w:lineRule="exact"/>
        <w:rPr>
          <w:rFonts w:eastAsia="仿宋_GB2312"/>
          <w:color w:val="000000" w:themeColor="text1"/>
          <w:sz w:val="32"/>
          <w:szCs w:val="32"/>
          <w14:textFill>
            <w14:solidFill>
              <w14:schemeClr w14:val="tx1"/>
            </w14:solidFill>
          </w14:textFill>
        </w:rPr>
      </w:pPr>
    </w:p>
    <w:p>
      <w:pPr>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bCs w:val="0"/>
          <w:color w:val="000000" w:themeColor="text1"/>
          <w:sz w:val="32"/>
          <w:szCs w:val="32"/>
          <w14:textFill>
            <w14:solidFill>
              <w14:schemeClr w14:val="tx1"/>
            </w14:solidFill>
          </w14:textFill>
        </w:rPr>
        <w:t>深入实施全民参保计划，落实取消在就业地参保户籍限制政策，聚焦灵活就业人员、新就业形态人员、农民工等重点群体，推进法定人员全覆盖。加快发展多层次、多支柱的养老保险体系，完善基本养老保险、企业年金、职业年金与个人养老金相结合的养老保障模式，稳步推进个人养老金制度落地实施。健全多层次医疗保障体系，落实基本医疗保险省级统筹，建立长期护理保险制度。优化药品集中采购，深化医保支付方式改革。加强医保基金监管，保障基金平稳运行。完善重大疾病保险和医疗救助制度，努力降低群众医疗支出。扩大失业、工伤保险覆盖面，建立健全职业伤害保障制度。完善社保关系转移接续机制，推动同周边地区社保关系互联互通。加强社会保险基金监管，健全医保基金监管机制，严厉打击欺诈骗保等行为，稳妥推进渐进式延迟法定退休年龄改革。</w:t>
      </w:r>
    </w:p>
    <w:p>
      <w:pPr>
        <w:spacing w:line="580" w:lineRule="exact"/>
        <w:ind w:firstLine="640"/>
        <w:rPr>
          <w:rFonts w:eastAsia="仿宋_GB2312"/>
          <w:color w:val="000000" w:themeColor="text1"/>
          <w:sz w:val="32"/>
          <w:szCs w:val="32"/>
          <w14:textFill>
            <w14:solidFill>
              <w14:schemeClr w14:val="tx1"/>
            </w14:solidFill>
          </w14:textFill>
        </w:rPr>
      </w:pPr>
    </w:p>
    <w:p>
      <w:pPr>
        <w:pStyle w:val="7"/>
        <w:spacing w:line="580" w:lineRule="exact"/>
        <w:ind w:left="2240"/>
        <w:jc w:val="both"/>
        <w:rPr>
          <w:rFonts w:eastAsia="仿宋_GB2312"/>
          <w:color w:val="000000" w:themeColor="text1"/>
          <w:sz w:val="32"/>
          <w14:textFill>
            <w14:solidFill>
              <w14:schemeClr w14:val="tx1"/>
            </w14:solidFill>
          </w14:textFill>
        </w:rPr>
      </w:pPr>
      <w:r>
        <w:rPr>
          <w:rFonts w:hint="eastAsia" w:eastAsia="仿宋_GB2312"/>
          <w:color w:val="000000" w:themeColor="text1"/>
          <w:sz w:val="32"/>
          <w14:textFill>
            <w14:solidFill>
              <w14:schemeClr w14:val="tx1"/>
            </w14:solidFill>
          </w14:textFill>
        </w:rPr>
        <w:t xml:space="preserve">第二节 </w:t>
      </w:r>
      <w:r>
        <w:rPr>
          <w:rFonts w:eastAsia="仿宋_GB2312"/>
          <w:color w:val="000000" w:themeColor="text1"/>
          <w:sz w:val="32"/>
          <w14:textFill>
            <w14:solidFill>
              <w14:schemeClr w14:val="tx1"/>
            </w14:solidFill>
          </w14:textFill>
        </w:rPr>
        <w:t>健全分层分类社会救助体系</w:t>
      </w:r>
    </w:p>
    <w:p>
      <w:pPr>
        <w:spacing w:line="580" w:lineRule="exact"/>
        <w:rPr>
          <w:rFonts w:eastAsia="仿宋_GB2312"/>
          <w:color w:val="000000" w:themeColor="text1"/>
          <w:sz w:val="32"/>
          <w:szCs w:val="32"/>
          <w14:textFill>
            <w14:solidFill>
              <w14:schemeClr w14:val="tx1"/>
            </w14:solidFill>
          </w14:textFill>
        </w:rPr>
      </w:pPr>
    </w:p>
    <w:p>
      <w:pPr>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bCs w:val="0"/>
          <w:color w:val="000000" w:themeColor="text1"/>
          <w:sz w:val="32"/>
          <w:szCs w:val="32"/>
          <w14:textFill>
            <w14:solidFill>
              <w14:schemeClr w14:val="tx1"/>
            </w14:solidFill>
          </w14:textFill>
        </w:rPr>
        <w:t>织密扎牢社会救助网络，完善空巢老人、困境儿童、残疾人等群体服务保障体系。稳步提高城乡低保、特困人员供养等救助保障标准，逐步缩小城乡、区域间救助水平差距。建立健全低收入人口动态监测和分层分类救助机制，实现应救尽救、精准救助。加快发展服务类社会救助，增强教育救助、医疗救助、住房救助、就业救助等专项救助功能，完善临时救助制度，整合慈善救助资源，建立乡镇（街道）社会救助“一门受理、协同办理”机制，构建高效协同的综合救助格局。规范运营精神卫生福利机构，积极探索困难重度残疾人集中托养照护模式，开展精神障碍社区康复工作，优化流浪乞讨人员救助服务。</w:t>
      </w:r>
    </w:p>
    <w:p>
      <w:pPr>
        <w:pStyle w:val="7"/>
        <w:spacing w:line="580" w:lineRule="exact"/>
        <w:rPr>
          <w:rFonts w:eastAsia="仿宋_GB2312"/>
          <w:color w:val="000000" w:themeColor="text1"/>
          <w:sz w:val="32"/>
          <w14:textFill>
            <w14:solidFill>
              <w14:schemeClr w14:val="tx1"/>
            </w14:solidFill>
          </w14:textFill>
        </w:rPr>
      </w:pPr>
    </w:p>
    <w:p>
      <w:pPr>
        <w:pStyle w:val="7"/>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第三节 构建多元化住房保障体系</w:t>
      </w:r>
    </w:p>
    <w:p>
      <w:pPr>
        <w:spacing w:line="580" w:lineRule="exact"/>
        <w:ind w:firstLine="640"/>
        <w:rPr>
          <w:rFonts w:eastAsia="仿宋_GB2312"/>
          <w:color w:val="000000" w:themeColor="text1"/>
          <w:sz w:val="32"/>
          <w:szCs w:val="32"/>
          <w14:textFill>
            <w14:solidFill>
              <w14:schemeClr w14:val="tx1"/>
            </w14:solidFill>
          </w14:textFill>
        </w:rPr>
      </w:pPr>
    </w:p>
    <w:p>
      <w:pPr>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bCs w:val="0"/>
          <w:color w:val="000000" w:themeColor="text1"/>
          <w:sz w:val="32"/>
          <w:szCs w:val="32"/>
          <w14:textFill>
            <w14:solidFill>
              <w14:schemeClr w14:val="tx1"/>
            </w14:solidFill>
          </w14:textFill>
        </w:rPr>
        <w:t>加快构建房地产发展新模式，完善商品房开发、融资、销售等基础制度。</w:t>
      </w:r>
      <w:r>
        <w:rPr>
          <w:rFonts w:ascii="Times New Roman" w:hAnsi="Times New Roman" w:eastAsia="仿宋_GB2312" w:cs="Times New Roman"/>
          <w:color w:val="000000" w:themeColor="text1"/>
          <w:sz w:val="32"/>
          <w:szCs w:val="32"/>
          <w14:textFill>
            <w14:solidFill>
              <w14:schemeClr w14:val="tx1"/>
            </w14:solidFill>
          </w14:textFill>
        </w:rPr>
        <w:t>建立“人、房、地、钱”要素联动机制，</w:t>
      </w:r>
      <w:r>
        <w:rPr>
          <w:rFonts w:ascii="Times New Roman" w:hAnsi="Times New Roman" w:eastAsia="仿宋_GB2312" w:cs="Times New Roman"/>
          <w:bCs w:val="0"/>
          <w:color w:val="000000" w:themeColor="text1"/>
          <w:sz w:val="32"/>
          <w:szCs w:val="32"/>
          <w14:textFill>
            <w14:solidFill>
              <w14:schemeClr w14:val="tx1"/>
            </w14:solidFill>
          </w14:textFill>
        </w:rPr>
        <w:t>多渠道增加保障性住房供给，满足城镇工薪群体和各类困难家庭基本住房需求。完善以公租房、保障性租赁住房为主体的住房保障体系，优先利用存量闲置住房、商业办公和园区配套用房合规改建来增加房源，支持在集体建设用地上建设保障性租赁住房合理确定套型面积与租售价格。用好专项债券收购存量商品房用作保障性住房，鼓励专业化、规模化机构参与运营管理。完善住房公积金制度，扩大覆盖范围。落实专项债等政策工具，统筹推进好房子、好小区、好社区、好城区“四好”建设，建设安全舒适绿色智慧的优质住房，实施房屋品质提升工程和物业服务质量提升行动，完善社区配套与物业服务，提高保障性住房的宜居度与可持续运营水平。</w:t>
      </w:r>
      <w:r>
        <w:rPr>
          <w:rFonts w:ascii="Times New Roman" w:hAnsi="Times New Roman" w:eastAsia="仿宋_GB2312" w:cs="Times New Roman"/>
          <w:color w:val="000000" w:themeColor="text1"/>
          <w:sz w:val="32"/>
          <w:szCs w:val="32"/>
          <w14:textFill>
            <w14:solidFill>
              <w14:schemeClr w14:val="tx1"/>
            </w14:solidFill>
          </w14:textFill>
        </w:rPr>
        <w:t>千方百计解决“烂尾楼”遗留问题。大力发展和推广装配式建筑。</w:t>
      </w:r>
    </w:p>
    <w:p>
      <w:pPr>
        <w:keepNext/>
        <w:keepLines/>
        <w:spacing w:line="580" w:lineRule="exact"/>
        <w:jc w:val="center"/>
        <w:outlineLvl w:val="1"/>
        <w:rPr>
          <w:rFonts w:eastAsia="黑体"/>
          <w:bCs w:val="0"/>
          <w:color w:val="000000" w:themeColor="text1"/>
          <w:sz w:val="32"/>
          <w:szCs w:val="32"/>
          <w14:textFill>
            <w14:solidFill>
              <w14:schemeClr w14:val="tx1"/>
            </w14:solidFill>
          </w14:textFill>
        </w:rPr>
      </w:pPr>
    </w:p>
    <w:p>
      <w:pPr>
        <w:keepNext/>
        <w:keepLines/>
        <w:spacing w:line="580" w:lineRule="exact"/>
        <w:jc w:val="center"/>
        <w:outlineLvl w:val="1"/>
        <w:rPr>
          <w:rFonts w:eastAsia="黑体"/>
          <w:bCs w:val="0"/>
          <w:color w:val="000000" w:themeColor="text1"/>
          <w:sz w:val="32"/>
          <w:szCs w:val="32"/>
          <w14:textFill>
            <w14:solidFill>
              <w14:schemeClr w14:val="tx1"/>
            </w14:solidFill>
          </w14:textFill>
        </w:rPr>
      </w:pPr>
      <w:bookmarkStart w:id="82" w:name="_Toc4690"/>
      <w:r>
        <w:rPr>
          <w:rFonts w:ascii="Times New Roman" w:hAnsi="Times New Roman" w:eastAsia="黑体" w:cs="Times New Roman"/>
          <w:color w:val="000000" w:themeColor="text1"/>
          <w:sz w:val="32"/>
          <w:szCs w:val="32"/>
          <w14:textFill>
            <w14:solidFill>
              <w14:schemeClr w14:val="tx1"/>
            </w14:solidFill>
          </w14:textFill>
        </w:rPr>
        <w:t>第四十九章 加快建设健康怀化</w:t>
      </w:r>
      <w:bookmarkEnd w:id="82"/>
    </w:p>
    <w:p>
      <w:pPr>
        <w:keepNext/>
        <w:keepLines/>
        <w:spacing w:line="580" w:lineRule="exact"/>
        <w:jc w:val="center"/>
        <w:outlineLvl w:val="2"/>
        <w:rPr>
          <w:rFonts w:eastAsia="仿宋_GB2312"/>
          <w:b/>
          <w:bCs w:val="0"/>
          <w:color w:val="000000" w:themeColor="text1"/>
          <w:sz w:val="32"/>
          <w:szCs w:val="32"/>
          <w14:textFill>
            <w14:solidFill>
              <w14:schemeClr w14:val="tx1"/>
            </w14:solidFill>
          </w14:textFill>
        </w:rPr>
      </w:pPr>
    </w:p>
    <w:p>
      <w:pPr>
        <w:keepNext/>
        <w:keepLines/>
        <w:spacing w:line="580" w:lineRule="exact"/>
        <w:jc w:val="center"/>
        <w:outlineLvl w:val="2"/>
        <w:rPr>
          <w:rFonts w:eastAsia="仿宋_GB2312"/>
          <w:b/>
          <w:bCs w:val="0"/>
          <w:color w:val="000000" w:themeColor="text1"/>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第一节 提升医疗服务能力</w:t>
      </w:r>
    </w:p>
    <w:p>
      <w:pPr>
        <w:spacing w:line="580" w:lineRule="exact"/>
        <w:ind w:firstLine="640"/>
        <w:rPr>
          <w:rFonts w:eastAsia="仿宋_GB2312"/>
          <w:color w:val="000000" w:themeColor="text1"/>
          <w:sz w:val="32"/>
          <w:szCs w:val="32"/>
          <w14:textFill>
            <w14:solidFill>
              <w14:schemeClr w14:val="tx1"/>
            </w14:solidFill>
          </w14:textFill>
        </w:rPr>
      </w:pPr>
    </w:p>
    <w:p>
      <w:pPr>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bCs w:val="0"/>
          <w:color w:val="000000" w:themeColor="text1"/>
          <w:sz w:val="32"/>
          <w:szCs w:val="32"/>
          <w14:textFill>
            <w14:solidFill>
              <w14:schemeClr w14:val="tx1"/>
            </w14:solidFill>
          </w14:textFill>
        </w:rPr>
        <w:t>围绕打造区域性医疗中心目标，加强省级、市级龙头医院能力建设，做强综合救治与疑难重症诊疗，完善多学科诊疗（MDT）与临床路径管理，扎实做好湘雅医院帮扶湖南医药学院总医院等对口帮扶工作，加强国、省临床重点专科建设，大力发展全科医学。实施医疗卫生强基工程，</w:t>
      </w:r>
      <w:r>
        <w:rPr>
          <w:rFonts w:ascii="Times New Roman" w:hAnsi="Times New Roman" w:eastAsia="仿宋_GB2312" w:cs="Times New Roman"/>
          <w:color w:val="000000" w:themeColor="text1"/>
          <w:sz w:val="32"/>
          <w:szCs w:val="32"/>
          <w14:textFill>
            <w14:solidFill>
              <w14:schemeClr w14:val="tx1"/>
            </w14:solidFill>
          </w14:textFill>
        </w:rPr>
        <w:t>优化升级县区医疗卫生设施设备，加强紧密型医联体内涵建设，</w:t>
      </w:r>
      <w:r>
        <w:rPr>
          <w:rFonts w:ascii="Times New Roman" w:hAnsi="Times New Roman" w:eastAsia="仿宋_GB2312" w:cs="Times New Roman"/>
          <w:bCs w:val="0"/>
          <w:color w:val="000000" w:themeColor="text1"/>
          <w:sz w:val="32"/>
          <w:szCs w:val="32"/>
          <w14:textFill>
            <w14:solidFill>
              <w14:schemeClr w14:val="tx1"/>
            </w14:solidFill>
          </w14:textFill>
        </w:rPr>
        <w:t>实施“千医下基层”行动，健全城市医院对口帮扶、巡回医疗与远程会诊长效机制，推动高水平医疗和管理人才下沉帮扶。推进分级诊疗制度落地见效，逐步实现慢性病日常管理可不出村、一般常见病种可不出乡、复杂常见病种可不出县、多数病种可不出市的“四可”目标。推进医学检查检验结果互认、双向转诊绿色通道、日间诊疗与同质化管理。完善公共卫生应急管理体系，有效预防、控制、化解、消除重大急性传染病等公共卫生事件。到2030年，力争</w:t>
      </w:r>
      <w:r>
        <w:rPr>
          <w:rFonts w:hint="eastAsia" w:eastAsia="仿宋_GB2312" w:cs="Times New Roman"/>
          <w:bCs w:val="0"/>
          <w:color w:val="000000" w:themeColor="text1"/>
          <w:sz w:val="32"/>
          <w:szCs w:val="32"/>
          <w14:textFill>
            <w14:solidFill>
              <w14:schemeClr w14:val="tx1"/>
            </w14:solidFill>
          </w14:textFill>
        </w:rPr>
        <w:t>新增</w:t>
      </w:r>
      <w:r>
        <w:rPr>
          <w:rFonts w:ascii="Times New Roman" w:hAnsi="Times New Roman" w:eastAsia="仿宋_GB2312" w:cs="Times New Roman"/>
          <w:bCs w:val="0"/>
          <w:color w:val="000000" w:themeColor="text1"/>
          <w:sz w:val="32"/>
          <w:szCs w:val="32"/>
          <w14:textFill>
            <w14:solidFill>
              <w14:schemeClr w14:val="tx1"/>
            </w14:solidFill>
          </w14:textFill>
        </w:rPr>
        <w:t>国家临床重点专科2个，建设医卫专家工作室30家，培养青年医卫人才100名。</w:t>
      </w:r>
    </w:p>
    <w:p>
      <w:pPr>
        <w:spacing w:line="610" w:lineRule="exact"/>
        <w:ind w:firstLine="640"/>
        <w:jc w:val="left"/>
        <w:rPr>
          <w:rFonts w:eastAsia="仿宋_GB2312"/>
          <w:color w:val="000000" w:themeColor="text1"/>
          <w:sz w:val="32"/>
          <w:szCs w:val="32"/>
          <w14:textFill>
            <w14:solidFill>
              <w14:schemeClr w14:val="tx1"/>
            </w14:solidFill>
          </w14:textFill>
        </w:rPr>
      </w:pPr>
    </w:p>
    <w:p>
      <w:pPr>
        <w:keepNext/>
        <w:keepLines/>
        <w:spacing w:line="610" w:lineRule="exact"/>
        <w:jc w:val="left"/>
        <w:outlineLvl w:val="2"/>
        <w:rPr>
          <w:rFonts w:eastAsia="仿宋_GB2312"/>
          <w:b/>
          <w:bCs w:val="0"/>
          <w:color w:val="000000" w:themeColor="text1"/>
          <w:sz w:val="32"/>
          <w:szCs w:val="32"/>
          <w14:textFill>
            <w14:solidFill>
              <w14:schemeClr w14:val="tx1"/>
            </w14:solidFill>
          </w14:textFill>
        </w:rPr>
      </w:pPr>
    </w:p>
    <w:p>
      <w:pPr>
        <w:keepNext/>
        <w:keepLines/>
        <w:spacing w:line="610" w:lineRule="exact"/>
        <w:jc w:val="center"/>
        <w:outlineLvl w:val="2"/>
        <w:rPr>
          <w:rFonts w:eastAsia="仿宋_GB2312"/>
          <w:b/>
          <w:bCs w:val="0"/>
          <w:color w:val="000000" w:themeColor="text1"/>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第二节 深化医药卫生体制改革</w:t>
      </w:r>
    </w:p>
    <w:p>
      <w:pPr>
        <w:spacing w:line="610" w:lineRule="exact"/>
        <w:ind w:firstLine="640"/>
        <w:jc w:val="left"/>
        <w:rPr>
          <w:rFonts w:eastAsia="仿宋_GB2312"/>
          <w:color w:val="000000" w:themeColor="text1"/>
          <w:sz w:val="32"/>
          <w:szCs w:val="32"/>
          <w14:textFill>
            <w14:solidFill>
              <w14:schemeClr w14:val="tx1"/>
            </w14:solidFill>
          </w14:textFill>
        </w:rPr>
      </w:pPr>
    </w:p>
    <w:p>
      <w:pPr>
        <w:spacing w:line="610" w:lineRule="exact"/>
        <w:ind w:firstLine="640"/>
        <w:jc w:val="left"/>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健全医疗、医保、医药协同发展和治理机制，</w:t>
      </w:r>
      <w:r>
        <w:rPr>
          <w:rFonts w:ascii="Times New Roman" w:hAnsi="Times New Roman" w:eastAsia="仿宋_GB2312" w:cs="Times New Roman"/>
          <w:bCs w:val="0"/>
          <w:color w:val="000000" w:themeColor="text1"/>
          <w:sz w:val="32"/>
          <w:szCs w:val="32"/>
          <w14:textFill>
            <w14:solidFill>
              <w14:schemeClr w14:val="tx1"/>
            </w14:solidFill>
          </w14:textFill>
        </w:rPr>
        <w:t>以公益性为导向深化公立医院改革。建立以医疗服务与技术劳动价值为导向的价格动态调整机制与薪酬分配机制，推行编制动态管理。</w:t>
      </w:r>
      <w:r>
        <w:rPr>
          <w:rFonts w:ascii="Times New Roman" w:hAnsi="Times New Roman" w:eastAsia="仿宋_GB2312" w:cs="Times New Roman"/>
          <w:color w:val="000000" w:themeColor="text1"/>
          <w:sz w:val="32"/>
          <w:szCs w:val="32"/>
          <w14:textFill>
            <w14:solidFill>
              <w14:schemeClr w14:val="tx1"/>
            </w14:solidFill>
          </w14:textFill>
        </w:rPr>
        <w:t>完善基层公共卫生绩效考核与激励约束。持续深化按病种分值（DIP）付费为主导的多元复合型医保支付方式改革。落实医保基金总额预算管理和预付制度，引导医疗机构规范诊疗行为，控制医疗费用不合理增长。常态化推进药品、耗材集中带量采购，探索在县域医共体建设中心（云）药房和集中（云）审方中心，建立基层用药采、供、用、报、销联动机制，推动全市三级医疗机构药学门诊、住院药学监护全覆盖。推进信息化建设与省级“三医一张网”有效对接，拓展远程医疗与“互联网+公共卫生”服务。</w:t>
      </w:r>
    </w:p>
    <w:p>
      <w:pPr>
        <w:spacing w:line="580" w:lineRule="exact"/>
        <w:ind w:firstLine="640"/>
        <w:rPr>
          <w:rFonts w:eastAsia="仿宋_GB2312"/>
          <w:color w:val="000000" w:themeColor="text1"/>
          <w:sz w:val="32"/>
          <w:szCs w:val="32"/>
          <w14:textFill>
            <w14:solidFill>
              <w14:schemeClr w14:val="tx1"/>
            </w14:solidFill>
          </w14:textFill>
        </w:rPr>
      </w:pPr>
    </w:p>
    <w:p>
      <w:pPr>
        <w:spacing w:line="580" w:lineRule="exact"/>
        <w:jc w:val="center"/>
        <w:outlineLvl w:val="2"/>
        <w:rPr>
          <w:rFonts w:eastAsia="仿宋_GB2312"/>
          <w:b/>
          <w:bCs w:val="0"/>
          <w:color w:val="000000" w:themeColor="text1"/>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第三节 促进中医药传承创新发展</w:t>
      </w:r>
    </w:p>
    <w:p>
      <w:pPr>
        <w:spacing w:line="580" w:lineRule="exact"/>
        <w:ind w:firstLine="640"/>
        <w:rPr>
          <w:rFonts w:eastAsia="仿宋_GB2312"/>
          <w:color w:val="000000" w:themeColor="text1"/>
          <w:sz w:val="32"/>
          <w:szCs w:val="32"/>
          <w14:textFill>
            <w14:solidFill>
              <w14:schemeClr w14:val="tx1"/>
            </w14:solidFill>
          </w14:textFill>
        </w:rPr>
      </w:pPr>
    </w:p>
    <w:p>
      <w:pPr>
        <w:spacing w:line="64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bCs w:val="0"/>
          <w:color w:val="000000" w:themeColor="text1"/>
          <w:sz w:val="32"/>
          <w:szCs w:val="32"/>
          <w14:textFill>
            <w14:solidFill>
              <w14:schemeClr w14:val="tx1"/>
            </w14:solidFill>
          </w14:textFill>
        </w:rPr>
        <w:t>健全中医药服务体系，支持怀化市中医医院申报国家中医特色重点医院建设项目，示范带动县级中医医院特色专科提质扩面。实施中医临床优势提升工程，</w:t>
      </w:r>
      <w:r>
        <w:rPr>
          <w:rFonts w:ascii="Times New Roman" w:hAnsi="Times New Roman" w:eastAsia="仿宋_GB2312" w:cs="Times New Roman"/>
          <w:color w:val="000000" w:themeColor="text1"/>
          <w:sz w:val="32"/>
          <w:szCs w:val="32"/>
          <w14:textFill>
            <w14:solidFill>
              <w14:schemeClr w14:val="tx1"/>
            </w14:solidFill>
          </w14:textFill>
        </w:rPr>
        <w:t>力争</w:t>
      </w:r>
      <w:r>
        <w:rPr>
          <w:rFonts w:hint="eastAsia" w:eastAsia="仿宋_GB2312" w:cs="Times New Roman"/>
          <w:color w:val="000000" w:themeColor="text1"/>
          <w:sz w:val="32"/>
          <w:szCs w:val="32"/>
          <w14:textFill>
            <w14:solidFill>
              <w14:schemeClr w14:val="tx1"/>
            </w14:solidFill>
          </w14:textFill>
        </w:rPr>
        <w:t>新增</w:t>
      </w:r>
      <w:r>
        <w:rPr>
          <w:rFonts w:ascii="Times New Roman" w:hAnsi="Times New Roman" w:eastAsia="仿宋_GB2312" w:cs="Times New Roman"/>
          <w:color w:val="000000" w:themeColor="text1"/>
          <w:sz w:val="32"/>
          <w:szCs w:val="32"/>
          <w14:textFill>
            <w14:solidFill>
              <w14:schemeClr w14:val="tx1"/>
            </w14:solidFill>
          </w14:textFill>
        </w:rPr>
        <w:t>国家中医优势专科1个</w:t>
      </w:r>
      <w:r>
        <w:rPr>
          <w:rFonts w:hint="eastAsia"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省级中医优势专科集群建设单位20个。加强中医药科研与人才培养，促进中西医结合，持续开展“西学中”培训。</w:t>
      </w:r>
      <w:r>
        <w:rPr>
          <w:rFonts w:ascii="Times New Roman" w:hAnsi="Times New Roman" w:eastAsia="仿宋_GB2312" w:cs="Times New Roman"/>
          <w:bCs w:val="0"/>
          <w:color w:val="000000" w:themeColor="text1"/>
          <w:spacing w:val="-6"/>
          <w:sz w:val="32"/>
          <w:szCs w:val="32"/>
          <w14:textFill>
            <w14:solidFill>
              <w14:schemeClr w14:val="tx1"/>
            </w14:solidFill>
          </w14:textFill>
        </w:rPr>
        <w:t>推动侗医药研究湖南省重点实验室创建国家重点实验室。大力发展苗、</w:t>
      </w:r>
      <w:r>
        <w:rPr>
          <w:rFonts w:ascii="Times New Roman" w:hAnsi="Times New Roman" w:eastAsia="仿宋_GB2312" w:cs="Times New Roman"/>
          <w:bCs w:val="0"/>
          <w:color w:val="000000" w:themeColor="text1"/>
          <w:spacing w:val="-11"/>
          <w:sz w:val="32"/>
          <w:szCs w:val="32"/>
          <w14:textFill>
            <w14:solidFill>
              <w14:schemeClr w14:val="tx1"/>
            </w14:solidFill>
          </w14:textFill>
        </w:rPr>
        <w:t>侗、瑶等民族医药产业，积极探索中医药健康旅游、康体养生等新业态。</w:t>
      </w:r>
    </w:p>
    <w:p>
      <w:pPr>
        <w:widowControl/>
        <w:numPr>
          <w:ilvl w:val="255"/>
          <w:numId w:val="0"/>
        </w:numPr>
        <w:spacing w:line="580" w:lineRule="exact"/>
        <w:jc w:val="center"/>
        <w:rPr>
          <w:rFonts w:eastAsia="仿宋_GB2312"/>
          <w:b/>
          <w:bCs w:val="0"/>
          <w:color w:val="000000" w:themeColor="text1"/>
          <w:sz w:val="32"/>
          <w:szCs w:val="32"/>
          <w14:textFill>
            <w14:solidFill>
              <w14:schemeClr w14:val="tx1"/>
            </w14:solidFill>
          </w14:textFill>
        </w:rPr>
      </w:pPr>
    </w:p>
    <w:p>
      <w:pPr>
        <w:spacing w:line="580" w:lineRule="exact"/>
        <w:jc w:val="center"/>
        <w:outlineLvl w:val="2"/>
        <w:rPr>
          <w:rFonts w:eastAsia="仿宋_GB2312"/>
          <w:b/>
          <w:bCs w:val="0"/>
          <w:color w:val="000000" w:themeColor="text1"/>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第四节 提高全民健康素养</w:t>
      </w:r>
    </w:p>
    <w:p>
      <w:pPr>
        <w:spacing w:line="580" w:lineRule="exact"/>
        <w:ind w:firstLine="640"/>
        <w:rPr>
          <w:rFonts w:eastAsia="仿宋_GB2312"/>
          <w:color w:val="000000" w:themeColor="text1"/>
          <w:sz w:val="32"/>
          <w:szCs w:val="32"/>
          <w14:textFill>
            <w14:solidFill>
              <w14:schemeClr w14:val="tx1"/>
            </w14:solidFill>
          </w14:textFill>
        </w:rPr>
      </w:pPr>
    </w:p>
    <w:p>
      <w:pPr>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bCs w:val="0"/>
          <w:color w:val="000000" w:themeColor="text1"/>
          <w:sz w:val="32"/>
          <w:szCs w:val="32"/>
          <w14:textFill>
            <w14:solidFill>
              <w14:schemeClr w14:val="tx1"/>
            </w14:solidFill>
          </w14:textFill>
        </w:rPr>
        <w:t>深入开展爱国卫生运动和健康怀化行动，提高人均预期寿命和人民健康水平。做实家庭医生签约服务，强化重点人群健康管理，稳步提高适龄儿童全程接种率与接种安全水平，强化心脑血管疾病、癌症、糖尿病、慢性呼吸系统疾病等重大慢性病早筛早诊早治，加强艾滋病、结核病等重大传染病防治，确保重大慢性病过早死亡率小于13%，结核病报告发病率降低至43/10万以下。加强重点行业职业病危害监测和职业病诊疗康复工作，加强心理健康和精神卫生服务。扩大医养结合服务供给，实现医养结合服务县域全覆盖，新增省级安宁疗护标准病房10家。开展减盐减油专项行动、体重管理年行动，提倡合理膳食、适量运动、控烟限酒的健康生活方式，提升全民健康素养水平。</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9242" w:type="dxa"/>
            <w:vAlign w:val="center"/>
          </w:tcPr>
          <w:p>
            <w:pPr>
              <w:spacing w:line="490" w:lineRule="exact"/>
              <w:ind w:firstLine="640"/>
              <w:jc w:val="center"/>
              <w:rPr>
                <w:rFonts w:ascii="Times New Roman" w:hAnsi="Times New Roman" w:eastAsia="黑体" w:cs="Times New Roman"/>
                <w:color w:val="000000" w:themeColor="text1"/>
                <w:sz w:val="32"/>
                <w:szCs w:val="32"/>
                <w14:textFill>
                  <w14:solidFill>
                    <w14:schemeClr w14:val="tx1"/>
                  </w14:solidFill>
                </w14:textFill>
              </w:rPr>
            </w:pPr>
            <w:r>
              <w:rPr>
                <w:rFonts w:ascii="Times New Roman" w:hAnsi="Times New Roman" w:eastAsia="黑体" w:cs="Times New Roman"/>
                <w:bCs w:val="0"/>
                <w:color w:val="000000" w:themeColor="text1"/>
                <w:sz w:val="32"/>
                <w:szCs w:val="32"/>
                <w14:textFill>
                  <w14:solidFill>
                    <w14:schemeClr w14:val="tx1"/>
                  </w14:solidFill>
                </w14:textFill>
              </w:rPr>
              <w:t>专栏14—3 五省边际区域性医疗中心建设行动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242" w:type="dxa"/>
          </w:tcPr>
          <w:p>
            <w:pPr>
              <w:adjustRightInd w:val="0"/>
              <w:snapToGrid w:val="0"/>
              <w:spacing w:line="48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1.医疗卫生提质。</w:t>
            </w:r>
            <w:r>
              <w:rPr>
                <w:rFonts w:ascii="Times New Roman" w:hAnsi="Times New Roman" w:eastAsia="楷体_GB2312" w:cs="Times New Roman"/>
                <w:color w:val="000000" w:themeColor="text1"/>
                <w:sz w:val="32"/>
                <w:szCs w:val="32"/>
                <w14:textFill>
                  <w14:solidFill>
                    <w14:schemeClr w14:val="tx1"/>
                  </w14:solidFill>
                </w14:textFill>
              </w:rPr>
              <w:t>推进中南大学湘雅医院结对帮扶湖南医药学院总医院，建设区域内高水平临床诊疗基地。建设区域内高水准科技创新与转化平台，积极申报国家、省级重点实验室和科研项目。</w:t>
            </w:r>
          </w:p>
          <w:p>
            <w:pPr>
              <w:adjustRightInd w:val="0"/>
              <w:snapToGrid w:val="0"/>
              <w:spacing w:line="48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2.医疗卫生强基。</w:t>
            </w:r>
            <w:r>
              <w:rPr>
                <w:rFonts w:ascii="Times New Roman" w:hAnsi="Times New Roman" w:eastAsia="楷体_GB2312" w:cs="Times New Roman"/>
                <w:color w:val="000000" w:themeColor="text1"/>
                <w:sz w:val="32"/>
                <w:szCs w:val="32"/>
                <w14:textFill>
                  <w14:solidFill>
                    <w14:schemeClr w14:val="tx1"/>
                  </w14:solidFill>
                </w14:textFill>
              </w:rPr>
              <w:t>争取5—8个紧密型县域医共体建设项目，8家左右中心乡镇卫生院建设县域医疗卫生次中心，服务能力原则上达到二级医院水平。</w:t>
            </w:r>
          </w:p>
          <w:p>
            <w:pPr>
              <w:adjustRightInd w:val="0"/>
              <w:snapToGrid w:val="0"/>
              <w:spacing w:line="48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3.医疗卫生项目攻坚</w:t>
            </w:r>
            <w:r>
              <w:rPr>
                <w:rFonts w:ascii="Times New Roman" w:hAnsi="Times New Roman" w:eastAsia="楷体_GB2312" w:cs="Times New Roman"/>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推进湖南医药学院总医院住院楼改建和改造项目、怀化市中心医院病房改造项目、</w:t>
            </w:r>
            <w:r>
              <w:rPr>
                <w:rFonts w:ascii="Times New Roman" w:hAnsi="Times New Roman" w:eastAsia="楷体_GB2312" w:cs="Times New Roman"/>
                <w:color w:val="000000" w:themeColor="text1"/>
                <w:sz w:val="32"/>
                <w:szCs w:val="32"/>
                <w14:textFill>
                  <w14:solidFill>
                    <w14:schemeClr w14:val="tx1"/>
                  </w14:solidFill>
                </w14:textFill>
              </w:rPr>
              <w:t>怀化市脑科医院精神心理卫生楼项目、怀化市公共卫生中心二期（怀化市中心血站）建设项目、</w:t>
            </w:r>
            <w:r>
              <w:rPr>
                <w:rFonts w:ascii="Times New Roman" w:hAnsi="Times New Roman" w:eastAsia="楷体_GB2312" w:cs="Times New Roman"/>
                <w:bCs w:val="0"/>
                <w:color w:val="000000" w:themeColor="text1"/>
                <w:sz w:val="32"/>
                <w:szCs w:val="32"/>
                <w14:textFill>
                  <w14:solidFill>
                    <w14:schemeClr w14:val="tx1"/>
                  </w14:solidFill>
                </w14:textFill>
              </w:rPr>
              <w:t>中方县人民医院改扩建项目。</w:t>
            </w:r>
          </w:p>
          <w:p>
            <w:pPr>
              <w:widowControl/>
              <w:adjustRightInd w:val="0"/>
              <w:snapToGrid w:val="0"/>
              <w:spacing w:line="480" w:lineRule="exact"/>
              <w:ind w:firstLine="640"/>
              <w:rPr>
                <w:rFonts w:ascii="Times New Roman" w:hAnsi="Times New Roman" w:eastAsia="楷体_GB2312" w:cs="Times New Roman"/>
                <w:color w:val="000000" w:themeColor="text1"/>
                <w:sz w:val="32"/>
                <w:szCs w:val="32"/>
                <w:lang w:val="en"/>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4.人均预期寿命提升。</w:t>
            </w:r>
            <w:r>
              <w:rPr>
                <w:rFonts w:ascii="Times New Roman" w:hAnsi="Times New Roman" w:eastAsia="楷体_GB2312" w:cs="Times New Roman"/>
                <w:bCs w:val="0"/>
                <w:color w:val="000000" w:themeColor="text1"/>
                <w:sz w:val="32"/>
                <w:szCs w:val="32"/>
                <w14:textFill>
                  <w14:solidFill>
                    <w14:schemeClr w14:val="tx1"/>
                  </w14:solidFill>
                </w14:textFill>
              </w:rPr>
              <w:t>开展健康支持性环境建设行动、居民健康素养提升行动、重大疾病攻坚行动、母婴健康保障行动、职业健康守护行动、优良环境改善行动、食品安全守护行动、健康服务体系优化行动、意外伤害遏制行动等</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九大行动</w:t>
            </w:r>
            <w:r>
              <w:rPr>
                <w:rFonts w:ascii="Times New Roman" w:hAnsi="Times New Roman" w:eastAsia="仿宋_GB2312" w:cs="Times New Roman"/>
                <w:bCs w:val="0"/>
                <w:color w:val="000000" w:themeColor="text1"/>
                <w:sz w:val="32"/>
                <w:szCs w:val="32"/>
                <w14:textFill>
                  <w14:solidFill>
                    <w14:schemeClr w14:val="tx1"/>
                  </w14:solidFill>
                </w14:textFill>
              </w:rPr>
              <w:t>”</w:t>
            </w:r>
            <w:r>
              <w:rPr>
                <w:rFonts w:ascii="Times New Roman" w:hAnsi="Times New Roman" w:eastAsia="楷体_GB2312" w:cs="Times New Roman"/>
                <w:bCs w:val="0"/>
                <w:color w:val="000000" w:themeColor="text1"/>
                <w:sz w:val="32"/>
                <w:szCs w:val="32"/>
                <w14:textFill>
                  <w14:solidFill>
                    <w14:schemeClr w14:val="tx1"/>
                  </w14:solidFill>
                </w14:textFill>
              </w:rPr>
              <w:t>。</w:t>
            </w:r>
          </w:p>
        </w:tc>
      </w:tr>
    </w:tbl>
    <w:p>
      <w:pPr>
        <w:keepNext/>
        <w:keepLines/>
        <w:spacing w:line="580" w:lineRule="exact"/>
        <w:jc w:val="center"/>
        <w:outlineLvl w:val="1"/>
        <w:rPr>
          <w:rFonts w:eastAsia="黑体"/>
          <w:bCs w:val="0"/>
          <w:color w:val="000000" w:themeColor="text1"/>
          <w:sz w:val="32"/>
          <w:szCs w:val="32"/>
          <w14:textFill>
            <w14:solidFill>
              <w14:schemeClr w14:val="tx1"/>
            </w14:solidFill>
          </w14:textFill>
        </w:rPr>
      </w:pPr>
      <w:bookmarkStart w:id="83" w:name="_Toc31304"/>
      <w:r>
        <w:rPr>
          <w:rFonts w:ascii="Times New Roman" w:hAnsi="Times New Roman" w:eastAsia="黑体" w:cs="Times New Roman"/>
          <w:color w:val="000000" w:themeColor="text1"/>
          <w:sz w:val="32"/>
          <w:szCs w:val="32"/>
          <w14:textFill>
            <w14:solidFill>
              <w14:schemeClr w14:val="tx1"/>
            </w14:solidFill>
          </w14:textFill>
        </w:rPr>
        <w:t>第五十章 大力发展体育事业</w:t>
      </w:r>
      <w:bookmarkEnd w:id="83"/>
    </w:p>
    <w:p>
      <w:pPr>
        <w:keepNext/>
        <w:keepLines/>
        <w:spacing w:line="580" w:lineRule="exact"/>
        <w:jc w:val="center"/>
        <w:outlineLvl w:val="2"/>
        <w:rPr>
          <w:rFonts w:eastAsia="仿宋_GB2312"/>
          <w:b/>
          <w:bCs w:val="0"/>
          <w:color w:val="000000" w:themeColor="text1"/>
          <w:sz w:val="32"/>
          <w:szCs w:val="32"/>
          <w14:textFill>
            <w14:solidFill>
              <w14:schemeClr w14:val="tx1"/>
            </w14:solidFill>
          </w14:textFill>
        </w:rPr>
      </w:pPr>
    </w:p>
    <w:p>
      <w:pPr>
        <w:keepNext/>
        <w:keepLines/>
        <w:spacing w:line="580" w:lineRule="exact"/>
        <w:jc w:val="center"/>
        <w:outlineLvl w:val="2"/>
        <w:rPr>
          <w:rFonts w:eastAsia="仿宋_GB2312"/>
          <w:b/>
          <w:bCs w:val="0"/>
          <w:color w:val="000000" w:themeColor="text1"/>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第一节 深入开展全民健身</w:t>
      </w:r>
    </w:p>
    <w:p>
      <w:pPr>
        <w:spacing w:line="580" w:lineRule="exact"/>
        <w:ind w:firstLine="600"/>
        <w:rPr>
          <w:rFonts w:eastAsia="仿宋_GB2312"/>
          <w:color w:val="000000" w:themeColor="text1"/>
          <w:sz w:val="30"/>
          <w:szCs w:val="30"/>
          <w14:textFill>
            <w14:solidFill>
              <w14:schemeClr w14:val="tx1"/>
            </w14:solidFill>
          </w14:textFill>
        </w:rPr>
      </w:pPr>
    </w:p>
    <w:p>
      <w:pPr>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bCs w:val="0"/>
          <w:color w:val="000000" w:themeColor="text1"/>
          <w:sz w:val="32"/>
          <w:szCs w:val="32"/>
          <w14:textFill>
            <w14:solidFill>
              <w14:schemeClr w14:val="tx1"/>
            </w14:solidFill>
          </w14:textFill>
        </w:rPr>
        <w:t>全面推进体育强市，深化体育领域改革。推进群众体育发展，均衡配置公共体育资源，构建覆盖城乡的全民健身公共服务体系，打造“15分钟健身圈”，力争人均体育场地面积不低于全省平均水平。开展全民健身行动，大力开展健身走（跑）、工间操、骑行、登山、徒步、游泳、球类、广场舞等群众喜闻乐见、简便易行的健身活动，大力扶持和推广龙舟、舞龙舞狮等民间民俗传统项目，组织做好“湘超”</w:t>
      </w:r>
      <w:r>
        <w:rPr>
          <w:rFonts w:hint="eastAsia" w:eastAsia="仿宋_GB2312" w:cs="Times New Roman"/>
          <w:bCs w:val="0"/>
          <w:color w:val="000000" w:themeColor="text1"/>
          <w:sz w:val="32"/>
          <w:szCs w:val="32"/>
          <w14:textFill>
            <w14:solidFill>
              <w14:schemeClr w14:val="tx1"/>
            </w14:solidFill>
          </w14:textFill>
        </w:rPr>
        <w:t>“</w:t>
      </w:r>
      <w:r>
        <w:rPr>
          <w:rFonts w:ascii="Times New Roman" w:hAnsi="Times New Roman" w:eastAsia="仿宋_GB2312" w:cs="Times New Roman"/>
          <w:bCs w:val="0"/>
          <w:color w:val="000000" w:themeColor="text1"/>
          <w:sz w:val="32"/>
          <w:szCs w:val="32"/>
          <w14:textFill>
            <w14:solidFill>
              <w14:schemeClr w14:val="tx1"/>
            </w14:solidFill>
          </w14:textFill>
        </w:rPr>
        <w:t>湘BA</w:t>
      </w:r>
      <w:r>
        <w:rPr>
          <w:rFonts w:hint="eastAsia" w:eastAsia="仿宋_GB2312" w:cs="Times New Roman"/>
          <w:bCs w:val="0"/>
          <w:color w:val="000000" w:themeColor="text1"/>
          <w:sz w:val="32"/>
          <w:szCs w:val="32"/>
          <w14:textFill>
            <w14:solidFill>
              <w14:schemeClr w14:val="tx1"/>
            </w14:solidFill>
          </w14:textFill>
        </w:rPr>
        <w:t>”“</w:t>
      </w:r>
      <w:r>
        <w:rPr>
          <w:rFonts w:ascii="Times New Roman" w:hAnsi="Times New Roman" w:eastAsia="仿宋_GB2312" w:cs="Times New Roman"/>
          <w:bCs w:val="0"/>
          <w:color w:val="000000" w:themeColor="text1"/>
          <w:sz w:val="32"/>
          <w:szCs w:val="32"/>
          <w14:textFill>
            <w14:solidFill>
              <w14:schemeClr w14:val="tx1"/>
            </w14:solidFill>
          </w14:textFill>
        </w:rPr>
        <w:t>怀BA</w:t>
      </w:r>
      <w:r>
        <w:rPr>
          <w:rFonts w:hint="eastAsia" w:eastAsia="仿宋_GB2312" w:cs="Times New Roman"/>
          <w:bCs w:val="0"/>
          <w:color w:val="000000" w:themeColor="text1"/>
          <w:sz w:val="32"/>
          <w:szCs w:val="32"/>
          <w14:textFill>
            <w14:solidFill>
              <w14:schemeClr w14:val="tx1"/>
            </w14:solidFill>
          </w14:textFill>
        </w:rPr>
        <w:t>”</w:t>
      </w:r>
      <w:r>
        <w:rPr>
          <w:rFonts w:ascii="Times New Roman" w:hAnsi="Times New Roman" w:eastAsia="仿宋_GB2312" w:cs="Times New Roman"/>
          <w:bCs w:val="0"/>
          <w:color w:val="000000" w:themeColor="text1"/>
          <w:sz w:val="32"/>
          <w:szCs w:val="32"/>
          <w14:textFill>
            <w14:solidFill>
              <w14:schemeClr w14:val="tx1"/>
            </w14:solidFill>
          </w14:textFill>
        </w:rPr>
        <w:t>、传统龙舟赛等群众性体育赛事，提高竞技体育综合实力。到2030年，力争群众体育开展场次和参加人数居全省前列，经常参加体育锻炼人数比例达到40%以上，群众身体素质稳步提高，符合《国民体质测定标准》合格标准以上人数比例达到92%以上。</w:t>
      </w:r>
    </w:p>
    <w:p>
      <w:pPr>
        <w:spacing w:line="580" w:lineRule="exact"/>
        <w:jc w:val="center"/>
        <w:rPr>
          <w:rFonts w:eastAsia="仿宋_GB2312"/>
          <w:b/>
          <w:bCs w:val="0"/>
          <w:color w:val="000000" w:themeColor="text1"/>
          <w:sz w:val="32"/>
          <w:szCs w:val="32"/>
          <w14:textFill>
            <w14:solidFill>
              <w14:schemeClr w14:val="tx1"/>
            </w14:solidFill>
          </w14:textFill>
        </w:rPr>
      </w:pPr>
    </w:p>
    <w:p>
      <w:pPr>
        <w:spacing w:line="580" w:lineRule="exact"/>
        <w:jc w:val="center"/>
        <w:rPr>
          <w:rFonts w:eastAsia="仿宋_GB2312"/>
          <w:b/>
          <w:bCs w:val="0"/>
          <w:color w:val="000000" w:themeColor="text1"/>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第二节 抓好青少年体育</w:t>
      </w:r>
    </w:p>
    <w:p>
      <w:pPr>
        <w:spacing w:line="580" w:lineRule="exact"/>
        <w:ind w:firstLine="640"/>
        <w:rPr>
          <w:rFonts w:eastAsia="仿宋_GB2312"/>
          <w:color w:val="000000" w:themeColor="text1"/>
          <w:sz w:val="32"/>
          <w:szCs w:val="32"/>
          <w14:textFill>
            <w14:solidFill>
              <w14:schemeClr w14:val="tx1"/>
            </w14:solidFill>
          </w14:textFill>
        </w:rPr>
      </w:pPr>
    </w:p>
    <w:p>
      <w:pPr>
        <w:spacing w:line="56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bCs w:val="0"/>
          <w:color w:val="000000" w:themeColor="text1"/>
          <w:sz w:val="32"/>
          <w:szCs w:val="32"/>
          <w14:textFill>
            <w14:solidFill>
              <w14:schemeClr w14:val="tx1"/>
            </w14:solidFill>
          </w14:textFill>
        </w:rPr>
        <w:t>开展“奔跑吧·少年”青少年</w:t>
      </w:r>
      <w:r>
        <w:rPr>
          <w:rFonts w:ascii="Times New Roman" w:hAnsi="Times New Roman" w:eastAsia="仿宋_GB2312" w:cs="Times New Roman"/>
          <w:color w:val="000000" w:themeColor="text1"/>
          <w:sz w:val="32"/>
          <w:szCs w:val="32"/>
          <w14:textFill>
            <w14:solidFill>
              <w14:schemeClr w14:val="tx1"/>
            </w14:solidFill>
          </w14:textFill>
        </w:rPr>
        <w:t>主题健身活动</w:t>
      </w:r>
      <w:r>
        <w:rPr>
          <w:rFonts w:ascii="Times New Roman" w:hAnsi="Times New Roman" w:eastAsia="仿宋_GB2312" w:cs="Times New Roman"/>
          <w:bCs w:val="0"/>
          <w:color w:val="000000" w:themeColor="text1"/>
          <w:sz w:val="32"/>
          <w:szCs w:val="32"/>
          <w14:textFill>
            <w14:solidFill>
              <w14:schemeClr w14:val="tx1"/>
            </w14:solidFill>
          </w14:textFill>
        </w:rPr>
        <w:t>，加强青少年体育后备人才培养，积极恢复</w:t>
      </w:r>
      <w:r>
        <w:rPr>
          <w:rFonts w:ascii="Times New Roman" w:hAnsi="Times New Roman" w:eastAsia="仿宋_GB2312" w:cs="Times New Roman"/>
          <w:color w:val="000000" w:themeColor="text1"/>
          <w:sz w:val="32"/>
          <w:szCs w:val="32"/>
          <w14:textFill>
            <w14:solidFill>
              <w14:schemeClr w14:val="tx1"/>
            </w14:solidFill>
          </w14:textFill>
        </w:rPr>
        <w:t>县（市、区）</w:t>
      </w:r>
      <w:r>
        <w:rPr>
          <w:rFonts w:ascii="Times New Roman" w:hAnsi="Times New Roman" w:eastAsia="仿宋_GB2312" w:cs="Times New Roman"/>
          <w:bCs w:val="0"/>
          <w:color w:val="000000" w:themeColor="text1"/>
          <w:sz w:val="32"/>
          <w:szCs w:val="32"/>
          <w14:textFill>
            <w14:solidFill>
              <w14:schemeClr w14:val="tx1"/>
            </w14:solidFill>
          </w14:textFill>
        </w:rPr>
        <w:t>业余体校职能，培育和引导青少年体育俱乐部、社会组织发展，到2030年，力争建成青少年体育训练基地8个以上，校外青少年体育俱乐部25家，星级青少年体育俱乐部10家。深化体教融合，完善青少年体育公共服务体系，推动中小学体育设施社会化开放，大力发展校园足球、篮球、排球、田径、民族传统体育、登山、徒步等户外运动项目。将学生体质健康水平纳入教育考核评价，保障学生每天校内校外各1小时体育活动时间，促进青少年文化学习与体育锻炼协调发展。</w:t>
      </w:r>
    </w:p>
    <w:p>
      <w:pPr>
        <w:keepNext/>
        <w:keepLines/>
        <w:spacing w:line="560" w:lineRule="exact"/>
        <w:jc w:val="center"/>
        <w:outlineLvl w:val="1"/>
        <w:rPr>
          <w:rFonts w:eastAsia="黑体"/>
          <w:bCs w:val="0"/>
          <w:color w:val="000000" w:themeColor="text1"/>
          <w:sz w:val="32"/>
          <w:szCs w:val="32"/>
          <w14:textFill>
            <w14:solidFill>
              <w14:schemeClr w14:val="tx1"/>
            </w14:solidFill>
          </w14:textFill>
        </w:rPr>
      </w:pPr>
      <w:bookmarkStart w:id="84" w:name="_Toc31879"/>
    </w:p>
    <w:p>
      <w:pPr>
        <w:keepNext/>
        <w:keepLines/>
        <w:spacing w:line="560" w:lineRule="exact"/>
        <w:jc w:val="center"/>
        <w:outlineLvl w:val="1"/>
        <w:rPr>
          <w:rFonts w:eastAsia="黑体"/>
          <w:bCs w:val="0"/>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第五十一章 促进人口高质量发展</w:t>
      </w:r>
      <w:bookmarkEnd w:id="84"/>
    </w:p>
    <w:p>
      <w:pPr>
        <w:keepNext/>
        <w:keepLines/>
        <w:spacing w:line="560" w:lineRule="exact"/>
        <w:jc w:val="center"/>
        <w:outlineLvl w:val="2"/>
        <w:rPr>
          <w:rFonts w:eastAsia="仿宋_GB2312"/>
          <w:b/>
          <w:bCs w:val="0"/>
          <w:color w:val="000000" w:themeColor="text1"/>
          <w:sz w:val="32"/>
          <w:szCs w:val="32"/>
          <w14:textFill>
            <w14:solidFill>
              <w14:schemeClr w14:val="tx1"/>
            </w14:solidFill>
          </w14:textFill>
        </w:rPr>
      </w:pPr>
    </w:p>
    <w:p>
      <w:pPr>
        <w:keepNext/>
        <w:keepLines/>
        <w:spacing w:line="560" w:lineRule="exact"/>
        <w:jc w:val="center"/>
        <w:outlineLvl w:val="2"/>
        <w:rPr>
          <w:rFonts w:eastAsia="仿宋_GB2312"/>
          <w:b/>
          <w:color w:val="000000" w:themeColor="text1"/>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第一节 建设生育友好型社会</w:t>
      </w:r>
    </w:p>
    <w:p>
      <w:pPr>
        <w:keepNext/>
        <w:keepLines/>
        <w:spacing w:line="560" w:lineRule="exact"/>
        <w:jc w:val="center"/>
        <w:outlineLvl w:val="2"/>
        <w:rPr>
          <w:rFonts w:eastAsia="仿宋_GB2312"/>
          <w:b/>
          <w:color w:val="000000" w:themeColor="text1"/>
          <w:sz w:val="32"/>
          <w:szCs w:val="32"/>
          <w14:textFill>
            <w14:solidFill>
              <w14:schemeClr w14:val="tx1"/>
            </w14:solidFill>
          </w14:textFill>
        </w:rPr>
      </w:pPr>
    </w:p>
    <w:p>
      <w:pPr>
        <w:spacing w:line="56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bCs w:val="0"/>
          <w:color w:val="000000" w:themeColor="text1"/>
          <w:sz w:val="32"/>
          <w:szCs w:val="32"/>
          <w14:textFill>
            <w14:solidFill>
              <w14:schemeClr w14:val="tx1"/>
            </w14:solidFill>
          </w14:textFill>
        </w:rPr>
        <w:t>建立健全与人口发展相适应的生育支持政策体系。提升优生优育和妇女儿童健康保障能力，实施早孕关爱行动、孕育和出生缺陷防治能力提升计划。完善生育津贴、育儿补贴、托育补贴等多层次激励政策，落实产假、哺乳假、陪产假、育儿假等制度，探索弹性工作安排，降低家庭生育成本。加强税收、住房、就业等政策协同，对符合条件的家庭在公租房分配、公积金贷款等方面给予倾斜。大力推进托育综合服务中心建设，支持社区嵌入式托育机构、用人单位托育点、幼儿园托班和家庭托育点等多种模式发展。加强出生人口监测预警，动态评估政策效果。积极利用闲置资源优化“一老一小”服务。推动新型婚育文化建设，倡导适龄婚育、责任共担，规范公共场所母婴设施配置，创建家庭友好型工作场所，营造生育友好型社会氛围。到2030年，3岁以下婴幼儿入托率持续提升，普惠托位占比超过70%。</w:t>
      </w:r>
    </w:p>
    <w:p>
      <w:pPr>
        <w:keepNext/>
        <w:keepLines/>
        <w:spacing w:line="570" w:lineRule="exact"/>
        <w:jc w:val="center"/>
        <w:outlineLvl w:val="2"/>
        <w:rPr>
          <w:rFonts w:eastAsia="仿宋_GB2312"/>
          <w:b/>
          <w:color w:val="000000" w:themeColor="text1"/>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第二节 积极应对人口老龄化</w:t>
      </w:r>
    </w:p>
    <w:p>
      <w:pPr>
        <w:keepNext/>
        <w:keepLines/>
        <w:spacing w:line="570" w:lineRule="exact"/>
        <w:jc w:val="center"/>
        <w:outlineLvl w:val="2"/>
        <w:rPr>
          <w:rFonts w:eastAsia="仿宋_GB2312"/>
          <w:b/>
          <w:color w:val="000000" w:themeColor="text1"/>
          <w:sz w:val="32"/>
          <w:szCs w:val="32"/>
          <w14:textFill>
            <w14:solidFill>
              <w14:schemeClr w14:val="tx1"/>
            </w14:solidFill>
          </w14:textFill>
        </w:rPr>
      </w:pPr>
    </w:p>
    <w:p>
      <w:pPr>
        <w:adjustRightInd w:val="0"/>
        <w:snapToGrid w:val="0"/>
        <w:spacing w:line="57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bCs w:val="0"/>
          <w:color w:val="000000" w:themeColor="text1"/>
          <w:sz w:val="32"/>
          <w:szCs w:val="32"/>
          <w14:textFill>
            <w14:solidFill>
              <w14:schemeClr w14:val="tx1"/>
            </w14:solidFill>
          </w14:textFill>
        </w:rPr>
        <w:t>贯彻落实积极应对人口老龄化国家战略，健全养老事业和养老产业协同发展政策机制，发展普惠型养老服务和互助性养老。完善基本养老服务清单制度，建立并动态调整经济困难的高龄、失能老年人补贴机制。构建覆盖城乡的三级养老服务网络，推动每个县（市、区）至少建有1个标准化失能失智特困老年人集中照护中心，大力发展社区嵌入式养老和日间照料服务，因地制宜发展农村互助性养老，支持居家养老。深化医养融合，建立长期护理保险制度，推动医疗机构与养老机构全面合作，拓展家庭病床、远程医疗等居家医养服务。大力推进老年友好环境建设，实施公共场所、居住区适老化和无障碍改造，实现县级老年活动中心全覆盖。加强老年人权益保障，严厉打击涉老诈骗。促进医养康养结合，开发温泉疗养、森林康养等特色项目，推动老年用品、中医药康养、旅居养老等产业融合发展，打造“颐养在怀·康养之都”。积极开发老年人力资源，发展银发经济。</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9242" w:type="dxa"/>
            <w:vAlign w:val="center"/>
          </w:tcPr>
          <w:p>
            <w:pPr>
              <w:spacing w:line="490" w:lineRule="exact"/>
              <w:ind w:firstLine="640"/>
              <w:jc w:val="center"/>
              <w:rPr>
                <w:rFonts w:ascii="Times New Roman" w:hAnsi="Times New Roman" w:eastAsia="黑体"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专栏14—4 积极应对人口老龄化工程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242" w:type="dxa"/>
          </w:tcPr>
          <w:p>
            <w:pPr>
              <w:spacing w:line="48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1.覆盖城乡的三级养老服务网络建设工程。</w:t>
            </w:r>
            <w:r>
              <w:rPr>
                <w:rFonts w:ascii="Times New Roman" w:hAnsi="Times New Roman" w:eastAsia="楷体_GB2312" w:cs="Times New Roman"/>
                <w:bCs w:val="0"/>
                <w:color w:val="000000" w:themeColor="text1"/>
                <w:sz w:val="32"/>
                <w:szCs w:val="32"/>
                <w14:textFill>
                  <w14:solidFill>
                    <w14:schemeClr w14:val="tx1"/>
                  </w14:solidFill>
                </w14:textFill>
              </w:rPr>
              <w:t>支持每个县（市、区）建成1个综合养老服务管理平台，</w:t>
            </w:r>
            <w:r>
              <w:rPr>
                <w:rFonts w:ascii="Times New Roman" w:hAnsi="Times New Roman" w:eastAsia="楷体_GB2312" w:cs="Times New Roman"/>
                <w:color w:val="000000" w:themeColor="text1"/>
                <w:sz w:val="32"/>
                <w:szCs w:val="32"/>
                <w14:textFill>
                  <w14:solidFill>
                    <w14:schemeClr w14:val="tx1"/>
                  </w14:solidFill>
                </w14:textFill>
              </w:rPr>
              <w:t>2—4个区域性中心敬老院，推进村（社区）互助性养老服务站点建设</w:t>
            </w:r>
            <w:r>
              <w:rPr>
                <w:rFonts w:ascii="Times New Roman" w:hAnsi="Times New Roman" w:eastAsia="楷体_GB2312" w:cs="Times New Roman"/>
                <w:bCs w:val="0"/>
                <w:color w:val="000000" w:themeColor="text1"/>
                <w:sz w:val="32"/>
                <w:szCs w:val="32"/>
                <w14:textFill>
                  <w14:solidFill>
                    <w14:schemeClr w14:val="tx1"/>
                  </w14:solidFill>
                </w14:textFill>
              </w:rPr>
              <w:t>。</w:t>
            </w:r>
          </w:p>
          <w:p>
            <w:pPr>
              <w:widowControl/>
              <w:spacing w:line="48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2.养老服务供需匹配工程。</w:t>
            </w:r>
            <w:r>
              <w:rPr>
                <w:rFonts w:ascii="Times New Roman" w:hAnsi="Times New Roman" w:eastAsia="楷体_GB2312" w:cs="Times New Roman"/>
                <w:color w:val="000000" w:themeColor="text1"/>
                <w:sz w:val="32"/>
                <w:szCs w:val="32"/>
                <w14:textFill>
                  <w14:solidFill>
                    <w14:schemeClr w14:val="tx1"/>
                  </w14:solidFill>
                </w14:textFill>
              </w:rPr>
              <w:t>健全全市老年人口和服务资源</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楷体_GB2312" w:cs="Times New Roman"/>
                <w:color w:val="000000" w:themeColor="text1"/>
                <w:sz w:val="32"/>
                <w:szCs w:val="32"/>
                <w14:textFill>
                  <w14:solidFill>
                    <w14:schemeClr w14:val="tx1"/>
                  </w14:solidFill>
                </w14:textFill>
              </w:rPr>
              <w:t>关爱地图</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楷体_GB2312" w:cs="Times New Roman"/>
                <w:color w:val="000000" w:themeColor="text1"/>
                <w:sz w:val="32"/>
                <w:szCs w:val="32"/>
                <w14:textFill>
                  <w14:solidFill>
                    <w14:schemeClr w14:val="tx1"/>
                  </w14:solidFill>
                </w14:textFill>
              </w:rPr>
              <w:t>，常态化开展老年人能力评估，推动实现65周岁及以上常住老年人基础能力评估覆盖达到100%，确保失能半失能的老年人优先享受居家上门服务、机构床位适配等资源</w:t>
            </w:r>
            <w:r>
              <w:rPr>
                <w:rFonts w:ascii="Times New Roman" w:hAnsi="Times New Roman" w:eastAsia="楷体_GB2312" w:cs="Times New Roman"/>
                <w:bCs w:val="0"/>
                <w:color w:val="000000" w:themeColor="text1"/>
                <w:sz w:val="32"/>
                <w:szCs w:val="32"/>
                <w14:textFill>
                  <w14:solidFill>
                    <w14:schemeClr w14:val="tx1"/>
                  </w14:solidFill>
                </w14:textFill>
              </w:rPr>
              <w:t>。</w:t>
            </w:r>
          </w:p>
          <w:p>
            <w:pPr>
              <w:spacing w:line="460" w:lineRule="exact"/>
              <w:ind w:firstLine="643"/>
              <w:rPr>
                <w:rFonts w:ascii="Times New Roman" w:hAnsi="Times New Roman" w:eastAsia="楷体_GB2312" w:cs="Times New Roman"/>
                <w:color w:val="000000" w:themeColor="text1"/>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3.老年宜居环境建设工程。</w:t>
            </w:r>
            <w:r>
              <w:rPr>
                <w:rFonts w:ascii="Times New Roman" w:hAnsi="Times New Roman" w:eastAsia="楷体_GB2312" w:cs="Times New Roman"/>
                <w:color w:val="000000" w:themeColor="text1"/>
                <w:sz w:val="32"/>
                <w:szCs w:val="32"/>
                <w14:textFill>
                  <w14:solidFill>
                    <w14:schemeClr w14:val="tx1"/>
                  </w14:solidFill>
                </w14:textFill>
              </w:rPr>
              <w:t>实现每个县（市、区）建成1个县级老年活动中心，人口超5万人的集镇至少建设1所老年活动场所。</w:t>
            </w:r>
          </w:p>
          <w:p>
            <w:pPr>
              <w:spacing w:line="460" w:lineRule="exact"/>
              <w:ind w:firstLine="643"/>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4.银发经济产业培育工程。</w:t>
            </w:r>
            <w:r>
              <w:rPr>
                <w:rFonts w:ascii="Times New Roman" w:hAnsi="Times New Roman" w:eastAsia="楷体_GB2312" w:cs="Times New Roman"/>
                <w:color w:val="000000" w:themeColor="text1"/>
                <w:sz w:val="32"/>
                <w:szCs w:val="32"/>
                <w14:textFill>
                  <w14:solidFill>
                    <w14:schemeClr w14:val="tx1"/>
                  </w14:solidFill>
                </w14:textFill>
              </w:rPr>
              <w:t>制定银发经济政策体系，完善土地规划、财政投入、税收减免等配套政策，鼓励引导各类</w:t>
            </w:r>
            <w:r>
              <w:rPr>
                <w:rFonts w:hint="eastAsia" w:ascii="Times New Roman" w:hAnsi="Times New Roman" w:eastAsia="楷体_GB2312" w:cs="Times New Roman"/>
                <w:color w:val="000000" w:themeColor="text1"/>
                <w:sz w:val="32"/>
                <w:szCs w:val="32"/>
                <w14:textFill>
                  <w14:solidFill>
                    <w14:schemeClr w14:val="tx1"/>
                  </w14:solidFill>
                </w14:textFill>
              </w:rPr>
              <w:t>经营</w:t>
            </w:r>
            <w:r>
              <w:rPr>
                <w:rFonts w:ascii="Times New Roman" w:hAnsi="Times New Roman" w:eastAsia="楷体_GB2312" w:cs="Times New Roman"/>
                <w:color w:val="000000" w:themeColor="text1"/>
                <w:sz w:val="32"/>
                <w:szCs w:val="32"/>
                <w14:textFill>
                  <w14:solidFill>
                    <w14:schemeClr w14:val="tx1"/>
                  </w14:solidFill>
                </w14:textFill>
              </w:rPr>
              <w:t>主体进入养老服务行业，培育和选树专业化、连锁化、品牌化养老企业不少于5家。打造一批以红色文化、农耕文化、长寿文化等为主题的康养旅游基地，建成生态康养中心3个。</w:t>
            </w:r>
          </w:p>
          <w:p>
            <w:pPr>
              <w:spacing w:line="460" w:lineRule="exact"/>
              <w:ind w:firstLine="643"/>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5.发展保障能力夯实工程。</w:t>
            </w:r>
            <w:r>
              <w:rPr>
                <w:rFonts w:ascii="Times New Roman" w:hAnsi="Times New Roman" w:eastAsia="楷体_GB2312" w:cs="Times New Roman"/>
                <w:bCs w:val="0"/>
                <w:color w:val="000000" w:themeColor="text1"/>
                <w:sz w:val="32"/>
                <w:szCs w:val="32"/>
                <w14:textFill>
                  <w14:solidFill>
                    <w14:schemeClr w14:val="tx1"/>
                  </w14:solidFill>
                </w14:textFill>
              </w:rPr>
              <w:t>实现</w:t>
            </w:r>
            <w:r>
              <w:rPr>
                <w:rFonts w:ascii="Times New Roman" w:hAnsi="Times New Roman" w:eastAsia="楷体_GB2312" w:cs="Times New Roman"/>
                <w:color w:val="000000" w:themeColor="text1"/>
                <w:sz w:val="32"/>
                <w:szCs w:val="32"/>
                <w14:textFill>
                  <w14:solidFill>
                    <w14:schemeClr w14:val="tx1"/>
                  </w14:solidFill>
                </w14:textFill>
              </w:rPr>
              <w:t>福彩公益金在养老服务的投入比例不低于60%。鼓励本地职业院校开设养老服务等相关专业，建设一批产教融合基地，确保养老机构护理员、消防设施操作员持证率达到80%以上。深化</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楷体_GB2312" w:cs="Times New Roman"/>
                <w:color w:val="000000" w:themeColor="text1"/>
                <w:sz w:val="32"/>
                <w:szCs w:val="32"/>
                <w14:textFill>
                  <w14:solidFill>
                    <w14:schemeClr w14:val="tx1"/>
                  </w14:solidFill>
                </w14:textFill>
              </w:rPr>
              <w:t>智慧养老</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楷体_GB2312" w:cs="Times New Roman"/>
                <w:color w:val="000000" w:themeColor="text1"/>
                <w:sz w:val="32"/>
                <w:szCs w:val="32"/>
                <w14:textFill>
                  <w14:solidFill>
                    <w14:schemeClr w14:val="tx1"/>
                  </w14:solidFill>
                </w14:textFill>
              </w:rPr>
              <w:t>应用，推进市域安联网提档升级，完善</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楷体_GB2312" w:cs="Times New Roman"/>
                <w:color w:val="000000" w:themeColor="text1"/>
                <w:sz w:val="32"/>
                <w:szCs w:val="32"/>
                <w14:textFill>
                  <w14:solidFill>
                    <w14:schemeClr w14:val="tx1"/>
                  </w14:solidFill>
                </w14:textFill>
              </w:rPr>
              <w:t>一键报警</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楷体_GB2312" w:cs="Times New Roman"/>
                <w:color w:val="000000" w:themeColor="text1"/>
                <w:sz w:val="32"/>
                <w:szCs w:val="32"/>
                <w14:textFill>
                  <w14:solidFill>
                    <w14:schemeClr w14:val="tx1"/>
                  </w14:solidFill>
                </w14:textFill>
              </w:rPr>
              <w:t>一键监管</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楷体_GB2312" w:cs="Times New Roman"/>
                <w:color w:val="000000" w:themeColor="text1"/>
                <w:sz w:val="32"/>
                <w:szCs w:val="32"/>
                <w14:textFill>
                  <w14:solidFill>
                    <w14:schemeClr w14:val="tx1"/>
                  </w14:solidFill>
                </w14:textFill>
              </w:rPr>
              <w:t>等智慧场景落地，推广数智化技术。</w:t>
            </w:r>
          </w:p>
        </w:tc>
      </w:tr>
    </w:tbl>
    <w:p>
      <w:pPr>
        <w:keepNext/>
        <w:keepLines/>
        <w:spacing w:line="490" w:lineRule="exact"/>
        <w:jc w:val="center"/>
        <w:outlineLvl w:val="2"/>
        <w:rPr>
          <w:rFonts w:eastAsia="仿宋_GB2312"/>
          <w:b/>
          <w:color w:val="000000" w:themeColor="text1"/>
          <w:sz w:val="32"/>
          <w:szCs w:val="32"/>
          <w14:textFill>
            <w14:solidFill>
              <w14:schemeClr w14:val="tx1"/>
            </w14:solidFill>
          </w14:textFill>
        </w:rPr>
      </w:pPr>
    </w:p>
    <w:p>
      <w:pPr>
        <w:keepNext/>
        <w:keepLines/>
        <w:spacing w:line="580" w:lineRule="exact"/>
        <w:jc w:val="center"/>
        <w:outlineLvl w:val="2"/>
        <w:rPr>
          <w:rFonts w:eastAsia="仿宋_GB2312"/>
          <w:b/>
          <w:color w:val="000000" w:themeColor="text1"/>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第三节 保障重点群体基本权益</w:t>
      </w:r>
    </w:p>
    <w:p>
      <w:pPr>
        <w:keepNext/>
        <w:keepLines/>
        <w:spacing w:line="580" w:lineRule="exact"/>
        <w:jc w:val="center"/>
        <w:outlineLvl w:val="2"/>
        <w:rPr>
          <w:rFonts w:eastAsia="仿宋_GB2312"/>
          <w:b/>
          <w:color w:val="000000" w:themeColor="text1"/>
          <w:sz w:val="32"/>
          <w:szCs w:val="32"/>
          <w14:textFill>
            <w14:solidFill>
              <w14:schemeClr w14:val="tx1"/>
            </w14:solidFill>
          </w14:textFill>
        </w:rPr>
      </w:pPr>
    </w:p>
    <w:p>
      <w:pPr>
        <w:spacing w:line="560" w:lineRule="exact"/>
        <w:ind w:firstLine="640"/>
        <w:rPr>
          <w:rFonts w:eastAsia="仿宋_GB2312"/>
          <w:strike/>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完善退役军人服务保障体系，落实安置就业、优待抚恤政策，引导退役军人参与基层治理、乡村产业。加强妇女儿童权益保护，深化“爱心妈妈+知心姐姐”结对关爱，建设儿童友好型城市。强化困境儿童、留守儿童、流动儿童关爱服务，建立权益保障和动态管理机制，为儿童提供心理疏导、学业帮扶及精准救助等综合服务。持续完善特殊困难老年人关爱体系，为城乡孤寡、独居、空巢、留守等困境老人提供常态化探访关爱服务。健全残疾人社会保障和关爱服务体系，推进城乡无障碍设施全覆盖，支持残疾人参与侗锦、苗绣等非遗就业。稳妥推进殡葬改革，建立健全基本殡葬服务制度，加快推进城乡公益性殡葬服务设施建设。发挥民族地区政策优势，加强对少数民族群众、边远山区群体的发展支持，促进各民族迈向共同富裕。</w:t>
      </w:r>
    </w:p>
    <w:bookmarkEnd w:id="75"/>
    <w:bookmarkEnd w:id="76"/>
    <w:p>
      <w:pPr>
        <w:ind w:firstLine="640"/>
        <w:rPr>
          <w:rFonts w:eastAsia="方正小标宋简体"/>
          <w:color w:val="000000" w:themeColor="text1"/>
          <w:sz w:val="32"/>
          <w:szCs w:val="32"/>
          <w14:textFill>
            <w14:solidFill>
              <w14:schemeClr w14:val="tx1"/>
            </w14:solidFill>
          </w14:textFill>
        </w:rPr>
      </w:pPr>
      <w:bookmarkStart w:id="85" w:name="_Toc991592229"/>
      <w:r>
        <w:rPr>
          <w:rFonts w:ascii="Times New Roman" w:hAnsi="Times New Roman" w:eastAsia="方正小标宋简体" w:cs="Times New Roman"/>
          <w:color w:val="000000" w:themeColor="text1"/>
          <w:sz w:val="32"/>
          <w:szCs w:val="32"/>
          <w14:textFill>
            <w14:solidFill>
              <w14:schemeClr w14:val="tx1"/>
            </w14:solidFill>
          </w14:textFill>
        </w:rPr>
        <w:br w:type="page"/>
      </w:r>
    </w:p>
    <w:p>
      <w:pPr>
        <w:pStyle w:val="5"/>
        <w:spacing w:line="560" w:lineRule="exact"/>
        <w:rPr>
          <w:rFonts w:eastAsia="方正小标宋简体"/>
          <w:color w:val="000000" w:themeColor="text1"/>
          <w:sz w:val="36"/>
          <w:szCs w:val="36"/>
          <w14:textFill>
            <w14:solidFill>
              <w14:schemeClr w14:val="tx1"/>
            </w14:solidFill>
          </w14:textFill>
        </w:rPr>
      </w:pPr>
      <w:bookmarkStart w:id="86" w:name="_Toc29013"/>
      <w:bookmarkStart w:id="87" w:name="_Toc1401771658"/>
      <w:r>
        <w:rPr>
          <w:rFonts w:eastAsia="方正小标宋简体"/>
          <w:color w:val="000000" w:themeColor="text1"/>
          <w:sz w:val="36"/>
          <w:szCs w:val="36"/>
          <w14:textFill>
            <w14:solidFill>
              <w14:schemeClr w14:val="tx1"/>
            </w14:solidFill>
          </w14:textFill>
        </w:rPr>
        <w:t>第十五篇 促进人与自然和谐共生，全面建设美丽怀化</w:t>
      </w:r>
      <w:bookmarkEnd w:id="86"/>
    </w:p>
    <w:p>
      <w:pPr>
        <w:spacing w:line="560" w:lineRule="exact"/>
        <w:ind w:firstLine="640"/>
        <w:rPr>
          <w:rFonts w:eastAsia="仿宋_GB2312"/>
          <w:color w:val="000000" w:themeColor="text1"/>
          <w:sz w:val="32"/>
          <w:szCs w:val="32"/>
          <w14:textFill>
            <w14:solidFill>
              <w14:schemeClr w14:val="tx1"/>
            </w14:solidFill>
          </w14:textFill>
        </w:rPr>
      </w:pPr>
    </w:p>
    <w:p>
      <w:pPr>
        <w:spacing w:line="56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坚定不移走生态优先、绿色发展之路，扛牢“守护好一江碧水”政治责任，加快推进经济社会发展全面绿色转型，不断以生态的“含绿量”提升经济发展的“含金量”，协同推进降碳、减污、扩绿、增长，厚植高质量发展绿色底色。</w:t>
      </w:r>
    </w:p>
    <w:p>
      <w:pPr>
        <w:pStyle w:val="6"/>
        <w:spacing w:line="560" w:lineRule="exact"/>
        <w:rPr>
          <w:rFonts w:ascii="Times New Roman" w:hAnsi="Times New Roman" w:eastAsia="仿宋_GB2312" w:cs="Times New Roman"/>
          <w:color w:val="000000" w:themeColor="text1"/>
          <w:sz w:val="32"/>
          <w14:textFill>
            <w14:solidFill>
              <w14:schemeClr w14:val="tx1"/>
            </w14:solidFill>
          </w14:textFill>
        </w:rPr>
      </w:pPr>
    </w:p>
    <w:p>
      <w:pPr>
        <w:pStyle w:val="6"/>
        <w:spacing w:line="560" w:lineRule="exact"/>
        <w:rPr>
          <w:rFonts w:ascii="Times New Roman" w:hAnsi="Times New Roman" w:eastAsia="黑体" w:cs="Times New Roman"/>
          <w:color w:val="000000" w:themeColor="text1"/>
          <w:sz w:val="32"/>
          <w14:textFill>
            <w14:solidFill>
              <w14:schemeClr w14:val="tx1"/>
            </w14:solidFill>
          </w14:textFill>
        </w:rPr>
      </w:pPr>
      <w:bookmarkStart w:id="88" w:name="_Toc25211"/>
      <w:r>
        <w:rPr>
          <w:rFonts w:ascii="Times New Roman" w:hAnsi="Times New Roman" w:eastAsia="黑体" w:cs="Times New Roman"/>
          <w:color w:val="000000" w:themeColor="text1"/>
          <w:sz w:val="32"/>
          <w14:textFill>
            <w14:solidFill>
              <w14:schemeClr w14:val="tx1"/>
            </w14:solidFill>
          </w14:textFill>
        </w:rPr>
        <w:t>第五十二章 加快建设生态产品价值实现先行区</w:t>
      </w:r>
      <w:bookmarkEnd w:id="88"/>
    </w:p>
    <w:p>
      <w:pPr>
        <w:pStyle w:val="7"/>
        <w:spacing w:line="560" w:lineRule="exact"/>
        <w:rPr>
          <w:rFonts w:eastAsia="仿宋_GB2312"/>
          <w:color w:val="000000" w:themeColor="text1"/>
          <w:sz w:val="32"/>
          <w14:textFill>
            <w14:solidFill>
              <w14:schemeClr w14:val="tx1"/>
            </w14:solidFill>
          </w14:textFill>
        </w:rPr>
      </w:pPr>
    </w:p>
    <w:p>
      <w:pPr>
        <w:keepNext/>
        <w:keepLines/>
        <w:adjustRightInd w:val="0"/>
        <w:snapToGrid w:val="0"/>
        <w:spacing w:line="560" w:lineRule="exact"/>
        <w:jc w:val="center"/>
        <w:outlineLvl w:val="2"/>
        <w:rPr>
          <w:rFonts w:eastAsia="仿宋_GB2312"/>
          <w:b/>
          <w:bCs w:val="0"/>
          <w:color w:val="000000" w:themeColor="text1"/>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第一节 完善生态产品核算和评价机制</w:t>
      </w:r>
    </w:p>
    <w:p>
      <w:pPr>
        <w:spacing w:line="560" w:lineRule="exact"/>
        <w:ind w:firstLine="640"/>
        <w:rPr>
          <w:rFonts w:eastAsia="仿宋_GB2312"/>
          <w:color w:val="000000" w:themeColor="text1"/>
          <w:sz w:val="32"/>
          <w:szCs w:val="32"/>
          <w:lang w:val="en"/>
          <w14:textFill>
            <w14:solidFill>
              <w14:schemeClr w14:val="tx1"/>
            </w14:solidFill>
          </w14:textFill>
        </w:rPr>
      </w:pPr>
    </w:p>
    <w:p>
      <w:pPr>
        <w:spacing w:line="56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lang w:val="en"/>
          <w14:textFill>
            <w14:solidFill>
              <w14:schemeClr w14:val="tx1"/>
            </w14:solidFill>
          </w14:textFill>
        </w:rPr>
        <w:t>以河流、水库、林地、自然保护地为重点，有序</w:t>
      </w:r>
      <w:r>
        <w:rPr>
          <w:rFonts w:ascii="Times New Roman" w:hAnsi="Times New Roman" w:eastAsia="仿宋_GB2312" w:cs="Times New Roman"/>
          <w:color w:val="000000" w:themeColor="text1"/>
          <w:sz w:val="32"/>
          <w:szCs w:val="32"/>
          <w14:textFill>
            <w14:solidFill>
              <w14:schemeClr w14:val="tx1"/>
            </w14:solidFill>
          </w14:textFill>
        </w:rPr>
        <w:t>推进</w:t>
      </w:r>
      <w:r>
        <w:rPr>
          <w:rFonts w:ascii="Times New Roman" w:hAnsi="Times New Roman" w:eastAsia="仿宋_GB2312" w:cs="Times New Roman"/>
          <w:color w:val="000000" w:themeColor="text1"/>
          <w:sz w:val="32"/>
          <w:szCs w:val="32"/>
          <w:lang w:val="en"/>
          <w14:textFill>
            <w14:solidFill>
              <w14:schemeClr w14:val="tx1"/>
            </w14:solidFill>
          </w14:textFill>
        </w:rPr>
        <w:t>有市场价值的自然资源确权登记</w:t>
      </w:r>
      <w:r>
        <w:rPr>
          <w:rFonts w:ascii="Times New Roman" w:hAnsi="Times New Roman" w:eastAsia="仿宋_GB2312" w:cs="Times New Roman"/>
          <w:color w:val="000000" w:themeColor="text1"/>
          <w:sz w:val="32"/>
          <w:szCs w:val="32"/>
          <w14:textFill>
            <w14:solidFill>
              <w14:schemeClr w14:val="tx1"/>
            </w14:solidFill>
          </w14:textFill>
        </w:rPr>
        <w:t>发证</w:t>
      </w:r>
      <w:r>
        <w:rPr>
          <w:rFonts w:ascii="Times New Roman" w:hAnsi="Times New Roman" w:eastAsia="仿宋_GB2312" w:cs="Times New Roman"/>
          <w:color w:val="000000" w:themeColor="text1"/>
          <w:sz w:val="32"/>
          <w:szCs w:val="32"/>
          <w:lang w:val="en"/>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深化集体林权制度改革，</w:t>
      </w:r>
      <w:r>
        <w:rPr>
          <w:rFonts w:ascii="Times New Roman" w:hAnsi="Times New Roman" w:eastAsia="仿宋_GB2312" w:cs="Times New Roman"/>
          <w:color w:val="000000" w:themeColor="text1"/>
          <w:sz w:val="32"/>
          <w:szCs w:val="32"/>
          <w:lang w:val="en"/>
          <w14:textFill>
            <w14:solidFill>
              <w14:schemeClr w14:val="tx1"/>
            </w14:solidFill>
          </w14:textFill>
        </w:rPr>
        <w:t>创新</w:t>
      </w:r>
      <w:r>
        <w:rPr>
          <w:rFonts w:ascii="Times New Roman" w:hAnsi="Times New Roman" w:eastAsia="仿宋_GB2312" w:cs="Times New Roman"/>
          <w:color w:val="000000" w:themeColor="text1"/>
          <w:sz w:val="32"/>
          <w:szCs w:val="32"/>
          <w14:textFill>
            <w14:solidFill>
              <w14:schemeClr w14:val="tx1"/>
            </w14:solidFill>
          </w14:textFill>
        </w:rPr>
        <w:t>多元化水权经营模式，</w:t>
      </w:r>
      <w:r>
        <w:rPr>
          <w:rFonts w:ascii="Times New Roman" w:hAnsi="Times New Roman" w:eastAsia="仿宋_GB2312" w:cs="Times New Roman"/>
          <w:color w:val="000000" w:themeColor="text1"/>
          <w:sz w:val="32"/>
          <w:szCs w:val="32"/>
          <w:lang w:val="en"/>
          <w14:textFill>
            <w14:solidFill>
              <w14:schemeClr w14:val="tx1"/>
            </w14:solidFill>
          </w14:textFill>
        </w:rPr>
        <w:t>激发</w:t>
      </w:r>
      <w:r>
        <w:rPr>
          <w:rFonts w:ascii="Times New Roman" w:hAnsi="Times New Roman" w:eastAsia="仿宋_GB2312" w:cs="Times New Roman"/>
          <w:color w:val="000000" w:themeColor="text1"/>
          <w:sz w:val="32"/>
          <w:szCs w:val="32"/>
          <w14:textFill>
            <w14:solidFill>
              <w14:schemeClr w14:val="tx1"/>
            </w14:solidFill>
          </w14:textFill>
        </w:rPr>
        <w:t>林</w:t>
      </w:r>
      <w:r>
        <w:rPr>
          <w:rFonts w:ascii="Times New Roman" w:hAnsi="Times New Roman" w:eastAsia="仿宋_GB2312" w:cs="Times New Roman"/>
          <w:color w:val="000000" w:themeColor="text1"/>
          <w:sz w:val="32"/>
          <w:szCs w:val="32"/>
          <w:lang w:val="en"/>
          <w14:textFill>
            <w14:solidFill>
              <w14:schemeClr w14:val="tx1"/>
            </w14:solidFill>
          </w14:textFill>
        </w:rPr>
        <w:t>水资源经济活力。探索编制自然资源资产配置方案和实施计划，构建以林地</w:t>
      </w:r>
      <w:r>
        <w:rPr>
          <w:rFonts w:hint="eastAsia" w:eastAsia="仿宋_GB2312" w:cs="Times New Roman"/>
          <w:color w:val="000000" w:themeColor="text1"/>
          <w:sz w:val="32"/>
          <w:szCs w:val="32"/>
          <w:lang w:val="en"/>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水域为基础的多要素</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自然资源资产组合包</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供应模式。对标完善怀化市GEP核算报表制度，构建统一的GEP核算指标体系和统计口径。积极开展特定地域单元生态产品价值（VEP）核算探索，推进VEP核算结果在</w:t>
      </w:r>
      <w:r>
        <w:rPr>
          <w:rFonts w:ascii="Times New Roman" w:hAnsi="Times New Roman" w:eastAsia="仿宋_GB2312" w:cs="Times New Roman"/>
          <w:color w:val="000000" w:themeColor="text1"/>
          <w:sz w:val="32"/>
          <w:szCs w:val="32"/>
          <w14:textFill>
            <w14:solidFill>
              <w14:schemeClr w14:val="tx1"/>
            </w14:solidFill>
          </w14:textFill>
        </w:rPr>
        <w:t>生态产品</w:t>
      </w:r>
      <w:r>
        <w:rPr>
          <w:rFonts w:ascii="Times New Roman" w:hAnsi="Times New Roman" w:eastAsia="仿宋_GB2312" w:cs="Times New Roman"/>
          <w:color w:val="000000" w:themeColor="text1"/>
          <w:sz w:val="32"/>
          <w:szCs w:val="32"/>
          <w:lang w:val="en"/>
          <w14:textFill>
            <w14:solidFill>
              <w14:schemeClr w14:val="tx1"/>
            </w14:solidFill>
          </w14:textFill>
        </w:rPr>
        <w:t>经营开发、担保信贷、权益交易、生态保护补偿等</w:t>
      </w:r>
      <w:r>
        <w:rPr>
          <w:rFonts w:hint="eastAsia" w:eastAsia="仿宋_GB2312" w:cs="Times New Roman"/>
          <w:color w:val="000000" w:themeColor="text1"/>
          <w:sz w:val="32"/>
          <w:szCs w:val="32"/>
          <w:lang w:val="en"/>
          <w14:textFill>
            <w14:solidFill>
              <w14:schemeClr w14:val="tx1"/>
            </w14:solidFill>
          </w14:textFill>
        </w:rPr>
        <w:t>领域</w:t>
      </w:r>
      <w:r>
        <w:rPr>
          <w:rFonts w:ascii="Times New Roman" w:hAnsi="Times New Roman" w:eastAsia="仿宋_GB2312" w:cs="Times New Roman"/>
          <w:color w:val="000000" w:themeColor="text1"/>
          <w:sz w:val="32"/>
          <w:szCs w:val="32"/>
          <w:lang w:val="en"/>
          <w14:textFill>
            <w14:solidFill>
              <w14:schemeClr w14:val="tx1"/>
            </w14:solidFill>
          </w14:textFill>
        </w:rPr>
        <w:t>的应用。</w:t>
      </w:r>
    </w:p>
    <w:p>
      <w:pPr>
        <w:spacing w:line="560" w:lineRule="exact"/>
        <w:rPr>
          <w:rFonts w:eastAsia="仿宋_GB2312"/>
          <w:color w:val="000000" w:themeColor="text1"/>
          <w14:textFill>
            <w14:solidFill>
              <w14:schemeClr w14:val="tx1"/>
            </w14:solidFill>
          </w14:textFill>
        </w:rPr>
      </w:pPr>
    </w:p>
    <w:p>
      <w:pPr>
        <w:keepNext/>
        <w:keepLines/>
        <w:adjustRightInd w:val="0"/>
        <w:snapToGrid w:val="0"/>
        <w:spacing w:line="560" w:lineRule="exact"/>
        <w:jc w:val="center"/>
        <w:outlineLvl w:val="2"/>
        <w:rPr>
          <w:rFonts w:eastAsia="仿宋_GB2312"/>
          <w:b/>
          <w:bCs w:val="0"/>
          <w:color w:val="000000" w:themeColor="text1"/>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第二节 健全生态产品经营开发机制</w:t>
      </w:r>
    </w:p>
    <w:p>
      <w:pPr>
        <w:spacing w:line="560" w:lineRule="exact"/>
        <w:ind w:firstLine="640"/>
        <w:rPr>
          <w:rFonts w:eastAsia="仿宋_GB2312"/>
          <w:color w:val="000000" w:themeColor="text1"/>
          <w:sz w:val="32"/>
          <w:szCs w:val="32"/>
          <w:lang w:val="en"/>
          <w14:textFill>
            <w14:solidFill>
              <w14:schemeClr w14:val="tx1"/>
            </w14:solidFill>
          </w14:textFill>
        </w:rPr>
      </w:pPr>
    </w:p>
    <w:p>
      <w:pPr>
        <w:spacing w:line="560" w:lineRule="exact"/>
        <w:ind w:firstLine="640"/>
        <w:jc w:val="left"/>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lang w:val="en"/>
          <w14:textFill>
            <w14:solidFill>
              <w14:schemeClr w14:val="tx1"/>
            </w14:solidFill>
          </w14:textFill>
        </w:rPr>
        <w:t>深入推进怀化市国家生态产品价值实现机制试点建设，开展政策制度试验，建立生态产品价值实现综合服务平台，</w:t>
      </w:r>
      <w:r>
        <w:rPr>
          <w:rFonts w:ascii="Times New Roman" w:hAnsi="Times New Roman" w:eastAsia="仿宋_GB2312" w:cs="Times New Roman"/>
          <w:color w:val="000000" w:themeColor="text1"/>
          <w:sz w:val="32"/>
          <w:szCs w:val="32"/>
          <w14:textFill>
            <w14:solidFill>
              <w14:schemeClr w14:val="tx1"/>
            </w14:solidFill>
          </w14:textFill>
        </w:rPr>
        <w:t>推动生态资源权益市场化交易，</w:t>
      </w:r>
      <w:r>
        <w:rPr>
          <w:rFonts w:ascii="Times New Roman" w:hAnsi="Times New Roman" w:eastAsia="仿宋_GB2312" w:cs="Times New Roman"/>
          <w:color w:val="000000" w:themeColor="text1"/>
          <w:sz w:val="32"/>
          <w:szCs w:val="32"/>
          <w:lang w:val="en"/>
          <w14:textFill>
            <w14:solidFill>
              <w14:schemeClr w14:val="tx1"/>
            </w14:solidFill>
          </w14:textFill>
        </w:rPr>
        <w:t>打通</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绿水青山</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向</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金山银山</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转化通道。积极开展环境权益抵质押融资试点，拓宽环境权益市场化融资渠道。探索林业碳汇价值实现机制，科学谋划全市林业碳汇发展路径，拓展生态司法、文旅碳中和、跨产业融合发展等碳汇消纳渠道。加快构建生态产品标准、认证和标识体系</w:t>
      </w:r>
      <w:r>
        <w:rPr>
          <w:rFonts w:ascii="Times New Roman" w:hAnsi="Times New Roman" w:eastAsia="仿宋_GB2312" w:cs="Times New Roman"/>
          <w:color w:val="000000" w:themeColor="text1"/>
          <w:sz w:val="32"/>
          <w:szCs w:val="32"/>
          <w14:textFill>
            <w14:solidFill>
              <w14:schemeClr w14:val="tx1"/>
            </w14:solidFill>
          </w14:textFill>
        </w:rPr>
        <w:t>，发展特色生态产品产业链和国际贸易</w:t>
      </w:r>
      <w:r>
        <w:rPr>
          <w:rFonts w:ascii="Times New Roman" w:hAnsi="Times New Roman" w:eastAsia="仿宋_GB2312" w:cs="Times New Roman"/>
          <w:color w:val="000000" w:themeColor="text1"/>
          <w:sz w:val="32"/>
          <w:szCs w:val="32"/>
          <w:lang w:val="en"/>
          <w14:textFill>
            <w14:solidFill>
              <w14:schemeClr w14:val="tx1"/>
            </w14:solidFill>
          </w14:textFill>
        </w:rPr>
        <w:t>。持续创新开发绿色金融产品，有效满足生态产品价值实现项目的融资需求</w:t>
      </w:r>
      <w:r>
        <w:rPr>
          <w:rFonts w:ascii="Times New Roman" w:hAnsi="Times New Roman" w:eastAsia="仿宋_GB2312" w:cs="Times New Roman"/>
          <w:color w:val="000000" w:themeColor="text1"/>
          <w:sz w:val="32"/>
          <w:szCs w:val="32"/>
          <w14:textFill>
            <w14:solidFill>
              <w14:schemeClr w14:val="tx1"/>
            </w14:solidFill>
          </w14:textFill>
        </w:rPr>
        <w:t>。</w:t>
      </w:r>
    </w:p>
    <w:p>
      <w:pPr>
        <w:keepNext/>
        <w:keepLines/>
        <w:adjustRightInd w:val="0"/>
        <w:snapToGrid w:val="0"/>
        <w:spacing w:line="560" w:lineRule="exact"/>
        <w:jc w:val="left"/>
        <w:outlineLvl w:val="2"/>
        <w:rPr>
          <w:rFonts w:eastAsia="仿宋_GB2312"/>
          <w:b/>
          <w:bCs w:val="0"/>
          <w:color w:val="000000" w:themeColor="text1"/>
          <w:sz w:val="32"/>
          <w:szCs w:val="32"/>
          <w14:textFill>
            <w14:solidFill>
              <w14:schemeClr w14:val="tx1"/>
            </w14:solidFill>
          </w14:textFill>
        </w:rPr>
      </w:pPr>
    </w:p>
    <w:p>
      <w:pPr>
        <w:keepNext/>
        <w:keepLines/>
        <w:adjustRightInd w:val="0"/>
        <w:snapToGrid w:val="0"/>
        <w:spacing w:line="560" w:lineRule="exact"/>
        <w:jc w:val="center"/>
        <w:outlineLvl w:val="2"/>
        <w:rPr>
          <w:rFonts w:eastAsia="仿宋_GB2312"/>
          <w:b/>
          <w:bCs w:val="0"/>
          <w:color w:val="000000" w:themeColor="text1"/>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第三节 健全生态产品保护补偿机制</w:t>
      </w:r>
    </w:p>
    <w:p>
      <w:pPr>
        <w:spacing w:line="560" w:lineRule="exact"/>
        <w:ind w:firstLine="640"/>
        <w:rPr>
          <w:rFonts w:eastAsia="仿宋_GB2312"/>
          <w:color w:val="000000" w:themeColor="text1"/>
          <w:sz w:val="32"/>
          <w:szCs w:val="32"/>
          <w:lang w:val="en"/>
          <w14:textFill>
            <w14:solidFill>
              <w14:schemeClr w14:val="tx1"/>
            </w14:solidFill>
          </w14:textFill>
        </w:rPr>
      </w:pPr>
    </w:p>
    <w:p>
      <w:pPr>
        <w:spacing w:line="54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lang w:val="en"/>
          <w14:textFill>
            <w14:solidFill>
              <w14:schemeClr w14:val="tx1"/>
            </w14:solidFill>
          </w14:textFill>
        </w:rPr>
        <w:t>探索和周边省市</w:t>
      </w:r>
      <w:r>
        <w:rPr>
          <w:rFonts w:hint="eastAsia" w:eastAsia="仿宋_GB2312" w:cs="Times New Roman"/>
          <w:color w:val="000000" w:themeColor="text1"/>
          <w:sz w:val="32"/>
          <w:szCs w:val="32"/>
          <w:lang w:val="en"/>
          <w14:textFill>
            <w14:solidFill>
              <w14:schemeClr w14:val="tx1"/>
            </w14:solidFill>
          </w14:textFill>
        </w:rPr>
        <w:t>开展</w:t>
      </w:r>
      <w:r>
        <w:rPr>
          <w:rFonts w:ascii="Times New Roman" w:hAnsi="Times New Roman" w:eastAsia="仿宋_GB2312" w:cs="Times New Roman"/>
          <w:color w:val="000000" w:themeColor="text1"/>
          <w:sz w:val="32"/>
          <w:szCs w:val="32"/>
          <w:lang w:val="en"/>
          <w14:textFill>
            <w14:solidFill>
              <w14:schemeClr w14:val="tx1"/>
            </w14:solidFill>
          </w14:textFill>
        </w:rPr>
        <w:t>流域横向生态补偿合作。深入推进县市区间横向生态保护补偿机制</w:t>
      </w:r>
      <w:r>
        <w:rPr>
          <w:rFonts w:hint="eastAsia" w:eastAsia="仿宋_GB2312" w:cs="Times New Roman"/>
          <w:color w:val="000000" w:themeColor="text1"/>
          <w:sz w:val="32"/>
          <w:szCs w:val="32"/>
          <w:lang w:val="en"/>
          <w14:textFill>
            <w14:solidFill>
              <w14:schemeClr w14:val="tx1"/>
            </w14:solidFill>
          </w14:textFill>
        </w:rPr>
        <w:t>建设</w:t>
      </w:r>
      <w:r>
        <w:rPr>
          <w:rFonts w:ascii="Times New Roman" w:hAnsi="Times New Roman" w:eastAsia="仿宋_GB2312" w:cs="Times New Roman"/>
          <w:color w:val="000000" w:themeColor="text1"/>
          <w:sz w:val="32"/>
          <w:szCs w:val="32"/>
          <w:lang w:val="en"/>
          <w14:textFill>
            <w14:solidFill>
              <w14:schemeClr w14:val="tx1"/>
            </w14:solidFill>
          </w14:textFill>
        </w:rPr>
        <w:t>，鼓励流域上游水资源供给区和下游受益区按照自愿协商的原则，以出境断面水质和水量为依据确定各县市区间补偿金额。推动生态环境导向的开发（</w:t>
      </w:r>
      <w:r>
        <w:rPr>
          <w:rFonts w:ascii="Times New Roman" w:hAnsi="Times New Roman" w:eastAsia="仿宋_GB2312" w:cs="Times New Roman"/>
          <w:color w:val="000000" w:themeColor="text1"/>
          <w:sz w:val="32"/>
          <w:szCs w:val="32"/>
          <w14:textFill>
            <w14:solidFill>
              <w14:schemeClr w14:val="tx1"/>
            </w14:solidFill>
          </w14:textFill>
        </w:rPr>
        <w:t>EOD</w:t>
      </w:r>
      <w:r>
        <w:rPr>
          <w:rFonts w:ascii="Times New Roman" w:hAnsi="Times New Roman" w:eastAsia="仿宋_GB2312" w:cs="Times New Roman"/>
          <w:color w:val="000000" w:themeColor="text1"/>
          <w:sz w:val="32"/>
          <w:szCs w:val="32"/>
          <w:lang w:val="en"/>
          <w14:textFill>
            <w14:solidFill>
              <w14:schemeClr w14:val="tx1"/>
            </w14:solidFill>
          </w14:textFill>
        </w:rPr>
        <w:t>）模式创新，鼓励有条件的</w:t>
      </w:r>
      <w:r>
        <w:rPr>
          <w:rFonts w:ascii="Times New Roman" w:hAnsi="Times New Roman" w:eastAsia="仿宋_GB2312" w:cs="Times New Roman"/>
          <w:color w:val="000000" w:themeColor="text1"/>
          <w:sz w:val="32"/>
          <w:szCs w:val="32"/>
          <w14:textFill>
            <w14:solidFill>
              <w14:schemeClr w14:val="tx1"/>
            </w14:solidFill>
          </w14:textFill>
        </w:rPr>
        <w:t>县（市、区）</w:t>
      </w:r>
      <w:r>
        <w:rPr>
          <w:rFonts w:ascii="Times New Roman" w:hAnsi="Times New Roman" w:eastAsia="仿宋_GB2312" w:cs="Times New Roman"/>
          <w:color w:val="000000" w:themeColor="text1"/>
          <w:sz w:val="32"/>
          <w:szCs w:val="32"/>
          <w:lang w:val="en"/>
          <w14:textFill>
            <w14:solidFill>
              <w14:schemeClr w14:val="tx1"/>
            </w14:solidFill>
          </w14:textFill>
        </w:rPr>
        <w:t>积极申报EOD项目，不断提升生态环境保护和修复</w:t>
      </w:r>
      <w:r>
        <w:rPr>
          <w:rFonts w:hint="eastAsia" w:eastAsia="仿宋_GB2312" w:cs="Times New Roman"/>
          <w:color w:val="000000" w:themeColor="text1"/>
          <w:sz w:val="32"/>
          <w:szCs w:val="32"/>
          <w:lang w:val="en"/>
          <w14:textFill>
            <w14:solidFill>
              <w14:schemeClr w14:val="tx1"/>
            </w14:solidFill>
          </w14:textFill>
        </w:rPr>
        <w:t>水平</w:t>
      </w:r>
      <w:r>
        <w:rPr>
          <w:rFonts w:ascii="Times New Roman" w:hAnsi="Times New Roman" w:eastAsia="仿宋_GB2312" w:cs="Times New Roman"/>
          <w:color w:val="000000" w:themeColor="text1"/>
          <w:sz w:val="32"/>
          <w:szCs w:val="32"/>
          <w:lang w:val="en"/>
          <w14:textFill>
            <w14:solidFill>
              <w14:schemeClr w14:val="tx1"/>
            </w14:solidFill>
          </w14:textFill>
        </w:rPr>
        <w:t>。深入推进生态环境损害赔偿制度改革，围绕</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统筹协调、分类推进、分段负责</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的推进模式，构建多部门联动、市县级共同协作的生态环境损害赔偿长效机制，加大生态环境损害赔偿线索筛查力度。</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9071" w:type="dxa"/>
          </w:tcPr>
          <w:p>
            <w:pPr>
              <w:jc w:val="center"/>
              <w:rPr>
                <w:rFonts w:eastAsia="黑体"/>
                <w:color w:val="000000" w:themeColor="text1"/>
                <w:kern w:val="0"/>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专栏15—1 生态产品价值实现工程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71" w:type="dxa"/>
          </w:tcPr>
          <w:p>
            <w:pPr>
              <w:adjustRightInd w:val="0"/>
              <w:snapToGrid w:val="0"/>
              <w:spacing w:line="460" w:lineRule="exact"/>
              <w:ind w:firstLine="643"/>
              <w:rPr>
                <w:rFonts w:eastAsia="楷体_GB2312"/>
                <w:color w:val="000000" w:themeColor="text1"/>
                <w:spacing w:val="-6"/>
                <w:sz w:val="32"/>
                <w:szCs w:val="28"/>
                <w14:textFill>
                  <w14:solidFill>
                    <w14:schemeClr w14:val="tx1"/>
                  </w14:solidFill>
                </w14:textFill>
              </w:rPr>
            </w:pPr>
            <w:r>
              <w:rPr>
                <w:rFonts w:ascii="Times New Roman" w:hAnsi="Times New Roman" w:eastAsia="楷体_GB2312" w:cs="Times New Roman"/>
                <w:b/>
                <w:color w:val="000000" w:themeColor="text1"/>
                <w:sz w:val="32"/>
                <w:szCs w:val="28"/>
                <w14:textFill>
                  <w14:solidFill>
                    <w14:schemeClr w14:val="tx1"/>
                  </w14:solidFill>
                </w14:textFill>
              </w:rPr>
              <w:t>1.生态产品价值实现综合服务平台建设。</w:t>
            </w:r>
            <w:r>
              <w:rPr>
                <w:rFonts w:ascii="Times New Roman" w:hAnsi="Times New Roman" w:eastAsia="楷体_GB2312" w:cs="Times New Roman"/>
                <w:bCs w:val="0"/>
                <w:color w:val="000000" w:themeColor="text1"/>
                <w:sz w:val="32"/>
                <w:szCs w:val="28"/>
                <w14:textFill>
                  <w14:solidFill>
                    <w14:schemeClr w14:val="tx1"/>
                  </w14:solidFill>
                </w14:textFill>
              </w:rPr>
              <w:t>建设集生态资</w:t>
            </w:r>
            <w:r>
              <w:rPr>
                <w:rFonts w:ascii="Times New Roman" w:hAnsi="Times New Roman" w:eastAsia="楷体_GB2312" w:cs="Times New Roman"/>
                <w:bCs w:val="0"/>
                <w:color w:val="000000" w:themeColor="text1"/>
                <w:spacing w:val="-6"/>
                <w:sz w:val="32"/>
                <w:szCs w:val="28"/>
                <w14:textFill>
                  <w14:solidFill>
                    <w14:schemeClr w14:val="tx1"/>
                  </w14:solidFill>
                </w14:textFill>
              </w:rPr>
              <w:t>源监测确权、生态产品价值评价核算、生态资产收储管理、绿色金</w:t>
            </w:r>
            <w:r>
              <w:rPr>
                <w:rFonts w:ascii="Times New Roman" w:hAnsi="Times New Roman" w:eastAsia="楷体_GB2312" w:cs="Times New Roman"/>
                <w:bCs w:val="0"/>
                <w:color w:val="000000" w:themeColor="text1"/>
                <w:spacing w:val="-11"/>
                <w:sz w:val="32"/>
                <w:szCs w:val="28"/>
                <w14:textFill>
                  <w14:solidFill>
                    <w14:schemeClr w14:val="tx1"/>
                  </w14:solidFill>
                </w14:textFill>
              </w:rPr>
              <w:t>融供需对接、生态产品市场化交易等五项核心功能于一体的综合服务平台，提供一站式服务。</w:t>
            </w:r>
          </w:p>
          <w:p>
            <w:pPr>
              <w:adjustRightInd w:val="0"/>
              <w:snapToGrid w:val="0"/>
              <w:spacing w:line="460" w:lineRule="exact"/>
              <w:ind w:firstLine="643"/>
              <w:rPr>
                <w:rFonts w:eastAsia="楷体_GB2312"/>
                <w:color w:val="000000" w:themeColor="text1"/>
                <w:spacing w:val="-6"/>
                <w:sz w:val="32"/>
                <w:szCs w:val="28"/>
                <w14:textFill>
                  <w14:solidFill>
                    <w14:schemeClr w14:val="tx1"/>
                  </w14:solidFill>
                </w14:textFill>
              </w:rPr>
            </w:pPr>
            <w:r>
              <w:rPr>
                <w:rFonts w:ascii="Times New Roman" w:hAnsi="Times New Roman" w:eastAsia="楷体_GB2312" w:cs="Times New Roman"/>
                <w:b/>
                <w:color w:val="000000" w:themeColor="text1"/>
                <w:sz w:val="32"/>
                <w:szCs w:val="28"/>
                <w14:textFill>
                  <w14:solidFill>
                    <w14:schemeClr w14:val="tx1"/>
                  </w14:solidFill>
                </w14:textFill>
              </w:rPr>
              <w:t>2.生态权益市场化交易与碳汇应用。</w:t>
            </w:r>
            <w:r>
              <w:rPr>
                <w:rFonts w:ascii="Times New Roman" w:hAnsi="Times New Roman" w:eastAsia="楷体_GB2312" w:cs="Times New Roman"/>
                <w:bCs w:val="0"/>
                <w:color w:val="000000" w:themeColor="text1"/>
                <w:sz w:val="32"/>
                <w:szCs w:val="28"/>
                <w14:textFill>
                  <w14:solidFill>
                    <w14:schemeClr w14:val="tx1"/>
                  </w14:solidFill>
                </w14:textFill>
              </w:rPr>
              <w:t>推动建立林业碳汇</w:t>
            </w:r>
            <w:r>
              <w:rPr>
                <w:rFonts w:ascii="Times New Roman" w:hAnsi="Times New Roman" w:eastAsia="楷体_GB2312" w:cs="Times New Roman"/>
                <w:bCs w:val="0"/>
                <w:color w:val="000000" w:themeColor="text1"/>
                <w:spacing w:val="-6"/>
                <w:sz w:val="32"/>
                <w:szCs w:val="28"/>
                <w14:textFill>
                  <w14:solidFill>
                    <w14:schemeClr w14:val="tx1"/>
                  </w14:solidFill>
                </w14:textFill>
              </w:rPr>
              <w:t>项目储备库，推进中国核证自愿减排量（CCER）项目储备，持续</w:t>
            </w:r>
            <w:r>
              <w:rPr>
                <w:rFonts w:ascii="Times New Roman" w:hAnsi="Times New Roman" w:eastAsia="楷体_GB2312" w:cs="Times New Roman"/>
                <w:bCs w:val="0"/>
                <w:color w:val="000000" w:themeColor="text1"/>
                <w:spacing w:val="-11"/>
                <w:sz w:val="32"/>
                <w:szCs w:val="28"/>
                <w14:textFill>
                  <w14:solidFill>
                    <w14:schemeClr w14:val="tx1"/>
                  </w14:solidFill>
                </w14:textFill>
              </w:rPr>
              <w:t>拓宽碳票在司法赔偿、金融抵质押、零碳机关、零碳会议等消纳渠道和场景</w:t>
            </w:r>
            <w:r>
              <w:rPr>
                <w:rFonts w:hint="eastAsia" w:ascii="Times New Roman" w:hAnsi="Times New Roman" w:eastAsia="楷体_GB2312" w:cs="Times New Roman"/>
                <w:bCs w:val="0"/>
                <w:color w:val="000000" w:themeColor="text1"/>
                <w:spacing w:val="-11"/>
                <w:sz w:val="32"/>
                <w:szCs w:val="28"/>
                <w14:textFill>
                  <w14:solidFill>
                    <w14:schemeClr w14:val="tx1"/>
                  </w14:solidFill>
                </w14:textFill>
              </w:rPr>
              <w:t>的应用</w:t>
            </w:r>
            <w:r>
              <w:rPr>
                <w:rFonts w:ascii="Times New Roman" w:hAnsi="Times New Roman" w:eastAsia="楷体_GB2312" w:cs="Times New Roman"/>
                <w:bCs w:val="0"/>
                <w:color w:val="000000" w:themeColor="text1"/>
                <w:spacing w:val="-11"/>
                <w:sz w:val="32"/>
                <w:szCs w:val="28"/>
                <w14:textFill>
                  <w14:solidFill>
                    <w14:schemeClr w14:val="tx1"/>
                  </w14:solidFill>
                </w14:textFill>
              </w:rPr>
              <w:t>。</w:t>
            </w:r>
          </w:p>
          <w:p>
            <w:pPr>
              <w:adjustRightInd w:val="0"/>
              <w:snapToGrid w:val="0"/>
              <w:spacing w:line="460" w:lineRule="exact"/>
              <w:ind w:firstLine="643"/>
              <w:rPr>
                <w:rFonts w:eastAsia="楷体_GB2312"/>
                <w:color w:val="000000" w:themeColor="text1"/>
                <w:sz w:val="32"/>
                <w:szCs w:val="28"/>
                <w14:textFill>
                  <w14:solidFill>
                    <w14:schemeClr w14:val="tx1"/>
                  </w14:solidFill>
                </w14:textFill>
              </w:rPr>
            </w:pPr>
            <w:r>
              <w:rPr>
                <w:rFonts w:ascii="Times New Roman" w:hAnsi="Times New Roman" w:eastAsia="楷体_GB2312" w:cs="Times New Roman"/>
                <w:b/>
                <w:color w:val="000000" w:themeColor="text1"/>
                <w:sz w:val="32"/>
                <w:szCs w:val="28"/>
                <w14:textFill>
                  <w14:solidFill>
                    <w14:schemeClr w14:val="tx1"/>
                  </w14:solidFill>
                </w14:textFill>
              </w:rPr>
              <w:t>3.绿色金融产品创新。</w:t>
            </w:r>
            <w:r>
              <w:rPr>
                <w:rFonts w:ascii="Times New Roman" w:hAnsi="Times New Roman" w:eastAsia="楷体_GB2312" w:cs="Times New Roman"/>
                <w:bCs w:val="0"/>
                <w:color w:val="000000" w:themeColor="text1"/>
                <w:spacing w:val="-11"/>
                <w:sz w:val="32"/>
                <w:szCs w:val="28"/>
                <w14:textFill>
                  <w14:solidFill>
                    <w14:schemeClr w14:val="tx1"/>
                  </w14:solidFill>
                </w14:textFill>
              </w:rPr>
              <w:t>探索研究</w:t>
            </w:r>
            <w:r>
              <w:rPr>
                <w:rFonts w:ascii="Times New Roman" w:hAnsi="Times New Roman" w:eastAsia="楷体_GB2312" w:cs="Times New Roman"/>
                <w:bCs w:val="0"/>
                <w:color w:val="000000" w:themeColor="text1"/>
                <w:sz w:val="32"/>
                <w:szCs w:val="28"/>
                <w14:textFill>
                  <w14:solidFill>
                    <w14:schemeClr w14:val="tx1"/>
                  </w14:solidFill>
                </w14:textFill>
              </w:rPr>
              <w:t>生态产品价值实现项目认定</w:t>
            </w:r>
            <w:r>
              <w:rPr>
                <w:rFonts w:ascii="Times New Roman" w:hAnsi="Times New Roman" w:eastAsia="楷体_GB2312" w:cs="Times New Roman"/>
                <w:bCs w:val="0"/>
                <w:color w:val="000000" w:themeColor="text1"/>
                <w:spacing w:val="-11"/>
                <w:sz w:val="32"/>
                <w:szCs w:val="28"/>
                <w14:textFill>
                  <w14:solidFill>
                    <w14:schemeClr w14:val="tx1"/>
                  </w14:solidFill>
                </w14:textFill>
              </w:rPr>
              <w:t>指南，谋划实施一批多元化产业融合的生态产品</w:t>
            </w:r>
            <w:r>
              <w:rPr>
                <w:rFonts w:hint="eastAsia" w:ascii="Times New Roman" w:hAnsi="Times New Roman" w:eastAsia="楷体_GB2312" w:cs="Times New Roman"/>
                <w:bCs w:val="0"/>
                <w:color w:val="000000" w:themeColor="text1"/>
                <w:spacing w:val="-11"/>
                <w:sz w:val="32"/>
                <w:szCs w:val="28"/>
                <w14:textFill>
                  <w14:solidFill>
                    <w14:schemeClr w14:val="tx1"/>
                  </w14:solidFill>
                </w14:textFill>
              </w:rPr>
              <w:t>价值</w:t>
            </w:r>
            <w:r>
              <w:rPr>
                <w:rFonts w:ascii="Times New Roman" w:hAnsi="Times New Roman" w:eastAsia="楷体_GB2312" w:cs="Times New Roman"/>
                <w:bCs w:val="0"/>
                <w:color w:val="000000" w:themeColor="text1"/>
                <w:spacing w:val="-11"/>
                <w:sz w:val="32"/>
                <w:szCs w:val="28"/>
                <w14:textFill>
                  <w14:solidFill>
                    <w14:schemeClr w14:val="tx1"/>
                  </w14:solidFill>
                </w14:textFill>
              </w:rPr>
              <w:t>实现项目，</w:t>
            </w:r>
            <w:r>
              <w:rPr>
                <w:rFonts w:ascii="Times New Roman" w:hAnsi="Times New Roman" w:eastAsia="楷体_GB2312" w:cs="Times New Roman"/>
                <w:bCs w:val="0"/>
                <w:color w:val="000000" w:themeColor="text1"/>
                <w:sz w:val="32"/>
                <w:szCs w:val="28"/>
                <w14:textFill>
                  <w14:solidFill>
                    <w14:schemeClr w14:val="tx1"/>
                  </w14:solidFill>
                </w14:textFill>
              </w:rPr>
              <w:t>加大创新绿色金融产品支持力度。</w:t>
            </w:r>
          </w:p>
          <w:p>
            <w:pPr>
              <w:adjustRightInd w:val="0"/>
              <w:snapToGrid w:val="0"/>
              <w:spacing w:line="460" w:lineRule="exact"/>
              <w:ind w:firstLine="643"/>
              <w:rPr>
                <w:rFonts w:eastAsia="楷体_GB2312"/>
                <w:color w:val="000000" w:themeColor="text1"/>
                <w:sz w:val="32"/>
                <w:szCs w:val="28"/>
                <w14:textFill>
                  <w14:solidFill>
                    <w14:schemeClr w14:val="tx1"/>
                  </w14:solidFill>
                </w14:textFill>
              </w:rPr>
            </w:pPr>
            <w:r>
              <w:rPr>
                <w:rFonts w:ascii="Times New Roman" w:hAnsi="Times New Roman" w:eastAsia="楷体_GB2312" w:cs="Times New Roman"/>
                <w:b/>
                <w:color w:val="000000" w:themeColor="text1"/>
                <w:sz w:val="32"/>
                <w:szCs w:val="28"/>
                <w14:textFill>
                  <w14:solidFill>
                    <w14:schemeClr w14:val="tx1"/>
                  </w14:solidFill>
                </w14:textFill>
              </w:rPr>
              <w:t>4.产品认证与品牌建设。</w:t>
            </w:r>
            <w:r>
              <w:rPr>
                <w:rFonts w:ascii="Times New Roman" w:hAnsi="Times New Roman" w:eastAsia="楷体_GB2312" w:cs="Times New Roman"/>
                <w:bCs w:val="0"/>
                <w:color w:val="000000" w:themeColor="text1"/>
                <w:spacing w:val="-11"/>
                <w:sz w:val="32"/>
                <w:szCs w:val="28"/>
                <w14:textFill>
                  <w14:solidFill>
                    <w14:schemeClr w14:val="tx1"/>
                  </w14:solidFill>
                </w14:textFill>
              </w:rPr>
              <w:t>支持生态产品目录动态更新与生态产品“三品一标”认证相结合，加大生态产品认证推广，提升</w:t>
            </w:r>
            <w:r>
              <w:rPr>
                <w:rFonts w:ascii="Times New Roman" w:hAnsi="Times New Roman" w:eastAsia="仿宋_GB2312" w:cs="Times New Roman"/>
                <w:bCs w:val="0"/>
                <w:color w:val="000000" w:themeColor="text1"/>
                <w:spacing w:val="-11"/>
                <w:sz w:val="32"/>
                <w:szCs w:val="28"/>
                <w14:textFill>
                  <w14:solidFill>
                    <w14:schemeClr w14:val="tx1"/>
                  </w14:solidFill>
                </w14:textFill>
              </w:rPr>
              <w:t>“</w:t>
            </w:r>
            <w:r>
              <w:rPr>
                <w:rFonts w:ascii="Times New Roman" w:hAnsi="Times New Roman" w:eastAsia="楷体_GB2312" w:cs="Times New Roman"/>
                <w:bCs w:val="0"/>
                <w:color w:val="000000" w:themeColor="text1"/>
                <w:spacing w:val="-11"/>
                <w:sz w:val="32"/>
                <w:szCs w:val="28"/>
                <w14:textFill>
                  <w14:solidFill>
                    <w14:schemeClr w14:val="tx1"/>
                  </w14:solidFill>
                </w14:textFill>
              </w:rPr>
              <w:t>怀乡怀品</w:t>
            </w:r>
            <w:r>
              <w:rPr>
                <w:rFonts w:ascii="Times New Roman" w:hAnsi="Times New Roman" w:eastAsia="仿宋_GB2312" w:cs="Times New Roman"/>
                <w:bCs w:val="0"/>
                <w:color w:val="000000" w:themeColor="text1"/>
                <w:spacing w:val="-11"/>
                <w:sz w:val="32"/>
                <w:szCs w:val="28"/>
                <w14:textFill>
                  <w14:solidFill>
                    <w14:schemeClr w14:val="tx1"/>
                  </w14:solidFill>
                </w14:textFill>
              </w:rPr>
              <w:t>”</w:t>
            </w:r>
            <w:r>
              <w:rPr>
                <w:rFonts w:ascii="Times New Roman" w:hAnsi="Times New Roman" w:eastAsia="楷体_GB2312" w:cs="Times New Roman"/>
                <w:bCs w:val="0"/>
                <w:color w:val="000000" w:themeColor="text1"/>
                <w:spacing w:val="-11"/>
                <w:sz w:val="32"/>
                <w:szCs w:val="28"/>
                <w14:textFill>
                  <w14:solidFill>
                    <w14:schemeClr w14:val="tx1"/>
                  </w14:solidFill>
                </w14:textFill>
              </w:rPr>
              <w:t>区域品牌影响力与附加值。</w:t>
            </w:r>
          </w:p>
          <w:p>
            <w:pPr>
              <w:adjustRightInd w:val="0"/>
              <w:snapToGrid w:val="0"/>
              <w:spacing w:line="460" w:lineRule="exact"/>
              <w:ind w:firstLine="643"/>
              <w:rPr>
                <w:rFonts w:eastAsia="楷体_GB2312"/>
                <w:color w:val="000000" w:themeColor="text1"/>
                <w:sz w:val="24"/>
                <w14:textFill>
                  <w14:solidFill>
                    <w14:schemeClr w14:val="tx1"/>
                  </w14:solidFill>
                </w14:textFill>
              </w:rPr>
            </w:pPr>
            <w:r>
              <w:rPr>
                <w:rFonts w:ascii="Times New Roman" w:hAnsi="Times New Roman" w:eastAsia="楷体_GB2312" w:cs="Times New Roman"/>
                <w:b/>
                <w:color w:val="000000" w:themeColor="text1"/>
                <w:sz w:val="32"/>
                <w:szCs w:val="28"/>
                <w14:textFill>
                  <w14:solidFill>
                    <w14:schemeClr w14:val="tx1"/>
                  </w14:solidFill>
                </w14:textFill>
              </w:rPr>
              <w:t>5.沅江流域横向生态补偿</w:t>
            </w:r>
            <w:r>
              <w:rPr>
                <w:rFonts w:ascii="Times New Roman" w:hAnsi="Times New Roman" w:eastAsia="楷体_GB2312" w:cs="Times New Roman"/>
                <w:bCs w:val="0"/>
                <w:color w:val="000000" w:themeColor="text1"/>
                <w:sz w:val="32"/>
                <w:szCs w:val="28"/>
                <w14:textFill>
                  <w14:solidFill>
                    <w14:schemeClr w14:val="tx1"/>
                  </w14:solidFill>
                </w14:textFill>
              </w:rPr>
              <w:t>。研究设立沅江流域横向生态补偿基金。</w:t>
            </w:r>
          </w:p>
        </w:tc>
      </w:tr>
    </w:tbl>
    <w:p>
      <w:pPr>
        <w:spacing w:line="560" w:lineRule="exact"/>
        <w:rPr>
          <w:rFonts w:eastAsia="仿宋_GB2312"/>
          <w:color w:val="000000" w:themeColor="text1"/>
          <w14:textFill>
            <w14:solidFill>
              <w14:schemeClr w14:val="tx1"/>
            </w14:solidFill>
          </w14:textFill>
        </w:rPr>
      </w:pPr>
    </w:p>
    <w:p>
      <w:pPr>
        <w:pStyle w:val="6"/>
        <w:spacing w:line="520" w:lineRule="exact"/>
        <w:rPr>
          <w:rFonts w:ascii="Times New Roman" w:hAnsi="Times New Roman" w:eastAsia="黑体" w:cs="Times New Roman"/>
          <w:color w:val="000000" w:themeColor="text1"/>
          <w:sz w:val="32"/>
          <w14:textFill>
            <w14:solidFill>
              <w14:schemeClr w14:val="tx1"/>
            </w14:solidFill>
          </w14:textFill>
        </w:rPr>
      </w:pPr>
      <w:bookmarkStart w:id="89" w:name="_Toc6603"/>
      <w:r>
        <w:rPr>
          <w:rFonts w:ascii="Times New Roman" w:hAnsi="Times New Roman" w:eastAsia="黑体" w:cs="Times New Roman"/>
          <w:color w:val="000000" w:themeColor="text1"/>
          <w:sz w:val="32"/>
          <w14:textFill>
            <w14:solidFill>
              <w14:schemeClr w14:val="tx1"/>
            </w14:solidFill>
          </w14:textFill>
        </w:rPr>
        <w:t>第五十三章 持续深入推进污染防治攻坚</w:t>
      </w:r>
      <w:bookmarkEnd w:id="89"/>
    </w:p>
    <w:p>
      <w:pPr>
        <w:pStyle w:val="45"/>
        <w:spacing w:beforeAutospacing="0" w:afterAutospacing="0" w:line="520" w:lineRule="exact"/>
        <w:ind w:left="0" w:leftChars="0" w:firstLine="640"/>
        <w:rPr>
          <w:rFonts w:eastAsia="仿宋_GB2312"/>
          <w:color w:val="000000" w:themeColor="text1"/>
          <w:sz w:val="32"/>
          <w:szCs w:val="32"/>
          <w:lang w:val="en"/>
          <w14:textFill>
            <w14:solidFill>
              <w14:schemeClr w14:val="tx1"/>
            </w14:solidFill>
          </w14:textFill>
        </w:rPr>
      </w:pPr>
    </w:p>
    <w:p>
      <w:pPr>
        <w:pStyle w:val="7"/>
        <w:spacing w:line="52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第一节 深入打好蓝天保卫战</w:t>
      </w:r>
    </w:p>
    <w:p>
      <w:pPr>
        <w:spacing w:line="520" w:lineRule="exact"/>
        <w:ind w:firstLine="640"/>
        <w:rPr>
          <w:rFonts w:eastAsia="仿宋_GB2312"/>
          <w:color w:val="000000" w:themeColor="text1"/>
          <w:sz w:val="32"/>
          <w:szCs w:val="32"/>
          <w:lang w:val="en"/>
          <w14:textFill>
            <w14:solidFill>
              <w14:schemeClr w14:val="tx1"/>
            </w14:solidFill>
          </w14:textFill>
        </w:rPr>
      </w:pPr>
    </w:p>
    <w:p>
      <w:pPr>
        <w:spacing w:line="540" w:lineRule="exact"/>
        <w:ind w:firstLine="640"/>
        <w:rPr>
          <w:rFonts w:eastAsia="仿宋_GB2312"/>
          <w:color w:val="000000" w:themeColor="text1"/>
          <w:sz w:val="32"/>
          <w:szCs w:val="32"/>
          <w:lang w:val="en"/>
          <w14:textFill>
            <w14:solidFill>
              <w14:schemeClr w14:val="tx1"/>
            </w14:solidFill>
          </w14:textFill>
        </w:rPr>
      </w:pPr>
      <w:r>
        <w:rPr>
          <w:rFonts w:ascii="Times New Roman" w:hAnsi="Times New Roman" w:eastAsia="仿宋_GB2312" w:cs="Times New Roman"/>
          <w:color w:val="000000" w:themeColor="text1"/>
          <w:sz w:val="32"/>
          <w:szCs w:val="32"/>
          <w:lang w:val="en"/>
          <w14:textFill>
            <w14:solidFill>
              <w14:schemeClr w14:val="tx1"/>
            </w14:solidFill>
          </w14:textFill>
        </w:rPr>
        <w:t>以</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守护蓝天</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攻坚行动为抓手，突出十大重点领域，抓好八大攻坚工程，推进重点行业、重点企业、重点区域大气污染深度治理，有效控制PM2.5浓度，</w:t>
      </w:r>
      <w:r>
        <w:rPr>
          <w:rFonts w:ascii="Times New Roman" w:hAnsi="Times New Roman" w:eastAsia="仿宋_GB2312" w:cs="Times New Roman"/>
          <w:color w:val="000000" w:themeColor="text1"/>
          <w:sz w:val="32"/>
          <w:szCs w:val="32"/>
          <w14:textFill>
            <w14:solidFill>
              <w14:schemeClr w14:val="tx1"/>
            </w14:solidFill>
          </w14:textFill>
        </w:rPr>
        <w:t>推动</w:t>
      </w:r>
      <w:r>
        <w:rPr>
          <w:rFonts w:ascii="Times New Roman" w:hAnsi="Times New Roman" w:eastAsia="仿宋_GB2312" w:cs="Times New Roman"/>
          <w:color w:val="000000" w:themeColor="text1"/>
          <w:sz w:val="32"/>
          <w:szCs w:val="32"/>
          <w:lang w:val="en"/>
          <w14:textFill>
            <w14:solidFill>
              <w14:schemeClr w14:val="tx1"/>
            </w14:solidFill>
          </w14:textFill>
        </w:rPr>
        <w:t>城市空气质量稳定达到国家二级标准。聚焦扬尘、移动源、</w:t>
      </w:r>
      <w:r>
        <w:rPr>
          <w:rFonts w:ascii="Times New Roman" w:hAnsi="Times New Roman" w:eastAsia="仿宋_GB2312" w:cs="Times New Roman"/>
          <w:color w:val="000000" w:themeColor="text1"/>
          <w:sz w:val="32"/>
          <w:szCs w:val="32"/>
          <w14:textFill>
            <w14:solidFill>
              <w14:schemeClr w14:val="tx1"/>
            </w14:solidFill>
          </w14:textFill>
        </w:rPr>
        <w:t>面源、</w:t>
      </w:r>
      <w:r>
        <w:rPr>
          <w:rFonts w:ascii="Times New Roman" w:hAnsi="Times New Roman" w:eastAsia="仿宋_GB2312" w:cs="Times New Roman"/>
          <w:color w:val="000000" w:themeColor="text1"/>
          <w:sz w:val="32"/>
          <w:szCs w:val="32"/>
          <w:lang w:val="en"/>
          <w14:textFill>
            <w14:solidFill>
              <w14:schemeClr w14:val="tx1"/>
            </w14:solidFill>
          </w14:textFill>
        </w:rPr>
        <w:t>工业排放等突出短板，打好</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精准溯源、源头管控、刚性执法</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组合拳，持续精准破解大气污染难题。着力推进重点污染源治理，持续推进水泥、燃煤锅炉等行业超低排放改造，深入推进砖瓦窑、陶瓷行业以及重点行业VOCs综合整治。加大机动车排放检验机构监管力度，加快推进机动车和非道路移动机械新能源化。</w:t>
      </w:r>
      <w:r>
        <w:rPr>
          <w:rFonts w:ascii="Times New Roman" w:hAnsi="Times New Roman" w:eastAsia="仿宋_GB2312" w:cs="Times New Roman"/>
          <w:color w:val="000000" w:themeColor="text1"/>
          <w:sz w:val="32"/>
          <w:szCs w:val="32"/>
          <w14:textFill>
            <w14:solidFill>
              <w14:schemeClr w14:val="tx1"/>
            </w14:solidFill>
          </w14:textFill>
        </w:rPr>
        <w:t>强化施工扬尘污染管控，持续推动烟花爆竹禁燃、限放和露天焚烧火点削减，加大餐饮油烟排查整治，多举措</w:t>
      </w:r>
      <w:r>
        <w:rPr>
          <w:rFonts w:ascii="Times New Roman" w:hAnsi="Times New Roman" w:eastAsia="仿宋_GB2312" w:cs="Times New Roman"/>
          <w:color w:val="000000" w:themeColor="text1"/>
          <w:sz w:val="32"/>
          <w:szCs w:val="32"/>
          <w:lang w:val="en"/>
          <w14:textFill>
            <w14:solidFill>
              <w14:schemeClr w14:val="tx1"/>
            </w14:solidFill>
          </w14:textFill>
        </w:rPr>
        <w:t>实现源头减排。</w:t>
      </w:r>
    </w:p>
    <w:p>
      <w:pPr>
        <w:pStyle w:val="7"/>
        <w:spacing w:line="560" w:lineRule="exact"/>
        <w:rPr>
          <w:rFonts w:eastAsia="仿宋_GB2312"/>
          <w:color w:val="000000" w:themeColor="text1"/>
          <w:sz w:val="32"/>
          <w14:textFill>
            <w14:solidFill>
              <w14:schemeClr w14:val="tx1"/>
            </w14:solidFill>
          </w14:textFill>
        </w:rPr>
      </w:pPr>
    </w:p>
    <w:p>
      <w:pPr>
        <w:pStyle w:val="7"/>
        <w:spacing w:line="56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第二节 深入打好碧水保卫战</w:t>
      </w:r>
    </w:p>
    <w:p>
      <w:pPr>
        <w:spacing w:line="560" w:lineRule="exact"/>
        <w:ind w:firstLine="640"/>
        <w:rPr>
          <w:rFonts w:eastAsia="仿宋_GB2312"/>
          <w:color w:val="000000" w:themeColor="text1"/>
          <w:sz w:val="32"/>
          <w:szCs w:val="32"/>
          <w:lang w:val="en"/>
          <w14:textFill>
            <w14:solidFill>
              <w14:schemeClr w14:val="tx1"/>
            </w14:solidFill>
          </w14:textFill>
        </w:rPr>
      </w:pPr>
    </w:p>
    <w:p>
      <w:pPr>
        <w:spacing w:line="560" w:lineRule="exact"/>
        <w:ind w:firstLine="640"/>
        <w:rPr>
          <w:rFonts w:eastAsia="仿宋_GB2312"/>
          <w:color w:val="000000" w:themeColor="text1"/>
          <w:sz w:val="32"/>
          <w:szCs w:val="32"/>
          <w:lang w:val="en"/>
          <w14:textFill>
            <w14:solidFill>
              <w14:schemeClr w14:val="tx1"/>
            </w14:solidFill>
          </w14:textFill>
        </w:rPr>
      </w:pPr>
      <w:r>
        <w:rPr>
          <w:rFonts w:ascii="Times New Roman" w:hAnsi="Times New Roman" w:eastAsia="仿宋_GB2312" w:cs="Times New Roman"/>
          <w:color w:val="000000" w:themeColor="text1"/>
          <w:sz w:val="32"/>
          <w:szCs w:val="32"/>
          <w:lang w:val="en"/>
          <w14:textFill>
            <w14:solidFill>
              <w14:schemeClr w14:val="tx1"/>
            </w14:solidFill>
          </w14:textFill>
        </w:rPr>
        <w:t>抓好美丽河湖保护与建设，促进水生态环境质量持续向好。坚持精准治污、科学治污、依法治污，统筹水资源、水环境、水生态治理，推动地表水考核断面水质均稳定达到Ⅱ类及以上。加大对突出生态环境问题集中解决力度，重点抓好太平溪流域水环境系统治理，</w:t>
      </w:r>
      <w:r>
        <w:rPr>
          <w:rFonts w:ascii="Times New Roman" w:hAnsi="Times New Roman" w:eastAsia="仿宋_GB2312" w:cs="Times New Roman"/>
          <w:color w:val="000000" w:themeColor="text1"/>
          <w:sz w:val="32"/>
          <w:szCs w:val="32"/>
          <w14:textFill>
            <w14:solidFill>
              <w14:schemeClr w14:val="tx1"/>
            </w14:solidFill>
          </w14:textFill>
        </w:rPr>
        <w:t>力争到2030年，太平溪水质达到Ⅲ类及以上。‌落</w:t>
      </w:r>
      <w:r>
        <w:rPr>
          <w:rFonts w:ascii="Times New Roman" w:hAnsi="Times New Roman" w:eastAsia="仿宋_GB2312" w:cs="Times New Roman"/>
          <w:color w:val="000000" w:themeColor="text1"/>
          <w:sz w:val="32"/>
          <w:szCs w:val="32"/>
          <w:lang w:val="en"/>
          <w14:textFill>
            <w14:solidFill>
              <w14:schemeClr w14:val="tx1"/>
            </w14:solidFill>
          </w14:textFill>
        </w:rPr>
        <w:t>实沅江干流怀化段及㵲水、酉水、辰水、渠水、巫水、溆水等重要河流岸线分区划定要求，严格岸线分区用途管控。开展重要水功能区入河排污口综合整治，推进沅水流域水资源监控体系建设。加快补齐城市地下管网等基础设施短板，抓实城乡黑臭水体治理。</w:t>
      </w:r>
    </w:p>
    <w:p>
      <w:pPr>
        <w:spacing w:line="580" w:lineRule="exact"/>
        <w:rPr>
          <w:rFonts w:eastAsia="仿宋_GB2312"/>
          <w:color w:val="000000" w:themeColor="text1"/>
          <w14:textFill>
            <w14:solidFill>
              <w14:schemeClr w14:val="tx1"/>
            </w14:solidFill>
          </w14:textFill>
        </w:rPr>
      </w:pPr>
    </w:p>
    <w:p>
      <w:pPr>
        <w:pStyle w:val="7"/>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第三节 深入打好净土保卫战</w:t>
      </w:r>
    </w:p>
    <w:p>
      <w:pPr>
        <w:spacing w:line="580" w:lineRule="exact"/>
        <w:ind w:firstLine="640"/>
        <w:rPr>
          <w:rFonts w:eastAsia="仿宋_GB2312"/>
          <w:color w:val="000000" w:themeColor="text1"/>
          <w:sz w:val="32"/>
          <w:szCs w:val="32"/>
          <w:lang w:val="en"/>
          <w14:textFill>
            <w14:solidFill>
              <w14:schemeClr w14:val="tx1"/>
            </w14:solidFill>
          </w14:textFill>
        </w:rPr>
      </w:pPr>
    </w:p>
    <w:p>
      <w:pPr>
        <w:spacing w:line="560" w:lineRule="exact"/>
        <w:ind w:firstLine="640"/>
        <w:rPr>
          <w:rFonts w:eastAsia="仿宋_GB2312"/>
          <w:color w:val="000000" w:themeColor="text1"/>
          <w:sz w:val="32"/>
          <w:szCs w:val="32"/>
          <w:lang w:val="en"/>
          <w14:textFill>
            <w14:solidFill>
              <w14:schemeClr w14:val="tx1"/>
            </w14:solidFill>
          </w14:textFill>
        </w:rPr>
      </w:pPr>
      <w:r>
        <w:rPr>
          <w:rFonts w:ascii="Times New Roman" w:hAnsi="Times New Roman" w:eastAsia="仿宋_GB2312" w:cs="Times New Roman"/>
          <w:color w:val="000000" w:themeColor="text1"/>
          <w:sz w:val="32"/>
          <w:szCs w:val="32"/>
          <w:lang w:val="en"/>
          <w14:textFill>
            <w14:solidFill>
              <w14:schemeClr w14:val="tx1"/>
            </w14:solidFill>
          </w14:textFill>
        </w:rPr>
        <w:t>加强土壤污染源头防控，科学推进受污染耕地和建设用地安全利用</w:t>
      </w:r>
      <w:r>
        <w:rPr>
          <w:rFonts w:hint="eastAsia" w:eastAsia="仿宋_GB2312" w:cs="Times New Roman"/>
          <w:color w:val="000000" w:themeColor="text1"/>
          <w:sz w:val="32"/>
          <w:szCs w:val="32"/>
          <w:lang w:val="en"/>
          <w14:textFill>
            <w14:solidFill>
              <w14:schemeClr w14:val="tx1"/>
            </w14:solidFill>
          </w14:textFill>
        </w:rPr>
        <w:t>和修复</w:t>
      </w:r>
      <w:r>
        <w:rPr>
          <w:rFonts w:ascii="Times New Roman" w:hAnsi="Times New Roman" w:eastAsia="仿宋_GB2312" w:cs="Times New Roman"/>
          <w:color w:val="000000" w:themeColor="text1"/>
          <w:sz w:val="32"/>
          <w:szCs w:val="32"/>
          <w:lang w:val="en"/>
          <w14:textFill>
            <w14:solidFill>
              <w14:schemeClr w14:val="tx1"/>
            </w14:solidFill>
          </w14:textFill>
        </w:rPr>
        <w:t>。强化农业面源污染突出区域系统治理，开展畜禽养殖场污染专项排查整治行动。加快落实以排污许可制为核心的固定污染源监管制度。</w:t>
      </w:r>
      <w:r>
        <w:rPr>
          <w:rFonts w:hint="eastAsia" w:ascii="Times New Roman" w:hAnsi="Times New Roman" w:eastAsia="仿宋_GB2312" w:cs="Times New Roman"/>
          <w:color w:val="000000" w:themeColor="text1"/>
          <w:sz w:val="32"/>
          <w:szCs w:val="32"/>
          <w:lang w:val="en"/>
          <w14:textFill>
            <w14:solidFill>
              <w14:schemeClr w14:val="tx1"/>
            </w14:solidFill>
          </w14:textFill>
        </w:rPr>
        <w:t>开展</w:t>
      </w:r>
      <w:r>
        <w:rPr>
          <w:rFonts w:ascii="Times New Roman" w:hAnsi="Times New Roman" w:eastAsia="仿宋_GB2312" w:cs="Times New Roman"/>
          <w:color w:val="000000" w:themeColor="text1"/>
          <w:sz w:val="32"/>
          <w:szCs w:val="32"/>
          <w:lang w:val="en"/>
          <w14:textFill>
            <w14:solidFill>
              <w14:schemeClr w14:val="tx1"/>
            </w14:solidFill>
          </w14:textFill>
        </w:rPr>
        <w:t>典型大宗工业固废物堆存场所排查，规范废动力电池</w:t>
      </w:r>
      <w:r>
        <w:rPr>
          <w:rFonts w:hint="eastAsia" w:eastAsia="仿宋_GB2312" w:cs="Times New Roman"/>
          <w:color w:val="000000" w:themeColor="text1"/>
          <w:sz w:val="32"/>
          <w:szCs w:val="32"/>
          <w:lang w:val="en"/>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废光伏组件</w:t>
      </w:r>
      <w:r>
        <w:rPr>
          <w:rFonts w:hint="eastAsia" w:eastAsia="仿宋_GB2312" w:cs="Times New Roman"/>
          <w:color w:val="000000" w:themeColor="text1"/>
          <w:sz w:val="32"/>
          <w:szCs w:val="32"/>
          <w:lang w:val="en"/>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废风机叶片等</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新三样</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新兴工业固废的污染防治，深化重金属污染治理，加强尾矿库污染隐患排查。推进新污染物环境信息统计调查和加密监测，开展新污染物治理试点。严格落实生态环境监测、评价和考核制度。</w:t>
      </w:r>
    </w:p>
    <w:p>
      <w:pPr>
        <w:pStyle w:val="7"/>
        <w:keepNext w:val="0"/>
        <w:keepLines w:val="0"/>
        <w:spacing w:line="580" w:lineRule="exact"/>
        <w:rPr>
          <w:rFonts w:eastAsia="仿宋_GB2312"/>
          <w:color w:val="000000" w:themeColor="text1"/>
          <w:sz w:val="32"/>
          <w14:textFill>
            <w14:solidFill>
              <w14:schemeClr w14:val="tx1"/>
            </w14:solidFill>
          </w14:textFill>
        </w:rPr>
      </w:pPr>
    </w:p>
    <w:p>
      <w:pPr>
        <w:pStyle w:val="7"/>
        <w:keepNext w:val="0"/>
        <w:keepLines w:val="0"/>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第四节 全域开展“无废城市”建设</w:t>
      </w:r>
    </w:p>
    <w:p>
      <w:pPr>
        <w:spacing w:line="580" w:lineRule="exact"/>
        <w:ind w:firstLine="640"/>
        <w:rPr>
          <w:rFonts w:eastAsia="仿宋_GB2312"/>
          <w:color w:val="000000" w:themeColor="text1"/>
          <w:sz w:val="32"/>
          <w:szCs w:val="32"/>
          <w:lang w:val="en"/>
          <w14:textFill>
            <w14:solidFill>
              <w14:schemeClr w14:val="tx1"/>
            </w14:solidFill>
          </w14:textFill>
        </w:rPr>
      </w:pPr>
    </w:p>
    <w:p>
      <w:pPr>
        <w:spacing w:line="560" w:lineRule="exact"/>
        <w:ind w:firstLine="640"/>
        <w:rPr>
          <w:rFonts w:eastAsia="黑体"/>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lang w:val="en"/>
          <w14:textFill>
            <w14:solidFill>
              <w14:schemeClr w14:val="tx1"/>
            </w14:solidFill>
          </w14:textFill>
        </w:rPr>
        <w:t>通过建设</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无废企业</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无废园区</w:t>
      </w:r>
      <w:r>
        <w:rPr>
          <w:rFonts w:hint="eastAsia"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无废乡村</w:t>
      </w:r>
      <w:r>
        <w:rPr>
          <w:rFonts w:hint="eastAsia"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，全域开展</w:t>
      </w:r>
      <w:r>
        <w:rPr>
          <w:rFonts w:hint="eastAsia"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无废城市</w:t>
      </w:r>
      <w:r>
        <w:rPr>
          <w:rFonts w:hint="eastAsia"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建设。以大宗工业固体废物、主要农业废弃物、生活垃圾和建筑垃圾、危险废物为重点，实现源头大幅减量、充分资源化利用和无害化安全处置。将</w:t>
      </w:r>
      <w:r>
        <w:rPr>
          <w:rFonts w:hint="eastAsia"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无废</w:t>
      </w:r>
      <w:r>
        <w:rPr>
          <w:rFonts w:hint="eastAsia"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理念融入固体废物治理全过程，统筹城市发展和固体废物环境管理，推进一般工业固体废物、危险废物、农业废弃物、生活垃圾、建筑垃圾等污染防治。强化保障体系建设，建立健全再生资源回收利用体系，促进形成绿色低碳发展方式和生活方式，推动实现城乡全域</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无废</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w:t>
      </w:r>
    </w:p>
    <w:p>
      <w:pPr>
        <w:spacing w:line="580" w:lineRule="exact"/>
        <w:ind w:firstLine="640"/>
        <w:rPr>
          <w:rFonts w:eastAsia="黑体"/>
          <w:color w:val="000000" w:themeColor="text1"/>
          <w:sz w:val="32"/>
          <w:szCs w:val="32"/>
          <w14:textFill>
            <w14:solidFill>
              <w14:schemeClr w14:val="tx1"/>
            </w14:solidFill>
          </w14:textFill>
        </w:rPr>
      </w:pPr>
    </w:p>
    <w:p>
      <w:pPr>
        <w:pStyle w:val="6"/>
        <w:keepNext w:val="0"/>
        <w:keepLines w:val="0"/>
        <w:spacing w:line="580" w:lineRule="exact"/>
        <w:rPr>
          <w:rFonts w:ascii="Times New Roman" w:hAnsi="Times New Roman" w:eastAsia="黑体" w:cs="Times New Roman"/>
          <w:color w:val="000000" w:themeColor="text1"/>
          <w:sz w:val="32"/>
          <w14:textFill>
            <w14:solidFill>
              <w14:schemeClr w14:val="tx1"/>
            </w14:solidFill>
          </w14:textFill>
        </w:rPr>
      </w:pPr>
      <w:bookmarkStart w:id="90" w:name="_Toc10054"/>
      <w:r>
        <w:rPr>
          <w:rFonts w:ascii="Times New Roman" w:hAnsi="Times New Roman" w:eastAsia="黑体" w:cs="Times New Roman"/>
          <w:color w:val="000000" w:themeColor="text1"/>
          <w:sz w:val="32"/>
          <w14:textFill>
            <w14:solidFill>
              <w14:schemeClr w14:val="tx1"/>
            </w14:solidFill>
          </w14:textFill>
        </w:rPr>
        <w:t>第五十四章 全面提升生态系统功能</w:t>
      </w:r>
      <w:bookmarkEnd w:id="90"/>
    </w:p>
    <w:p>
      <w:pPr>
        <w:pStyle w:val="7"/>
        <w:keepNext w:val="0"/>
        <w:keepLines w:val="0"/>
        <w:spacing w:line="580" w:lineRule="exact"/>
        <w:rPr>
          <w:rFonts w:eastAsia="仿宋_GB2312"/>
          <w:color w:val="000000" w:themeColor="text1"/>
          <w:sz w:val="32"/>
          <w14:textFill>
            <w14:solidFill>
              <w14:schemeClr w14:val="tx1"/>
            </w14:solidFill>
          </w14:textFill>
        </w:rPr>
      </w:pPr>
    </w:p>
    <w:p>
      <w:pPr>
        <w:pStyle w:val="7"/>
        <w:keepNext w:val="0"/>
        <w:keepLines w:val="0"/>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第一节 筑牢自然生态屏障</w:t>
      </w:r>
    </w:p>
    <w:p>
      <w:pPr>
        <w:spacing w:line="580" w:lineRule="exact"/>
        <w:ind w:firstLine="640"/>
        <w:rPr>
          <w:rFonts w:eastAsia="仿宋_GB2312"/>
          <w:color w:val="000000" w:themeColor="text1"/>
          <w:sz w:val="32"/>
          <w:szCs w:val="32"/>
          <w:lang w:val="en"/>
          <w14:textFill>
            <w14:solidFill>
              <w14:schemeClr w14:val="tx1"/>
            </w14:solidFill>
          </w14:textFill>
        </w:rPr>
      </w:pPr>
    </w:p>
    <w:p>
      <w:pPr>
        <w:spacing w:line="540" w:lineRule="exact"/>
        <w:ind w:firstLine="640"/>
        <w:rPr>
          <w:rFonts w:eastAsia="仿宋_GB2312"/>
          <w:color w:val="000000" w:themeColor="text1"/>
          <w:sz w:val="32"/>
          <w:szCs w:val="32"/>
          <w:lang w:val="en"/>
          <w14:textFill>
            <w14:solidFill>
              <w14:schemeClr w14:val="tx1"/>
            </w14:solidFill>
          </w14:textFill>
        </w:rPr>
      </w:pPr>
      <w:r>
        <w:rPr>
          <w:rFonts w:ascii="Times New Roman" w:hAnsi="Times New Roman" w:eastAsia="仿宋_GB2312" w:cs="Times New Roman"/>
          <w:color w:val="000000" w:themeColor="text1"/>
          <w:sz w:val="32"/>
          <w:szCs w:val="32"/>
          <w:lang w:val="en"/>
          <w14:textFill>
            <w14:solidFill>
              <w14:schemeClr w14:val="tx1"/>
            </w14:solidFill>
          </w14:textFill>
        </w:rPr>
        <w:t>充分发挥怀化中亚热带森林系统核心区和国家生物多样性宝库的作用，</w:t>
      </w:r>
      <w:r>
        <w:rPr>
          <w:rFonts w:ascii="Times New Roman" w:hAnsi="Times New Roman" w:eastAsia="仿宋_GB2312" w:cs="Times New Roman"/>
          <w:color w:val="000000" w:themeColor="text1"/>
          <w:sz w:val="32"/>
          <w:szCs w:val="32"/>
          <w14:textFill>
            <w14:solidFill>
              <w14:schemeClr w14:val="tx1"/>
            </w14:solidFill>
          </w14:textFill>
        </w:rPr>
        <w:t>科学推进</w:t>
      </w:r>
      <w:r>
        <w:rPr>
          <w:rFonts w:ascii="Times New Roman" w:hAnsi="Times New Roman" w:eastAsia="仿宋_GB2312" w:cs="Times New Roman"/>
          <w:color w:val="000000" w:themeColor="text1"/>
          <w:sz w:val="32"/>
          <w:szCs w:val="32"/>
          <w:lang w:val="en"/>
          <w14:textFill>
            <w14:solidFill>
              <w14:schemeClr w14:val="tx1"/>
            </w14:solidFill>
          </w14:textFill>
        </w:rPr>
        <w:t>国土绿化行动，加强石漠化、水土流失综合治理和矿山、裸露山体生态修复，促进人与自然和谐共生。</w:t>
      </w:r>
      <w:r>
        <w:rPr>
          <w:rFonts w:ascii="Times New Roman" w:hAnsi="Times New Roman" w:eastAsia="仿宋_GB2312" w:cs="Times New Roman"/>
          <w:color w:val="000000" w:themeColor="text1"/>
          <w:sz w:val="32"/>
          <w:szCs w:val="32"/>
          <w14:textFill>
            <w14:solidFill>
              <w14:schemeClr w14:val="tx1"/>
            </w14:solidFill>
          </w14:textFill>
        </w:rPr>
        <w:t>稳妥</w:t>
      </w:r>
      <w:r>
        <w:rPr>
          <w:rFonts w:ascii="Times New Roman" w:hAnsi="Times New Roman" w:eastAsia="仿宋_GB2312" w:cs="Times New Roman"/>
          <w:color w:val="000000" w:themeColor="text1"/>
          <w:sz w:val="32"/>
          <w:szCs w:val="32"/>
          <w:lang w:val="en"/>
          <w14:textFill>
            <w14:solidFill>
              <w14:schemeClr w14:val="tx1"/>
            </w14:solidFill>
          </w14:textFill>
        </w:rPr>
        <w:t>推动国家储备林建设，</w:t>
      </w:r>
      <w:r>
        <w:rPr>
          <w:rFonts w:ascii="Times New Roman" w:hAnsi="Times New Roman" w:eastAsia="仿宋_GB2312" w:cs="Times New Roman"/>
          <w:color w:val="000000" w:themeColor="text1"/>
          <w:sz w:val="32"/>
          <w:szCs w:val="32"/>
          <w14:textFill>
            <w14:solidFill>
              <w14:schemeClr w14:val="tx1"/>
            </w14:solidFill>
          </w14:textFill>
        </w:rPr>
        <w:t>继续深化“</w:t>
      </w:r>
      <w:r>
        <w:rPr>
          <w:rFonts w:ascii="Times New Roman" w:hAnsi="Times New Roman" w:eastAsia="仿宋_GB2312" w:cs="Times New Roman"/>
          <w:color w:val="000000" w:themeColor="text1"/>
          <w:sz w:val="32"/>
          <w:szCs w:val="32"/>
          <w:lang w:val="en"/>
          <w14:textFill>
            <w14:solidFill>
              <w14:schemeClr w14:val="tx1"/>
            </w14:solidFill>
          </w14:textFill>
        </w:rPr>
        <w:t>林长制</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。推进雪峰山脉等重要生态廊道和国家重点生态功能区保护建设，加快建立以国家公园为主体、以自然保护区为基础、以自然公园为补充的自然保护地体系，筑牢自然生态屏障。</w:t>
      </w:r>
    </w:p>
    <w:p>
      <w:pPr>
        <w:pStyle w:val="7"/>
        <w:spacing w:line="580" w:lineRule="exact"/>
        <w:rPr>
          <w:rFonts w:eastAsia="仿宋_GB2312"/>
          <w:color w:val="000000" w:themeColor="text1"/>
          <w:sz w:val="32"/>
          <w14:textFill>
            <w14:solidFill>
              <w14:schemeClr w14:val="tx1"/>
            </w14:solidFill>
          </w14:textFill>
        </w:rPr>
      </w:pPr>
    </w:p>
    <w:p>
      <w:pPr>
        <w:pStyle w:val="7"/>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第二节 全面提升生态系统功能</w:t>
      </w:r>
    </w:p>
    <w:p>
      <w:pPr>
        <w:spacing w:line="580" w:lineRule="exact"/>
        <w:ind w:firstLine="640"/>
        <w:rPr>
          <w:rFonts w:eastAsia="仿宋_GB2312"/>
          <w:color w:val="000000" w:themeColor="text1"/>
          <w:sz w:val="32"/>
          <w:szCs w:val="32"/>
          <w:lang w:val="en"/>
          <w14:textFill>
            <w14:solidFill>
              <w14:schemeClr w14:val="tx1"/>
            </w14:solidFill>
          </w14:textFill>
        </w:rPr>
      </w:pPr>
    </w:p>
    <w:p>
      <w:pPr>
        <w:spacing w:line="560" w:lineRule="exact"/>
        <w:ind w:firstLine="640"/>
        <w:rPr>
          <w:rFonts w:eastAsia="仿宋_GB2312"/>
          <w:color w:val="000000" w:themeColor="text1"/>
          <w:sz w:val="32"/>
          <w:szCs w:val="32"/>
          <w:lang w:val="en"/>
          <w14:textFill>
            <w14:solidFill>
              <w14:schemeClr w14:val="tx1"/>
            </w14:solidFill>
          </w14:textFill>
        </w:rPr>
      </w:pPr>
      <w:r>
        <w:rPr>
          <w:rFonts w:ascii="Times New Roman" w:hAnsi="Times New Roman" w:eastAsia="仿宋_GB2312" w:cs="Times New Roman"/>
          <w:color w:val="000000" w:themeColor="text1"/>
          <w:sz w:val="32"/>
          <w:szCs w:val="32"/>
          <w:lang w:val="en"/>
          <w14:textFill>
            <w14:solidFill>
              <w14:schemeClr w14:val="tx1"/>
            </w14:solidFill>
          </w14:textFill>
        </w:rPr>
        <w:t>以国家重点生态功能区、生态保护红线、自然保护地等为重点，开展重点区域生态保护和修复，实施</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一江六水</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生态保护修复工程，加大湿地保护修复力度。严格保护沅江流域生态功能带，构筑全市水生态安全格局主骨架，重点完善沅水特有鱼类国家级水产种质资源保护区、重要饮用水水源地、</w:t>
      </w:r>
      <w:r>
        <w:rPr>
          <w:rFonts w:ascii="Times New Roman" w:hAnsi="Times New Roman" w:eastAsia="仿宋_GB2312" w:cs="Times New Roman"/>
          <w:color w:val="000000" w:themeColor="text1"/>
          <w:sz w:val="32"/>
          <w:szCs w:val="32"/>
          <w14:textFill>
            <w14:solidFill>
              <w14:schemeClr w14:val="tx1"/>
            </w14:solidFill>
          </w14:textFill>
        </w:rPr>
        <w:t>重要</w:t>
      </w:r>
      <w:r>
        <w:rPr>
          <w:rFonts w:ascii="Times New Roman" w:hAnsi="Times New Roman" w:eastAsia="仿宋_GB2312" w:cs="Times New Roman"/>
          <w:color w:val="000000" w:themeColor="text1"/>
          <w:sz w:val="32"/>
          <w:szCs w:val="32"/>
          <w:lang w:val="en"/>
          <w14:textFill>
            <w14:solidFill>
              <w14:schemeClr w14:val="tx1"/>
            </w14:solidFill>
          </w14:textFill>
        </w:rPr>
        <w:t>湿地</w:t>
      </w:r>
      <w:r>
        <w:rPr>
          <w:rFonts w:ascii="Times New Roman" w:hAnsi="Times New Roman" w:eastAsia="仿宋_GB2312" w:cs="Times New Roman"/>
          <w:color w:val="000000" w:themeColor="text1"/>
          <w:sz w:val="32"/>
          <w:szCs w:val="32"/>
          <w14:textFill>
            <w14:solidFill>
              <w14:schemeClr w14:val="tx1"/>
            </w14:solidFill>
          </w14:textFill>
        </w:rPr>
        <w:t>和一般湿地</w:t>
      </w:r>
      <w:r>
        <w:rPr>
          <w:rFonts w:ascii="Times New Roman" w:hAnsi="Times New Roman" w:eastAsia="仿宋_GB2312" w:cs="Times New Roman"/>
          <w:color w:val="000000" w:themeColor="text1"/>
          <w:sz w:val="32"/>
          <w:szCs w:val="32"/>
          <w:lang w:val="en"/>
          <w14:textFill>
            <w14:solidFill>
              <w14:schemeClr w14:val="tx1"/>
            </w14:solidFill>
          </w14:textFill>
        </w:rPr>
        <w:t>等保护机制。严格保护沅水流域</w:t>
      </w:r>
      <w:r>
        <w:rPr>
          <w:rFonts w:hint="eastAsia" w:eastAsia="仿宋_GB2312" w:cs="Times New Roman"/>
          <w:color w:val="000000" w:themeColor="text1"/>
          <w:sz w:val="32"/>
          <w:szCs w:val="32"/>
          <w:lang w:val="en"/>
          <w14:textFill>
            <w14:solidFill>
              <w14:schemeClr w14:val="tx1"/>
            </w14:solidFill>
          </w14:textFill>
        </w:rPr>
        <w:t>次级</w:t>
      </w:r>
      <w:r>
        <w:rPr>
          <w:rFonts w:ascii="Times New Roman" w:hAnsi="Times New Roman" w:eastAsia="仿宋_GB2312" w:cs="Times New Roman"/>
          <w:color w:val="000000" w:themeColor="text1"/>
          <w:sz w:val="32"/>
          <w:szCs w:val="32"/>
          <w:lang w:val="en"/>
          <w14:textFill>
            <w14:solidFill>
              <w14:schemeClr w14:val="tx1"/>
            </w14:solidFill>
          </w14:textFill>
        </w:rPr>
        <w:t>生态廊道网络，落实水环境治理、水生态保护与修复和水土流失治理，建设连续完整、生态稳定、景观优美、功能完备的水生态廊道系统。严格保护以雪峰山脉为主体的东部生态屏障区、以武陵山脉为主体的西北部生态屏障区、以万佛山为主体的南部生态屏障区。</w:t>
      </w:r>
    </w:p>
    <w:p>
      <w:pPr>
        <w:rPr>
          <w:rFonts w:eastAsia="仿宋_GB2312"/>
          <w:color w:val="000000" w:themeColor="text1"/>
          <w:sz w:val="32"/>
          <w:szCs w:val="32"/>
          <w:lang w:val="en"/>
          <w14:textFill>
            <w14:solidFill>
              <w14:schemeClr w14:val="tx1"/>
            </w14:solidFill>
          </w14:textFill>
        </w:rPr>
      </w:pPr>
    </w:p>
    <w:p>
      <w:pPr>
        <w:pStyle w:val="7"/>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第三节 加强生物多样性保护</w:t>
      </w:r>
    </w:p>
    <w:p>
      <w:pPr>
        <w:spacing w:line="580" w:lineRule="exact"/>
        <w:ind w:firstLine="640"/>
        <w:rPr>
          <w:rFonts w:eastAsia="仿宋_GB2312"/>
          <w:color w:val="000000" w:themeColor="text1"/>
          <w:sz w:val="32"/>
          <w:szCs w:val="32"/>
          <w:lang w:val="en"/>
          <w14:textFill>
            <w14:solidFill>
              <w14:schemeClr w14:val="tx1"/>
            </w14:solidFill>
          </w14:textFill>
        </w:rPr>
      </w:pPr>
    </w:p>
    <w:p>
      <w:pPr>
        <w:spacing w:line="560" w:lineRule="exact"/>
        <w:ind w:firstLine="640"/>
        <w:rPr>
          <w:rFonts w:eastAsia="仿宋_GB2312"/>
          <w:color w:val="000000" w:themeColor="text1"/>
          <w:sz w:val="32"/>
          <w:szCs w:val="32"/>
          <w:lang w:val="en"/>
          <w14:textFill>
            <w14:solidFill>
              <w14:schemeClr w14:val="tx1"/>
            </w14:solidFill>
          </w14:textFill>
        </w:rPr>
      </w:pPr>
      <w:r>
        <w:rPr>
          <w:rFonts w:ascii="Times New Roman" w:hAnsi="Times New Roman" w:eastAsia="仿宋_GB2312" w:cs="Times New Roman"/>
          <w:color w:val="000000" w:themeColor="text1"/>
          <w:sz w:val="32"/>
          <w:szCs w:val="32"/>
          <w:lang w:val="en"/>
          <w14:textFill>
            <w14:solidFill>
              <w14:schemeClr w14:val="tx1"/>
            </w14:solidFill>
          </w14:textFill>
        </w:rPr>
        <w:t>聚焦生物多样性保护优先区域，加强特有珍稀濒危野生动物及其栖息地保护。严格落实长江流域</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十年禁渔</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巩固好禁捕退捕工作成果。加强自然保护地管理和建设，有效保护湿地、森林、草原等自然生态系统原真性及多样性，保护和恢复中华秋沙鸭、怀化秤锤树等珍稀濒危野生动植物种群数量及赖以生存的栖息环境，保持野生动植物物种和种群平衡，重点加强雪峰山生物多样性保护优先区域野生动植物栖息地和候鸟迁徙通道的保护修复。加强外来入侵物种管理，防止外来有害物种对生态系统的侵害，完善生物资源迁徙地保存繁育体系。</w:t>
      </w:r>
    </w:p>
    <w:p>
      <w:pPr>
        <w:pStyle w:val="6"/>
        <w:spacing w:line="580" w:lineRule="exact"/>
        <w:rPr>
          <w:rFonts w:ascii="Times New Roman" w:hAnsi="Times New Roman" w:eastAsia="黑体" w:cs="Times New Roman"/>
          <w:color w:val="000000" w:themeColor="text1"/>
          <w:sz w:val="32"/>
          <w14:textFill>
            <w14:solidFill>
              <w14:schemeClr w14:val="tx1"/>
            </w14:solidFill>
          </w14:textFill>
        </w:rPr>
      </w:pPr>
    </w:p>
    <w:p>
      <w:pPr>
        <w:pStyle w:val="6"/>
        <w:spacing w:line="580" w:lineRule="exact"/>
        <w:rPr>
          <w:rFonts w:ascii="Times New Roman" w:hAnsi="Times New Roman" w:eastAsia="黑体" w:cs="Times New Roman"/>
          <w:color w:val="000000" w:themeColor="text1"/>
          <w:sz w:val="32"/>
          <w14:textFill>
            <w14:solidFill>
              <w14:schemeClr w14:val="tx1"/>
            </w14:solidFill>
          </w14:textFill>
        </w:rPr>
      </w:pPr>
      <w:bookmarkStart w:id="91" w:name="_Toc10624"/>
      <w:r>
        <w:rPr>
          <w:rFonts w:ascii="Times New Roman" w:hAnsi="Times New Roman" w:eastAsia="黑体" w:cs="Times New Roman"/>
          <w:color w:val="000000" w:themeColor="text1"/>
          <w:sz w:val="32"/>
          <w14:textFill>
            <w14:solidFill>
              <w14:schemeClr w14:val="tx1"/>
            </w14:solidFill>
          </w14:textFill>
        </w:rPr>
        <w:t>第五十五章 扎实推进绿色低碳发展</w:t>
      </w:r>
      <w:bookmarkEnd w:id="91"/>
    </w:p>
    <w:p>
      <w:pPr>
        <w:pStyle w:val="7"/>
        <w:spacing w:line="580" w:lineRule="exact"/>
        <w:rPr>
          <w:rFonts w:eastAsia="仿宋_GB2312"/>
          <w:color w:val="000000" w:themeColor="text1"/>
          <w:sz w:val="32"/>
          <w14:textFill>
            <w14:solidFill>
              <w14:schemeClr w14:val="tx1"/>
            </w14:solidFill>
          </w14:textFill>
        </w:rPr>
      </w:pPr>
    </w:p>
    <w:p>
      <w:pPr>
        <w:pStyle w:val="7"/>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第一节 加强生态环境分区管控</w:t>
      </w:r>
    </w:p>
    <w:p>
      <w:pPr>
        <w:spacing w:line="580" w:lineRule="exact"/>
        <w:ind w:firstLine="640"/>
        <w:rPr>
          <w:rFonts w:eastAsia="仿宋_GB2312"/>
          <w:color w:val="000000" w:themeColor="text1"/>
          <w:sz w:val="32"/>
          <w:szCs w:val="32"/>
          <w14:textFill>
            <w14:solidFill>
              <w14:schemeClr w14:val="tx1"/>
            </w14:solidFill>
          </w14:textFill>
        </w:rPr>
      </w:pPr>
    </w:p>
    <w:p>
      <w:pPr>
        <w:spacing w:line="56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全面落实生态环境分区管控、国土空间用途管制和规划许可制度。充分尊重自然规律和区域差异，精准落实主体功能区战略，加强生态环境分区精准管控。严守生态保护红线、环境质量底线、资源利用上线，以生态环境管控单元为基础，以生态环境准入清单为手段，以信息平台为支撑，科学划定生态环境优先保护单元、生态环境重点管控单元和一般管控单元。对生态环境优先保护单元加强生态系统保护和功能维护，对生态环境重点管控单元强化污染物排</w:t>
      </w:r>
      <w:r>
        <w:rPr>
          <w:rFonts w:ascii="Times New Roman" w:hAnsi="Times New Roman" w:eastAsia="仿宋_GB2312" w:cs="Times New Roman"/>
          <w:color w:val="000000" w:themeColor="text1"/>
          <w:spacing w:val="-6"/>
          <w:sz w:val="32"/>
          <w:szCs w:val="32"/>
          <w14:textFill>
            <w14:solidFill>
              <w14:schemeClr w14:val="tx1"/>
            </w14:solidFill>
          </w14:textFill>
        </w:rPr>
        <w:t>放管控和环境风险防控，对一般管控单元保持生态环境质量基本稳定。</w:t>
      </w:r>
    </w:p>
    <w:p>
      <w:pPr>
        <w:widowControl/>
        <w:jc w:val="left"/>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br w:type="page"/>
      </w:r>
    </w:p>
    <w:p>
      <w:pPr>
        <w:pStyle w:val="7"/>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第二节 加快重点领域绿色低碳转型</w:t>
      </w:r>
    </w:p>
    <w:p>
      <w:pPr>
        <w:spacing w:line="580" w:lineRule="exact"/>
        <w:ind w:firstLine="640"/>
        <w:rPr>
          <w:rFonts w:eastAsia="仿宋_GB2312"/>
          <w:color w:val="000000" w:themeColor="text1"/>
          <w:sz w:val="32"/>
          <w:szCs w:val="32"/>
          <w14:textFill>
            <w14:solidFill>
              <w14:schemeClr w14:val="tx1"/>
            </w14:solidFill>
          </w14:textFill>
        </w:rPr>
      </w:pPr>
    </w:p>
    <w:p>
      <w:pPr>
        <w:spacing w:line="56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锚定2030年</w:t>
      </w:r>
      <w:r>
        <w:rPr>
          <w:rFonts w:hint="eastAsia" w:eastAsia="仿宋_GB2312" w:cs="Times New Roman"/>
          <w:color w:val="000000" w:themeColor="text1"/>
          <w:sz w:val="32"/>
          <w:szCs w:val="32"/>
          <w14:textFill>
            <w14:solidFill>
              <w14:schemeClr w14:val="tx1"/>
            </w14:solidFill>
          </w14:textFill>
        </w:rPr>
        <w:t>前</w:t>
      </w:r>
      <w:r>
        <w:rPr>
          <w:rFonts w:ascii="Times New Roman" w:hAnsi="Times New Roman" w:eastAsia="仿宋_GB2312" w:cs="Times New Roman"/>
          <w:color w:val="000000" w:themeColor="text1"/>
          <w:sz w:val="32"/>
          <w:szCs w:val="32"/>
          <w14:textFill>
            <w14:solidFill>
              <w14:schemeClr w14:val="tx1"/>
            </w14:solidFill>
          </w14:textFill>
        </w:rPr>
        <w:t>实现碳达峰目标，积极稳妥推进碳达峰碳中和，落实碳排放总量和强度双控制度，持续完善“1+N”政策体系，有计划分步骤实施“碳达峰十大行动”，深入实施节能降碳改造。落实促进绿色低碳发展的政策措施。优化能源消费结构，提高非化石能源消费占比，开展重点行业建设项目温室气体排放环境影响评价，有力有效管控高耗能高排放项目，对新（改、扩）建高耗能高排放项目实施碳排放等量或减量置换，推动能耗双控</w:t>
      </w:r>
      <w:r>
        <w:rPr>
          <w:rFonts w:hint="eastAsia" w:eastAsia="仿宋_GB2312" w:cs="Times New Roman"/>
          <w:color w:val="000000" w:themeColor="text1"/>
          <w:sz w:val="32"/>
          <w:szCs w:val="32"/>
          <w14:textFill>
            <w14:solidFill>
              <w14:schemeClr w14:val="tx1"/>
            </w14:solidFill>
          </w14:textFill>
        </w:rPr>
        <w:t>逐步</w:t>
      </w:r>
      <w:r>
        <w:rPr>
          <w:rFonts w:ascii="Times New Roman" w:hAnsi="Times New Roman" w:eastAsia="仿宋_GB2312" w:cs="Times New Roman"/>
          <w:color w:val="000000" w:themeColor="text1"/>
          <w:sz w:val="32"/>
          <w:szCs w:val="32"/>
          <w14:textFill>
            <w14:solidFill>
              <w14:schemeClr w14:val="tx1"/>
            </w14:solidFill>
          </w14:textFill>
        </w:rPr>
        <w:t>转向碳排放双控，单位GDP能耗下降完成省下达任务，协同实现源头减排。培育壮大绿色低碳产业，推动工业、城乡建设、交通运输、能源等重点领域绿色低碳转型，积极打造绿色工厂、绿色园区、绿色供应链管理企业。实施全面节约战略，促进循环经济发展，大力发展废旧资源循环利用产业，谋划建设再生资源绿色分拣中心。推动各类资源节约集约利用，强化节能、节水、节材、节矿。持续推进“以竹代塑”行动，不断拓宽应用场景。</w:t>
      </w:r>
    </w:p>
    <w:p>
      <w:pPr>
        <w:pStyle w:val="7"/>
        <w:spacing w:line="580" w:lineRule="exact"/>
        <w:rPr>
          <w:rFonts w:eastAsia="仿宋_GB2312"/>
          <w:color w:val="000000" w:themeColor="text1"/>
          <w:sz w:val="32"/>
          <w14:textFill>
            <w14:solidFill>
              <w14:schemeClr w14:val="tx1"/>
            </w14:solidFill>
          </w14:textFill>
        </w:rPr>
      </w:pPr>
    </w:p>
    <w:p>
      <w:pPr>
        <w:pStyle w:val="7"/>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第三节 深入实施绿色低碳全民行动</w:t>
      </w:r>
    </w:p>
    <w:p>
      <w:pPr>
        <w:spacing w:line="580" w:lineRule="exact"/>
        <w:ind w:firstLine="640"/>
        <w:rPr>
          <w:rFonts w:eastAsia="仿宋_GB2312"/>
          <w:color w:val="000000" w:themeColor="text1"/>
          <w:sz w:val="32"/>
          <w:szCs w:val="32"/>
          <w:lang w:val="en"/>
          <w14:textFill>
            <w14:solidFill>
              <w14:schemeClr w14:val="tx1"/>
            </w14:solidFill>
          </w14:textFill>
        </w:rPr>
      </w:pPr>
    </w:p>
    <w:p>
      <w:pPr>
        <w:spacing w:line="600" w:lineRule="exact"/>
        <w:ind w:firstLine="640"/>
        <w:rPr>
          <w:rFonts w:eastAsia="仿宋_GB2312"/>
          <w:color w:val="000000" w:themeColor="text1"/>
          <w:sz w:val="32"/>
          <w:szCs w:val="32"/>
          <w:lang w:val="en"/>
          <w14:textFill>
            <w14:solidFill>
              <w14:schemeClr w14:val="tx1"/>
            </w14:solidFill>
          </w14:textFill>
        </w:rPr>
      </w:pPr>
      <w:r>
        <w:rPr>
          <w:rFonts w:ascii="Times New Roman" w:hAnsi="Times New Roman" w:eastAsia="仿宋_GB2312" w:cs="Times New Roman"/>
          <w:color w:val="000000" w:themeColor="text1"/>
          <w:sz w:val="32"/>
          <w:szCs w:val="32"/>
          <w:lang w:val="en"/>
          <w14:textFill>
            <w14:solidFill>
              <w14:schemeClr w14:val="tx1"/>
            </w14:solidFill>
          </w14:textFill>
        </w:rPr>
        <w:t>大力倡导简约适度、绿色低碳、文明健康的生活理念和消费方式，扩大新能源汽车、绿色建筑、节能家电等绿色产品消费，将绿色理念和节约要求融入市民公约、村规民约、学生守则、团体章程等社会规范。开展绿色低碳全民行动，引导公众节约用水用电、反对铺张浪费、推广</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光盘行动</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lang w:val="en"/>
          <w14:textFill>
            <w14:solidFill>
              <w14:schemeClr w14:val="tx1"/>
            </w14:solidFill>
          </w14:textFill>
        </w:rPr>
        <w:t>、抵制过度包装、减少一次性用品使用，引导公众优先选择公共交通、步行、自行车等绿色出行方式，形成崇尚生态文明的社会氛围。结合</w:t>
      </w:r>
      <w:r>
        <w:rPr>
          <w:rFonts w:ascii="Times New Roman" w:hAnsi="Times New Roman" w:eastAsia="仿宋_GB2312" w:cs="Times New Roman"/>
          <w:color w:val="000000" w:themeColor="text1"/>
          <w:sz w:val="32"/>
          <w:szCs w:val="32"/>
          <w14:textFill>
            <w14:solidFill>
              <w14:schemeClr w14:val="tx1"/>
            </w14:solidFill>
          </w14:textFill>
        </w:rPr>
        <w:t>世界环境日、</w:t>
      </w:r>
      <w:r>
        <w:rPr>
          <w:rFonts w:ascii="Times New Roman" w:hAnsi="Times New Roman" w:eastAsia="仿宋_GB2312" w:cs="Times New Roman"/>
          <w:color w:val="000000" w:themeColor="text1"/>
          <w:sz w:val="32"/>
          <w:szCs w:val="32"/>
          <w:lang w:val="en"/>
          <w14:textFill>
            <w14:solidFill>
              <w14:schemeClr w14:val="tx1"/>
            </w14:solidFill>
          </w14:textFill>
        </w:rPr>
        <w:t>全国生态日、全国节能宣传周、全国低碳日等活动，加大节能降碳宣传力度，增强全民节能降碳意识和能力。充分发挥媒体作用，完善公众参与制度，加大对能源浪费行为的曝光力度，营造人人、事事、时时参与节能降碳的新风尚。</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9071" w:type="dxa"/>
            <w:shd w:val="clear" w:color="auto" w:fill="auto"/>
            <w:vAlign w:val="center"/>
          </w:tcPr>
          <w:p>
            <w:pPr>
              <w:spacing w:line="490" w:lineRule="exact"/>
              <w:jc w:val="center"/>
              <w:rPr>
                <w:rFonts w:eastAsia="黑体"/>
                <w:color w:val="000000" w:themeColor="text1"/>
                <w:kern w:val="0"/>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专栏15—2 生态文明建设重大工程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71" w:type="dxa"/>
            <w:shd w:val="clear" w:color="auto" w:fill="auto"/>
          </w:tcPr>
          <w:p>
            <w:pPr>
              <w:adjustRightInd w:val="0"/>
              <w:snapToGrid w:val="0"/>
              <w:spacing w:line="540" w:lineRule="exact"/>
              <w:ind w:firstLine="641"/>
              <w:rPr>
                <w:rFonts w:eastAsia="楷体_GB2312"/>
                <w:b/>
                <w:bCs w:val="0"/>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1.美丽城市建设。</w:t>
            </w:r>
            <w:r>
              <w:rPr>
                <w:rFonts w:ascii="Times New Roman" w:hAnsi="Times New Roman" w:eastAsia="楷体_GB2312" w:cs="Times New Roman"/>
                <w:bCs w:val="0"/>
                <w:color w:val="000000" w:themeColor="text1"/>
                <w:sz w:val="32"/>
                <w:szCs w:val="32"/>
                <w:lang w:val="en"/>
                <w14:textFill>
                  <w14:solidFill>
                    <w14:schemeClr w14:val="tx1"/>
                  </w14:solidFill>
                </w14:textFill>
              </w:rPr>
              <w:t>建设</w:t>
            </w:r>
            <w:r>
              <w:rPr>
                <w:rFonts w:ascii="Times New Roman" w:hAnsi="Times New Roman" w:eastAsia="楷体_GB2312" w:cs="Times New Roman"/>
                <w:color w:val="000000" w:themeColor="text1"/>
                <w:sz w:val="32"/>
                <w:szCs w:val="32"/>
                <w:lang w:val="en"/>
                <w14:textFill>
                  <w14:solidFill>
                    <w14:schemeClr w14:val="tx1"/>
                  </w14:solidFill>
                </w14:textFill>
              </w:rPr>
              <w:t>鹤城区太平溪流域、中方㵲水流域、沅陵沅水流域、麻阳</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楷体_GB2312" w:cs="Times New Roman"/>
                <w:color w:val="000000" w:themeColor="text1"/>
                <w:sz w:val="32"/>
                <w:szCs w:val="32"/>
                <w:lang w:val="en"/>
                <w14:textFill>
                  <w14:solidFill>
                    <w14:schemeClr w14:val="tx1"/>
                  </w14:solidFill>
                </w14:textFill>
              </w:rPr>
              <w:t>一河一库</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楷体_GB2312" w:cs="Times New Roman"/>
                <w:color w:val="000000" w:themeColor="text1"/>
                <w:sz w:val="32"/>
                <w:szCs w:val="32"/>
                <w:lang w:val="en"/>
                <w14:textFill>
                  <w14:solidFill>
                    <w14:schemeClr w14:val="tx1"/>
                  </w14:solidFill>
                </w14:textFill>
              </w:rPr>
              <w:t>流域、新晃㵲水流域生态环境治理与现代设施渔业融合发展EOD等项目。</w:t>
            </w:r>
          </w:p>
          <w:p>
            <w:pPr>
              <w:adjustRightInd w:val="0"/>
              <w:snapToGrid w:val="0"/>
              <w:spacing w:line="540" w:lineRule="exact"/>
              <w:ind w:firstLine="641"/>
              <w:rPr>
                <w:rFonts w:eastAsia="楷体_GB2312"/>
                <w:color w:val="000000" w:themeColor="text1"/>
                <w:sz w:val="32"/>
                <w:szCs w:val="32"/>
                <w:lang w:val="en"/>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2.生态环境风险防控与监测预警。</w:t>
            </w:r>
            <w:r>
              <w:rPr>
                <w:rFonts w:ascii="Times New Roman" w:hAnsi="Times New Roman" w:eastAsia="楷体_GB2312" w:cs="Times New Roman"/>
                <w:bCs w:val="0"/>
                <w:color w:val="000000" w:themeColor="text1"/>
                <w:sz w:val="32"/>
                <w:szCs w:val="32"/>
                <w:lang w:val="en"/>
                <w14:textFill>
                  <w14:solidFill>
                    <w14:schemeClr w14:val="tx1"/>
                  </w14:solidFill>
                </w14:textFill>
              </w:rPr>
              <w:t>建设</w:t>
            </w:r>
            <w:r>
              <w:rPr>
                <w:rFonts w:ascii="Times New Roman" w:hAnsi="Times New Roman" w:eastAsia="楷体_GB2312" w:cs="Times New Roman"/>
                <w:color w:val="000000" w:themeColor="text1"/>
                <w:sz w:val="32"/>
                <w:szCs w:val="32"/>
                <w:lang w:val="en"/>
                <w14:textFill>
                  <w14:solidFill>
                    <w14:schemeClr w14:val="tx1"/>
                  </w14:solidFill>
                </w14:textFill>
              </w:rPr>
              <w:t>中方花桥镇金银堂煤矿、芷江庆湾煤矿、溆浦椒板溪煤矿矿涌水污染综合治理等项目。</w:t>
            </w:r>
          </w:p>
          <w:p>
            <w:pPr>
              <w:adjustRightInd w:val="0"/>
              <w:snapToGrid w:val="0"/>
              <w:spacing w:line="540" w:lineRule="exact"/>
              <w:ind w:firstLine="641"/>
              <w:rPr>
                <w:rFonts w:eastAsia="楷体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3.碧水守护提质。</w:t>
            </w:r>
            <w:r>
              <w:rPr>
                <w:rFonts w:ascii="Times New Roman" w:hAnsi="Times New Roman" w:eastAsia="楷体_GB2312" w:cs="Times New Roman"/>
                <w:color w:val="000000" w:themeColor="text1"/>
                <w:sz w:val="32"/>
                <w:szCs w:val="32"/>
                <w14:textFill>
                  <w14:solidFill>
                    <w14:schemeClr w14:val="tx1"/>
                  </w14:solidFill>
                </w14:textFill>
              </w:rPr>
              <w:t>围绕㵲水流域、渠水流域、溆水流域，建设一批污水处理设施及配套管网工程和流域水生态修复工程。</w:t>
            </w:r>
          </w:p>
          <w:p>
            <w:pPr>
              <w:adjustRightInd w:val="0"/>
              <w:snapToGrid w:val="0"/>
              <w:spacing w:line="540" w:lineRule="exact"/>
              <w:ind w:firstLine="641"/>
              <w:rPr>
                <w:rFonts w:eastAsia="楷体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4.净土保障修复。</w:t>
            </w:r>
            <w:r>
              <w:rPr>
                <w:rFonts w:ascii="Times New Roman" w:hAnsi="Times New Roman" w:eastAsia="楷体_GB2312" w:cs="Times New Roman"/>
                <w:color w:val="000000" w:themeColor="text1"/>
                <w:sz w:val="32"/>
                <w:szCs w:val="32"/>
                <w14:textFill>
                  <w14:solidFill>
                    <w14:schemeClr w14:val="tx1"/>
                  </w14:solidFill>
                </w14:textFill>
              </w:rPr>
              <w:t>建设中方、沅陵、麻阳、会同、溆浦、新晃历史遗留废渣污染综合治理项目，洪江区沿江一公里腾退化工企业污染土地治理项目。</w:t>
            </w:r>
          </w:p>
          <w:p>
            <w:pPr>
              <w:adjustRightInd w:val="0"/>
              <w:snapToGrid w:val="0"/>
              <w:spacing w:line="540" w:lineRule="exact"/>
              <w:ind w:firstLine="641"/>
              <w:rPr>
                <w:rFonts w:eastAsia="楷体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5.环保设施强基。</w:t>
            </w:r>
            <w:r>
              <w:rPr>
                <w:rFonts w:ascii="Times New Roman" w:hAnsi="Times New Roman" w:eastAsia="楷体_GB2312" w:cs="Times New Roman"/>
                <w:color w:val="000000" w:themeColor="text1"/>
                <w:sz w:val="32"/>
                <w:szCs w:val="32"/>
                <w14:textFill>
                  <w14:solidFill>
                    <w14:schemeClr w14:val="tx1"/>
                  </w14:solidFill>
                </w14:textFill>
              </w:rPr>
              <w:t>建设新晃产业开发区化工片区环境监管能力提升和污水处理厂提标改造项目，洪江区高新区污水尾水生态净化及管网改造项目。</w:t>
            </w:r>
          </w:p>
          <w:p>
            <w:pPr>
              <w:adjustRightInd w:val="0"/>
              <w:snapToGrid w:val="0"/>
              <w:spacing w:line="540" w:lineRule="exact"/>
              <w:ind w:firstLine="641"/>
              <w:rPr>
                <w:rFonts w:eastAsia="楷体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6.生态保护修复。</w:t>
            </w:r>
            <w:r>
              <w:rPr>
                <w:rFonts w:ascii="Times New Roman" w:hAnsi="Times New Roman" w:eastAsia="楷体_GB2312" w:cs="Times New Roman"/>
                <w:color w:val="000000" w:themeColor="text1"/>
                <w:sz w:val="32"/>
                <w:szCs w:val="32"/>
                <w14:textFill>
                  <w14:solidFill>
                    <w14:schemeClr w14:val="tx1"/>
                  </w14:solidFill>
                </w14:textFill>
              </w:rPr>
              <w:t>建设自然保护地生物多样性重点保护提升项目，实施湖南省武陵山片区山水林田湖草沙一体化保护和修复工程（怀化片区）。</w:t>
            </w:r>
          </w:p>
          <w:p>
            <w:pPr>
              <w:spacing w:line="540" w:lineRule="exact"/>
              <w:ind w:firstLine="641"/>
              <w:rPr>
                <w:rFonts w:eastAsia="楷体_GB2312"/>
                <w:color w:val="000000" w:themeColor="text1"/>
                <w:kern w:val="0"/>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7.资源循环利用。</w:t>
            </w:r>
            <w:r>
              <w:rPr>
                <w:rFonts w:ascii="Times New Roman" w:hAnsi="Times New Roman" w:eastAsia="楷体_GB2312" w:cs="Times New Roman"/>
                <w:color w:val="000000" w:themeColor="text1"/>
                <w:sz w:val="32"/>
                <w:szCs w:val="32"/>
                <w:lang w:val="en"/>
                <w14:textFill>
                  <w14:solidFill>
                    <w14:schemeClr w14:val="tx1"/>
                  </w14:solidFill>
                </w14:textFill>
              </w:rPr>
              <w:t>建设专业化再生资源分拣中心和再生资源回收利用中心、</w:t>
            </w:r>
            <w:r>
              <w:rPr>
                <w:rFonts w:ascii="Times New Roman" w:hAnsi="Times New Roman" w:eastAsia="楷体_GB2312" w:cs="Times New Roman"/>
                <w:color w:val="000000" w:themeColor="text1"/>
                <w:sz w:val="32"/>
                <w:szCs w:val="32"/>
                <w14:textFill>
                  <w14:solidFill>
                    <w14:schemeClr w14:val="tx1"/>
                  </w14:solidFill>
                </w14:textFill>
              </w:rPr>
              <w:t>溆浦县绿色低碳再生材料硅砂高值化示范（一期）和农用地土壤重金属污染治理项目。</w:t>
            </w:r>
          </w:p>
        </w:tc>
      </w:tr>
    </w:tbl>
    <w:p>
      <w:pPr>
        <w:pStyle w:val="15"/>
        <w:ind w:firstLine="0" w:firstLineChars="0"/>
        <w:rPr>
          <w:rFonts w:ascii="Times New Roman" w:hAnsi="Times New Roman" w:eastAsia="仿宋_GB2312"/>
          <w:color w:val="000000" w:themeColor="text1"/>
          <w14:textFill>
            <w14:solidFill>
              <w14:schemeClr w14:val="tx1"/>
            </w14:solidFill>
          </w14:textFill>
        </w:rPr>
      </w:pPr>
    </w:p>
    <w:p>
      <w:pPr>
        <w:pStyle w:val="5"/>
        <w:spacing w:line="560" w:lineRule="exact"/>
        <w:rPr>
          <w:rFonts w:eastAsia="方正小标宋简体"/>
          <w:color w:val="000000" w:themeColor="text1"/>
          <w:szCs w:val="32"/>
          <w14:textFill>
            <w14:solidFill>
              <w14:schemeClr w14:val="tx1"/>
            </w14:solidFill>
          </w14:textFill>
        </w:rPr>
        <w:sectPr>
          <w:pgSz w:w="11906" w:h="16838"/>
          <w:pgMar w:top="2098" w:right="1361" w:bottom="1701" w:left="1417" w:header="851" w:footer="992" w:gutter="0"/>
          <w:cols w:space="0" w:num="1"/>
          <w:docGrid w:type="lines" w:linePitch="312" w:charSpace="0"/>
        </w:sectPr>
      </w:pPr>
    </w:p>
    <w:p>
      <w:pPr>
        <w:pStyle w:val="5"/>
        <w:spacing w:line="560" w:lineRule="exact"/>
        <w:rPr>
          <w:rFonts w:eastAsia="方正小标宋简体"/>
          <w:color w:val="000000" w:themeColor="text1"/>
          <w:sz w:val="36"/>
          <w:szCs w:val="36"/>
          <w14:textFill>
            <w14:solidFill>
              <w14:schemeClr w14:val="tx1"/>
            </w14:solidFill>
          </w14:textFill>
        </w:rPr>
      </w:pPr>
      <w:bookmarkStart w:id="92" w:name="_Toc5121"/>
      <w:r>
        <w:rPr>
          <w:rFonts w:eastAsia="方正小标宋简体"/>
          <w:color w:val="000000" w:themeColor="text1"/>
          <w:sz w:val="36"/>
          <w:szCs w:val="36"/>
          <w14:textFill>
            <w14:solidFill>
              <w14:schemeClr w14:val="tx1"/>
            </w14:solidFill>
          </w14:textFill>
        </w:rPr>
        <w:fldChar w:fldCharType="begin"/>
      </w:r>
      <w:r>
        <w:rPr>
          <w:rFonts w:eastAsia="方正小标宋简体"/>
          <w:color w:val="000000" w:themeColor="text1"/>
          <w:sz w:val="36"/>
          <w:szCs w:val="36"/>
          <w14:textFill>
            <w14:solidFill>
              <w14:schemeClr w14:val="tx1"/>
            </w14:solidFill>
          </w14:textFill>
        </w:rPr>
        <w:instrText xml:space="preserve"> HYPERLINK \l "_Toc1328151573" </w:instrText>
      </w:r>
      <w:r>
        <w:rPr>
          <w:rFonts w:eastAsia="方正小标宋简体"/>
          <w:color w:val="000000" w:themeColor="text1"/>
          <w:sz w:val="36"/>
          <w:szCs w:val="36"/>
          <w14:textFill>
            <w14:solidFill>
              <w14:schemeClr w14:val="tx1"/>
            </w14:solidFill>
          </w14:textFill>
        </w:rPr>
        <w:fldChar w:fldCharType="separate"/>
      </w:r>
      <w:r>
        <w:rPr>
          <w:rFonts w:eastAsia="方正小标宋简体"/>
          <w:color w:val="000000" w:themeColor="text1"/>
          <w:spacing w:val="6"/>
          <w:sz w:val="36"/>
          <w:szCs w:val="36"/>
          <w14:textFill>
            <w14:solidFill>
              <w14:schemeClr w14:val="tx1"/>
            </w14:solidFill>
          </w14:textFill>
        </w:rPr>
        <w:t>第十六篇 全面贯彻总体国家安全观，建设更高水平</w:t>
      </w:r>
      <w:r>
        <w:rPr>
          <w:rFonts w:eastAsia="方正小标宋简体"/>
          <w:color w:val="000000" w:themeColor="text1"/>
          <w:sz w:val="36"/>
          <w:szCs w:val="36"/>
          <w14:textFill>
            <w14:solidFill>
              <w14:schemeClr w14:val="tx1"/>
            </w14:solidFill>
          </w14:textFill>
        </w:rPr>
        <w:t>平安怀化</w:t>
      </w:r>
      <w:r>
        <w:rPr>
          <w:rFonts w:eastAsia="方正小标宋简体"/>
          <w:color w:val="000000" w:themeColor="text1"/>
          <w:sz w:val="36"/>
          <w:szCs w:val="36"/>
          <w14:textFill>
            <w14:solidFill>
              <w14:schemeClr w14:val="tx1"/>
            </w14:solidFill>
          </w14:textFill>
        </w:rPr>
        <w:fldChar w:fldCharType="end"/>
      </w:r>
      <w:r>
        <w:rPr>
          <w:rFonts w:eastAsia="方正小标宋简体"/>
          <w:color w:val="000000" w:themeColor="text1"/>
          <w:sz w:val="36"/>
          <w:szCs w:val="36"/>
          <w14:textFill>
            <w14:solidFill>
              <w14:schemeClr w14:val="tx1"/>
            </w14:solidFill>
          </w14:textFill>
        </w:rPr>
        <w:t>法治怀化</w:t>
      </w:r>
      <w:bookmarkEnd w:id="92"/>
    </w:p>
    <w:p>
      <w:pPr>
        <w:spacing w:line="560" w:lineRule="exact"/>
        <w:ind w:firstLine="640"/>
        <w:rPr>
          <w:rFonts w:eastAsia="仿宋_GB2312"/>
          <w:color w:val="000000" w:themeColor="text1"/>
          <w:sz w:val="32"/>
          <w:szCs w:val="32"/>
          <w14:textFill>
            <w14:solidFill>
              <w14:schemeClr w14:val="tx1"/>
            </w14:solidFill>
          </w14:textFill>
        </w:rPr>
      </w:pPr>
    </w:p>
    <w:p>
      <w:pPr>
        <w:spacing w:line="56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全面贯彻总体国家安全观，把安全保障贯穿全市发展各领域和全过程，统筹推进政治安全、经济安全、社会安全等各方面工作，进一步压实安全责任，完善风险监测与防控机制，持续提升</w:t>
      </w:r>
      <w:r>
        <w:rPr>
          <w:rFonts w:ascii="Times New Roman" w:hAnsi="Times New Roman" w:eastAsia="仿宋_GB2312" w:cs="Times New Roman"/>
          <w:color w:val="000000" w:themeColor="text1"/>
          <w:spacing w:val="-6"/>
          <w:sz w:val="32"/>
          <w:szCs w:val="32"/>
          <w14:textFill>
            <w14:solidFill>
              <w14:schemeClr w14:val="tx1"/>
            </w14:solidFill>
          </w14:textFill>
        </w:rPr>
        <w:t>公共安全保障和应急处置能力，为建设更高水平的平安怀化、法治怀化提供坚实保障。</w:t>
      </w:r>
    </w:p>
    <w:p>
      <w:pPr>
        <w:pStyle w:val="6"/>
        <w:spacing w:line="560" w:lineRule="exact"/>
        <w:rPr>
          <w:rFonts w:ascii="Times New Roman" w:hAnsi="Times New Roman" w:eastAsia="黑体" w:cs="Times New Roman"/>
          <w:color w:val="000000" w:themeColor="text1"/>
          <w:sz w:val="32"/>
          <w14:textFill>
            <w14:solidFill>
              <w14:schemeClr w14:val="tx1"/>
            </w14:solidFill>
          </w14:textFill>
        </w:rPr>
      </w:pPr>
    </w:p>
    <w:p>
      <w:pPr>
        <w:pStyle w:val="6"/>
        <w:spacing w:line="560" w:lineRule="exact"/>
        <w:rPr>
          <w:rFonts w:ascii="Times New Roman" w:hAnsi="Times New Roman" w:eastAsia="黑体" w:cs="Times New Roman"/>
          <w:color w:val="000000" w:themeColor="text1"/>
          <w:sz w:val="32"/>
          <w14:textFill>
            <w14:solidFill>
              <w14:schemeClr w14:val="tx1"/>
            </w14:solidFill>
          </w14:textFill>
        </w:rPr>
      </w:pPr>
      <w:bookmarkStart w:id="93" w:name="_Toc27997"/>
      <w:r>
        <w:rPr>
          <w:rFonts w:ascii="Times New Roman" w:hAnsi="Times New Roman" w:eastAsia="黑体" w:cs="Times New Roman"/>
          <w:color w:val="000000" w:themeColor="text1"/>
          <w:sz w:val="32"/>
          <w14:textFill>
            <w14:solidFill>
              <w14:schemeClr w14:val="tx1"/>
            </w14:solidFill>
          </w14:textFill>
        </w:rPr>
        <w:t>第五十六章 加强政治安全能力建设</w:t>
      </w:r>
      <w:bookmarkEnd w:id="93"/>
    </w:p>
    <w:p>
      <w:pPr>
        <w:pStyle w:val="7"/>
        <w:spacing w:line="560" w:lineRule="exact"/>
        <w:rPr>
          <w:rFonts w:eastAsia="仿宋_GB2312"/>
          <w:color w:val="000000" w:themeColor="text1"/>
          <w:sz w:val="32"/>
          <w14:textFill>
            <w14:solidFill>
              <w14:schemeClr w14:val="tx1"/>
            </w14:solidFill>
          </w14:textFill>
        </w:rPr>
      </w:pPr>
    </w:p>
    <w:p>
      <w:pPr>
        <w:pStyle w:val="7"/>
        <w:spacing w:line="56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第一节 捍卫国家政治安全</w:t>
      </w:r>
    </w:p>
    <w:p>
      <w:pPr>
        <w:spacing w:line="560" w:lineRule="exact"/>
        <w:ind w:firstLine="640"/>
        <w:rPr>
          <w:rFonts w:eastAsia="仿宋_GB2312"/>
          <w:color w:val="000000" w:themeColor="text1"/>
          <w:sz w:val="32"/>
          <w:szCs w:val="32"/>
          <w14:textFill>
            <w14:solidFill>
              <w14:schemeClr w14:val="tx1"/>
            </w14:solidFill>
          </w14:textFill>
        </w:rPr>
      </w:pPr>
    </w:p>
    <w:p>
      <w:pPr>
        <w:spacing w:line="56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完善国家安全风险防控体系，健全重点领域和重要专项协调机制。落实国家安全责任制，完善维护政治安全体制机制，促进全链条</w:t>
      </w:r>
      <w:r>
        <w:rPr>
          <w:rFonts w:hint="eastAsia"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全要素协同联动。建立健全反渗透、反颠覆、反分裂的多层次安全防护网络，强化反间谍工作和基层防线建设。持续推进反邪教斗争，严密防范和依法严惩邪教组织非法活动，完善邪教人员教育转化机制。加强对</w:t>
      </w:r>
      <w:r>
        <w:rPr>
          <w:rFonts w:hint="eastAsia"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三股势力</w:t>
      </w:r>
      <w:r>
        <w:rPr>
          <w:rFonts w:hint="eastAsia"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的监测与防控，落实涉恐人员风险排查、分类管控和防范处置措施。注重意识形态安全管理，结合多民族聚居区及与湘黔交界的文化传播特点，严格规范各类讲坛、论坛及新媒体平台活动，坚决遏制政治谣言和煽动颠覆行为，切实维护国家政权稳定、制度安全和意识形态安全。</w:t>
      </w:r>
    </w:p>
    <w:p>
      <w:pPr>
        <w:pStyle w:val="7"/>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第二节 加快国防动员能力建设</w:t>
      </w:r>
    </w:p>
    <w:p>
      <w:pPr>
        <w:spacing w:line="580" w:lineRule="exact"/>
        <w:ind w:firstLine="640"/>
        <w:rPr>
          <w:rFonts w:eastAsia="仿宋_GB2312"/>
          <w:color w:val="000000" w:themeColor="text1"/>
          <w:sz w:val="32"/>
          <w:szCs w:val="32"/>
          <w14:textFill>
            <w14:solidFill>
              <w14:schemeClr w14:val="tx1"/>
            </w14:solidFill>
          </w14:textFill>
        </w:rPr>
      </w:pPr>
    </w:p>
    <w:p>
      <w:pPr>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健全国防动员体制机制，加强军地战略规划统筹、政策制度衔接、资源要素共享，强化国防动员委员会统筹协调作用，进一步巩固提</w:t>
      </w:r>
      <w:r>
        <w:rPr>
          <w:rFonts w:hint="eastAsia" w:eastAsia="仿宋_GB2312" w:cs="Times New Roman"/>
          <w:color w:val="000000" w:themeColor="text1"/>
          <w:sz w:val="32"/>
          <w:szCs w:val="32"/>
          <w14:textFill>
            <w14:solidFill>
              <w14:schemeClr w14:val="tx1"/>
            </w14:solidFill>
          </w14:textFill>
        </w:rPr>
        <w:t>升</w:t>
      </w:r>
      <w:r>
        <w:rPr>
          <w:rFonts w:ascii="Times New Roman" w:hAnsi="Times New Roman" w:eastAsia="仿宋_GB2312" w:cs="Times New Roman"/>
          <w:color w:val="000000" w:themeColor="text1"/>
          <w:sz w:val="32"/>
          <w:szCs w:val="32"/>
          <w14:textFill>
            <w14:solidFill>
              <w14:schemeClr w14:val="tx1"/>
            </w14:solidFill>
          </w14:textFill>
        </w:rPr>
        <w:t>国家一体化战略体系和能力。加强国防后备力量建设，持续提升民兵应战应急能力，健全国防动员、人民防空专业力量建设和预备役人员响应征召机制。进一步优化人民防空建设模式，构建现代人民防空体系。推动国防教育常态化，增强全民国防观念和忧患意识。推进军民融合发展，强化新质生产力对新质战斗力的有效支撑，推动军地在基础设施、科技创新、应急救援、交通运输等领域深度融合，优先提升山区道路</w:t>
      </w:r>
      <w:r>
        <w:rPr>
          <w:rFonts w:hint="eastAsia"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通信基础设施军民两用能力。持续巩固双拥模范</w:t>
      </w:r>
      <w:r>
        <w:rPr>
          <w:rFonts w:hint="eastAsia" w:eastAsia="仿宋_GB2312" w:cs="Times New Roman"/>
          <w:color w:val="000000" w:themeColor="text1"/>
          <w:sz w:val="32"/>
          <w:szCs w:val="32"/>
          <w14:textFill>
            <w14:solidFill>
              <w14:schemeClr w14:val="tx1"/>
            </w14:solidFill>
          </w14:textFill>
        </w:rPr>
        <w:t>城市</w:t>
      </w:r>
      <w:r>
        <w:rPr>
          <w:rFonts w:ascii="Times New Roman" w:hAnsi="Times New Roman" w:eastAsia="仿宋_GB2312" w:cs="Times New Roman"/>
          <w:color w:val="000000" w:themeColor="text1"/>
          <w:sz w:val="32"/>
          <w:szCs w:val="32"/>
          <w14:textFill>
            <w14:solidFill>
              <w14:schemeClr w14:val="tx1"/>
            </w14:solidFill>
          </w14:textFill>
        </w:rPr>
        <w:t>创建成果。</w:t>
      </w:r>
    </w:p>
    <w:p>
      <w:pPr>
        <w:pStyle w:val="7"/>
        <w:spacing w:line="580" w:lineRule="exact"/>
        <w:rPr>
          <w:rFonts w:eastAsia="仿宋_GB2312"/>
          <w:color w:val="000000" w:themeColor="text1"/>
          <w:sz w:val="32"/>
          <w14:textFill>
            <w14:solidFill>
              <w14:schemeClr w14:val="tx1"/>
            </w14:solidFill>
          </w14:textFill>
        </w:rPr>
      </w:pPr>
    </w:p>
    <w:p>
      <w:pPr>
        <w:pStyle w:val="7"/>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第三节 保障战略资源安全</w:t>
      </w:r>
    </w:p>
    <w:p>
      <w:pPr>
        <w:spacing w:line="580" w:lineRule="exact"/>
        <w:ind w:firstLine="640"/>
        <w:rPr>
          <w:rFonts w:eastAsia="仿宋_GB2312"/>
          <w:color w:val="000000" w:themeColor="text1"/>
          <w:sz w:val="32"/>
          <w:szCs w:val="32"/>
          <w14:textFill>
            <w14:solidFill>
              <w14:schemeClr w14:val="tx1"/>
            </w14:solidFill>
          </w14:textFill>
        </w:rPr>
      </w:pPr>
    </w:p>
    <w:p>
      <w:pPr>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坚决扛牢粮食安全政治责任，抓住耕地保护和种业振兴两个关键环节，全面落实新一轮千亿斤粮食产能提升行动，加快高标准农田建设，推动农机农技农艺协同，提升粮食单产和品质，确保全市粮食播种面积只增不减。树立粮食储备底线意识，完善政策性粮食储备、轮换和增储制度，确保粮食与重要农产品稳定供应。完善现代水网和灌排工程体系，健全大型水库、灌区引调水、病险水库除险加固等重大水利工程建设和运行机制。加快构建清洁能源、可再生能源和多元供应体系，推动煤炭清洁高效利用，保障电力、天然气等重要能源供应安全。主动融入和服务国家战略腹地建设和关键产业备份</w:t>
      </w:r>
      <w:r>
        <w:rPr>
          <w:rFonts w:hint="eastAsia" w:eastAsia="仿宋_GB2312" w:cs="Times New Roman"/>
          <w:color w:val="000000" w:themeColor="text1"/>
          <w:sz w:val="32"/>
          <w:szCs w:val="32"/>
          <w14:textFill>
            <w14:solidFill>
              <w14:schemeClr w14:val="tx1"/>
            </w14:solidFill>
          </w14:textFill>
        </w:rPr>
        <w:t>布局</w:t>
      </w:r>
      <w:r>
        <w:rPr>
          <w:rFonts w:ascii="Times New Roman" w:hAnsi="Times New Roman" w:eastAsia="仿宋_GB2312" w:cs="Times New Roman"/>
          <w:color w:val="000000" w:themeColor="text1"/>
          <w:sz w:val="32"/>
          <w:szCs w:val="32"/>
          <w14:textFill>
            <w14:solidFill>
              <w14:schemeClr w14:val="tx1"/>
            </w14:solidFill>
          </w14:textFill>
        </w:rPr>
        <w:t>，保障产业链供应链安全。</w:t>
      </w:r>
    </w:p>
    <w:p>
      <w:pPr>
        <w:pStyle w:val="6"/>
        <w:spacing w:line="580" w:lineRule="exact"/>
        <w:rPr>
          <w:rFonts w:ascii="Times New Roman" w:hAnsi="Times New Roman" w:eastAsia="黑体" w:cs="Times New Roman"/>
          <w:color w:val="000000" w:themeColor="text1"/>
          <w:sz w:val="32"/>
          <w14:textFill>
            <w14:solidFill>
              <w14:schemeClr w14:val="tx1"/>
            </w14:solidFill>
          </w14:textFill>
        </w:rPr>
      </w:pPr>
    </w:p>
    <w:p>
      <w:pPr>
        <w:pStyle w:val="6"/>
        <w:spacing w:line="580" w:lineRule="exact"/>
        <w:rPr>
          <w:rFonts w:ascii="Times New Roman" w:hAnsi="Times New Roman" w:eastAsia="黑体" w:cs="Times New Roman"/>
          <w:color w:val="000000" w:themeColor="text1"/>
          <w:sz w:val="32"/>
          <w14:textFill>
            <w14:solidFill>
              <w14:schemeClr w14:val="tx1"/>
            </w14:solidFill>
          </w14:textFill>
        </w:rPr>
      </w:pPr>
      <w:bookmarkStart w:id="94" w:name="_Toc4444"/>
      <w:r>
        <w:rPr>
          <w:rFonts w:ascii="Times New Roman" w:hAnsi="Times New Roman" w:eastAsia="黑体" w:cs="Times New Roman"/>
          <w:color w:val="000000" w:themeColor="text1"/>
          <w:sz w:val="32"/>
          <w14:textFill>
            <w14:solidFill>
              <w14:schemeClr w14:val="tx1"/>
            </w14:solidFill>
          </w14:textFill>
        </w:rPr>
        <w:t>第五十七章 全面保障经济安全</w:t>
      </w:r>
      <w:bookmarkEnd w:id="94"/>
    </w:p>
    <w:p>
      <w:pPr>
        <w:pStyle w:val="7"/>
        <w:keepNext w:val="0"/>
        <w:keepLines w:val="0"/>
        <w:widowControl/>
        <w:spacing w:line="580" w:lineRule="exact"/>
        <w:rPr>
          <w:rFonts w:eastAsia="仿宋_GB2312"/>
          <w:color w:val="000000" w:themeColor="text1"/>
          <w:sz w:val="32"/>
          <w14:textFill>
            <w14:solidFill>
              <w14:schemeClr w14:val="tx1"/>
            </w14:solidFill>
          </w14:textFill>
        </w:rPr>
      </w:pPr>
    </w:p>
    <w:p>
      <w:pPr>
        <w:pStyle w:val="7"/>
        <w:keepNext w:val="0"/>
        <w:keepLines w:val="0"/>
        <w:widowControl/>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第一节 防范化解地方债务风险</w:t>
      </w:r>
    </w:p>
    <w:p>
      <w:pPr>
        <w:spacing w:line="580" w:lineRule="exact"/>
        <w:ind w:firstLine="640"/>
        <w:rPr>
          <w:rFonts w:eastAsia="仿宋_GB2312"/>
          <w:color w:val="000000" w:themeColor="text1"/>
          <w:sz w:val="32"/>
          <w:szCs w:val="32"/>
          <w14:textFill>
            <w14:solidFill>
              <w14:schemeClr w14:val="tx1"/>
            </w14:solidFill>
          </w14:textFill>
        </w:rPr>
      </w:pPr>
    </w:p>
    <w:p>
      <w:pPr>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坚持增量防控与存量化解并重，加快“一揽子”化债方案实施，强化政府性投资项目全生命周期管理，严格控制债务规模和风险敞口。落实“四清零两压降”目标，推进“四转四打包”及降低企业运营成本措施，推动市本级及怀化高新区、怀化国际陆港经开区国有企业深化改革和高质量转型。完善专项债券全流程管理机制。建立常态化债务监测预警体系，开展债务风险等级“创绿”试点，对重点项目和平台公司债务进行分级管控，实现风险早发现、早预警、早处置。稳妥化解房地产历史遗留问题，妥善化解“保交楼”专项借款。</w:t>
      </w:r>
    </w:p>
    <w:p>
      <w:pPr>
        <w:pStyle w:val="45"/>
        <w:spacing w:beforeAutospacing="0" w:afterAutospacing="0" w:line="580" w:lineRule="exact"/>
        <w:ind w:left="0" w:leftChars="0" w:firstLine="640"/>
        <w:rPr>
          <w:rFonts w:eastAsia="仿宋_GB2312"/>
          <w:color w:val="000000" w:themeColor="text1"/>
          <w:sz w:val="32"/>
          <w:szCs w:val="32"/>
          <w14:textFill>
            <w14:solidFill>
              <w14:schemeClr w14:val="tx1"/>
            </w14:solidFill>
          </w14:textFill>
        </w:rPr>
      </w:pPr>
    </w:p>
    <w:p>
      <w:pPr>
        <w:pStyle w:val="7"/>
        <w:keepNext w:val="0"/>
        <w:keepLines w:val="0"/>
        <w:widowControl/>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第二节 强化金融风险防控</w:t>
      </w:r>
    </w:p>
    <w:p>
      <w:pPr>
        <w:spacing w:line="580" w:lineRule="exact"/>
        <w:ind w:firstLine="640"/>
        <w:rPr>
          <w:rFonts w:eastAsia="仿宋_GB2312"/>
          <w:color w:val="000000" w:themeColor="text1"/>
          <w:sz w:val="32"/>
          <w:szCs w:val="32"/>
          <w14:textFill>
            <w14:solidFill>
              <w14:schemeClr w14:val="tx1"/>
            </w14:solidFill>
          </w14:textFill>
        </w:rPr>
      </w:pPr>
    </w:p>
    <w:p>
      <w:pPr>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健全金融风险防范、化解、处置全链条工作机制，坚决守住不发生系统性金融风险底线，严防经济金融风险向社会稳定、政治安全领域传导。完善监测预警体系，对重点领域开展风险扫描，建立非法集资风险</w:t>
      </w:r>
      <w:r>
        <w:rPr>
          <w:rFonts w:hint="eastAsia" w:eastAsia="仿宋_GB2312" w:cs="Times New Roman"/>
          <w:color w:val="000000" w:themeColor="text1"/>
          <w:sz w:val="32"/>
          <w:szCs w:val="32"/>
          <w14:textFill>
            <w14:solidFill>
              <w14:schemeClr w14:val="tx1"/>
            </w14:solidFill>
          </w14:textFill>
        </w:rPr>
        <w:t>台账</w:t>
      </w:r>
      <w:r>
        <w:rPr>
          <w:rFonts w:ascii="Times New Roman" w:hAnsi="Times New Roman" w:eastAsia="仿宋_GB2312" w:cs="Times New Roman"/>
          <w:color w:val="000000" w:themeColor="text1"/>
          <w:sz w:val="32"/>
          <w:szCs w:val="32"/>
          <w14:textFill>
            <w14:solidFill>
              <w14:schemeClr w14:val="tx1"/>
            </w14:solidFill>
          </w14:textFill>
        </w:rPr>
        <w:t>并实施分类处置。强化地方金融组织监管，对小额贷款、融资担保、典当行等机构实行准入管理</w:t>
      </w:r>
      <w:r>
        <w:rPr>
          <w:rFonts w:hint="eastAsia"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常态化巡查。深化金融纠纷多元化解机制，发挥金融纠纷人民调解委员会和法院诉源治理工作站作用。严厉打击非法金融活动，建立联合执法队伍开展专项整治。健全金融消费者权益保护工作机制，推</w:t>
      </w:r>
      <w:r>
        <w:rPr>
          <w:rFonts w:ascii="Times New Roman" w:hAnsi="Times New Roman" w:eastAsia="仿宋_GB2312" w:cs="Times New Roman"/>
          <w:color w:val="000000" w:themeColor="text1"/>
          <w:spacing w:val="6"/>
          <w:sz w:val="32"/>
          <w:szCs w:val="32"/>
          <w14:textFill>
            <w14:solidFill>
              <w14:schemeClr w14:val="tx1"/>
            </w14:solidFill>
          </w14:textFill>
        </w:rPr>
        <w:t>动建立常态化金融安全宣传教育机制，着力提升社会公众的金融素养和风险辨别能力。压实金融机构主体责任，通过延期、续贷、资产重组等方式盘活不良资产。</w:t>
      </w:r>
    </w:p>
    <w:p>
      <w:pPr>
        <w:pStyle w:val="7"/>
        <w:keepNext w:val="0"/>
        <w:keepLines w:val="0"/>
        <w:widowControl/>
        <w:spacing w:line="580" w:lineRule="exact"/>
        <w:rPr>
          <w:rFonts w:eastAsia="仿宋_GB2312"/>
          <w:color w:val="000000" w:themeColor="text1"/>
          <w:sz w:val="32"/>
          <w14:textFill>
            <w14:solidFill>
              <w14:schemeClr w14:val="tx1"/>
            </w14:solidFill>
          </w14:textFill>
        </w:rPr>
      </w:pPr>
    </w:p>
    <w:p>
      <w:pPr>
        <w:pStyle w:val="7"/>
        <w:keepNext w:val="0"/>
        <w:keepLines w:val="0"/>
        <w:widowControl/>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第三节 提升数字安全能力</w:t>
      </w:r>
    </w:p>
    <w:p>
      <w:pPr>
        <w:spacing w:line="580" w:lineRule="exact"/>
        <w:ind w:firstLine="640"/>
        <w:rPr>
          <w:rFonts w:eastAsia="仿宋_GB2312"/>
          <w:color w:val="000000" w:themeColor="text1"/>
          <w:sz w:val="32"/>
          <w:szCs w:val="32"/>
          <w14:textFill>
            <w14:solidFill>
              <w14:schemeClr w14:val="tx1"/>
            </w14:solidFill>
          </w14:textFill>
        </w:rPr>
      </w:pPr>
    </w:p>
    <w:p>
      <w:pPr>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严格落实网络安全责任制，依托网络安全态势感知平台对信息系统实行实时监控，及时处置网络安全事件。强化工业互联网安全防护，推动企业开展网络安全和数据安全分类分级管理，建立覆盖设备、控制、网络、平台的数据安全防护技术体系。加快数字基础设施安全建设，支持采用云防护、云监测等新型防护措施提升防病毒、防篡改能力。组织“网安怀化”攻防应急演练，提升重点单位安全事件应对能力。加强数据安全执法，联合开展网络安全检查，公布典型执法案例，严厉打击数据泄露、非法网络入侵等违法行为，维护数字经济发展秩序。</w:t>
      </w:r>
    </w:p>
    <w:p>
      <w:pPr>
        <w:pStyle w:val="6"/>
        <w:spacing w:line="540" w:lineRule="exact"/>
        <w:rPr>
          <w:rFonts w:ascii="Times New Roman" w:hAnsi="Times New Roman" w:eastAsia="黑体" w:cs="Times New Roman"/>
          <w:color w:val="000000" w:themeColor="text1"/>
          <w:sz w:val="32"/>
          <w14:textFill>
            <w14:solidFill>
              <w14:schemeClr w14:val="tx1"/>
            </w14:solidFill>
          </w14:textFill>
        </w:rPr>
      </w:pPr>
      <w:bookmarkStart w:id="95" w:name="_Toc25878"/>
      <w:r>
        <w:rPr>
          <w:rFonts w:ascii="Times New Roman" w:hAnsi="Times New Roman" w:eastAsia="黑体" w:cs="Times New Roman"/>
          <w:color w:val="000000" w:themeColor="text1"/>
          <w:sz w:val="32"/>
          <w14:textFill>
            <w14:solidFill>
              <w14:schemeClr w14:val="tx1"/>
            </w14:solidFill>
          </w14:textFill>
        </w:rPr>
        <w:t>第五十八章 维护社会安全稳定</w:t>
      </w:r>
      <w:bookmarkEnd w:id="95"/>
    </w:p>
    <w:p>
      <w:pPr>
        <w:spacing w:line="540" w:lineRule="exact"/>
        <w:rPr>
          <w:rFonts w:eastAsia="仿宋_GB2312"/>
          <w:color w:val="000000" w:themeColor="text1"/>
          <w:szCs w:val="32"/>
          <w14:textFill>
            <w14:solidFill>
              <w14:schemeClr w14:val="tx1"/>
            </w14:solidFill>
          </w14:textFill>
        </w:rPr>
      </w:pPr>
    </w:p>
    <w:p>
      <w:pPr>
        <w:pStyle w:val="7"/>
        <w:widowControl/>
        <w:spacing w:line="54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第一节 加强和改善社会治理</w:t>
      </w:r>
    </w:p>
    <w:p>
      <w:pPr>
        <w:widowControl/>
        <w:spacing w:line="540" w:lineRule="exact"/>
        <w:rPr>
          <w:rFonts w:eastAsia="仿宋_GB2312"/>
          <w:color w:val="000000" w:themeColor="text1"/>
          <w14:textFill>
            <w14:solidFill>
              <w14:schemeClr w14:val="tx1"/>
            </w14:solidFill>
          </w14:textFill>
        </w:rPr>
      </w:pPr>
    </w:p>
    <w:p>
      <w:pPr>
        <w:adjustRightInd w:val="0"/>
        <w:snapToGrid w:val="0"/>
        <w:spacing w:line="54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坚持系统治理、依法治理、综合治理、源头治理，完善共建共治共享的社会治理制度。坚持和发展新时代“枫桥经验”，严格落实维护社会稳定责任制，深入实施《怀化市平安建设源头治理若干规定》，深化拓展“三源”共治，深入推动矛盾纠纷源头化解、多元化解、有序化解。健全党组织领导的自治、法治、德治相结合的城乡基层治理体系，拓宽基层各类组织和群众参与治理渠道，推进基层善治。推进基层档案基础设施</w:t>
      </w:r>
      <w:r>
        <w:rPr>
          <w:rFonts w:hint="eastAsia" w:eastAsia="仿宋_GB2312" w:cs="Times New Roman"/>
          <w:color w:val="000000" w:themeColor="text1"/>
          <w:sz w:val="32"/>
          <w:szCs w:val="32"/>
          <w14:textFill>
            <w14:solidFill>
              <w14:schemeClr w14:val="tx1"/>
            </w14:solidFill>
          </w14:textFill>
        </w:rPr>
        <w:t>标准化</w:t>
      </w:r>
      <w:r>
        <w:rPr>
          <w:rFonts w:ascii="Times New Roman" w:hAnsi="Times New Roman" w:eastAsia="仿宋_GB2312" w:cs="Times New Roman"/>
          <w:color w:val="000000" w:themeColor="text1"/>
          <w:sz w:val="32"/>
          <w:szCs w:val="32"/>
          <w14:textFill>
            <w14:solidFill>
              <w14:schemeClr w14:val="tx1"/>
            </w14:solidFill>
          </w14:textFill>
        </w:rPr>
        <w:t>建设。推动“综治中心+网格化+大数据”一体化运行，强化网格化服务管理要素保障，不断提升风险防控和服务群众的精细化水平。健全社会工作体制机制，加强新经济组织、新社会组织、新就业群体党的建设，推动行业协会商会改革发展。完善凝聚服务群众工作机制，健全社会心理服务体系和危机干预机制。强化</w:t>
      </w:r>
      <w:r>
        <w:rPr>
          <w:rFonts w:hint="eastAsia" w:eastAsia="仿宋_GB2312" w:cs="Times New Roman"/>
          <w:color w:val="000000" w:themeColor="text1"/>
          <w:sz w:val="32"/>
          <w:szCs w:val="32"/>
          <w14:textFill>
            <w14:solidFill>
              <w14:schemeClr w14:val="tx1"/>
            </w14:solidFill>
          </w14:textFill>
        </w:rPr>
        <w:t>政务服务便民热线</w:t>
      </w:r>
      <w:r>
        <w:rPr>
          <w:rFonts w:ascii="Times New Roman" w:hAnsi="Times New Roman" w:eastAsia="仿宋_GB2312" w:cs="Times New Roman"/>
          <w:color w:val="000000" w:themeColor="text1"/>
          <w:sz w:val="32"/>
          <w:szCs w:val="32"/>
          <w14:textFill>
            <w14:solidFill>
              <w14:schemeClr w14:val="tx1"/>
            </w14:solidFill>
          </w14:textFill>
        </w:rPr>
        <w:t>等公共服务平台功能，推动“民有所呼、我有所应”。发展志愿服务。推动信访工作法治化，</w:t>
      </w:r>
      <w:r>
        <w:rPr>
          <w:rFonts w:hint="eastAsia" w:eastAsia="仿宋_GB2312" w:cs="Times New Roman"/>
          <w:color w:val="000000" w:themeColor="text1"/>
          <w:sz w:val="32"/>
          <w:szCs w:val="32"/>
          <w14:textFill>
            <w14:solidFill>
              <w14:schemeClr w14:val="tx1"/>
            </w14:solidFill>
          </w14:textFill>
        </w:rPr>
        <w:t>靶向</w:t>
      </w:r>
      <w:r>
        <w:rPr>
          <w:rFonts w:ascii="Times New Roman" w:hAnsi="Times New Roman" w:eastAsia="仿宋_GB2312" w:cs="Times New Roman"/>
          <w:color w:val="000000" w:themeColor="text1"/>
          <w:sz w:val="32"/>
          <w:szCs w:val="32"/>
          <w14:textFill>
            <w14:solidFill>
              <w14:schemeClr w14:val="tx1"/>
            </w14:solidFill>
          </w14:textFill>
        </w:rPr>
        <w:t>纠治“两应两不”问题，深入开展领导干部接访下访，着力深化信访源头治理和积案化解。</w:t>
      </w:r>
    </w:p>
    <w:p>
      <w:pPr>
        <w:adjustRightInd w:val="0"/>
        <w:snapToGrid w:val="0"/>
        <w:spacing w:line="540" w:lineRule="exact"/>
        <w:rPr>
          <w:rFonts w:eastAsia="仿宋_GB2312"/>
          <w:color w:val="000000" w:themeColor="text1"/>
          <w:szCs w:val="32"/>
          <w14:textFill>
            <w14:solidFill>
              <w14:schemeClr w14:val="tx1"/>
            </w14:solidFill>
          </w14:textFill>
        </w:rPr>
      </w:pPr>
    </w:p>
    <w:p>
      <w:pPr>
        <w:pStyle w:val="7"/>
        <w:widowControl/>
        <w:spacing w:line="54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第二节 完善社会治安综合防控体系</w:t>
      </w:r>
    </w:p>
    <w:p>
      <w:pPr>
        <w:adjustRightInd w:val="0"/>
        <w:snapToGrid w:val="0"/>
        <w:spacing w:line="540" w:lineRule="exact"/>
        <w:ind w:firstLine="640"/>
        <w:rPr>
          <w:rFonts w:eastAsia="仿宋_GB2312"/>
          <w:color w:val="000000" w:themeColor="text1"/>
          <w:sz w:val="32"/>
          <w:szCs w:val="32"/>
          <w14:textFill>
            <w14:solidFill>
              <w14:schemeClr w14:val="tx1"/>
            </w14:solidFill>
          </w14:textFill>
        </w:rPr>
      </w:pPr>
    </w:p>
    <w:p>
      <w:pPr>
        <w:adjustRightInd w:val="0"/>
        <w:snapToGrid w:val="0"/>
        <w:spacing w:line="54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推进社会治安防控体系和治理能力现代化，加快建设立体化、信息化、法治化治安防控网络，推动警务、综治、群防群治深度融合，提升城市治安智能感知、快速反应和精准打击能力。建立完善“专业+机制+大数据”新型警务运行模式，以提升全市公安机关新质战斗力为目标，搭建智慧警务“158N”总体框架。持续推进公安基础设施现代化建设，全力构建紧贴实战、</w:t>
      </w:r>
      <w:r>
        <w:rPr>
          <w:rFonts w:hint="eastAsia" w:eastAsia="仿宋_GB2312" w:cs="Times New Roman"/>
          <w:color w:val="000000" w:themeColor="text1"/>
          <w:sz w:val="32"/>
          <w:szCs w:val="32"/>
          <w14:textFill>
            <w14:solidFill>
              <w14:schemeClr w14:val="tx1"/>
            </w14:solidFill>
          </w14:textFill>
        </w:rPr>
        <w:t>配置</w:t>
      </w:r>
      <w:r>
        <w:rPr>
          <w:rFonts w:ascii="Times New Roman" w:hAnsi="Times New Roman" w:eastAsia="仿宋_GB2312" w:cs="Times New Roman"/>
          <w:color w:val="000000" w:themeColor="text1"/>
          <w:sz w:val="32"/>
          <w:szCs w:val="32"/>
          <w14:textFill>
            <w14:solidFill>
              <w14:schemeClr w14:val="tx1"/>
            </w14:solidFill>
          </w14:textFill>
        </w:rPr>
        <w:t>科学的现代化警用装备体系。健全生物安全监测预警体系，提升应对重大疫情和生物风险的综合防控能力。</w:t>
      </w:r>
    </w:p>
    <w:p>
      <w:pPr>
        <w:pStyle w:val="7"/>
        <w:spacing w:line="540" w:lineRule="exact"/>
        <w:rPr>
          <w:rFonts w:eastAsia="仿宋_GB2312"/>
          <w:color w:val="000000" w:themeColor="text1"/>
          <w:sz w:val="32"/>
          <w14:textFill>
            <w14:solidFill>
              <w14:schemeClr w14:val="tx1"/>
            </w14:solidFill>
          </w14:textFill>
        </w:rPr>
      </w:pPr>
    </w:p>
    <w:p>
      <w:pPr>
        <w:pStyle w:val="7"/>
        <w:spacing w:line="54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第三节 提高公共安全治理水平</w:t>
      </w:r>
    </w:p>
    <w:p>
      <w:pPr>
        <w:adjustRightInd w:val="0"/>
        <w:snapToGrid w:val="0"/>
        <w:spacing w:line="540" w:lineRule="exact"/>
        <w:ind w:firstLine="640"/>
        <w:rPr>
          <w:rFonts w:eastAsia="仿宋_GB2312"/>
          <w:color w:val="000000" w:themeColor="text1"/>
          <w:sz w:val="32"/>
          <w:szCs w:val="32"/>
          <w:shd w:val="clear" w:color="auto" w:fill="FFFFFF"/>
          <w14:textFill>
            <w14:solidFill>
              <w14:schemeClr w14:val="tx1"/>
            </w14:solidFill>
          </w14:textFill>
        </w:rPr>
      </w:pPr>
    </w:p>
    <w:p>
      <w:pPr>
        <w:adjustRightInd w:val="0"/>
        <w:snapToGrid w:val="0"/>
        <w:spacing w:line="540" w:lineRule="exact"/>
        <w:ind w:firstLine="640"/>
        <w:rPr>
          <w:rFonts w:eastAsia="仿宋_GB2312"/>
          <w:color w:val="000000" w:themeColor="text1"/>
          <w:sz w:val="32"/>
          <w:szCs w:val="32"/>
          <w:shd w:val="clear" w:color="auto" w:fill="FFFFFF"/>
          <w14:textFill>
            <w14:solidFill>
              <w14:schemeClr w14:val="tx1"/>
            </w14:solidFill>
          </w14:textFill>
        </w:rPr>
      </w:pPr>
      <w:r>
        <w:rPr>
          <w:rFonts w:ascii="Times New Roman" w:hAnsi="Times New Roman" w:eastAsia="仿宋_GB2312" w:cs="Times New Roman"/>
          <w:color w:val="000000" w:themeColor="text1"/>
          <w:sz w:val="32"/>
          <w:szCs w:val="32"/>
          <w:shd w:val="clear" w:color="auto" w:fill="FFFFFF"/>
          <w14:textFill>
            <w14:solidFill>
              <w14:schemeClr w14:val="tx1"/>
            </w14:solidFill>
          </w14:textFill>
        </w:rPr>
        <w:t>常态化开展全域全行业安全隐患大排查大整治，聚焦矿山、危险化学品、建筑施工、城镇燃气、交通运输、消防等高危行业领域，加强全过程安全监管，强化安全生产考核巡查，压紧压实地方党委、政府领导责任和部门监管责任，严格落实“三管三必须”，提升各领域本质安全水平。构建新型防灾减灾救灾体系</w:t>
      </w:r>
      <w:r>
        <w:rPr>
          <w:rFonts w:ascii="Times New Roman" w:hAnsi="Times New Roman" w:eastAsia="仿宋_GB2312" w:cs="Times New Roman"/>
          <w:bCs w:val="0"/>
          <w:color w:val="000000" w:themeColor="text1"/>
          <w:sz w:val="32"/>
          <w:szCs w:val="32"/>
          <w:shd w:val="clear" w:color="auto" w:fill="FFFFFF"/>
          <w14:textFill>
            <w14:solidFill>
              <w14:schemeClr w14:val="tx1"/>
            </w14:solidFill>
          </w14:textFill>
        </w:rPr>
        <w:t>，</w:t>
      </w:r>
      <w:r>
        <w:rPr>
          <w:rFonts w:ascii="Times New Roman" w:hAnsi="Times New Roman" w:eastAsia="仿宋_GB2312" w:cs="Times New Roman"/>
          <w:color w:val="000000" w:themeColor="text1"/>
          <w:sz w:val="32"/>
          <w:szCs w:val="32"/>
          <w:shd w:val="clear" w:color="auto" w:fill="FFFFFF"/>
          <w14:textFill>
            <w14:solidFill>
              <w14:schemeClr w14:val="tx1"/>
            </w14:solidFill>
          </w14:textFill>
        </w:rPr>
        <w:t>加强灾害监测预警预报，提升</w:t>
      </w:r>
      <w:r>
        <w:rPr>
          <w:rFonts w:ascii="Times New Roman" w:hAnsi="Times New Roman" w:eastAsia="仿宋_GB2312" w:cs="Times New Roman"/>
          <w:bCs w:val="0"/>
          <w:color w:val="000000" w:themeColor="text1"/>
          <w:sz w:val="32"/>
          <w:szCs w:val="32"/>
          <w:shd w:val="clear" w:color="auto" w:fill="FFFFFF"/>
          <w14:textFill>
            <w14:solidFill>
              <w14:schemeClr w14:val="tx1"/>
            </w14:solidFill>
          </w14:textFill>
        </w:rPr>
        <w:t>洪涝、泥石流等灾害防控能力，健全预警响应联动闭环机制，深化“631”递进式预警和精准“叫应”机制，建立预警与应急响应自动联动</w:t>
      </w:r>
      <w:r>
        <w:rPr>
          <w:rFonts w:hint="eastAsia" w:eastAsia="仿宋_GB2312" w:cs="Times New Roman"/>
          <w:bCs w:val="0"/>
          <w:color w:val="000000" w:themeColor="text1"/>
          <w:sz w:val="32"/>
          <w:szCs w:val="32"/>
          <w:shd w:val="clear" w:color="auto" w:fill="FFFFFF"/>
          <w14:textFill>
            <w14:solidFill>
              <w14:schemeClr w14:val="tx1"/>
            </w14:solidFill>
          </w14:textFill>
        </w:rPr>
        <w:t>机制</w:t>
      </w:r>
      <w:r>
        <w:rPr>
          <w:rFonts w:ascii="Times New Roman" w:hAnsi="Times New Roman" w:eastAsia="仿宋_GB2312" w:cs="Times New Roman"/>
          <w:bCs w:val="0"/>
          <w:color w:val="000000" w:themeColor="text1"/>
          <w:sz w:val="32"/>
          <w:szCs w:val="32"/>
          <w:shd w:val="clear" w:color="auto" w:fill="FFFFFF"/>
          <w14:textFill>
            <w14:solidFill>
              <w14:schemeClr w14:val="tx1"/>
            </w14:solidFill>
          </w14:textFill>
        </w:rPr>
        <w:t>，形成管理闭环</w:t>
      </w:r>
      <w:r>
        <w:rPr>
          <w:rFonts w:ascii="Times New Roman" w:hAnsi="Times New Roman" w:eastAsia="仿宋_GB2312" w:cs="Times New Roman"/>
          <w:color w:val="000000" w:themeColor="text1"/>
          <w:sz w:val="32"/>
          <w:szCs w:val="32"/>
          <w:shd w:val="clear" w:color="auto" w:fill="FFFFFF"/>
          <w14:textFill>
            <w14:solidFill>
              <w14:schemeClr w14:val="tx1"/>
            </w14:solidFill>
          </w14:textFill>
        </w:rPr>
        <w:t>。强化食品药品全生命周期监管，完善质量安全追溯体系。加强对特种设备、重点工业产品等的安全监管，</w:t>
      </w:r>
      <w:r>
        <w:rPr>
          <w:rFonts w:ascii="Times New Roman" w:hAnsi="Times New Roman" w:eastAsia="仿宋_GB2312" w:cs="Times New Roman"/>
          <w:color w:val="000000" w:themeColor="text1"/>
          <w:sz w:val="32"/>
          <w:szCs w:val="32"/>
          <w14:textFill>
            <w14:solidFill>
              <w14:schemeClr w14:val="tx1"/>
            </w14:solidFill>
          </w14:textFill>
        </w:rPr>
        <w:t>深入推进安全监管信息化建设</w:t>
      </w:r>
      <w:r>
        <w:rPr>
          <w:rFonts w:ascii="Times New Roman" w:hAnsi="Times New Roman" w:eastAsia="仿宋_GB2312" w:cs="Times New Roman"/>
          <w:color w:val="000000" w:themeColor="text1"/>
          <w:sz w:val="32"/>
          <w:szCs w:val="32"/>
          <w:shd w:val="clear" w:color="auto" w:fill="FFFFFF"/>
          <w14:textFill>
            <w14:solidFill>
              <w14:schemeClr w14:val="tx1"/>
            </w14:solidFill>
          </w14:textFill>
        </w:rPr>
        <w:t>。健全扫黑除恶常态化机制，加大预防和打击电信网络诈骗、毒品犯罪等力度。加强特殊群体管理服务，强化未成年人违法犯罪预防和治理。建设大数据与物联网监测预警平台，提高公共安全治理数智化能力。</w:t>
      </w:r>
    </w:p>
    <w:p>
      <w:pPr>
        <w:pStyle w:val="7"/>
        <w:widowControl/>
        <w:spacing w:line="60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第四节 健全应急保障体系</w:t>
      </w:r>
    </w:p>
    <w:p>
      <w:pPr>
        <w:adjustRightInd w:val="0"/>
        <w:snapToGrid w:val="0"/>
        <w:spacing w:line="600" w:lineRule="exact"/>
        <w:ind w:firstLine="640"/>
        <w:rPr>
          <w:rFonts w:eastAsia="仿宋_GB2312"/>
          <w:color w:val="000000" w:themeColor="text1"/>
          <w:sz w:val="32"/>
          <w:szCs w:val="32"/>
          <w14:textFill>
            <w14:solidFill>
              <w14:schemeClr w14:val="tx1"/>
            </w14:solidFill>
          </w14:textFill>
        </w:rPr>
      </w:pPr>
    </w:p>
    <w:p>
      <w:pPr>
        <w:adjustRightInd w:val="0"/>
        <w:snapToGrid w:val="0"/>
        <w:spacing w:line="60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shd w:val="clear" w:color="auto" w:fill="FFFFFF"/>
          <w14:textFill>
            <w14:solidFill>
              <w14:schemeClr w14:val="tx1"/>
            </w14:solidFill>
          </w14:textFill>
        </w:rPr>
        <w:t>推进湖南省区域应急救援怀化中心提质改造，配备专业化、智能化救援装备，搭建信息化智慧调度系统，构建市、县、乡三级应急物资储备网络，完善培训演练与区域协同机制。完善大安全大应急框架下应急指挥机制，</w:t>
      </w:r>
      <w:r>
        <w:rPr>
          <w:rFonts w:ascii="Times New Roman" w:hAnsi="Times New Roman" w:eastAsia="仿宋_GB2312" w:cs="Times New Roman"/>
          <w:color w:val="000000" w:themeColor="text1"/>
          <w:sz w:val="32"/>
          <w:szCs w:val="32"/>
          <w14:textFill>
            <w14:solidFill>
              <w14:schemeClr w14:val="tx1"/>
            </w14:solidFill>
          </w14:textFill>
        </w:rPr>
        <w:t>健全市、县、乡、村四级应急指挥和协调体系，加强气象、水利、自然资源、交通、能源、通信等领域信息共享和协同联动。优化应急物资储备布局，加强向重点风险区域、偏远乡镇和重要节点前置储备。加强应急救援力量建设，推动专业队伍、基层力量和社会力量协同发展，提升防汛抗洪、山地救援、森林火灾和地质灾害应对能力。强化应急通信、应急供电和应急交通保障能力建设，增强极端条件下应急支撑和连续运行能力。完善应急预案体系和演练机制，常态化开展多灾种、跨部门、跨区域综合演练，全面提升应急体系整体运行水平。</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907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70" w:lineRule="exact"/>
              <w:jc w:val="center"/>
              <w:rPr>
                <w:rFonts w:eastAsia="黑体"/>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专栏16—1 应急能力提升工程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trPr>
        <w:tc>
          <w:tcPr>
            <w:tcW w:w="9071" w:type="dxa"/>
            <w:tcBorders>
              <w:top w:val="single" w:color="auto" w:sz="4" w:space="0"/>
              <w:left w:val="single" w:color="auto" w:sz="4" w:space="0"/>
              <w:bottom w:val="single" w:color="auto" w:sz="4" w:space="0"/>
              <w:right w:val="single" w:color="auto" w:sz="4" w:space="0"/>
            </w:tcBorders>
          </w:tcPr>
          <w:p>
            <w:pPr>
              <w:adjustRightInd w:val="0"/>
              <w:snapToGrid w:val="0"/>
              <w:spacing w:line="510" w:lineRule="exact"/>
              <w:ind w:firstLine="643"/>
              <w:rPr>
                <w:rFonts w:eastAsia="楷体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1.应急指挥部体系建设。</w:t>
            </w:r>
            <w:r>
              <w:rPr>
                <w:rFonts w:ascii="Times New Roman" w:hAnsi="Times New Roman" w:eastAsia="楷体_GB2312" w:cs="Times New Roman"/>
                <w:bCs w:val="0"/>
                <w:color w:val="000000" w:themeColor="text1"/>
                <w:sz w:val="32"/>
                <w:szCs w:val="32"/>
                <w14:textFill>
                  <w14:solidFill>
                    <w14:schemeClr w14:val="tx1"/>
                  </w14:solidFill>
                </w14:textFill>
              </w:rPr>
              <w:t>推动市、县建设标准化应急指挥中心和乡镇（街道）应急指挥节点，配齐“三断”等极限条件下直达乡镇（街道）的应急指挥通信装备。</w:t>
            </w:r>
          </w:p>
          <w:p>
            <w:pPr>
              <w:adjustRightInd w:val="0"/>
              <w:snapToGrid w:val="0"/>
              <w:spacing w:line="510" w:lineRule="exact"/>
              <w:ind w:firstLine="643"/>
              <w:rPr>
                <w:rFonts w:eastAsia="楷体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2.应急指挥</w:t>
            </w:r>
            <w:r>
              <w:rPr>
                <w:rFonts w:ascii="Times New Roman" w:hAnsi="Times New Roman" w:eastAsia="仿宋_GB2312" w:cs="Times New Roman"/>
                <w:b/>
                <w:color w:val="000000" w:themeColor="text1"/>
                <w:sz w:val="32"/>
                <w:szCs w:val="32"/>
                <w14:textFill>
                  <w14:solidFill>
                    <w14:schemeClr w14:val="tx1"/>
                  </w14:solidFill>
                </w14:textFill>
              </w:rPr>
              <w:t>“</w:t>
            </w:r>
            <w:r>
              <w:rPr>
                <w:rFonts w:ascii="Times New Roman" w:hAnsi="Times New Roman" w:eastAsia="楷体_GB2312" w:cs="Times New Roman"/>
                <w:b/>
                <w:color w:val="000000" w:themeColor="text1"/>
                <w:sz w:val="32"/>
                <w:szCs w:val="32"/>
                <w14:textFill>
                  <w14:solidFill>
                    <w14:schemeClr w14:val="tx1"/>
                  </w14:solidFill>
                </w14:textFill>
              </w:rPr>
              <w:t>一张图</w:t>
            </w:r>
            <w:r>
              <w:rPr>
                <w:rFonts w:ascii="Times New Roman" w:hAnsi="Times New Roman" w:eastAsia="仿宋_GB2312" w:cs="Times New Roman"/>
                <w:b/>
                <w:color w:val="000000" w:themeColor="text1"/>
                <w:sz w:val="32"/>
                <w:szCs w:val="32"/>
                <w14:textFill>
                  <w14:solidFill>
                    <w14:schemeClr w14:val="tx1"/>
                  </w14:solidFill>
                </w14:textFill>
              </w:rPr>
              <w:t>”</w:t>
            </w:r>
            <w:r>
              <w:rPr>
                <w:rFonts w:ascii="Times New Roman" w:hAnsi="Times New Roman" w:eastAsia="楷体_GB2312" w:cs="Times New Roman"/>
                <w:b/>
                <w:color w:val="000000" w:themeColor="text1"/>
                <w:sz w:val="32"/>
                <w:szCs w:val="32"/>
                <w14:textFill>
                  <w14:solidFill>
                    <w14:schemeClr w14:val="tx1"/>
                  </w14:solidFill>
                </w14:textFill>
              </w:rPr>
              <w:t>建设。</w:t>
            </w:r>
            <w:r>
              <w:rPr>
                <w:rFonts w:ascii="Times New Roman" w:hAnsi="Times New Roman" w:eastAsia="楷体_GB2312" w:cs="Times New Roman"/>
                <w:bCs w:val="0"/>
                <w:color w:val="000000" w:themeColor="text1"/>
                <w:sz w:val="32"/>
                <w:szCs w:val="32"/>
                <w14:textFill>
                  <w14:solidFill>
                    <w14:schemeClr w14:val="tx1"/>
                  </w14:solidFill>
                </w14:textFill>
              </w:rPr>
              <w:t>依托市本级政务云底座，建设CPU、GPU、网络安全设备等基础设施。升级应急指挥综合平台，构建网络与数据安全风险监测体系。</w:t>
            </w:r>
          </w:p>
          <w:p>
            <w:pPr>
              <w:adjustRightInd w:val="0"/>
              <w:snapToGrid w:val="0"/>
              <w:spacing w:line="510" w:lineRule="exact"/>
              <w:ind w:firstLine="643"/>
              <w:rPr>
                <w:rFonts w:eastAsia="楷体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3.应急救援力量建设。</w:t>
            </w:r>
            <w:r>
              <w:rPr>
                <w:rFonts w:ascii="Times New Roman" w:hAnsi="Times New Roman" w:eastAsia="楷体_GB2312" w:cs="Times New Roman"/>
                <w:bCs w:val="0"/>
                <w:color w:val="000000" w:themeColor="text1"/>
                <w:sz w:val="32"/>
                <w:szCs w:val="32"/>
                <w14:textFill>
                  <w14:solidFill>
                    <w14:schemeClr w14:val="tx1"/>
                  </w14:solidFill>
                </w14:textFill>
              </w:rPr>
              <w:t>对“怀化中心”提质改造。构建队伍常驻、装备入库、场站联动、精准调度的航空救援体系，打造覆盖全市的“队站库一体化”救援网络。综合</w:t>
            </w:r>
            <w:r>
              <w:rPr>
                <w:rFonts w:hint="eastAsia" w:eastAsia="楷体_GB2312" w:cs="Times New Roman"/>
                <w:bCs w:val="0"/>
                <w:color w:val="000000" w:themeColor="text1"/>
                <w:sz w:val="32"/>
                <w:szCs w:val="32"/>
                <w14:textFill>
                  <w14:solidFill>
                    <w14:schemeClr w14:val="tx1"/>
                  </w14:solidFill>
                </w14:textFill>
              </w:rPr>
              <w:t>现有</w:t>
            </w:r>
            <w:r>
              <w:rPr>
                <w:rFonts w:ascii="Times New Roman" w:hAnsi="Times New Roman" w:eastAsia="楷体_GB2312" w:cs="Times New Roman"/>
                <w:bCs w:val="0"/>
                <w:color w:val="000000" w:themeColor="text1"/>
                <w:sz w:val="32"/>
                <w:szCs w:val="32"/>
                <w14:textFill>
                  <w14:solidFill>
                    <w14:schemeClr w14:val="tx1"/>
                  </w14:solidFill>
                </w14:textFill>
              </w:rPr>
              <w:t>消防站布局，分级建设标准化救援站点。</w:t>
            </w:r>
          </w:p>
          <w:p>
            <w:pPr>
              <w:adjustRightInd w:val="0"/>
              <w:snapToGrid w:val="0"/>
              <w:spacing w:line="510" w:lineRule="exact"/>
              <w:ind w:firstLine="643"/>
              <w:rPr>
                <w:rFonts w:eastAsia="楷体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4.应急物资仓储基地建设。</w:t>
            </w:r>
            <w:r>
              <w:rPr>
                <w:rFonts w:ascii="Times New Roman" w:hAnsi="Times New Roman" w:eastAsia="楷体_GB2312" w:cs="Times New Roman"/>
                <w:bCs w:val="0"/>
                <w:color w:val="000000" w:themeColor="text1"/>
                <w:sz w:val="32"/>
                <w:szCs w:val="32"/>
                <w14:textFill>
                  <w14:solidFill>
                    <w14:schemeClr w14:val="tx1"/>
                  </w14:solidFill>
                </w14:textFill>
              </w:rPr>
              <w:t>依托湖南省区域应急救援怀化中心，建设南方应急物资储备基地怀化库。强化对湘西、湘西南山区地质灾害救援、森林火灾扑救及跨区域联动支援的物资保障功能，提升抢险救灾、医疗防护等关键物资的战略储备与快速分拨能力</w:t>
            </w:r>
            <w:r>
              <w:rPr>
                <w:rFonts w:ascii="Times New Roman" w:hAnsi="Times New Roman" w:eastAsia="楷体_GB2312" w:cs="Times New Roman"/>
                <w:color w:val="000000" w:themeColor="text1"/>
                <w:sz w:val="32"/>
                <w:szCs w:val="32"/>
                <w14:textFill>
                  <w14:solidFill>
                    <w14:schemeClr w14:val="tx1"/>
                  </w14:solidFill>
                </w14:textFill>
              </w:rPr>
              <w:t>。</w:t>
            </w:r>
          </w:p>
          <w:p>
            <w:pPr>
              <w:adjustRightInd w:val="0"/>
              <w:snapToGrid w:val="0"/>
              <w:spacing w:line="510" w:lineRule="exact"/>
              <w:ind w:firstLine="643"/>
              <w:rPr>
                <w:rFonts w:eastAsia="楷体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5.应急避难场所建设。</w:t>
            </w:r>
            <w:r>
              <w:rPr>
                <w:rFonts w:ascii="Times New Roman" w:hAnsi="Times New Roman" w:eastAsia="楷体_GB2312" w:cs="Times New Roman"/>
                <w:color w:val="000000" w:themeColor="text1"/>
                <w:sz w:val="32"/>
                <w:szCs w:val="32"/>
                <w14:textFill>
                  <w14:solidFill>
                    <w14:schemeClr w14:val="tx1"/>
                  </w14:solidFill>
                </w14:textFill>
              </w:rPr>
              <w:t>系统构建覆盖全市、功能完备、平急两用的四级（市、县、乡、村）应急避难场所网络。实施应急避难场所数智提升工程，在市级重点场所部署视频监控、致灾监测系统，在县级及以下场所部署基础视频监控，构建全域覆盖的智能感知网络。</w:t>
            </w:r>
          </w:p>
          <w:p>
            <w:pPr>
              <w:adjustRightInd w:val="0"/>
              <w:snapToGrid w:val="0"/>
              <w:spacing w:line="510" w:lineRule="exact"/>
              <w:ind w:firstLine="643"/>
              <w:rPr>
                <w:rFonts w:eastAsia="楷体_GB2312"/>
                <w:color w:val="000000" w:themeColor="text1"/>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6.安全应急科普基地建设。</w:t>
            </w:r>
            <w:r>
              <w:rPr>
                <w:rFonts w:ascii="Times New Roman" w:hAnsi="Times New Roman" w:eastAsia="楷体_GB2312" w:cs="Times New Roman"/>
                <w:color w:val="000000" w:themeColor="text1"/>
                <w:sz w:val="32"/>
                <w:szCs w:val="32"/>
                <w14:textFill>
                  <w14:solidFill>
                    <w14:schemeClr w14:val="tx1"/>
                  </w14:solidFill>
                </w14:textFill>
              </w:rPr>
              <w:t>建设安全应急科普基地、场馆、火灾安全应急驿站，持续推进安全宣传进企业、进农村、进学校、进社区、进家庭。</w:t>
            </w:r>
          </w:p>
          <w:p>
            <w:pPr>
              <w:adjustRightInd w:val="0"/>
              <w:snapToGrid w:val="0"/>
              <w:spacing w:line="510" w:lineRule="exact"/>
              <w:ind w:firstLine="643"/>
              <w:rPr>
                <w:rFonts w:eastAsia="楷体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7.森林防灭火。</w:t>
            </w:r>
            <w:r>
              <w:rPr>
                <w:rFonts w:ascii="Times New Roman" w:hAnsi="Times New Roman" w:eastAsia="楷体_GB2312" w:cs="Times New Roman"/>
                <w:color w:val="000000" w:themeColor="text1"/>
                <w:sz w:val="32"/>
                <w:szCs w:val="32"/>
                <w14:textFill>
                  <w14:solidFill>
                    <w14:schemeClr w14:val="tx1"/>
                  </w14:solidFill>
                </w14:textFill>
              </w:rPr>
              <w:t>推进生物防火林带、隔离带、防火道、应急通道、蓄水池等林火阻隔系统建设，</w:t>
            </w:r>
            <w:r>
              <w:rPr>
                <w:rFonts w:ascii="Times New Roman" w:hAnsi="Times New Roman" w:eastAsia="楷体_GB2312" w:cs="Times New Roman"/>
                <w:bCs w:val="0"/>
                <w:color w:val="000000" w:themeColor="text1"/>
                <w:sz w:val="32"/>
                <w:szCs w:val="32"/>
                <w14:textFill>
                  <w14:solidFill>
                    <w14:schemeClr w14:val="tx1"/>
                  </w14:solidFill>
                </w14:textFill>
              </w:rPr>
              <w:t>在乡镇一级</w:t>
            </w:r>
            <w:r>
              <w:rPr>
                <w:rFonts w:ascii="Times New Roman" w:hAnsi="Times New Roman" w:eastAsia="楷体_GB2312" w:cs="Times New Roman"/>
                <w:color w:val="000000" w:themeColor="text1"/>
                <w:sz w:val="32"/>
                <w:szCs w:val="32"/>
                <w14:textFill>
                  <w14:solidFill>
                    <w14:schemeClr w14:val="tx1"/>
                  </w14:solidFill>
                </w14:textFill>
              </w:rPr>
              <w:t>新建应急消防救援站，升级铁塔及无人机巡防监控系统。</w:t>
            </w:r>
          </w:p>
          <w:p>
            <w:pPr>
              <w:adjustRightInd w:val="0"/>
              <w:snapToGrid w:val="0"/>
              <w:spacing w:line="510" w:lineRule="exact"/>
              <w:ind w:firstLine="643"/>
              <w:rPr>
                <w:rFonts w:eastAsia="楷体_GB2312"/>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8.泥石流与地质灾害防治。</w:t>
            </w:r>
            <w:r>
              <w:rPr>
                <w:rFonts w:ascii="Times New Roman" w:hAnsi="Times New Roman" w:eastAsia="楷体_GB2312" w:cs="Times New Roman"/>
                <w:bCs w:val="0"/>
                <w:color w:val="000000" w:themeColor="text1"/>
                <w:sz w:val="32"/>
                <w:szCs w:val="32"/>
                <w14:textFill>
                  <w14:solidFill>
                    <w14:schemeClr w14:val="tx1"/>
                  </w14:solidFill>
                </w14:textFill>
              </w:rPr>
              <w:t>开展全域地质灾害详细调查，建立新隐患点数据库，</w:t>
            </w:r>
            <w:r>
              <w:rPr>
                <w:rFonts w:ascii="Times New Roman" w:hAnsi="Times New Roman" w:eastAsia="楷体_GB2312" w:cs="Times New Roman"/>
                <w:color w:val="000000" w:themeColor="text1"/>
                <w:sz w:val="32"/>
                <w:szCs w:val="32"/>
                <w14:textFill>
                  <w14:solidFill>
                    <w14:schemeClr w14:val="tx1"/>
                  </w14:solidFill>
                </w14:textFill>
              </w:rPr>
              <w:t>加强崩塌隐患点治理，搭建监测预警系统。推进水土保持等生态工程。</w:t>
            </w:r>
          </w:p>
          <w:p>
            <w:pPr>
              <w:adjustRightInd w:val="0"/>
              <w:snapToGrid w:val="0"/>
              <w:spacing w:line="510" w:lineRule="exact"/>
              <w:ind w:firstLine="643"/>
              <w:rPr>
                <w:rFonts w:eastAsia="楷体_GB2312"/>
                <w:b/>
                <w:bCs w:val="0"/>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9.综合防控与生态修复。</w:t>
            </w:r>
            <w:r>
              <w:rPr>
                <w:rFonts w:ascii="Times New Roman" w:hAnsi="Times New Roman" w:eastAsia="楷体_GB2312" w:cs="Times New Roman"/>
                <w:color w:val="000000" w:themeColor="text1"/>
                <w:sz w:val="32"/>
                <w:szCs w:val="32"/>
                <w14:textFill>
                  <w14:solidFill>
                    <w14:schemeClr w14:val="tx1"/>
                  </w14:solidFill>
                </w14:textFill>
              </w:rPr>
              <w:t>深化与贵州玉屏、岑巩等邻县流域治理合作，共建水质监测站，搭建自然灾害智慧防控平台。</w:t>
            </w:r>
          </w:p>
        </w:tc>
      </w:tr>
    </w:tbl>
    <w:p>
      <w:pPr>
        <w:pStyle w:val="6"/>
        <w:spacing w:line="560" w:lineRule="exact"/>
        <w:rPr>
          <w:rFonts w:ascii="Times New Roman" w:hAnsi="Times New Roman" w:eastAsia="黑体" w:cs="Times New Roman"/>
          <w:color w:val="000000" w:themeColor="text1"/>
          <w:sz w:val="32"/>
          <w14:textFill>
            <w14:solidFill>
              <w14:schemeClr w14:val="tx1"/>
            </w14:solidFill>
          </w14:textFill>
        </w:rPr>
      </w:pPr>
      <w:bookmarkStart w:id="96" w:name="_Toc31479"/>
      <w:r>
        <w:rPr>
          <w:rFonts w:ascii="Times New Roman" w:hAnsi="Times New Roman" w:eastAsia="黑体" w:cs="Times New Roman"/>
          <w:color w:val="000000" w:themeColor="text1"/>
          <w:sz w:val="32"/>
          <w14:textFill>
            <w14:solidFill>
              <w14:schemeClr w14:val="tx1"/>
            </w14:solidFill>
          </w14:textFill>
        </w:rPr>
        <w:t>第五十九章 推进社会主义民主法治建设</w:t>
      </w:r>
      <w:bookmarkEnd w:id="96"/>
    </w:p>
    <w:p>
      <w:pPr>
        <w:pStyle w:val="7"/>
        <w:spacing w:line="560" w:lineRule="exact"/>
        <w:rPr>
          <w:rFonts w:eastAsia="仿宋_GB2312"/>
          <w:color w:val="000000" w:themeColor="text1"/>
          <w:sz w:val="32"/>
          <w14:textFill>
            <w14:solidFill>
              <w14:schemeClr w14:val="tx1"/>
            </w14:solidFill>
          </w14:textFill>
        </w:rPr>
      </w:pPr>
    </w:p>
    <w:p>
      <w:pPr>
        <w:pStyle w:val="7"/>
        <w:spacing w:line="56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第一节 发展全过程人民民主</w:t>
      </w:r>
    </w:p>
    <w:p>
      <w:pPr>
        <w:widowControl/>
        <w:adjustRightInd w:val="0"/>
        <w:snapToGrid w:val="0"/>
        <w:spacing w:line="560" w:lineRule="exact"/>
        <w:ind w:firstLine="640"/>
        <w:rPr>
          <w:rFonts w:eastAsia="仿宋_GB2312"/>
          <w:color w:val="000000" w:themeColor="text1"/>
          <w:sz w:val="32"/>
          <w:szCs w:val="32"/>
          <w14:textFill>
            <w14:solidFill>
              <w14:schemeClr w14:val="tx1"/>
            </w14:solidFill>
          </w14:textFill>
        </w:rPr>
      </w:pPr>
    </w:p>
    <w:p>
      <w:pPr>
        <w:widowControl/>
        <w:spacing w:line="560" w:lineRule="exact"/>
        <w:ind w:firstLine="640"/>
        <w:jc w:val="left"/>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坚持党的领导、人民当家作主、依法治国有机统一，发展全过程人民民主。坚持好、完善好、运行好人民代表大会制度，规范权力运行，保障政府机关依法履职尽责，维护人民群众合法民主权利与切身利益。坚持正确监督、有效监督，推进联动监督、协同监督，健全人大对“一府一委两院”监督制度。坚持依法开展重大事项决定和选举任免工作。坚持和完善中国共产党领导的多党合作和政治协商制度，扎实推进协商民主广泛多层制度化发展。健全基层民主制度，保障人民依法管理基层公共事务和公益事业，健全吸纳民意、汇集民智工作机制。完善大统战工作格局，巩固和发展最广泛的爱国统一战线。铸牢中华民族共同体意识，巩固拓展全国民族团结进步示范区创建成果。坚持我国宗教中国化方向，加强宗教事务治理法治化。全面贯彻党的侨务政策。务实做好港澳台</w:t>
      </w:r>
      <w:r>
        <w:rPr>
          <w:rFonts w:hint="eastAsia" w:eastAsia="仿宋_GB2312" w:cs="Times New Roman"/>
          <w:color w:val="000000" w:themeColor="text1"/>
          <w:sz w:val="32"/>
          <w:szCs w:val="32"/>
          <w14:textFill>
            <w14:solidFill>
              <w14:schemeClr w14:val="tx1"/>
            </w14:solidFill>
          </w14:textFill>
        </w:rPr>
        <w:t>相关</w:t>
      </w:r>
      <w:r>
        <w:rPr>
          <w:rFonts w:ascii="Times New Roman" w:hAnsi="Times New Roman" w:eastAsia="仿宋_GB2312" w:cs="Times New Roman"/>
          <w:color w:val="000000" w:themeColor="text1"/>
          <w:sz w:val="32"/>
          <w:szCs w:val="32"/>
          <w14:textFill>
            <w14:solidFill>
              <w14:schemeClr w14:val="tx1"/>
            </w14:solidFill>
          </w14:textFill>
        </w:rPr>
        <w:t>工作。更好发挥工会、共青团、妇联等群团组织作用，加强产业工人队伍建设、青少年发展、妇女儿童事业发展政策保障。</w:t>
      </w:r>
    </w:p>
    <w:p>
      <w:pPr>
        <w:spacing w:line="560" w:lineRule="exact"/>
        <w:ind w:firstLine="640"/>
        <w:rPr>
          <w:rFonts w:eastAsia="仿宋_GB2312"/>
          <w:color w:val="000000" w:themeColor="text1"/>
          <w:sz w:val="32"/>
          <w:szCs w:val="32"/>
          <w14:textFill>
            <w14:solidFill>
              <w14:schemeClr w14:val="tx1"/>
            </w14:solidFill>
          </w14:textFill>
        </w:rPr>
      </w:pPr>
    </w:p>
    <w:p>
      <w:pPr>
        <w:pStyle w:val="7"/>
        <w:spacing w:line="56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第二节 强化法治政府建设</w:t>
      </w:r>
    </w:p>
    <w:p>
      <w:pPr>
        <w:adjustRightInd w:val="0"/>
        <w:snapToGrid w:val="0"/>
        <w:spacing w:line="560" w:lineRule="exact"/>
        <w:ind w:firstLine="640"/>
        <w:rPr>
          <w:rFonts w:eastAsia="仿宋_GB2312"/>
          <w:color w:val="000000" w:themeColor="text1"/>
          <w:sz w:val="32"/>
          <w:szCs w:val="32"/>
          <w14:textFill>
            <w14:solidFill>
              <w14:schemeClr w14:val="tx1"/>
            </w14:solidFill>
          </w14:textFill>
        </w:rPr>
      </w:pPr>
    </w:p>
    <w:p>
      <w:pPr>
        <w:adjustRightInd w:val="0"/>
        <w:snapToGrid w:val="0"/>
        <w:spacing w:line="56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完善党委领导、人大主导、政府依托、各方参与的立法工作格局，统筹做好与国家法律法规衔接配套的实施性立法和体现地方特色的创制性立法，加强重点领域和新兴领域立法，加大“小快灵”“小切口”立法力度，坚持立改废释并举，切实提高立法质量与效率，健全地方性法规全流程实施管理机制。依法全面履行政府职能，健全政府权责清单，建立权责统一、权威高效的依法行政制度机制。全面落实行政规范性文件备案审查，完善实质性化解行政争议机制。健全政府法律顾问制度。深化行政执法体制改革，规范行政执法自由裁量权，严格落实行政执法责任制。健全行政执法监督工作体系，自觉接受党内监督、人大监督、司法监督，加强审计监督和行政复议监督。深入推进政务公开。完善“府院联动”“府检联动”机制，有序推进乡镇</w:t>
      </w:r>
      <w:r>
        <w:rPr>
          <w:rFonts w:hint="eastAsia"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街道</w:t>
      </w:r>
      <w:r>
        <w:rPr>
          <w:rFonts w:hint="eastAsia"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综合行政执法改革，健全行政处罚与刑事处罚双向衔接机制。</w:t>
      </w:r>
    </w:p>
    <w:p>
      <w:pPr>
        <w:adjustRightInd w:val="0"/>
        <w:snapToGrid w:val="0"/>
        <w:spacing w:line="560" w:lineRule="exact"/>
        <w:ind w:firstLine="640"/>
        <w:rPr>
          <w:rFonts w:eastAsia="仿宋_GB2312"/>
          <w:color w:val="000000" w:themeColor="text1"/>
          <w:sz w:val="32"/>
          <w:szCs w:val="32"/>
          <w14:textFill>
            <w14:solidFill>
              <w14:schemeClr w14:val="tx1"/>
            </w14:solidFill>
          </w14:textFill>
        </w:rPr>
      </w:pPr>
    </w:p>
    <w:p>
      <w:pPr>
        <w:pStyle w:val="7"/>
        <w:keepNext w:val="0"/>
        <w:keepLines w:val="0"/>
        <w:spacing w:line="56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第三节 全面提升司法公信力</w:t>
      </w:r>
    </w:p>
    <w:p>
      <w:pPr>
        <w:adjustRightInd w:val="0"/>
        <w:snapToGrid w:val="0"/>
        <w:spacing w:line="560" w:lineRule="exact"/>
        <w:ind w:firstLine="640"/>
        <w:rPr>
          <w:rFonts w:eastAsia="仿宋_GB2312"/>
          <w:color w:val="000000" w:themeColor="text1"/>
          <w:sz w:val="32"/>
          <w:szCs w:val="32"/>
          <w14:textFill>
            <w14:solidFill>
              <w14:schemeClr w14:val="tx1"/>
            </w14:solidFill>
          </w14:textFill>
        </w:rPr>
      </w:pPr>
    </w:p>
    <w:p>
      <w:pPr>
        <w:pStyle w:val="45"/>
        <w:spacing w:beforeAutospacing="0" w:afterAutospacing="0" w:line="560" w:lineRule="exact"/>
        <w:ind w:left="0" w:leftChars="0"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规范司法权力运行，完善司法公正实现和评价机制，提高司法裁判公正性、稳定性、权威性。深化以审判为中心的刑事诉讼制度、行政诉讼集中管辖等体制机制改革，健全更加符合司法规律的审判质效管理体系，加快推进审判工作现代化。加强人权执法司法保障，完善适用认罪认罚从宽制度的工作机制。推进刑事案件律师辩护全覆盖。完善执法司法救济保护制度。探索运用大数据、大模型提升办案质效，加快数字法院建设。强化检察监督，加强公益诉讼。依法保障人身权、财产权、人格权，健全规范涉企执法长效机制，防止和纠正违规异地执法、趋利性执法。健全执行体制，切实增强执行效能。</w:t>
      </w:r>
    </w:p>
    <w:p>
      <w:pPr>
        <w:pStyle w:val="7"/>
        <w:keepNext w:val="0"/>
        <w:keepLines w:val="0"/>
        <w:spacing w:line="580" w:lineRule="exact"/>
        <w:rPr>
          <w:rFonts w:eastAsia="仿宋_GB2312"/>
          <w:color w:val="000000" w:themeColor="text1"/>
          <w:sz w:val="32"/>
          <w14:textFill>
            <w14:solidFill>
              <w14:schemeClr w14:val="tx1"/>
            </w14:solidFill>
          </w14:textFill>
        </w:rPr>
      </w:pPr>
    </w:p>
    <w:p>
      <w:pPr>
        <w:pStyle w:val="7"/>
        <w:keepNext w:val="0"/>
        <w:keepLines w:val="0"/>
        <w:spacing w:line="580" w:lineRule="exact"/>
        <w:rPr>
          <w:rFonts w:eastAsia="仿宋_GB2312"/>
          <w:color w:val="000000" w:themeColor="text1"/>
          <w:sz w:val="32"/>
          <w14:textFill>
            <w14:solidFill>
              <w14:schemeClr w14:val="tx1"/>
            </w14:solidFill>
          </w14:textFill>
        </w:rPr>
      </w:pPr>
      <w:r>
        <w:rPr>
          <w:rFonts w:eastAsia="仿宋_GB2312"/>
          <w:color w:val="000000" w:themeColor="text1"/>
          <w:sz w:val="32"/>
          <w14:textFill>
            <w14:solidFill>
              <w14:schemeClr w14:val="tx1"/>
            </w14:solidFill>
          </w14:textFill>
        </w:rPr>
        <w:t>第四节 推进法治社会</w:t>
      </w:r>
    </w:p>
    <w:p>
      <w:pPr>
        <w:spacing w:line="580" w:lineRule="exact"/>
        <w:rPr>
          <w:rFonts w:eastAsia="仿宋_GB2312"/>
          <w:color w:val="000000" w:themeColor="text1"/>
          <w14:textFill>
            <w14:solidFill>
              <w14:schemeClr w14:val="tx1"/>
            </w14:solidFill>
          </w14:textFill>
        </w:rPr>
      </w:pPr>
    </w:p>
    <w:p>
      <w:pPr>
        <w:pStyle w:val="45"/>
        <w:spacing w:beforeAutospacing="0" w:afterAutospacing="0" w:line="580" w:lineRule="exact"/>
        <w:ind w:left="0" w:leftChars="0"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一体推进法治宣传、法律服务和依法治理，营造全社会崇尚法治、恪守规则、尊重契约、维护公正的良好环境。加大全民普法工作力度，落实“谁执法谁普法”普法责任制，推行“以案释法”，完善媒体公益普法机制。健全网络生态治理长效机制，加强网络空间法治建设。推进多层次、多领域依法治理，提高社会治理法治化水平。完善法律援助和司法救助制度，健全依法维权和矛盾纠纷</w:t>
      </w:r>
      <w:r>
        <w:rPr>
          <w:rFonts w:eastAsia="仿宋_GB2312"/>
          <w:color w:val="000000" w:themeColor="text1"/>
          <w:spacing w:val="-11"/>
          <w:sz w:val="32"/>
          <w:szCs w:val="32"/>
          <w14:textFill>
            <w14:solidFill>
              <w14:schemeClr w14:val="tx1"/>
            </w14:solidFill>
          </w14:textFill>
        </w:rPr>
        <w:t>多元预防</w:t>
      </w:r>
      <w:r>
        <w:rPr>
          <w:rFonts w:eastAsia="仿宋_GB2312"/>
          <w:color w:val="000000" w:themeColor="text1"/>
          <w:sz w:val="32"/>
          <w:szCs w:val="32"/>
          <w14:textFill>
            <w14:solidFill>
              <w14:schemeClr w14:val="tx1"/>
            </w14:solidFill>
          </w14:textFill>
        </w:rPr>
        <w:t>化解机制。加强涉外法律人才培养，持续推进湖南（怀化）国际陆港法务区建设，协同推进涉外执法、司法、守法和法律服务。加强法治人才和队伍建设，打造智慧法治、善治高效的法治社会</w:t>
      </w:r>
      <w:r>
        <w:rPr>
          <w:rFonts w:hint="eastAsia" w:eastAsia="仿宋_GB2312"/>
          <w:color w:val="000000" w:themeColor="text1"/>
          <w:sz w:val="32"/>
          <w:szCs w:val="32"/>
          <w14:textFill>
            <w14:solidFill>
              <w14:schemeClr w14:val="tx1"/>
            </w14:solidFill>
          </w14:textFill>
        </w:rPr>
        <w:t>。</w:t>
      </w:r>
    </w:p>
    <w:p>
      <w:pPr>
        <w:pStyle w:val="45"/>
        <w:spacing w:beforeAutospacing="0" w:afterAutospacing="0" w:line="580" w:lineRule="exact"/>
        <w:ind w:left="0" w:leftChars="0"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br w:type="page"/>
      </w:r>
    </w:p>
    <w:p>
      <w:pPr>
        <w:pStyle w:val="5"/>
        <w:spacing w:line="580" w:lineRule="exact"/>
        <w:rPr>
          <w:rFonts w:eastAsia="仿宋_GB2312"/>
          <w:color w:val="000000" w:themeColor="text1"/>
          <w:sz w:val="36"/>
          <w:szCs w:val="36"/>
          <w14:textFill>
            <w14:solidFill>
              <w14:schemeClr w14:val="tx1"/>
            </w14:solidFill>
          </w14:textFill>
        </w:rPr>
      </w:pPr>
      <w:bookmarkStart w:id="97" w:name="_Toc21916"/>
      <w:r>
        <w:rPr>
          <w:rFonts w:eastAsia="方正小标宋简体"/>
          <w:color w:val="000000" w:themeColor="text1"/>
          <w:sz w:val="36"/>
          <w:szCs w:val="36"/>
          <w14:textFill>
            <w14:solidFill>
              <w14:schemeClr w14:val="tx1"/>
            </w14:solidFill>
          </w14:textFill>
        </w:rPr>
        <w:t>第十七篇 加强组织领导，确保规划宏伟蓝图顺利实施</w:t>
      </w:r>
      <w:bookmarkEnd w:id="97"/>
    </w:p>
    <w:p>
      <w:pPr>
        <w:spacing w:line="580" w:lineRule="exact"/>
        <w:ind w:firstLine="640"/>
        <w:rPr>
          <w:rFonts w:eastAsia="仿宋_GB2312"/>
          <w:color w:val="000000" w:themeColor="text1"/>
          <w:sz w:val="32"/>
          <w:szCs w:val="32"/>
          <w14:textFill>
            <w14:solidFill>
              <w14:schemeClr w14:val="tx1"/>
            </w14:solidFill>
          </w14:textFill>
        </w:rPr>
      </w:pPr>
    </w:p>
    <w:p>
      <w:pPr>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坚持和加强党的全面领导，健全规划实施保障机制，更好履行政府职责，最大限度激发经营主体动力活力，举全市之力、全民之智确保规划顺利实施。</w:t>
      </w:r>
    </w:p>
    <w:p>
      <w:pPr>
        <w:pStyle w:val="6"/>
        <w:spacing w:line="580" w:lineRule="exact"/>
        <w:rPr>
          <w:rFonts w:ascii="Times New Roman" w:hAnsi="Times New Roman" w:eastAsia="黑体" w:cs="Times New Roman"/>
          <w:color w:val="000000" w:themeColor="text1"/>
          <w:sz w:val="32"/>
          <w14:textFill>
            <w14:solidFill>
              <w14:schemeClr w14:val="tx1"/>
            </w14:solidFill>
          </w14:textFill>
        </w:rPr>
      </w:pPr>
    </w:p>
    <w:p>
      <w:pPr>
        <w:pStyle w:val="6"/>
        <w:spacing w:line="580" w:lineRule="exact"/>
        <w:rPr>
          <w:rFonts w:ascii="Times New Roman" w:hAnsi="Times New Roman" w:eastAsia="黑体" w:cs="Times New Roman"/>
          <w:color w:val="000000" w:themeColor="text1"/>
          <w:sz w:val="32"/>
          <w14:textFill>
            <w14:solidFill>
              <w14:schemeClr w14:val="tx1"/>
            </w14:solidFill>
          </w14:textFill>
        </w:rPr>
      </w:pPr>
      <w:bookmarkStart w:id="98" w:name="_Toc17027"/>
      <w:r>
        <w:rPr>
          <w:rFonts w:ascii="Times New Roman" w:hAnsi="Times New Roman" w:eastAsia="黑体" w:cs="Times New Roman"/>
          <w:color w:val="000000" w:themeColor="text1"/>
          <w:sz w:val="32"/>
          <w14:textFill>
            <w14:solidFill>
              <w14:schemeClr w14:val="tx1"/>
            </w14:solidFill>
          </w14:textFill>
        </w:rPr>
        <w:t>第六十章 加强党的全面领导</w:t>
      </w:r>
      <w:bookmarkEnd w:id="98"/>
    </w:p>
    <w:p>
      <w:pPr>
        <w:spacing w:line="580" w:lineRule="exact"/>
        <w:ind w:firstLine="640"/>
        <w:rPr>
          <w:rFonts w:eastAsia="仿宋_GB2312"/>
          <w:color w:val="000000" w:themeColor="text1"/>
          <w:sz w:val="32"/>
          <w:szCs w:val="32"/>
          <w14:textFill>
            <w14:solidFill>
              <w14:schemeClr w14:val="tx1"/>
            </w14:solidFill>
          </w14:textFill>
        </w:rPr>
      </w:pPr>
    </w:p>
    <w:p>
      <w:pPr>
        <w:spacing w:line="580" w:lineRule="exact"/>
        <w:jc w:val="center"/>
        <w:rPr>
          <w:rFonts w:eastAsia="仿宋_GB2312"/>
          <w:b/>
          <w:bCs w:val="0"/>
          <w:color w:val="000000" w:themeColor="text1"/>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第一节 强化党对规划实施全过程的领导</w:t>
      </w:r>
    </w:p>
    <w:p>
      <w:pPr>
        <w:spacing w:line="580" w:lineRule="exact"/>
        <w:ind w:firstLine="640"/>
        <w:rPr>
          <w:rFonts w:eastAsia="仿宋_GB2312"/>
          <w:color w:val="000000" w:themeColor="text1"/>
          <w:sz w:val="32"/>
          <w:szCs w:val="32"/>
          <w14:textFill>
            <w14:solidFill>
              <w14:schemeClr w14:val="tx1"/>
            </w14:solidFill>
          </w14:textFill>
        </w:rPr>
      </w:pPr>
    </w:p>
    <w:p>
      <w:pPr>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深入学习贯彻习近平新时代中国特色社会主义思想，深刻领悟“两个确立”的决定性意义，增强“四个意识”、坚定“四个自信”、做到“两个维护”，持续用党的创新理论统一思想、统一意志、统一行动。完善党委研究经济社会发展战略、定期分析经济形势、研究重大政策措施的工作机制，将党的领导始终贯穿“十五五”规划实施全过程。各县（市、区）各部门要把相关目标任务落实情况作为年度重要工作向市委报告，规划中期评估、总结评估情况和规划实施中的重大情况及时向市委请示报告。</w:t>
      </w:r>
    </w:p>
    <w:p>
      <w:pPr>
        <w:spacing w:line="580" w:lineRule="exact"/>
        <w:jc w:val="center"/>
        <w:rPr>
          <w:rFonts w:eastAsia="仿宋_GB2312"/>
          <w:b/>
          <w:bCs w:val="0"/>
          <w:color w:val="000000" w:themeColor="text1"/>
          <w:sz w:val="32"/>
          <w:szCs w:val="32"/>
          <w14:textFill>
            <w14:solidFill>
              <w14:schemeClr w14:val="tx1"/>
            </w14:solidFill>
          </w14:textFill>
        </w:rPr>
      </w:pPr>
    </w:p>
    <w:p>
      <w:pPr>
        <w:spacing w:line="580" w:lineRule="exact"/>
        <w:jc w:val="center"/>
        <w:rPr>
          <w:rFonts w:eastAsia="仿宋_GB2312"/>
          <w:b/>
          <w:bCs w:val="0"/>
          <w:color w:val="000000" w:themeColor="text1"/>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第二节 充分调动全社会积极性主动性创造性</w:t>
      </w:r>
    </w:p>
    <w:p>
      <w:pPr>
        <w:spacing w:line="580" w:lineRule="exact"/>
        <w:ind w:firstLine="640"/>
        <w:rPr>
          <w:rFonts w:eastAsia="仿宋_GB2312"/>
          <w:color w:val="000000" w:themeColor="text1"/>
          <w:sz w:val="32"/>
          <w:szCs w:val="32"/>
          <w14:textFill>
            <w14:solidFill>
              <w14:schemeClr w14:val="tx1"/>
            </w14:solidFill>
          </w14:textFill>
        </w:rPr>
      </w:pPr>
    </w:p>
    <w:p>
      <w:pPr>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贯彻尊重劳动、尊重知识、尊重人才、尊重创造的方针，激发全社会干事创业、创新创造活力，形成人尽其才、才尽其用、用有所成的生动局面。注重发挥工会、共青团、妇联等</w:t>
      </w:r>
      <w:r>
        <w:rPr>
          <w:rFonts w:hint="eastAsia" w:eastAsia="仿宋_GB2312" w:cs="Times New Roman"/>
          <w:color w:val="000000" w:themeColor="text1"/>
          <w:sz w:val="32"/>
          <w:szCs w:val="32"/>
          <w14:textFill>
            <w14:solidFill>
              <w14:schemeClr w14:val="tx1"/>
            </w14:solidFill>
          </w14:textFill>
        </w:rPr>
        <w:t>群团</w:t>
      </w:r>
      <w:r>
        <w:rPr>
          <w:rFonts w:ascii="Times New Roman" w:hAnsi="Times New Roman" w:eastAsia="仿宋_GB2312" w:cs="Times New Roman"/>
          <w:color w:val="000000" w:themeColor="text1"/>
          <w:sz w:val="32"/>
          <w:szCs w:val="32"/>
          <w14:textFill>
            <w14:solidFill>
              <w14:schemeClr w14:val="tx1"/>
            </w14:solidFill>
          </w14:textFill>
        </w:rPr>
        <w:t>作用，充分发挥民主党派、工商联和无党派人士作用，最大限度凝聚全社会共识和力量。落实新时代好干部标准，坚持严管厚爱结合、激励约束并重，以正确用人导向引领干事创业导向。树立和践行正确政绩观，完善干部考评机制和尽职免责机制，落实“三个区分开来”，强化正向激励和预期管理，鼓励各级干部聚焦规划任务敢闯敢试。树牢大抓基层的鲜明导向，加强基层党组织建设，持续为基层减负赋能，不断提升基层党组织服务群众的能力水平。</w:t>
      </w:r>
    </w:p>
    <w:p>
      <w:pPr>
        <w:spacing w:line="580" w:lineRule="exact"/>
        <w:ind w:firstLine="640"/>
        <w:rPr>
          <w:rFonts w:eastAsia="仿宋_GB2312"/>
          <w:color w:val="000000" w:themeColor="text1"/>
          <w:sz w:val="32"/>
          <w:szCs w:val="32"/>
          <w14:textFill>
            <w14:solidFill>
              <w14:schemeClr w14:val="tx1"/>
            </w14:solidFill>
          </w14:textFill>
        </w:rPr>
      </w:pPr>
    </w:p>
    <w:p>
      <w:pPr>
        <w:spacing w:line="580" w:lineRule="exact"/>
        <w:jc w:val="center"/>
        <w:rPr>
          <w:rFonts w:eastAsia="仿宋_GB2312"/>
          <w:b/>
          <w:bCs w:val="0"/>
          <w:color w:val="000000" w:themeColor="text1"/>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第三节 纵深推进全面从严治党</w:t>
      </w:r>
    </w:p>
    <w:p>
      <w:pPr>
        <w:spacing w:line="580" w:lineRule="exact"/>
        <w:ind w:firstLine="640"/>
        <w:rPr>
          <w:rFonts w:eastAsia="仿宋_GB2312"/>
          <w:color w:val="000000" w:themeColor="text1"/>
          <w:sz w:val="32"/>
          <w:szCs w:val="32"/>
          <w14:textFill>
            <w14:solidFill>
              <w14:schemeClr w14:val="tx1"/>
            </w14:solidFill>
          </w14:textFill>
        </w:rPr>
      </w:pPr>
    </w:p>
    <w:p>
      <w:pPr>
        <w:spacing w:line="580" w:lineRule="exact"/>
        <w:ind w:firstLine="640"/>
        <w:rPr>
          <w:rFonts w:eastAsia="黑体"/>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用改革精神和严的标准管党治党，一体压实管党治党主体责任</w:t>
      </w:r>
      <w:r>
        <w:rPr>
          <w:rFonts w:hint="eastAsia" w:eastAsia="仿宋_GB2312" w:cs="Times New Roman"/>
          <w:color w:val="000000" w:themeColor="text1"/>
          <w:sz w:val="32"/>
          <w:szCs w:val="32"/>
          <w14:textFill>
            <w14:solidFill>
              <w14:schemeClr w14:val="tx1"/>
            </w14:solidFill>
          </w14:textFill>
        </w:rPr>
        <w:t>和</w:t>
      </w:r>
      <w:r>
        <w:rPr>
          <w:rFonts w:ascii="Times New Roman" w:hAnsi="Times New Roman" w:eastAsia="仿宋_GB2312" w:cs="Times New Roman"/>
          <w:color w:val="000000" w:themeColor="text1"/>
          <w:sz w:val="32"/>
          <w:szCs w:val="32"/>
          <w14:textFill>
            <w14:solidFill>
              <w14:schemeClr w14:val="tx1"/>
            </w14:solidFill>
          </w14:textFill>
        </w:rPr>
        <w:t>监督责任</w:t>
      </w:r>
      <w:r>
        <w:rPr>
          <w:rFonts w:hint="eastAsia" w:eastAsia="仿宋_GB2312" w:cs="Times New Roman"/>
          <w:color w:val="000000" w:themeColor="text1"/>
          <w:sz w:val="32"/>
          <w:szCs w:val="32"/>
          <w14:textFill>
            <w14:solidFill>
              <w14:schemeClr w14:val="tx1"/>
            </w14:solidFill>
          </w14:textFill>
        </w:rPr>
        <w:t>，压紧压实</w:t>
      </w:r>
      <w:r>
        <w:rPr>
          <w:rFonts w:ascii="Times New Roman" w:hAnsi="Times New Roman" w:eastAsia="仿宋_GB2312" w:cs="Times New Roman"/>
          <w:color w:val="000000" w:themeColor="text1"/>
          <w:sz w:val="32"/>
          <w:szCs w:val="32"/>
          <w14:textFill>
            <w14:solidFill>
              <w14:schemeClr w14:val="tx1"/>
            </w14:solidFill>
          </w14:textFill>
        </w:rPr>
        <w:t>第一责任人责任、“一岗双责”，把全面从严治党的要求落实到党的建设全过程、各领域。持续推进政治监督具体化、精准化、常态化，深化政治巡视并强化整改落实，确保党中央重大决策部署落地见效。构建廉政风险预警体系，健全运用大数据防治新型腐败和隐性腐败机制，加强对权力配置、运行的规范和监督。坚持无禁区、全覆盖、零容忍，一体推进不敢腐、不能腐、不想腐，深化重点领域腐败问题专项整治，严肃查处政商勾连腐败行为</w:t>
      </w:r>
      <w:r>
        <w:rPr>
          <w:rFonts w:hint="eastAsia"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坚决惩治群众身边“蝇贪蚁腐”，有效惩治新型腐败和隐性腐败，深化以案促改促治，铲除腐败滋生的土壤和条件。锲而不舍落实中央八项规定精神，坚持纠“四风”和树新风并举，完善作风建设长效机制，持续纠治形式主义、官僚主义，切实防止享乐主义、奢靡之风反弹回潮，坚决整治群众身边腐败和不正之风，着力营造风清气正的政治生态和良好发展环境。深化清廉怀化建设，加</w:t>
      </w:r>
      <w:r>
        <w:rPr>
          <w:rFonts w:ascii="Times New Roman" w:hAnsi="Times New Roman" w:eastAsia="仿宋_GB2312" w:cs="Times New Roman"/>
          <w:color w:val="000000" w:themeColor="text1"/>
          <w:spacing w:val="6"/>
          <w:sz w:val="32"/>
          <w:szCs w:val="32"/>
          <w14:textFill>
            <w14:solidFill>
              <w14:schemeClr w14:val="tx1"/>
            </w14:solidFill>
          </w14:textFill>
        </w:rPr>
        <w:t>强新时代廉洁文化建设，推动以清为美、以廉为荣在怀化蔚然成风。</w:t>
      </w:r>
    </w:p>
    <w:p>
      <w:pPr>
        <w:pStyle w:val="6"/>
        <w:spacing w:line="580" w:lineRule="exact"/>
        <w:rPr>
          <w:rFonts w:ascii="Times New Roman" w:hAnsi="Times New Roman" w:eastAsia="黑体" w:cs="Times New Roman"/>
          <w:color w:val="000000" w:themeColor="text1"/>
          <w:sz w:val="32"/>
          <w14:textFill>
            <w14:solidFill>
              <w14:schemeClr w14:val="tx1"/>
            </w14:solidFill>
          </w14:textFill>
        </w:rPr>
      </w:pPr>
    </w:p>
    <w:p>
      <w:pPr>
        <w:pStyle w:val="6"/>
        <w:spacing w:line="580" w:lineRule="exact"/>
        <w:rPr>
          <w:rFonts w:ascii="Times New Roman" w:hAnsi="Times New Roman" w:eastAsia="黑体" w:cs="Times New Roman"/>
          <w:color w:val="000000" w:themeColor="text1"/>
          <w:sz w:val="32"/>
          <w14:textFill>
            <w14:solidFill>
              <w14:schemeClr w14:val="tx1"/>
            </w14:solidFill>
          </w14:textFill>
        </w:rPr>
      </w:pPr>
      <w:bookmarkStart w:id="99" w:name="_Toc2297"/>
      <w:r>
        <w:rPr>
          <w:rFonts w:ascii="Times New Roman" w:hAnsi="Times New Roman" w:eastAsia="黑体" w:cs="Times New Roman"/>
          <w:color w:val="000000" w:themeColor="text1"/>
          <w:sz w:val="32"/>
          <w14:textFill>
            <w14:solidFill>
              <w14:schemeClr w14:val="tx1"/>
            </w14:solidFill>
          </w14:textFill>
        </w:rPr>
        <w:t>第六十一章 突出规划战略导向作用</w:t>
      </w:r>
      <w:bookmarkEnd w:id="99"/>
    </w:p>
    <w:p>
      <w:pPr>
        <w:spacing w:line="580" w:lineRule="exact"/>
        <w:ind w:firstLine="640"/>
        <w:rPr>
          <w:rFonts w:eastAsia="仿宋_GB2312"/>
          <w:color w:val="000000" w:themeColor="text1"/>
          <w:sz w:val="32"/>
          <w:szCs w:val="32"/>
          <w14:textFill>
            <w14:solidFill>
              <w14:schemeClr w14:val="tx1"/>
            </w14:solidFill>
          </w14:textFill>
        </w:rPr>
      </w:pPr>
    </w:p>
    <w:p>
      <w:pPr>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更好发挥发展规划的战略导向作用，建立以国民经济和社会发展总体规划为统领，以国土空间规划为基础，以专项规划、县（市、区）规划</w:t>
      </w:r>
      <w:r>
        <w:rPr>
          <w:rFonts w:hint="eastAsia" w:eastAsia="仿宋_GB2312" w:cs="Times New Roman"/>
          <w:color w:val="000000" w:themeColor="text1"/>
          <w:sz w:val="32"/>
          <w:szCs w:val="32"/>
          <w14:textFill>
            <w14:solidFill>
              <w14:schemeClr w14:val="tx1"/>
            </w14:solidFill>
          </w14:textFill>
        </w:rPr>
        <w:t>为支撑，</w:t>
      </w:r>
      <w:r>
        <w:rPr>
          <w:rFonts w:ascii="Times New Roman" w:hAnsi="Times New Roman" w:eastAsia="仿宋_GB2312" w:cs="Times New Roman"/>
          <w:color w:val="000000" w:themeColor="text1"/>
          <w:sz w:val="32"/>
          <w:szCs w:val="32"/>
          <w14:textFill>
            <w14:solidFill>
              <w14:schemeClr w14:val="tx1"/>
            </w14:solidFill>
          </w14:textFill>
        </w:rPr>
        <w:t>定位准确、边界清晰、功能互补、统一衔接的规划体系。加强与国家和省级发展规划、空间规划、区域规划、专项规划的有机衔接，在重大政策、重大改革、重大项目等方面争取国省更大支持。依据发展规划同步部署、同步编制、同步实施一批重点专项规划、区域实施方案，细化落实发展任务。依法实施和动态调整国土空间规划，为发展规划确定的重大战略任务落地提供空间保障。报请市委、市政府批准的规划须经市级发展改革部门衔接并出具衔接意见，县（市、区）级发展规划须按程序报市级发展改革部门进行衔接并做好落实，确保与本规划在主要目标、发展方向、总体布局、重大政策、重大工程、风险防控等方面协调一致。</w:t>
      </w:r>
    </w:p>
    <w:p>
      <w:pPr>
        <w:pStyle w:val="6"/>
        <w:spacing w:line="580" w:lineRule="exact"/>
        <w:rPr>
          <w:rFonts w:ascii="Times New Roman" w:hAnsi="Times New Roman" w:eastAsia="黑体" w:cs="Times New Roman"/>
          <w:color w:val="000000" w:themeColor="text1"/>
          <w:sz w:val="32"/>
          <w14:textFill>
            <w14:solidFill>
              <w14:schemeClr w14:val="tx1"/>
            </w14:solidFill>
          </w14:textFill>
        </w:rPr>
      </w:pPr>
      <w:bookmarkStart w:id="100" w:name="_Toc23423"/>
      <w:r>
        <w:rPr>
          <w:rFonts w:ascii="Times New Roman" w:hAnsi="Times New Roman" w:eastAsia="黑体" w:cs="Times New Roman"/>
          <w:color w:val="000000" w:themeColor="text1"/>
          <w:sz w:val="32"/>
          <w14:textFill>
            <w14:solidFill>
              <w14:schemeClr w14:val="tx1"/>
            </w14:solidFill>
          </w14:textFill>
        </w:rPr>
        <w:t>第六十二章 保障规划顺利实施</w:t>
      </w:r>
      <w:bookmarkEnd w:id="100"/>
    </w:p>
    <w:p>
      <w:pPr>
        <w:widowControl/>
        <w:spacing w:line="580" w:lineRule="exact"/>
        <w:ind w:firstLine="560"/>
        <w:jc w:val="left"/>
        <w:rPr>
          <w:rFonts w:eastAsia="仿宋_GB2312"/>
          <w:color w:val="000000" w:themeColor="text1"/>
          <w14:textFill>
            <w14:solidFill>
              <w14:schemeClr w14:val="tx1"/>
            </w14:solidFill>
          </w14:textFill>
        </w:rPr>
      </w:pPr>
    </w:p>
    <w:p>
      <w:pPr>
        <w:spacing w:line="580" w:lineRule="exact"/>
        <w:jc w:val="center"/>
        <w:rPr>
          <w:rFonts w:eastAsia="仿宋_GB2312"/>
          <w:b/>
          <w:bCs w:val="0"/>
          <w:color w:val="000000" w:themeColor="text1"/>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第一节 落实规划实施责任</w:t>
      </w:r>
    </w:p>
    <w:p>
      <w:pPr>
        <w:widowControl/>
        <w:spacing w:line="580" w:lineRule="exact"/>
        <w:ind w:firstLine="560"/>
        <w:jc w:val="left"/>
        <w:rPr>
          <w:rFonts w:eastAsia="仿宋_GB2312"/>
          <w:color w:val="000000" w:themeColor="text1"/>
          <w14:textFill>
            <w14:solidFill>
              <w14:schemeClr w14:val="tx1"/>
            </w14:solidFill>
          </w14:textFill>
        </w:rPr>
      </w:pPr>
    </w:p>
    <w:p>
      <w:pPr>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本规划经市人民代表大会</w:t>
      </w:r>
      <w:r>
        <w:rPr>
          <w:rFonts w:hint="eastAsia" w:eastAsia="仿宋_GB2312" w:cs="Times New Roman"/>
          <w:color w:val="000000" w:themeColor="text1"/>
          <w:sz w:val="32"/>
          <w:szCs w:val="32"/>
          <w14:textFill>
            <w14:solidFill>
              <w14:schemeClr w14:val="tx1"/>
            </w14:solidFill>
          </w14:textFill>
        </w:rPr>
        <w:t>审议</w:t>
      </w:r>
      <w:r>
        <w:rPr>
          <w:rFonts w:ascii="Times New Roman" w:hAnsi="Times New Roman" w:eastAsia="仿宋_GB2312" w:cs="Times New Roman"/>
          <w:color w:val="000000" w:themeColor="text1"/>
          <w:sz w:val="32"/>
          <w:szCs w:val="32"/>
          <w14:textFill>
            <w14:solidFill>
              <w14:schemeClr w14:val="tx1"/>
            </w14:solidFill>
          </w14:textFill>
        </w:rPr>
        <w:t>和批准，由市人民政府组织实施。市人民政府依据本规划制定实施国民经济和社会发展年度计划，贯彻本规划提出的发展目标和重点任务，将本规划确定的主要指标分解纳入年度计划指标体系，设置年度目标并做好年度间综合平衡，合理确定年度工作重点。各县（市、区）各部门要根据本规划涉及本地区、本部门的主要目标任务，制定可操作可评估的具体实施方案。本规划确定的约束性指标和公共服务、生态环保、安全保障等领域任务，要明确责任主体和进度要求，合理配置公共资源，引导调控社会资源，确保如期完成。本规划提出的预期性指标和产业发展、结构调整等领域任务，主要依靠发挥</w:t>
      </w:r>
      <w:r>
        <w:rPr>
          <w:rFonts w:hint="eastAsia" w:eastAsia="仿宋_GB2312" w:cs="Times New Roman"/>
          <w:color w:val="000000" w:themeColor="text1"/>
          <w:sz w:val="32"/>
          <w:szCs w:val="32"/>
          <w14:textFill>
            <w14:solidFill>
              <w14:schemeClr w14:val="tx1"/>
            </w14:solidFill>
          </w14:textFill>
        </w:rPr>
        <w:t>经营</w:t>
      </w:r>
      <w:r>
        <w:rPr>
          <w:rFonts w:ascii="Times New Roman" w:hAnsi="Times New Roman" w:eastAsia="仿宋_GB2312" w:cs="Times New Roman"/>
          <w:color w:val="000000" w:themeColor="text1"/>
          <w:sz w:val="32"/>
          <w:szCs w:val="32"/>
          <w14:textFill>
            <w14:solidFill>
              <w14:schemeClr w14:val="tx1"/>
            </w14:solidFill>
          </w14:textFill>
        </w:rPr>
        <w:t>主体作用实现，各级政府要创造良好政策环境、体制环境和法治环境，形成全市人民群策群力的生动局面。</w:t>
      </w:r>
    </w:p>
    <w:p>
      <w:pPr>
        <w:spacing w:line="580" w:lineRule="exact"/>
        <w:rPr>
          <w:rFonts w:eastAsia="仿宋_GB2312"/>
          <w:color w:val="000000" w:themeColor="text1"/>
          <w:sz w:val="32"/>
          <w:szCs w:val="32"/>
          <w14:textFill>
            <w14:solidFill>
              <w14:schemeClr w14:val="tx1"/>
            </w14:solidFill>
          </w14:textFill>
        </w:rPr>
      </w:pPr>
    </w:p>
    <w:p>
      <w:pPr>
        <w:spacing w:line="580" w:lineRule="exact"/>
        <w:jc w:val="center"/>
        <w:rPr>
          <w:rFonts w:eastAsia="仿宋_GB2312"/>
          <w:b/>
          <w:bCs w:val="0"/>
          <w:color w:val="000000" w:themeColor="text1"/>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第二节 提升规划</w:t>
      </w:r>
      <w:r>
        <w:rPr>
          <w:rFonts w:hint="eastAsia" w:eastAsia="仿宋_GB2312" w:cs="Times New Roman"/>
          <w:b/>
          <w:color w:val="000000" w:themeColor="text1"/>
          <w:sz w:val="32"/>
          <w:szCs w:val="32"/>
          <w14:textFill>
            <w14:solidFill>
              <w14:schemeClr w14:val="tx1"/>
            </w14:solidFill>
          </w14:textFill>
        </w:rPr>
        <w:t>实施质效</w:t>
      </w:r>
    </w:p>
    <w:p>
      <w:pPr>
        <w:spacing w:line="580" w:lineRule="exact"/>
        <w:jc w:val="center"/>
        <w:rPr>
          <w:rFonts w:eastAsia="仿宋_GB2312"/>
          <w:b/>
          <w:bCs w:val="0"/>
          <w:color w:val="000000" w:themeColor="text1"/>
          <w:sz w:val="32"/>
          <w:szCs w:val="32"/>
          <w14:textFill>
            <w14:solidFill>
              <w14:schemeClr w14:val="tx1"/>
            </w14:solidFill>
          </w14:textFill>
        </w:rPr>
      </w:pPr>
    </w:p>
    <w:p>
      <w:pPr>
        <w:spacing w:line="580" w:lineRule="exact"/>
        <w:ind w:firstLine="640"/>
        <w:rPr>
          <w:rFonts w:eastAsia="仿宋_GB2312"/>
          <w:color w:val="000000" w:themeColor="text1"/>
          <w:sz w:val="32"/>
          <w:szCs w:val="32"/>
          <w14:textFill>
            <w14:solidFill>
              <w14:schemeClr w14:val="tx1"/>
            </w14:solidFill>
          </w14:textFill>
        </w:rPr>
      </w:pPr>
      <w:r>
        <w:rPr>
          <w:rFonts w:hint="eastAsia" w:eastAsia="仿宋_GB2312" w:cs="Times New Roman"/>
          <w:color w:val="000000" w:themeColor="text1"/>
          <w:sz w:val="32"/>
          <w:szCs w:val="32"/>
          <w14:textFill>
            <w14:solidFill>
              <w14:schemeClr w14:val="tx1"/>
            </w14:solidFill>
          </w14:textFill>
        </w:rPr>
        <w:t>健全</w:t>
      </w:r>
      <w:r>
        <w:rPr>
          <w:rFonts w:ascii="Times New Roman" w:hAnsi="Times New Roman" w:eastAsia="仿宋_GB2312" w:cs="Times New Roman"/>
          <w:color w:val="000000" w:themeColor="text1"/>
          <w:sz w:val="32"/>
          <w:szCs w:val="32"/>
          <w14:textFill>
            <w14:solidFill>
              <w14:schemeClr w14:val="tx1"/>
            </w14:solidFill>
          </w14:textFill>
        </w:rPr>
        <w:t>规划实施监测评估和监督机制，维护规划的严肃性和权威性。开展规划实施情况动态监测、中期评估和总结评估，根据监测评估情况及时提出加强和改进规划实施的政策举措，规划实施情况依法接受市人民代表大会及其常务委员会的监督。需对本规划进行调整时，由市人民政府提出建议，报市人民代表大会常务委员会批准。发挥纪检监察机关和审计机关对推进规划实施的监督作用，建立健全重大工程项目、重大政策、重大改革任务督导评估机制。强化监测评估结果应用，规划实施情况纳入各有关部门、地方领导班子和干部评价体系，作为改进政府工作的重要依据。健全现代化统计</w:t>
      </w:r>
      <w:r>
        <w:rPr>
          <w:rFonts w:hint="eastAsia" w:eastAsia="仿宋_GB2312" w:cs="Times New Roman"/>
          <w:color w:val="000000" w:themeColor="text1"/>
          <w:sz w:val="32"/>
          <w:szCs w:val="32"/>
          <w14:textFill>
            <w14:solidFill>
              <w14:schemeClr w14:val="tx1"/>
            </w14:solidFill>
          </w14:textFill>
        </w:rPr>
        <w:t>监测</w:t>
      </w:r>
      <w:r>
        <w:rPr>
          <w:rFonts w:ascii="Times New Roman" w:hAnsi="Times New Roman" w:eastAsia="仿宋_GB2312" w:cs="Times New Roman"/>
          <w:color w:val="000000" w:themeColor="text1"/>
          <w:sz w:val="32"/>
          <w:szCs w:val="32"/>
          <w14:textFill>
            <w14:solidFill>
              <w14:schemeClr w14:val="tx1"/>
            </w14:solidFill>
          </w14:textFill>
        </w:rPr>
        <w:t>体系。加强规划宣传，推进规划实施信息公开。加强社会监督，发挥新闻媒体、群团组织等监督作用，促进规划有效实施。</w:t>
      </w:r>
    </w:p>
    <w:p>
      <w:pPr>
        <w:spacing w:line="580" w:lineRule="exact"/>
        <w:jc w:val="center"/>
        <w:rPr>
          <w:rFonts w:eastAsia="仿宋_GB2312"/>
          <w:b/>
          <w:bCs w:val="0"/>
          <w:color w:val="000000" w:themeColor="text1"/>
          <w:sz w:val="32"/>
          <w:szCs w:val="32"/>
          <w14:textFill>
            <w14:solidFill>
              <w14:schemeClr w14:val="tx1"/>
            </w14:solidFill>
          </w14:textFill>
        </w:rPr>
      </w:pPr>
    </w:p>
    <w:p>
      <w:pPr>
        <w:spacing w:line="580" w:lineRule="exact"/>
        <w:jc w:val="center"/>
        <w:rPr>
          <w:rFonts w:eastAsia="仿宋_GB2312"/>
          <w:b/>
          <w:bCs w:val="0"/>
          <w:color w:val="000000" w:themeColor="text1"/>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第三节 强化要素协同保障</w:t>
      </w:r>
    </w:p>
    <w:p>
      <w:pPr>
        <w:spacing w:line="580" w:lineRule="exact"/>
        <w:ind w:firstLine="640"/>
        <w:rPr>
          <w:rFonts w:eastAsia="仿宋_GB2312"/>
          <w:color w:val="000000" w:themeColor="text1"/>
          <w:sz w:val="32"/>
          <w:szCs w:val="32"/>
          <w14:textFill>
            <w14:solidFill>
              <w14:schemeClr w14:val="tx1"/>
            </w14:solidFill>
          </w14:textFill>
        </w:rPr>
      </w:pPr>
    </w:p>
    <w:p>
      <w:pPr>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建立健全“项目跟着规划走、要素跟着项目走”机制，优先保障本规划提出的重大改革、重大政策、重大平台和重大项目所需要素资源。加强财政预算与规划实施的衔接协调，统筹财力可能，合理安排财政支出规模和结构。市财政资金优先投向规划确定的重大任务和重大政府投资项目。优化金融要素资源配置结构，引导和鼓励金融机构加强对规划明确的重大产业、薄弱领域的支持。制定与规划相匹配的用地、用水、碳排放、排污权、能源消耗指标等保障方案，在符合全市总量控制的条件下，依法依规积极保障规划确定的重大平台、重大项目建设所需各类资源要素。依据本规划制定重大工程项目清单，对清单内工程项目简化审批核准程序，优先保障规划选址、土地供应和资金需求，落实项目建设条件，优化项目建设环境，确保项目有序实施。加强发展规划相关人才培养建设。</w:t>
      </w:r>
    </w:p>
    <w:p>
      <w:pPr>
        <w:spacing w:line="580" w:lineRule="exact"/>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全市上下要更加紧密地团结在以习近平同志为核心的党中央周围，奋发进取、担当实干，持续用力实施“五新四城”战略，加快建设湘鄂渝黔桂五省边际区域性中心城市，为奋力谱写中国式现代化湖南篇章作出新贡献，为基本实现社会主义现代化而团结奋斗！</w:t>
      </w:r>
    </w:p>
    <w:bookmarkEnd w:id="85"/>
    <w:bookmarkEnd w:id="87"/>
    <w:p>
      <w:pPr>
        <w:ind w:firstLine="640"/>
        <w:rPr>
          <w:rFonts w:eastAsia="仿宋_GB2312"/>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br w:type="page"/>
      </w:r>
    </w:p>
    <w:p>
      <w:pPr>
        <w:spacing w:line="580" w:lineRule="exact"/>
        <w:jc w:val="center"/>
        <w:rPr>
          <w:rFonts w:eastAsia="方正小标宋简体"/>
          <w:color w:val="000000" w:themeColor="text1"/>
          <w:sz w:val="44"/>
          <w:szCs w:val="44"/>
          <w14:textFill>
            <w14:solidFill>
              <w14:schemeClr w14:val="tx1"/>
            </w14:solidFill>
          </w14:textFill>
        </w:rPr>
      </w:pPr>
      <w:r>
        <w:rPr>
          <w:rFonts w:ascii="Times New Roman" w:hAnsi="Times New Roman" w:eastAsia="方正小标宋简体" w:cs="Times New Roman"/>
          <w:color w:val="000000" w:themeColor="text1"/>
          <w:sz w:val="44"/>
          <w:szCs w:val="44"/>
          <w14:textFill>
            <w14:solidFill>
              <w14:schemeClr w14:val="tx1"/>
            </w14:solidFill>
          </w14:textFill>
        </w:rPr>
        <w:t>名 词 解 释</w:t>
      </w:r>
    </w:p>
    <w:p>
      <w:pPr>
        <w:spacing w:line="580" w:lineRule="exact"/>
        <w:ind w:firstLine="640"/>
        <w:rPr>
          <w:color w:val="000000" w:themeColor="text1"/>
          <w:sz w:val="32"/>
          <w:szCs w:val="32"/>
          <w14:textFill>
            <w14:solidFill>
              <w14:schemeClr w14:val="tx1"/>
            </w14:solidFill>
          </w14:textFill>
        </w:rPr>
      </w:pPr>
    </w:p>
    <w:p>
      <w:pPr>
        <w:spacing w:line="580" w:lineRule="exact"/>
        <w:ind w:firstLine="640"/>
        <w:rPr>
          <w:rFonts w:eastAsia="仿宋_GB2312"/>
          <w:bCs w:val="0"/>
          <w:color w:val="000000" w:themeColor="text1"/>
          <w:sz w:val="32"/>
          <w:szCs w:val="32"/>
          <w14:textFill>
            <w14:solidFill>
              <w14:schemeClr w14:val="tx1"/>
            </w14:solidFill>
          </w14:textFill>
        </w:rPr>
      </w:pPr>
      <w:r>
        <w:rPr>
          <w:rFonts w:ascii="Times New Roman" w:hAnsi="Times New Roman" w:eastAsia="黑体" w:cs="Times New Roman"/>
          <w:bCs w:val="0"/>
          <w:color w:val="000000" w:themeColor="text1"/>
          <w:sz w:val="32"/>
          <w:szCs w:val="32"/>
          <w14:textFill>
            <w14:solidFill>
              <w14:schemeClr w14:val="tx1"/>
            </w14:solidFill>
          </w14:textFill>
        </w:rPr>
        <w:t>三高四新：</w:t>
      </w:r>
      <w:r>
        <w:rPr>
          <w:rFonts w:ascii="Times New Roman" w:hAnsi="Times New Roman" w:eastAsia="仿宋_GB2312" w:cs="Times New Roman"/>
          <w:color w:val="000000" w:themeColor="text1"/>
          <w:sz w:val="32"/>
          <w:szCs w:val="32"/>
          <w14:textFill>
            <w14:solidFill>
              <w14:schemeClr w14:val="tx1"/>
            </w14:solidFill>
          </w14:textFill>
        </w:rPr>
        <w:t>着力打造国家重要先进制造业、具有核心竞争力的科技创新、内陆地区改革开放的高地；在推动高质量发展上闯出新路子，在构建新发展格局中展现新作为，在推动中部地区崛起和长江经济带发展中彰显新担当，奋力谱写新时代坚持和发展中国特色社会主义的湖南新篇章。</w:t>
      </w:r>
    </w:p>
    <w:p>
      <w:pPr>
        <w:spacing w:line="580" w:lineRule="exact"/>
        <w:ind w:firstLine="640"/>
        <w:rPr>
          <w:rFonts w:eastAsia="黑体"/>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五新四城：</w:t>
      </w:r>
      <w:r>
        <w:rPr>
          <w:rFonts w:ascii="Times New Roman" w:hAnsi="Times New Roman" w:eastAsia="仿宋_GB2312" w:cs="Times New Roman"/>
          <w:color w:val="000000" w:themeColor="text1"/>
          <w:spacing w:val="10"/>
          <w:sz w:val="32"/>
          <w:szCs w:val="32"/>
          <w14:textFill>
            <w14:solidFill>
              <w14:schemeClr w14:val="tx1"/>
            </w14:solidFill>
          </w14:textFill>
        </w:rPr>
        <w:t>“五新”即举全市之力建设国际陆港，着力打造内陆地区改革开放新高地；突出发展特色优势产业，着力建设现代化产业新体系；坚持生态绿色和数智赋能发展，着力推动发展方式新转型；加快以鹤中一体化为核心的新型城镇化进程，着力构建经济增长新引擎；全面推进乡村振兴，着力绘就山乡巨变新画卷。“四城”即开放活力之城、创新创业之城、生态文旅之城、宜居智慧之城。</w:t>
      </w:r>
    </w:p>
    <w:p>
      <w:pPr>
        <w:spacing w:line="580" w:lineRule="exact"/>
        <w:ind w:firstLine="640"/>
        <w:rPr>
          <w:rFonts w:eastAsia="黑体"/>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湘鄂渝黔桂五省边际区域性中心城市：</w:t>
      </w:r>
      <w:r>
        <w:rPr>
          <w:rFonts w:ascii="Times New Roman" w:hAnsi="Times New Roman" w:eastAsia="仿宋_GB2312" w:cs="Times New Roman"/>
          <w:color w:val="000000" w:themeColor="text1"/>
          <w:sz w:val="32"/>
          <w:szCs w:val="32"/>
          <w14:textFill>
            <w14:solidFill>
              <w14:schemeClr w14:val="tx1"/>
            </w14:solidFill>
          </w14:textFill>
        </w:rPr>
        <w:t>指在湘黔渝鄂桂五省交界的区域内，包括原武陵山片区71个县市区（湖北11个县市、湖南37个县市区、重庆7个县区及贵州16个县市）和黔东南自治州、常德市桃源县、桂林市龙胜县、柳州市三江县，把怀化打造成为区域性商贸物流中心、教育和医疗中心、消费和旅游集散中心，形成具有强大服务、辐射和带动能力的中心城市。</w:t>
      </w:r>
      <w:r>
        <w:rPr>
          <w:rFonts w:ascii="Times New Roman" w:hAnsi="Times New Roman" w:eastAsia="黑体" w:cs="Times New Roman"/>
          <w:color w:val="000000" w:themeColor="text1"/>
          <w:sz w:val="32"/>
          <w:szCs w:val="32"/>
          <w14:textFill>
            <w14:solidFill>
              <w14:schemeClr w14:val="tx1"/>
            </w14:solidFill>
          </w14:textFill>
        </w:rPr>
        <w:br w:type="textWrapping"/>
      </w:r>
      <w:r>
        <w:rPr>
          <w:rFonts w:ascii="Times New Roman" w:hAnsi="Times New Roman" w:eastAsia="黑体" w:cs="Times New Roman"/>
          <w:color w:val="000000" w:themeColor="text1"/>
          <w:sz w:val="32"/>
          <w:szCs w:val="32"/>
          <w14:textFill>
            <w14:solidFill>
              <w14:schemeClr w14:val="tx1"/>
            </w14:solidFill>
          </w14:textFill>
        </w:rPr>
        <w:t xml:space="preserve">    三个一千：</w:t>
      </w:r>
      <w:r>
        <w:rPr>
          <w:rFonts w:ascii="Times New Roman" w:hAnsi="Times New Roman" w:eastAsia="仿宋_GB2312" w:cs="Times New Roman"/>
          <w:bCs w:val="0"/>
          <w:color w:val="000000" w:themeColor="text1"/>
          <w:spacing w:val="10"/>
          <w:kern w:val="0"/>
          <w:sz w:val="32"/>
          <w:szCs w:val="32"/>
          <w14:textFill>
            <w14:solidFill>
              <w14:schemeClr w14:val="tx1"/>
            </w14:solidFill>
          </w14:textFill>
        </w:rPr>
        <w:t>港区年开行班列数量达1000列，年货物吞吐量达1000万吨，年技工贸收入达1000亿元。</w:t>
      </w:r>
    </w:p>
    <w:p>
      <w:pPr>
        <w:widowControl/>
        <w:spacing w:line="580" w:lineRule="exact"/>
        <w:ind w:firstLine="640"/>
        <w:rPr>
          <w:rFonts w:eastAsia="仿宋_GB2312"/>
          <w:bCs w:val="0"/>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三类500强：</w:t>
      </w:r>
      <w:r>
        <w:rPr>
          <w:rFonts w:ascii="Times New Roman" w:hAnsi="Times New Roman" w:eastAsia="仿宋_GB2312" w:cs="Times New Roman"/>
          <w:color w:val="000000" w:themeColor="text1"/>
          <w:sz w:val="32"/>
          <w:szCs w:val="32"/>
          <w14:textFill>
            <w14:solidFill>
              <w14:schemeClr w14:val="tx1"/>
            </w14:solidFill>
          </w14:textFill>
        </w:rPr>
        <w:t>世界财富500强、中国企业500强和民营企业500强。</w:t>
      </w:r>
    </w:p>
    <w:p>
      <w:pPr>
        <w:widowControl/>
        <w:spacing w:line="580" w:lineRule="exact"/>
        <w:ind w:firstLine="640"/>
        <w:rPr>
          <w:rFonts w:eastAsia="黑体"/>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徐特立项目：</w:t>
      </w:r>
      <w:r>
        <w:rPr>
          <w:rFonts w:ascii="Times New Roman" w:hAnsi="Times New Roman" w:eastAsia="仿宋_GB2312" w:cs="Times New Roman"/>
          <w:color w:val="000000" w:themeColor="text1"/>
          <w:sz w:val="32"/>
          <w:szCs w:val="32"/>
          <w14:textFill>
            <w14:solidFill>
              <w14:schemeClr w14:val="tx1"/>
            </w14:solidFill>
          </w14:textFill>
        </w:rPr>
        <w:t>湖南省在教育领域实施的民生实事项目，用于支持县域普通高中开展标准化建设。</w:t>
      </w:r>
    </w:p>
    <w:p>
      <w:pPr>
        <w:spacing w:line="580" w:lineRule="exact"/>
        <w:ind w:firstLine="640"/>
        <w:rPr>
          <w:rFonts w:eastAsia="黑体"/>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教联体：</w:t>
      </w:r>
      <w:r>
        <w:rPr>
          <w:rFonts w:ascii="Times New Roman" w:hAnsi="Times New Roman" w:eastAsia="仿宋_GB2312" w:cs="Times New Roman"/>
          <w:color w:val="000000" w:themeColor="text1"/>
          <w:sz w:val="32"/>
          <w:szCs w:val="32"/>
          <w14:textFill>
            <w14:solidFill>
              <w14:schemeClr w14:val="tx1"/>
            </w14:solidFill>
          </w14:textFill>
        </w:rPr>
        <w:t>以中小学生健康快乐成长为目标、以学校为圆心、以区域为主体、以资源为纽带，促进家校社有效协同的一种工作方式。</w:t>
      </w:r>
    </w:p>
    <w:p>
      <w:pPr>
        <w:spacing w:line="580" w:lineRule="exact"/>
        <w:ind w:firstLine="640"/>
        <w:rPr>
          <w:rFonts w:eastAsia="仿宋_GB2312"/>
          <w:bCs w:val="0"/>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一点一部：</w:t>
      </w:r>
      <w:r>
        <w:rPr>
          <w:rFonts w:ascii="Times New Roman" w:hAnsi="Times New Roman" w:eastAsia="仿宋_GB2312" w:cs="Times New Roman"/>
          <w:color w:val="000000" w:themeColor="text1"/>
          <w:sz w:val="32"/>
          <w:szCs w:val="32"/>
          <w14:textFill>
            <w14:solidFill>
              <w14:schemeClr w14:val="tx1"/>
            </w14:solidFill>
          </w14:textFill>
        </w:rPr>
        <w:t>西部陆海新通道和沪昆通道交汇点、中部地区崛起和西部大开发战略叠加结合部。</w:t>
      </w:r>
    </w:p>
    <w:p>
      <w:pPr>
        <w:spacing w:line="580" w:lineRule="exact"/>
        <w:ind w:firstLine="640"/>
        <w:rPr>
          <w:rFonts w:eastAsia="仿宋_GB2312"/>
          <w:bCs w:val="0"/>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RCEP：</w:t>
      </w:r>
      <w:r>
        <w:rPr>
          <w:rFonts w:ascii="Times New Roman" w:hAnsi="Times New Roman" w:eastAsia="仿宋_GB2312" w:cs="Times New Roman"/>
          <w:color w:val="000000" w:themeColor="text1"/>
          <w:sz w:val="32"/>
          <w:szCs w:val="32"/>
          <w14:textFill>
            <w14:solidFill>
              <w14:schemeClr w14:val="tx1"/>
            </w14:solidFill>
          </w14:textFill>
        </w:rPr>
        <w:t>区域全面经济伙伴关系协定</w:t>
      </w:r>
      <w:r>
        <w:rPr>
          <w:rFonts w:hint="eastAsia" w:eastAsia="仿宋_GB2312" w:cs="Times New Roman"/>
          <w:color w:val="000000" w:themeColor="text1"/>
          <w:sz w:val="32"/>
          <w:szCs w:val="32"/>
          <w14:textFill>
            <w14:solidFill>
              <w14:schemeClr w14:val="tx1"/>
            </w14:solidFill>
          </w14:textFill>
        </w:rPr>
        <w:t>。是目前全球规模最大、最具影响力的自由贸易协定，旨在推动区域内贸易投资自由化便利化。</w:t>
      </w:r>
    </w:p>
    <w:p>
      <w:pPr>
        <w:spacing w:line="580" w:lineRule="exact"/>
        <w:ind w:firstLine="640"/>
        <w:rPr>
          <w:rFonts w:eastAsia="仿宋_GB2312"/>
          <w:bCs w:val="0"/>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黑体" w:cs="Times New Roman"/>
          <w:color w:val="000000" w:themeColor="text1"/>
          <w:sz w:val="32"/>
          <w:szCs w:val="32"/>
          <w14:textFill>
            <w14:solidFill>
              <w14:schemeClr w14:val="tx1"/>
            </w14:solidFill>
          </w14:textFill>
        </w:rPr>
        <w:t>13+2</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黑体" w:cs="Times New Roman"/>
          <w:color w:val="000000" w:themeColor="text1"/>
          <w:sz w:val="32"/>
          <w:szCs w:val="32"/>
          <w14:textFill>
            <w14:solidFill>
              <w14:schemeClr w14:val="tx1"/>
            </w14:solidFill>
          </w14:textFill>
        </w:rPr>
        <w:t>省际协商合作机制：</w:t>
      </w:r>
      <w:r>
        <w:rPr>
          <w:rFonts w:ascii="Times New Roman" w:hAnsi="Times New Roman" w:eastAsia="仿宋_GB2312" w:cs="Times New Roman"/>
          <w:color w:val="000000" w:themeColor="text1"/>
          <w:sz w:val="32"/>
          <w:szCs w:val="32"/>
          <w14:textFill>
            <w14:solidFill>
              <w14:schemeClr w14:val="tx1"/>
            </w14:solidFill>
          </w14:textFill>
        </w:rPr>
        <w:t>重庆、四川、云南、贵州、陕西、甘肃、青海、宁夏、新疆、西藏、内蒙古、广西、海南与广东湛江、湖南怀化共同参与的西部陆海新通道高层级协调机制。</w:t>
      </w:r>
    </w:p>
    <w:p>
      <w:pPr>
        <w:spacing w:line="580" w:lineRule="exact"/>
        <w:ind w:firstLine="640"/>
        <w:rPr>
          <w:rFonts w:eastAsia="仿宋_GB2312"/>
          <w:bCs w:val="0"/>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湘鄂渝黔毗邻地区合作发展：</w:t>
      </w:r>
      <w:r>
        <w:rPr>
          <w:rFonts w:ascii="Times New Roman" w:hAnsi="Times New Roman" w:eastAsia="仿宋_GB2312" w:cs="Times New Roman"/>
          <w:color w:val="000000" w:themeColor="text1"/>
          <w:sz w:val="32"/>
          <w:szCs w:val="32"/>
          <w14:textFill>
            <w14:solidFill>
              <w14:schemeClr w14:val="tx1"/>
            </w14:solidFill>
          </w14:textFill>
        </w:rPr>
        <w:t>湘鄂渝黔毗邻地区包括湖南省的怀化市、湘西州、张家界市，湖北省的恩施州，重庆市的秀山县、酉阳县、彭水县、黔江区，贵州省的铜仁市、黔东南州，为发挥西部陆海新通道、中部地区崛起和西部大开发战略叠加效应，促进该区域联动发展，拟在通道互联、平台共建、产业协作、文旅共兴、生态共治、政策共享等方面开展跨区域合作，打造中西部内陆地区开放新高地。</w:t>
      </w:r>
    </w:p>
    <w:p>
      <w:pPr>
        <w:spacing w:line="580" w:lineRule="exact"/>
        <w:ind w:firstLine="680"/>
        <w:rPr>
          <w:rFonts w:eastAsia="黑体"/>
          <w:color w:val="000000" w:themeColor="text1"/>
          <w:spacing w:val="10"/>
          <w:sz w:val="32"/>
          <w:szCs w:val="32"/>
          <w14:textFill>
            <w14:solidFill>
              <w14:schemeClr w14:val="tx1"/>
            </w14:solidFill>
          </w14:textFill>
        </w:rPr>
      </w:pPr>
      <w:r>
        <w:rPr>
          <w:rFonts w:ascii="Times New Roman" w:hAnsi="Times New Roman" w:eastAsia="黑体" w:cs="Times New Roman"/>
          <w:color w:val="000000" w:themeColor="text1"/>
          <w:spacing w:val="10"/>
          <w:sz w:val="32"/>
          <w:szCs w:val="32"/>
          <w14:textFill>
            <w14:solidFill>
              <w14:schemeClr w14:val="tx1"/>
            </w14:solidFill>
          </w14:textFill>
        </w:rPr>
        <w:t>两国双园：</w:t>
      </w:r>
      <w:r>
        <w:rPr>
          <w:rFonts w:ascii="Times New Roman" w:hAnsi="Times New Roman" w:eastAsia="仿宋_GB2312" w:cs="Times New Roman"/>
          <w:color w:val="000000" w:themeColor="text1"/>
          <w:sz w:val="32"/>
          <w:szCs w:val="32"/>
          <w14:textFill>
            <w14:solidFill>
              <w14:schemeClr w14:val="tx1"/>
            </w14:solidFill>
          </w14:textFill>
        </w:rPr>
        <w:t>两个主权国家在对方境内互设园区、联动发展的一种新型产能合作方式，被纳入“一带一路”倡议旗舰合作项目。</w:t>
      </w:r>
    </w:p>
    <w:p>
      <w:pPr>
        <w:spacing w:line="580" w:lineRule="exact"/>
        <w:ind w:firstLine="616"/>
        <w:rPr>
          <w:rFonts w:eastAsia="黑体"/>
          <w:color w:val="000000" w:themeColor="text1"/>
          <w:sz w:val="32"/>
          <w:szCs w:val="32"/>
          <w:shd w:val="clear" w:color="auto" w:fill="FFFFFF"/>
          <w14:textFill>
            <w14:solidFill>
              <w14:schemeClr w14:val="tx1"/>
            </w14:solidFill>
          </w14:textFill>
        </w:rPr>
      </w:pPr>
      <w:r>
        <w:rPr>
          <w:rFonts w:ascii="Times New Roman" w:hAnsi="Times New Roman" w:eastAsia="黑体" w:cs="Times New Roman"/>
          <w:color w:val="000000" w:themeColor="text1"/>
          <w:spacing w:val="-6"/>
          <w:sz w:val="32"/>
          <w:szCs w:val="32"/>
          <w:shd w:val="clear" w:color="auto" w:fill="FFFFFF"/>
          <w14:textFill>
            <w14:solidFill>
              <w14:schemeClr w14:val="tx1"/>
            </w14:solidFill>
          </w14:textFill>
        </w:rPr>
        <w:t>贸易</w:t>
      </w:r>
      <w:r>
        <w:rPr>
          <w:rFonts w:ascii="Times New Roman" w:hAnsi="Times New Roman" w:eastAsia="仿宋_GB2312" w:cs="Times New Roman"/>
          <w:color w:val="000000" w:themeColor="text1"/>
          <w:spacing w:val="-6"/>
          <w:sz w:val="32"/>
          <w:szCs w:val="32"/>
          <w:shd w:val="clear" w:color="auto" w:fill="FFFFFF"/>
          <w14:textFill>
            <w14:solidFill>
              <w14:schemeClr w14:val="tx1"/>
            </w14:solidFill>
          </w14:textFill>
        </w:rPr>
        <w:t>“</w:t>
      </w:r>
      <w:r>
        <w:rPr>
          <w:rFonts w:ascii="Times New Roman" w:hAnsi="Times New Roman" w:eastAsia="黑体" w:cs="Times New Roman"/>
          <w:color w:val="000000" w:themeColor="text1"/>
          <w:spacing w:val="-6"/>
          <w:sz w:val="32"/>
          <w:szCs w:val="32"/>
          <w:shd w:val="clear" w:color="auto" w:fill="FFFFFF"/>
          <w14:textFill>
            <w14:solidFill>
              <w14:schemeClr w14:val="tx1"/>
            </w14:solidFill>
          </w14:textFill>
        </w:rPr>
        <w:t>单一窗口</w:t>
      </w:r>
      <w:r>
        <w:rPr>
          <w:rFonts w:ascii="Times New Roman" w:hAnsi="Times New Roman" w:eastAsia="仿宋_GB2312" w:cs="Times New Roman"/>
          <w:color w:val="000000" w:themeColor="text1"/>
          <w:spacing w:val="-6"/>
          <w:sz w:val="32"/>
          <w:szCs w:val="32"/>
          <w:shd w:val="clear" w:color="auto" w:fill="FFFFFF"/>
          <w14:textFill>
            <w14:solidFill>
              <w14:schemeClr w14:val="tx1"/>
            </w14:solidFill>
          </w14:textFill>
        </w:rPr>
        <w:t>”</w:t>
      </w:r>
      <w:r>
        <w:rPr>
          <w:rFonts w:ascii="Times New Roman" w:hAnsi="Times New Roman" w:eastAsia="黑体" w:cs="Times New Roman"/>
          <w:color w:val="000000" w:themeColor="text1"/>
          <w:spacing w:val="-6"/>
          <w:sz w:val="32"/>
          <w:szCs w:val="32"/>
          <w:shd w:val="clear" w:color="auto" w:fill="FFFFFF"/>
          <w14:textFill>
            <w14:solidFill>
              <w14:schemeClr w14:val="tx1"/>
            </w14:solidFill>
          </w14:textFill>
        </w:rPr>
        <w:t>：</w:t>
      </w:r>
      <w:r>
        <w:rPr>
          <w:rFonts w:ascii="Times New Roman" w:hAnsi="Times New Roman" w:eastAsia="仿宋_GB2312" w:cs="Times New Roman"/>
          <w:color w:val="000000" w:themeColor="text1"/>
          <w:spacing w:val="-6"/>
          <w:sz w:val="32"/>
          <w:szCs w:val="32"/>
          <w14:textFill>
            <w14:solidFill>
              <w14:schemeClr w14:val="tx1"/>
            </w14:solidFill>
          </w14:textFill>
        </w:rPr>
        <w:t>国际贸易和运输相关方通过统一平台提交标准化信息和单证以满足监管要求的机制，旨在简化跨境贸易流程。</w:t>
      </w:r>
    </w:p>
    <w:p>
      <w:pPr>
        <w:spacing w:line="580" w:lineRule="exact"/>
        <w:ind w:firstLine="640"/>
        <w:rPr>
          <w:rFonts w:eastAsia="仿宋_GB2312"/>
          <w:bCs w:val="0"/>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双循环：</w:t>
      </w:r>
      <w:r>
        <w:rPr>
          <w:rFonts w:ascii="Times New Roman" w:hAnsi="Times New Roman" w:eastAsia="仿宋_GB2312" w:cs="Times New Roman"/>
          <w:color w:val="000000" w:themeColor="text1"/>
          <w:sz w:val="32"/>
          <w:szCs w:val="32"/>
          <w14:textFill>
            <w14:solidFill>
              <w14:schemeClr w14:val="tx1"/>
            </w14:solidFill>
          </w14:textFill>
        </w:rPr>
        <w:t>以国内大循环为主体、国内国际双循环相互促进。</w:t>
      </w:r>
    </w:p>
    <w:p>
      <w:pPr>
        <w:spacing w:line="580" w:lineRule="exact"/>
        <w:ind w:firstLine="640"/>
        <w:rPr>
          <w:rFonts w:eastAsia="黑体"/>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两业融合：</w:t>
      </w:r>
      <w:r>
        <w:rPr>
          <w:rFonts w:ascii="Times New Roman" w:hAnsi="Times New Roman" w:eastAsia="仿宋_GB2312" w:cs="Times New Roman"/>
          <w:color w:val="000000" w:themeColor="text1"/>
          <w:sz w:val="32"/>
          <w:szCs w:val="32"/>
          <w14:textFill>
            <w14:solidFill>
              <w14:schemeClr w14:val="tx1"/>
            </w14:solidFill>
          </w14:textFill>
        </w:rPr>
        <w:t>先进制造业与现代服务业‌的深度协同，通过数字化、智能化手段提升产业链价值。</w:t>
      </w:r>
    </w:p>
    <w:p>
      <w:pPr>
        <w:spacing w:line="580" w:lineRule="exact"/>
        <w:ind w:firstLine="640"/>
        <w:rPr>
          <w:rFonts w:eastAsia="黑体"/>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小巨人：</w:t>
      </w:r>
      <w:r>
        <w:rPr>
          <w:rFonts w:ascii="Times New Roman" w:hAnsi="Times New Roman" w:eastAsia="仿宋_GB2312" w:cs="Times New Roman"/>
          <w:color w:val="000000" w:themeColor="text1"/>
          <w:sz w:val="32"/>
          <w:szCs w:val="32"/>
          <w14:textFill>
            <w14:solidFill>
              <w14:schemeClr w14:val="tx1"/>
            </w14:solidFill>
          </w14:textFill>
        </w:rPr>
        <w:t>位于产业基础核心领域、产业链关键环节，创新能力突出、掌握核心技术、细分市场占有率高、质量效益好的企业。</w:t>
      </w:r>
    </w:p>
    <w:p>
      <w:pPr>
        <w:spacing w:line="580" w:lineRule="exact"/>
        <w:ind w:firstLine="640"/>
        <w:rPr>
          <w:rFonts w:eastAsia="黑体"/>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单项冠军：</w:t>
      </w:r>
      <w:r>
        <w:rPr>
          <w:rFonts w:ascii="Times New Roman" w:hAnsi="Times New Roman" w:eastAsia="仿宋_GB2312" w:cs="Times New Roman"/>
          <w:color w:val="000000" w:themeColor="text1"/>
          <w:sz w:val="32"/>
          <w:szCs w:val="32"/>
          <w14:textFill>
            <w14:solidFill>
              <w14:schemeClr w14:val="tx1"/>
            </w14:solidFill>
          </w14:textFill>
        </w:rPr>
        <w:t>长期专注于制造业特定细分领域，生产技术或工艺水平国际先进，单项产品（生产性服务）市场占有率位居全球前列的企业。</w:t>
      </w:r>
    </w:p>
    <w:p>
      <w:pPr>
        <w:spacing w:line="580" w:lineRule="exact"/>
        <w:ind w:firstLine="640"/>
        <w:rPr>
          <w:rFonts w:eastAsia="黑体"/>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独角兽：</w:t>
      </w:r>
      <w:r>
        <w:rPr>
          <w:rFonts w:ascii="Times New Roman" w:hAnsi="Times New Roman" w:eastAsia="仿宋_GB2312" w:cs="Times New Roman"/>
          <w:color w:val="000000" w:themeColor="text1"/>
          <w:sz w:val="32"/>
          <w:szCs w:val="32"/>
          <w14:textFill>
            <w14:solidFill>
              <w14:schemeClr w14:val="tx1"/>
            </w14:solidFill>
          </w14:textFill>
        </w:rPr>
        <w:t>成立10年以内、估值超过10亿美元，且尚未上市的企业。</w:t>
      </w:r>
    </w:p>
    <w:p>
      <w:pPr>
        <w:spacing w:line="580" w:lineRule="exact"/>
        <w:ind w:firstLine="640"/>
        <w:rPr>
          <w:rFonts w:eastAsia="黑体"/>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耐心资本、长期资本：</w:t>
      </w:r>
      <w:r>
        <w:rPr>
          <w:rFonts w:ascii="Times New Roman" w:hAnsi="Times New Roman" w:eastAsia="仿宋_GB2312" w:cs="Times New Roman"/>
          <w:color w:val="000000" w:themeColor="text1"/>
          <w:sz w:val="32"/>
          <w:szCs w:val="32"/>
          <w14:textFill>
            <w14:solidFill>
              <w14:schemeClr w14:val="tx1"/>
            </w14:solidFill>
          </w14:textFill>
        </w:rPr>
        <w:t>专注于长期投资的资本形式，不以追求短期收益为首要目标，而更重视长期回报的项目或投资活动，通常不受市场短期波动干扰，是对资本回报有较长期限展望且对风险有较高承受力的资本。</w:t>
      </w:r>
    </w:p>
    <w:p>
      <w:pPr>
        <w:spacing w:line="580" w:lineRule="exact"/>
        <w:ind w:firstLine="640"/>
        <w:rPr>
          <w:rFonts w:eastAsia="黑体"/>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三区一县：</w:t>
      </w:r>
      <w:r>
        <w:rPr>
          <w:rFonts w:ascii="Times New Roman" w:hAnsi="Times New Roman" w:eastAsia="仿宋_GB2312" w:cs="Times New Roman"/>
          <w:color w:val="000000" w:themeColor="text1"/>
          <w:sz w:val="32"/>
          <w:szCs w:val="32"/>
          <w14:textFill>
            <w14:solidFill>
              <w14:schemeClr w14:val="tx1"/>
            </w14:solidFill>
          </w14:textFill>
        </w:rPr>
        <w:t>鹤城区、中方县、怀化高新区</w:t>
      </w:r>
      <w:r>
        <w:rPr>
          <w:rFonts w:hint="eastAsia"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怀化国际陆港经济开发区。</w:t>
      </w:r>
    </w:p>
    <w:p>
      <w:pPr>
        <w:spacing w:line="580" w:lineRule="exact"/>
        <w:ind w:firstLine="640"/>
        <w:rPr>
          <w:rFonts w:eastAsia="黑体"/>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城市管理</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黑体" w:cs="Times New Roman"/>
          <w:color w:val="000000" w:themeColor="text1"/>
          <w:sz w:val="32"/>
          <w:szCs w:val="32"/>
          <w14:textFill>
            <w14:solidFill>
              <w14:schemeClr w14:val="tx1"/>
            </w14:solidFill>
          </w14:textFill>
        </w:rPr>
        <w:t>1+4</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黑体" w:cs="Times New Roman"/>
          <w:color w:val="000000" w:themeColor="text1"/>
          <w:sz w:val="32"/>
          <w:szCs w:val="32"/>
          <w14:textFill>
            <w14:solidFill>
              <w14:schemeClr w14:val="tx1"/>
            </w14:solidFill>
          </w14:textFill>
        </w:rPr>
        <w:t>考核体系：</w:t>
      </w:r>
      <w:r>
        <w:rPr>
          <w:rFonts w:ascii="Times New Roman" w:hAnsi="Times New Roman" w:eastAsia="仿宋_GB2312" w:cs="Times New Roman"/>
          <w:color w:val="000000" w:themeColor="text1"/>
          <w:sz w:val="32"/>
          <w:szCs w:val="32"/>
          <w14:textFill>
            <w14:solidFill>
              <w14:schemeClr w14:val="tx1"/>
            </w14:solidFill>
          </w14:textFill>
        </w:rPr>
        <w:t>为加快推进鹤中一体化发展，加强顶层设计，对市本级、鹤城区、中方县、怀化高新技术产业开发区和怀化国际陆港经济开发区的城市管理工作进行综合考核。</w:t>
      </w:r>
    </w:p>
    <w:p>
      <w:pPr>
        <w:spacing w:line="580" w:lineRule="exact"/>
        <w:ind w:firstLine="640"/>
        <w:rPr>
          <w:rFonts w:eastAsia="仿宋_GB2312"/>
          <w:bCs w:val="0"/>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三江一湾、四线多点：</w:t>
      </w:r>
      <w:r>
        <w:rPr>
          <w:rFonts w:ascii="Times New Roman" w:hAnsi="Times New Roman" w:eastAsia="仿宋_GB2312" w:cs="Times New Roman"/>
          <w:color w:val="000000" w:themeColor="text1"/>
          <w:sz w:val="32"/>
          <w:szCs w:val="32"/>
          <w14:textFill>
            <w14:solidFill>
              <w14:schemeClr w14:val="tx1"/>
            </w14:solidFill>
          </w14:textFill>
        </w:rPr>
        <w:t>依托沅水全流域200公里廊道，串联安江、洪江、芷江、榆树湾四大核心，推动东线溆浦神韵雪峰精品旅游线路，南线会同、靖州、通道侗苗风情精品旅游线路，西线新晃、麻阳温泉康养精品旅游线路，北线沅陵、辰溪书山文化精品旅游线路协同发展，推动形成点面联动、串珠成链的全域旅游发展模式。</w:t>
      </w:r>
    </w:p>
    <w:p>
      <w:pPr>
        <w:spacing w:line="580"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黑体" w:cs="Times New Roman"/>
          <w:color w:val="000000" w:themeColor="text1"/>
          <w:sz w:val="32"/>
          <w:szCs w:val="32"/>
          <w14:textFill>
            <w14:solidFill>
              <w14:schemeClr w14:val="tx1"/>
            </w14:solidFill>
          </w14:textFill>
        </w:rPr>
        <w:t>两站两中心三院一基地</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黑体"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刘良院士工作站、巴基斯坦依库巴院士工作站，湖南省现代中药制药过程技术创新中心、茯苓工程技术研究中心，侗医药研究院、苗药研究院、黄精产业研究院，以及湖南省大湘西地区道地中药制剂科技成果转化中试基地。</w:t>
      </w:r>
    </w:p>
    <w:p>
      <w:pPr>
        <w:pStyle w:val="2"/>
      </w:pPr>
      <w:r>
        <w:br w:type="page"/>
      </w:r>
    </w:p>
    <w:p>
      <w:pPr>
        <w:spacing w:line="580" w:lineRule="exact"/>
        <w:ind w:firstLine="640"/>
        <w:rPr>
          <w:rFonts w:eastAsia="仿宋_GB2312"/>
          <w:color w:val="000000" w:themeColor="text1"/>
          <w:sz w:val="32"/>
          <w:szCs w:val="32"/>
          <w14:textFill>
            <w14:solidFill>
              <w14:schemeClr w14:val="tx1"/>
            </w14:solidFill>
          </w14:textFill>
        </w:rPr>
      </w:pPr>
    </w:p>
    <w:p>
      <w:pPr>
        <w:pStyle w:val="2"/>
      </w:pPr>
    </w:p>
    <w:p/>
    <w:p>
      <w:pPr>
        <w:pStyle w:val="2"/>
      </w:pPr>
    </w:p>
    <w:p/>
    <w:p>
      <w:pPr>
        <w:pStyle w:val="2"/>
      </w:pPr>
    </w:p>
    <w:p/>
    <w:p>
      <w:pPr>
        <w:pStyle w:val="2"/>
      </w:pPr>
    </w:p>
    <w:p/>
    <w:p>
      <w:pPr>
        <w:pStyle w:val="2"/>
      </w:pPr>
    </w:p>
    <w:p/>
    <w:p>
      <w:pPr>
        <w:pStyle w:val="2"/>
      </w:pPr>
    </w:p>
    <w:p/>
    <w:p>
      <w:pPr>
        <w:pStyle w:val="2"/>
      </w:pPr>
    </w:p>
    <w:p/>
    <w:p>
      <w:pPr>
        <w:pStyle w:val="2"/>
      </w:pPr>
    </w:p>
    <w:p/>
    <w:p/>
    <w:p>
      <w:pPr>
        <w:pStyle w:val="2"/>
      </w:pPr>
    </w:p>
    <w:p>
      <w:pPr>
        <w:pStyle w:val="2"/>
      </w:pPr>
    </w:p>
    <w:p/>
    <w:p>
      <w:pPr>
        <w:pStyle w:val="2"/>
      </w:pPr>
    </w:p>
    <w:p/>
    <w:p>
      <w:pPr>
        <w:pStyle w:val="2"/>
      </w:pPr>
    </w:p>
    <w:p/>
    <w:p>
      <w:pPr>
        <w:pStyle w:val="2"/>
      </w:pPr>
    </w:p>
    <w:p/>
    <w:p>
      <w:pPr>
        <w:spacing w:line="300" w:lineRule="exact"/>
        <w:ind w:firstLine="601"/>
        <w:rPr>
          <w:rFonts w:ascii="方正仿宋简体" w:eastAsia="方正仿宋简体"/>
          <w:sz w:val="30"/>
          <w:szCs w:val="30"/>
        </w:rPr>
      </w:pPr>
    </w:p>
    <w:p>
      <w:pPr>
        <w:spacing w:line="300" w:lineRule="exact"/>
        <w:ind w:firstLine="601"/>
        <w:rPr>
          <w:rFonts w:ascii="方正仿宋简体" w:eastAsia="方正仿宋简体"/>
          <w:sz w:val="30"/>
          <w:szCs w:val="30"/>
        </w:rPr>
      </w:pPr>
    </w:p>
    <w:p>
      <w:pPr>
        <w:spacing w:line="400" w:lineRule="exact"/>
        <w:ind w:firstLine="280" w:firstLineChars="100"/>
        <w:rPr>
          <w:rFonts w:ascii="方正仿宋简体" w:eastAsia="方正仿宋简体"/>
          <w:sz w:val="28"/>
          <w:szCs w:val="28"/>
        </w:rPr>
      </w:pPr>
      <w:r>
        <w:rPr>
          <w:rFonts w:hint="eastAsia" w:ascii="方正仿宋简体" w:eastAsia="方正仿宋简体"/>
          <w:sz w:val="28"/>
          <w:szCs w:val="28"/>
        </w:rPr>
        <mc:AlternateContent>
          <mc:Choice Requires="wps">
            <w:drawing>
              <wp:anchor distT="0" distB="0" distL="114300" distR="114300" simplePos="0" relativeHeight="251668480" behindDoc="0" locked="0" layoutInCell="1" allowOverlap="1">
                <wp:simplePos x="0" y="0"/>
                <wp:positionH relativeFrom="column">
                  <wp:posOffset>1270</wp:posOffset>
                </wp:positionH>
                <wp:positionV relativeFrom="paragraph">
                  <wp:posOffset>29845</wp:posOffset>
                </wp:positionV>
                <wp:extent cx="5600700" cy="0"/>
                <wp:effectExtent l="10795" t="10795" r="8255" b="8255"/>
                <wp:wrapNone/>
                <wp:docPr id="7" name="直接连接符 7"/>
                <wp:cNvGraphicFramePr/>
                <a:graphic xmlns:a="http://schemas.openxmlformats.org/drawingml/2006/main">
                  <a:graphicData uri="http://schemas.microsoft.com/office/word/2010/wordprocessingShape">
                    <wps:wsp>
                      <wps:cNvCnPr>
                        <a:cxnSpLocks noChangeShapeType="true"/>
                      </wps:cNvCnPr>
                      <wps:spPr bwMode="auto">
                        <a:xfrm>
                          <a:off x="0" y="0"/>
                          <a:ext cx="5600700" cy="0"/>
                        </a:xfrm>
                        <a:prstGeom prst="line">
                          <a:avLst/>
                        </a:prstGeom>
                        <a:noFill/>
                        <a:ln w="12700">
                          <a:solidFill>
                            <a:srgbClr val="000000"/>
                          </a:solidFill>
                          <a:round/>
                        </a:ln>
                      </wps:spPr>
                      <wps:bodyPr/>
                    </wps:wsp>
                  </a:graphicData>
                </a:graphic>
              </wp:anchor>
            </w:drawing>
          </mc:Choice>
          <mc:Fallback>
            <w:pict>
              <v:line id="_x0000_s1026" o:spid="_x0000_s1026" o:spt="20" style="position:absolute;left:0pt;margin-left:0.1pt;margin-top:2.35pt;height:0pt;width:441pt;z-index:251668480;mso-width-relative:page;mso-height-relative:page;" filled="f" stroked="t" coordsize="21600,21600" o:gfxdata="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6nSYA9IAAAAEAQAADwAAAAAAAAAB&#10;ACAAAAA4AAAAZHJzL2Rvd25yZXYueG1sUEsBAhQAFAAAAAgAh07iQN0gPdTHAQAAYAMAAA4AAAAA&#10;AAAAAQAgAAAANwEAAGRycy9lMm9Eb2MueG1sUEsFBgAAAAAGAAYAWQEAAHAFAAAAAA==&#10;">
                <v:fill on="f" focussize="0,0"/>
                <v:stroke weight="1pt" color="#000000" joinstyle="round"/>
                <v:imagedata o:title=""/>
                <o:lock v:ext="edit" aspectratio="f"/>
              </v:line>
            </w:pict>
          </mc:Fallback>
        </mc:AlternateContent>
      </w:r>
      <w:r>
        <w:rPr>
          <w:rFonts w:hint="eastAsia" w:ascii="方正仿宋简体" w:eastAsia="方正仿宋简体"/>
          <w:sz w:val="28"/>
          <w:szCs w:val="28"/>
        </w:rPr>
        <w:t>抄送：市委各部门，怀化军分区。</w:t>
      </w:r>
    </w:p>
    <w:p>
      <w:pPr>
        <w:spacing w:line="400" w:lineRule="exact"/>
        <w:ind w:left="1121" w:leftChars="534"/>
        <w:rPr>
          <w:rFonts w:ascii="方正仿宋简体" w:eastAsia="方正仿宋简体"/>
          <w:sz w:val="28"/>
          <w:szCs w:val="28"/>
        </w:rPr>
      </w:pPr>
      <w:r>
        <w:rPr>
          <w:rFonts w:hint="eastAsia" w:ascii="方正仿宋简体" w:eastAsia="方正仿宋简体"/>
          <w:sz w:val="28"/>
          <w:szCs w:val="28"/>
        </w:rPr>
        <w:t>市人大常委会办公室，市政协办公室，市监委，市中级人民法院，市人民检察院。</w:t>
      </w:r>
    </w:p>
    <w:p>
      <w:pPr>
        <w:spacing w:line="400" w:lineRule="exact"/>
        <w:ind w:firstLine="1120" w:firstLineChars="400"/>
        <w:rPr>
          <w:rFonts w:ascii="方正仿宋简体" w:eastAsia="方正仿宋简体"/>
          <w:sz w:val="28"/>
          <w:szCs w:val="28"/>
        </w:rPr>
      </w:pPr>
      <w:r>
        <w:rPr>
          <w:rFonts w:hint="eastAsia" w:ascii="方正仿宋简体" w:eastAsia="方正仿宋简体"/>
          <w:sz w:val="28"/>
          <w:szCs w:val="28"/>
        </w:rPr>
        <w:t>各民主党派市委。</w:t>
      </w:r>
    </w:p>
    <w:p>
      <w:pPr>
        <w:spacing w:line="500" w:lineRule="exact"/>
        <w:ind w:firstLine="280" w:firstLineChars="100"/>
      </w:pPr>
      <w:r>
        <w:rPr>
          <w:rFonts w:hint="eastAsia" w:ascii="方正仿宋简体" w:eastAsia="方正仿宋简体"/>
          <w:sz w:val="28"/>
          <w:szCs w:val="28"/>
        </w:rPr>
        <mc:AlternateContent>
          <mc:Choice Requires="wps">
            <w:drawing>
              <wp:anchor distT="0" distB="0" distL="114300" distR="114300" simplePos="0" relativeHeight="251670528" behindDoc="0" locked="0" layoutInCell="1" allowOverlap="1">
                <wp:simplePos x="0" y="0"/>
                <wp:positionH relativeFrom="column">
                  <wp:posOffset>12065</wp:posOffset>
                </wp:positionH>
                <wp:positionV relativeFrom="paragraph">
                  <wp:posOffset>313690</wp:posOffset>
                </wp:positionV>
                <wp:extent cx="5600700" cy="0"/>
                <wp:effectExtent l="12065" t="8890" r="6985" b="10160"/>
                <wp:wrapNone/>
                <wp:docPr id="6" name="直接连接符 6"/>
                <wp:cNvGraphicFramePr/>
                <a:graphic xmlns:a="http://schemas.openxmlformats.org/drawingml/2006/main">
                  <a:graphicData uri="http://schemas.microsoft.com/office/word/2010/wordprocessingShape">
                    <wps:wsp>
                      <wps:cNvCnPr>
                        <a:cxnSpLocks noChangeShapeType="true"/>
                      </wps:cNvCnPr>
                      <wps:spPr bwMode="auto">
                        <a:xfrm>
                          <a:off x="0" y="0"/>
                          <a:ext cx="5600700" cy="0"/>
                        </a:xfrm>
                        <a:prstGeom prst="line">
                          <a:avLst/>
                        </a:prstGeom>
                        <a:noFill/>
                        <a:ln w="12700">
                          <a:solidFill>
                            <a:srgbClr val="000000"/>
                          </a:solidFill>
                          <a:round/>
                        </a:ln>
                      </wps:spPr>
                      <wps:bodyPr/>
                    </wps:wsp>
                  </a:graphicData>
                </a:graphic>
              </wp:anchor>
            </w:drawing>
          </mc:Choice>
          <mc:Fallback>
            <w:pict>
              <v:line id="_x0000_s1026" o:spid="_x0000_s1026" o:spt="20" style="position:absolute;left:0pt;margin-left:0.95pt;margin-top:24.7pt;height:0pt;width:441pt;z-index:251670528;mso-width-relative:page;mso-height-relative:page;" filled="f" stroked="t" coordsize="21600,21600" o:gfxdata="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WAAAAZHJzL1BLAQIUABQAAAAIAIdO4kCRRg3r1AAAAAcBAAAPAAAAAAAA&#10;AAEAIAAAADgAAABkcnMvZG93bnJldi54bWxQSwECFAAUAAAACACHTuJAaYetCMcBAABgAwAADgAA&#10;AAAAAAABACAAAAA5AQAAZHJzL2Uyb0RvYy54bWxQSwUGAAAAAAYABgBZAQAAcgUAAAAA&#10;">
                <v:fill on="f" focussize="0,0"/>
                <v:stroke weight="1pt" color="#000000" joinstyle="round"/>
                <v:imagedata o:title=""/>
                <o:lock v:ext="edit" aspectratio="f"/>
              </v:line>
            </w:pict>
          </mc:Fallback>
        </mc:AlternateContent>
      </w:r>
      <w:r>
        <w:rPr>
          <w:rFonts w:hint="eastAsia" w:ascii="方正仿宋简体" w:eastAsia="方正仿宋简体"/>
          <w:sz w:val="28"/>
          <w:szCs w:val="28"/>
        </w:rP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17780</wp:posOffset>
                </wp:positionV>
                <wp:extent cx="5600700" cy="0"/>
                <wp:effectExtent l="9525" t="8255" r="9525" b="10795"/>
                <wp:wrapNone/>
                <wp:docPr id="5" name="直接连接符 5"/>
                <wp:cNvGraphicFramePr/>
                <a:graphic xmlns:a="http://schemas.openxmlformats.org/drawingml/2006/main">
                  <a:graphicData uri="http://schemas.microsoft.com/office/word/2010/wordprocessingShape">
                    <wps:wsp>
                      <wps:cNvCnPr>
                        <a:cxnSpLocks noChangeShapeType="true"/>
                      </wps:cNvCnPr>
                      <wps:spPr bwMode="auto">
                        <a:xfrm>
                          <a:off x="0" y="0"/>
                          <a:ext cx="56007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0pt;margin-top:1.4pt;height:0pt;width:441pt;z-index:251669504;mso-width-relative:page;mso-height-relative:page;" filled="f" stroked="t" coordsize="21600,21600" o:gfxdata="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WAAAAZHJzL1BLAQIUABQAAAAIAIdO4kAGvoFN0QAAAAQBAAAPAAAAAAAA&#10;AAEAIAAAADgAAABkcnMvZG93bnJldi54bWxQSwECFAAUAAAACACHTuJA4fqFicoBAABfAwAADgAA&#10;AAAAAAABACAAAAA2AQAAZHJzL2Uyb0RvYy54bWxQSwUGAAAAAAYABgBZAQAAcgUAAAAA&#10;">
                <v:fill on="f" focussize="0,0"/>
                <v:stroke color="#000000" joinstyle="round"/>
                <v:imagedata o:title=""/>
                <o:lock v:ext="edit" aspectratio="f"/>
              </v:line>
            </w:pict>
          </mc:Fallback>
        </mc:AlternateContent>
      </w:r>
      <w:r>
        <w:rPr>
          <w:rFonts w:hint="eastAsia" w:ascii="方正仿宋简体" w:eastAsia="方正仿宋简体"/>
          <w:sz w:val="28"/>
          <w:szCs w:val="28"/>
        </w:rPr>
        <w:t>怀化市人民政府办公室                      2026年6月5日印发</w:t>
      </w:r>
    </w:p>
    <w:sectPr>
      <w:pgSz w:w="11906" w:h="16838"/>
      <w:pgMar w:top="2098" w:right="1474" w:bottom="1701"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swiss"/>
    <w:pitch w:val="default"/>
    <w:sig w:usb0="00000000" w:usb1="00000000" w:usb2="00000000" w:usb3="00000000" w:csb0="0000019F"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等线">
    <w:altName w:val="微软雅黑"/>
    <w:panose1 w:val="00000000000000000000"/>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仿宋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国标楷体">
    <w:altName w:val="楷体"/>
    <w:panose1 w:val="02000500000000000000"/>
    <w:charset w:val="86"/>
    <w:family w:val="auto"/>
    <w:pitch w:val="default"/>
    <w:sig w:usb0="00000000" w:usb1="00000000" w:usb2="00000000" w:usb3="00000000" w:csb0="00060007" w:csb1="00000000"/>
  </w:font>
  <w:font w:name="方正楷体_GB2312">
    <w:altName w:val="方正楷体_GBK"/>
    <w:panose1 w:val="00000000000000000000"/>
    <w:charset w:val="86"/>
    <w:family w:val="auto"/>
    <w:pitch w:val="default"/>
    <w:sig w:usb0="00000000" w:usb1="00000000" w:usb2="00000012" w:usb3="00000000" w:csb0="00040001" w:csb1="00000000"/>
  </w:font>
  <w:font w:name="方正仿宋_GB2312">
    <w:altName w:val="方正仿宋_GBK"/>
    <w:panose1 w:val="00000000000000000000"/>
    <w:charset w:val="86"/>
    <w:family w:val="auto"/>
    <w:pitch w:val="default"/>
    <w:sig w:usb0="00000000" w:usb1="00000000" w:usb2="00000012" w:usb3="00000000" w:csb0="00040001" w:csb1="00000000"/>
  </w:font>
  <w:font w:name="方正黑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210" w:rightChars="100"/>
      <w:rPr>
        <w:rFonts w:asciiTheme="minorEastAsia" w:hAnsiTheme="minorEastAsia"/>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744855" cy="392430"/>
              <wp:effectExtent l="0" t="0" r="0" b="0"/>
              <wp:wrapNone/>
              <wp:docPr id="31" name="文本框 31"/>
              <wp:cNvGraphicFramePr/>
              <a:graphic xmlns:a="http://schemas.openxmlformats.org/drawingml/2006/main">
                <a:graphicData uri="http://schemas.microsoft.com/office/word/2010/wordprocessingShape">
                  <wps:wsp>
                    <wps:cNvSpPr txBox="true"/>
                    <wps:spPr>
                      <a:xfrm>
                        <a:off x="0" y="0"/>
                        <a:ext cx="744855" cy="392430"/>
                      </a:xfrm>
                      <a:prstGeom prst="rect">
                        <a:avLst/>
                      </a:prstGeom>
                      <a:noFill/>
                      <a:ln w="6350">
                        <a:noFill/>
                      </a:ln>
                      <a:effectLst/>
                    </wps:spPr>
                    <wps:txbx>
                      <w:txbxContent>
                        <w:p>
                          <w:pPr>
                            <w:pStyle w:val="17"/>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21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top:0pt;height:30.9pt;width:58.65pt;mso-position-horizontal:outside;mso-position-horizontal-relative:margin;z-index:251660288;mso-width-relative:page;mso-height-relative:page;" filled="f" stroked="f" coordsize="21600,21600" o:gfxdata="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FgAAAGRycy9Q&#10;SwECFAAUAAAACACHTuJADObOFNMAAAAEAQAADwAAAAAAAAABACAAAAA4AAAAZHJzL2Rvd25yZXYu&#10;eG1sUEsBAhQAFAAAAAgAh07iQHn1fZ8jAgAAKQQAAA4AAAAAAAAAAQAgAAAAOAEAAGRycy9lMm9E&#10;b2MueG1sUEsFBgAAAAAGAAYAWQEAAM0FAAAAAA==&#10;">
              <v:fill on="f" focussize="0,0"/>
              <v:stroke on="f" weight="0.5pt"/>
              <v:imagedata o:title=""/>
              <o:lock v:ext="edit" aspectratio="f"/>
              <v:textbox inset="0mm,0mm,0mm,0mm">
                <w:txbxContent>
                  <w:p>
                    <w:pPr>
                      <w:pStyle w:val="17"/>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21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744855" cy="39243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744855" cy="392430"/>
                      </a:xfrm>
                      <a:prstGeom prst="rect">
                        <a:avLst/>
                      </a:prstGeom>
                      <a:noFill/>
                      <a:ln w="6350">
                        <a:noFill/>
                      </a:ln>
                      <a:effectLst/>
                    </wps:spPr>
                    <wps:txbx>
                      <w:txbxContent>
                        <w:p>
                          <w:pPr>
                            <w:pStyle w:val="17"/>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63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top:0pt;height:30.9pt;width:58.65pt;mso-position-horizontal:outside;mso-position-horizontal-relative:margin;z-index:251661312;mso-width-relative:page;mso-height-relative:page;" filled="f" stroked="f" coordsize="21600,21600" o:gfxdata="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WAAAAZHJzL1BL&#10;AQIUABQAAAAIAIdO4kAM5s4U0wAAAAQBAAAPAAAAAAAAAAEAIAAAADgAAABkcnMvZG93bnJldi54&#10;bWxQSwECFAAUAAAACACHTuJAFBFRXSICAAAnBAAADgAAAAAAAAABACAAAAA4AQAAZHJzL2Uyb0Rv&#10;Yy54bWxQSwUGAAAAAAYABgBZAQAAzAUAAAAA&#10;">
              <v:fill on="f" focussize="0,0"/>
              <v:stroke on="f" weight="0.5pt"/>
              <v:imagedata o:title=""/>
              <o:lock v:ext="edit" aspectratio="f"/>
              <v:textbox inset="0mm,0mm,0mm,0mm">
                <w:txbxContent>
                  <w:p>
                    <w:pPr>
                      <w:pStyle w:val="17"/>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63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882015" cy="392430"/>
              <wp:effectExtent l="0" t="0" r="0" b="0"/>
              <wp:wrapNone/>
              <wp:docPr id="15" name="文本框 15"/>
              <wp:cNvGraphicFramePr/>
              <a:graphic xmlns:a="http://schemas.openxmlformats.org/drawingml/2006/main">
                <a:graphicData uri="http://schemas.microsoft.com/office/word/2010/wordprocessingShape">
                  <wps:wsp>
                    <wps:cNvSpPr txBox="true"/>
                    <wps:spPr>
                      <a:xfrm>
                        <a:off x="0" y="0"/>
                        <a:ext cx="882015" cy="392430"/>
                      </a:xfrm>
                      <a:prstGeom prst="rect">
                        <a:avLst/>
                      </a:prstGeom>
                      <a:noFill/>
                      <a:ln w="6350">
                        <a:noFill/>
                      </a:ln>
                      <a:effectLst/>
                    </wps:spPr>
                    <wps:txbx>
                      <w:txbxContent>
                        <w:p>
                          <w:pPr>
                            <w:pStyle w:val="17"/>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186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top:0pt;height:30.9pt;width:69.45pt;mso-position-horizontal:outside;mso-position-horizontal-relative:margin;z-index:251659264;mso-width-relative:page;mso-height-relative:page;" filled="f" stroked="f" coordsize="21600,21600" o:gfxdata="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FgAAAGRycy9Q&#10;SwECFAAUAAAACACHTuJA96/9xNQAAAAEAQAADwAAAAAAAAABACAAAAA4AAAAZHJzL2Rvd25yZXYu&#10;eG1sUEsBAhQAFAAAAAgAh07iQJj+ZvMiAgAAKQQAAA4AAAAAAAAAAQAgAAAAOQEAAGRycy9lMm9E&#10;b2MueG1sUEsFBgAAAAAGAAYAWQEAAM0FAAAAAA==&#10;">
              <v:fill on="f" focussize="0,0"/>
              <v:stroke on="f" weight="0.5pt"/>
              <v:imagedata o:title=""/>
              <o:lock v:ext="edit" aspectratio="f"/>
              <v:textbox inset="0mm,0mm,0mm,0mm">
                <w:txbxContent>
                  <w:p>
                    <w:pPr>
                      <w:pStyle w:val="17"/>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186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82096C"/>
    <w:multiLevelType w:val="singleLevel"/>
    <w:tmpl w:val="A082096C"/>
    <w:lvl w:ilvl="0" w:tentative="0">
      <w:start w:val="2"/>
      <w:numFmt w:val="chineseCounting"/>
      <w:suff w:val="space"/>
      <w:lvlText w:val="第%1节"/>
      <w:lvlJc w:val="left"/>
      <w:rPr>
        <w:rFonts w:hint="eastAsia"/>
      </w:rPr>
    </w:lvl>
  </w:abstractNum>
  <w:abstractNum w:abstractNumId="1">
    <w:nsid w:val="A1E8998D"/>
    <w:multiLevelType w:val="singleLevel"/>
    <w:tmpl w:val="A1E8998D"/>
    <w:lvl w:ilvl="0" w:tentative="0">
      <w:start w:val="3"/>
      <w:numFmt w:val="chineseCounting"/>
      <w:suff w:val="space"/>
      <w:lvlText w:val="第%1节"/>
      <w:lvlJc w:val="left"/>
      <w:rPr>
        <w:rFonts w:hint="eastAsia"/>
      </w:rPr>
    </w:lvl>
  </w:abstractNum>
  <w:abstractNum w:abstractNumId="2">
    <w:nsid w:val="BB338944"/>
    <w:multiLevelType w:val="singleLevel"/>
    <w:tmpl w:val="BB338944"/>
    <w:lvl w:ilvl="0" w:tentative="0">
      <w:start w:val="1"/>
      <w:numFmt w:val="chineseCounting"/>
      <w:suff w:val="space"/>
      <w:lvlText w:val="第%1节"/>
      <w:lvlJc w:val="left"/>
      <w:rPr>
        <w:rFonts w:hint="eastAsia"/>
      </w:rPr>
    </w:lvl>
  </w:abstractNum>
  <w:abstractNum w:abstractNumId="3">
    <w:nsid w:val="3667CE8C"/>
    <w:multiLevelType w:val="singleLevel"/>
    <w:tmpl w:val="3667CE8C"/>
    <w:lvl w:ilvl="0" w:tentative="0">
      <w:start w:val="1"/>
      <w:numFmt w:val="chineseCounting"/>
      <w:suff w:val="space"/>
      <w:lvlText w:val="第%1节"/>
      <w:lvlJc w:val="left"/>
      <w:rPr>
        <w:rFonts w:hint="eastAsia"/>
      </w:rPr>
    </w:lvl>
  </w:abstractNum>
  <w:abstractNum w:abstractNumId="4">
    <w:nsid w:val="3C749ED5"/>
    <w:multiLevelType w:val="singleLevel"/>
    <w:tmpl w:val="3C749ED5"/>
    <w:lvl w:ilvl="0" w:tentative="0">
      <w:start w:val="1"/>
      <w:numFmt w:val="chineseCounting"/>
      <w:suff w:val="space"/>
      <w:lvlText w:val="第%1节"/>
      <w:lvlJc w:val="left"/>
      <w:rPr>
        <w:rFonts w:hint="eastAsia"/>
      </w:rPr>
    </w:lvl>
  </w:abstractNum>
  <w:abstractNum w:abstractNumId="5">
    <w:nsid w:val="7951D90D"/>
    <w:multiLevelType w:val="singleLevel"/>
    <w:tmpl w:val="7951D90D"/>
    <w:lvl w:ilvl="0" w:tentative="0">
      <w:start w:val="3"/>
      <w:numFmt w:val="chineseCounting"/>
      <w:suff w:val="space"/>
      <w:lvlText w:val="第%1节"/>
      <w:lvlJc w:val="left"/>
      <w:rPr>
        <w:rFonts w:hint="eastAsia"/>
      </w:rPr>
    </w:lvl>
  </w:abstractNum>
  <w:num w:numId="1">
    <w:abstractNumId w:val="1"/>
  </w:num>
  <w:num w:numId="2">
    <w:abstractNumId w:val="2"/>
  </w:num>
  <w:num w:numId="3">
    <w:abstractNumId w:val="0"/>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true"/>
  <w:bordersDoNotSurroundFooter w:val="true"/>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9EE"/>
    <w:rsid w:val="00015C47"/>
    <w:rsid w:val="0004703E"/>
    <w:rsid w:val="000521EE"/>
    <w:rsid w:val="00077772"/>
    <w:rsid w:val="000E463E"/>
    <w:rsid w:val="00113E62"/>
    <w:rsid w:val="001564D1"/>
    <w:rsid w:val="00191972"/>
    <w:rsid w:val="001A22AB"/>
    <w:rsid w:val="001A4E8C"/>
    <w:rsid w:val="001A5B6F"/>
    <w:rsid w:val="00200FE4"/>
    <w:rsid w:val="0028501E"/>
    <w:rsid w:val="00326A74"/>
    <w:rsid w:val="003969DC"/>
    <w:rsid w:val="003F0ED7"/>
    <w:rsid w:val="003F6152"/>
    <w:rsid w:val="00410FB3"/>
    <w:rsid w:val="00486DF9"/>
    <w:rsid w:val="00491731"/>
    <w:rsid w:val="00501582"/>
    <w:rsid w:val="00506D36"/>
    <w:rsid w:val="00514A8D"/>
    <w:rsid w:val="005756E9"/>
    <w:rsid w:val="005C25BC"/>
    <w:rsid w:val="005E7E8E"/>
    <w:rsid w:val="006F29DE"/>
    <w:rsid w:val="006F6345"/>
    <w:rsid w:val="00754775"/>
    <w:rsid w:val="00824B57"/>
    <w:rsid w:val="00841589"/>
    <w:rsid w:val="00881DDC"/>
    <w:rsid w:val="00883014"/>
    <w:rsid w:val="008B644C"/>
    <w:rsid w:val="008F780D"/>
    <w:rsid w:val="00931B98"/>
    <w:rsid w:val="00955CF8"/>
    <w:rsid w:val="00963312"/>
    <w:rsid w:val="009656D4"/>
    <w:rsid w:val="00965A47"/>
    <w:rsid w:val="009663F8"/>
    <w:rsid w:val="00994A79"/>
    <w:rsid w:val="00A03193"/>
    <w:rsid w:val="00A818B6"/>
    <w:rsid w:val="00A96D38"/>
    <w:rsid w:val="00AA2125"/>
    <w:rsid w:val="00AA3F54"/>
    <w:rsid w:val="00B95671"/>
    <w:rsid w:val="00BC40F9"/>
    <w:rsid w:val="00C859EE"/>
    <w:rsid w:val="00C91832"/>
    <w:rsid w:val="00CE00A8"/>
    <w:rsid w:val="00D70970"/>
    <w:rsid w:val="00D72EB6"/>
    <w:rsid w:val="00DA7669"/>
    <w:rsid w:val="00DB2560"/>
    <w:rsid w:val="00DC1357"/>
    <w:rsid w:val="00E135A3"/>
    <w:rsid w:val="00E37B71"/>
    <w:rsid w:val="00E37F41"/>
    <w:rsid w:val="00E43C60"/>
    <w:rsid w:val="00E67A95"/>
    <w:rsid w:val="00E83176"/>
    <w:rsid w:val="00F57C55"/>
    <w:rsid w:val="00F8452B"/>
    <w:rsid w:val="00FB01AA"/>
    <w:rsid w:val="7DDBAD22"/>
    <w:rsid w:val="7F937A69"/>
    <w:rsid w:val="AFEF982C"/>
    <w:rsid w:val="FF7FCC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qFormat="1" w:uiPriority="0" w:semiHidden="0"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iPriority="99" w:semiHidden="0" w:name="toc 1"/>
    <w:lsdException w:qFormat="1" w:unhideWhenUsed="0" w:uiPriority="0" w:semiHidden="0"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99" w:name="footnote text"/>
    <w:lsdException w:qFormat="1" w:unhideWhenUsed="0" w:uiPriority="0" w:semiHidden="0"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bCs/>
      <w:kern w:val="2"/>
      <w:sz w:val="21"/>
      <w:szCs w:val="22"/>
      <w:lang w:val="en-US" w:eastAsia="zh-CN" w:bidi="ar-SA"/>
    </w:rPr>
  </w:style>
  <w:style w:type="paragraph" w:styleId="5">
    <w:name w:val="heading 1"/>
    <w:basedOn w:val="1"/>
    <w:next w:val="1"/>
    <w:link w:val="35"/>
    <w:qFormat/>
    <w:uiPriority w:val="0"/>
    <w:pPr>
      <w:keepNext/>
      <w:keepLines/>
      <w:adjustRightInd w:val="0"/>
      <w:snapToGrid w:val="0"/>
      <w:spacing w:line="588" w:lineRule="exact"/>
      <w:jc w:val="center"/>
      <w:outlineLvl w:val="0"/>
    </w:pPr>
    <w:rPr>
      <w:rFonts w:ascii="Times New Roman" w:hAnsi="Times New Roman" w:eastAsia="黑体" w:cs="Times New Roman"/>
      <w:kern w:val="44"/>
      <w:sz w:val="32"/>
      <w:szCs w:val="44"/>
    </w:rPr>
  </w:style>
  <w:style w:type="paragraph" w:styleId="6">
    <w:name w:val="heading 2"/>
    <w:basedOn w:val="1"/>
    <w:next w:val="1"/>
    <w:link w:val="36"/>
    <w:unhideWhenUsed/>
    <w:qFormat/>
    <w:uiPriority w:val="0"/>
    <w:pPr>
      <w:keepNext/>
      <w:keepLines/>
      <w:adjustRightInd w:val="0"/>
      <w:snapToGrid w:val="0"/>
      <w:spacing w:line="588" w:lineRule="exact"/>
      <w:jc w:val="center"/>
      <w:outlineLvl w:val="1"/>
    </w:pPr>
    <w:rPr>
      <w:rFonts w:eastAsia="方正楷体_GBK" w:asciiTheme="majorHAnsi" w:hAnsiTheme="majorHAnsi" w:cstheme="majorBidi"/>
      <w:sz w:val="30"/>
      <w:szCs w:val="32"/>
    </w:rPr>
  </w:style>
  <w:style w:type="paragraph" w:styleId="7">
    <w:name w:val="heading 3"/>
    <w:basedOn w:val="1"/>
    <w:next w:val="1"/>
    <w:link w:val="37"/>
    <w:unhideWhenUsed/>
    <w:qFormat/>
    <w:uiPriority w:val="0"/>
    <w:pPr>
      <w:keepNext/>
      <w:keepLines/>
      <w:adjustRightInd w:val="0"/>
      <w:snapToGrid w:val="0"/>
      <w:spacing w:line="588" w:lineRule="exact"/>
      <w:jc w:val="center"/>
      <w:outlineLvl w:val="2"/>
    </w:pPr>
    <w:rPr>
      <w:rFonts w:ascii="Times New Roman" w:hAnsi="Times New Roman" w:eastAsia="方正仿宋_GBK" w:cs="Times New Roman"/>
      <w:b/>
      <w:sz w:val="28"/>
      <w:szCs w:val="32"/>
    </w:rPr>
  </w:style>
  <w:style w:type="paragraph" w:styleId="8">
    <w:name w:val="heading 4"/>
    <w:basedOn w:val="1"/>
    <w:next w:val="1"/>
    <w:link w:val="38"/>
    <w:unhideWhenUsed/>
    <w:qFormat/>
    <w:uiPriority w:val="0"/>
    <w:pPr>
      <w:keepNext/>
      <w:keepLines/>
      <w:spacing w:before="280" w:after="290" w:line="372" w:lineRule="auto"/>
      <w:ind w:firstLine="560" w:firstLineChars="200"/>
      <w:outlineLvl w:val="3"/>
    </w:pPr>
    <w:rPr>
      <w:rFonts w:ascii="Arial" w:hAnsi="Arial" w:eastAsia="黑体" w:cs="Times New Roman"/>
      <w:b/>
      <w:bCs w:val="0"/>
      <w:sz w:val="28"/>
    </w:rPr>
  </w:style>
  <w:style w:type="paragraph" w:styleId="9">
    <w:name w:val="heading 5"/>
    <w:basedOn w:val="1"/>
    <w:next w:val="1"/>
    <w:link w:val="39"/>
    <w:qFormat/>
    <w:uiPriority w:val="0"/>
    <w:pPr>
      <w:keepNext/>
      <w:wordWrap w:val="0"/>
      <w:overflowPunct w:val="0"/>
      <w:adjustRightInd w:val="0"/>
      <w:spacing w:line="588" w:lineRule="exact"/>
      <w:ind w:firstLine="560" w:firstLineChars="200"/>
      <w:jc w:val="center"/>
      <w:outlineLvl w:val="4"/>
    </w:pPr>
    <w:rPr>
      <w:rFonts w:ascii="Times New Roman" w:hAnsi="Times New Roman" w:eastAsia="方正仿宋_GBK" w:cs="Times New Roman"/>
      <w:bCs w:val="0"/>
      <w:sz w:val="28"/>
      <w:szCs w:val="3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99"/>
    <w:pPr>
      <w:ind w:firstLine="420" w:firstLineChars="200"/>
    </w:pPr>
  </w:style>
  <w:style w:type="paragraph" w:styleId="3">
    <w:name w:val="Body Text Indent"/>
    <w:basedOn w:val="1"/>
    <w:next w:val="4"/>
    <w:qFormat/>
    <w:uiPriority w:val="99"/>
    <w:pPr>
      <w:spacing w:after="120"/>
      <w:ind w:left="420" w:leftChars="200"/>
    </w:pPr>
  </w:style>
  <w:style w:type="paragraph" w:styleId="4">
    <w:name w:val="envelope return"/>
    <w:basedOn w:val="1"/>
    <w:qFormat/>
    <w:uiPriority w:val="0"/>
    <w:pPr>
      <w:snapToGrid w:val="0"/>
    </w:pPr>
    <w:rPr>
      <w:rFonts w:ascii="Arial" w:hAnsi="Arial"/>
    </w:rPr>
  </w:style>
  <w:style w:type="paragraph" w:styleId="10">
    <w:name w:val="Normal Indent"/>
    <w:basedOn w:val="1"/>
    <w:next w:val="2"/>
    <w:qFormat/>
    <w:uiPriority w:val="0"/>
    <w:pPr>
      <w:spacing w:line="588" w:lineRule="exact"/>
      <w:ind w:firstLine="420" w:firstLineChars="200"/>
    </w:pPr>
    <w:rPr>
      <w:rFonts w:ascii="Times New Roman" w:hAnsi="Times New Roman" w:eastAsia="方正仿宋_GBK" w:cs="Times New Roman"/>
      <w:bCs w:val="0"/>
      <w:sz w:val="28"/>
    </w:rPr>
  </w:style>
  <w:style w:type="paragraph" w:styleId="11">
    <w:name w:val="index 5"/>
    <w:basedOn w:val="1"/>
    <w:next w:val="1"/>
    <w:qFormat/>
    <w:uiPriority w:val="0"/>
    <w:pPr>
      <w:ind w:left="1680"/>
    </w:pPr>
  </w:style>
  <w:style w:type="paragraph" w:styleId="12">
    <w:name w:val="annotation text"/>
    <w:basedOn w:val="1"/>
    <w:link w:val="40"/>
    <w:qFormat/>
    <w:uiPriority w:val="0"/>
    <w:pPr>
      <w:spacing w:line="588" w:lineRule="exact"/>
      <w:ind w:firstLine="560" w:firstLineChars="200"/>
      <w:jc w:val="left"/>
    </w:pPr>
    <w:rPr>
      <w:rFonts w:ascii="Times New Roman" w:hAnsi="Times New Roman" w:eastAsia="方正仿宋_GBK" w:cs="Times New Roman"/>
      <w:bCs w:val="0"/>
      <w:sz w:val="28"/>
    </w:rPr>
  </w:style>
  <w:style w:type="paragraph" w:styleId="13">
    <w:name w:val="Body Text"/>
    <w:basedOn w:val="1"/>
    <w:link w:val="34"/>
    <w:unhideWhenUsed/>
    <w:qFormat/>
    <w:uiPriority w:val="0"/>
    <w:pPr>
      <w:spacing w:after="120"/>
    </w:pPr>
  </w:style>
  <w:style w:type="paragraph" w:styleId="14">
    <w:name w:val="toc 5"/>
    <w:basedOn w:val="1"/>
    <w:next w:val="1"/>
    <w:qFormat/>
    <w:uiPriority w:val="0"/>
    <w:pPr>
      <w:spacing w:line="588" w:lineRule="exact"/>
      <w:ind w:left="800" w:leftChars="800" w:firstLine="560" w:firstLineChars="200"/>
    </w:pPr>
    <w:rPr>
      <w:rFonts w:ascii="等线" w:hAnsi="Times New Roman" w:eastAsia="等线" w:cs="Times New Roman"/>
      <w:bCs w:val="0"/>
      <w:sz w:val="28"/>
    </w:rPr>
  </w:style>
  <w:style w:type="paragraph" w:styleId="15">
    <w:name w:val="Plain Text"/>
    <w:basedOn w:val="1"/>
    <w:link w:val="41"/>
    <w:qFormat/>
    <w:uiPriority w:val="0"/>
    <w:pPr>
      <w:spacing w:line="588" w:lineRule="exact"/>
      <w:ind w:firstLine="560" w:firstLineChars="200"/>
    </w:pPr>
    <w:rPr>
      <w:rFonts w:ascii="宋体" w:hAnsi="Courier New" w:eastAsia="方正仿宋_GBK" w:cs="Times New Roman"/>
      <w:bCs w:val="0"/>
      <w:sz w:val="28"/>
    </w:rPr>
  </w:style>
  <w:style w:type="paragraph" w:styleId="16">
    <w:name w:val="Balloon Text"/>
    <w:basedOn w:val="1"/>
    <w:link w:val="50"/>
    <w:qFormat/>
    <w:uiPriority w:val="0"/>
    <w:pPr>
      <w:ind w:firstLine="560" w:firstLineChars="200"/>
    </w:pPr>
    <w:rPr>
      <w:rFonts w:ascii="Times New Roman" w:hAnsi="Times New Roman" w:eastAsia="方正仿宋_GBK" w:cs="Times New Roman"/>
      <w:bCs w:val="0"/>
      <w:sz w:val="18"/>
      <w:szCs w:val="18"/>
    </w:rPr>
  </w:style>
  <w:style w:type="paragraph" w:styleId="17">
    <w:name w:val="footer"/>
    <w:basedOn w:val="1"/>
    <w:next w:val="11"/>
    <w:qFormat/>
    <w:uiPriority w:val="99"/>
    <w:pPr>
      <w:tabs>
        <w:tab w:val="center" w:pos="4153"/>
        <w:tab w:val="right" w:pos="8306"/>
      </w:tabs>
      <w:snapToGrid w:val="0"/>
    </w:pPr>
    <w:rPr>
      <w:sz w:val="18"/>
    </w:rPr>
  </w:style>
  <w:style w:type="paragraph" w:styleId="18">
    <w:name w:val="header"/>
    <w:basedOn w:val="1"/>
    <w:link w:val="33"/>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unhideWhenUsed/>
    <w:qFormat/>
    <w:uiPriority w:val="99"/>
    <w:pPr>
      <w:spacing w:line="588" w:lineRule="exact"/>
      <w:ind w:firstLine="560" w:firstLineChars="200"/>
    </w:pPr>
    <w:rPr>
      <w:rFonts w:ascii="黑体" w:hAnsi="黑体" w:eastAsia="黑体" w:cs="Times New Roman"/>
      <w:bCs w:val="0"/>
      <w:sz w:val="32"/>
      <w:szCs w:val="32"/>
    </w:rPr>
  </w:style>
  <w:style w:type="paragraph" w:styleId="20">
    <w:name w:val="footnote text"/>
    <w:basedOn w:val="1"/>
    <w:link w:val="43"/>
    <w:semiHidden/>
    <w:unhideWhenUsed/>
    <w:qFormat/>
    <w:uiPriority w:val="99"/>
    <w:pPr>
      <w:snapToGrid w:val="0"/>
      <w:spacing w:line="588" w:lineRule="exact"/>
      <w:ind w:firstLine="560" w:firstLineChars="200"/>
      <w:jc w:val="left"/>
    </w:pPr>
    <w:rPr>
      <w:rFonts w:ascii="Times New Roman" w:hAnsi="Times New Roman" w:eastAsia="方正仿宋_GBK" w:cs="Times New Roman"/>
      <w:bCs w:val="0"/>
      <w:sz w:val="18"/>
      <w:szCs w:val="18"/>
    </w:rPr>
  </w:style>
  <w:style w:type="paragraph" w:styleId="21">
    <w:name w:val="toc 2"/>
    <w:basedOn w:val="1"/>
    <w:next w:val="1"/>
    <w:qFormat/>
    <w:uiPriority w:val="0"/>
    <w:pPr>
      <w:spacing w:line="588" w:lineRule="exact"/>
      <w:ind w:left="420" w:leftChars="200" w:firstLine="560" w:firstLineChars="200"/>
    </w:pPr>
    <w:rPr>
      <w:rFonts w:ascii="Times New Roman" w:hAnsi="Times New Roman" w:eastAsia="方正仿宋_GBK" w:cs="Times New Roman"/>
      <w:bCs w:val="0"/>
      <w:sz w:val="28"/>
    </w:rPr>
  </w:style>
  <w:style w:type="paragraph" w:styleId="22">
    <w:name w:val="HTML Preformatted"/>
    <w:basedOn w:val="1"/>
    <w:link w:val="44"/>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88" w:lineRule="exact"/>
      <w:ind w:firstLine="560" w:firstLineChars="200"/>
      <w:jc w:val="left"/>
    </w:pPr>
    <w:rPr>
      <w:rFonts w:ascii="宋体" w:hAnsi="Times New Roman" w:eastAsia="方正仿宋_GBK" w:cs="宋体"/>
      <w:kern w:val="0"/>
      <w:sz w:val="24"/>
      <w:szCs w:val="24"/>
    </w:rPr>
  </w:style>
  <w:style w:type="paragraph" w:styleId="23">
    <w:name w:val="Normal (Web)"/>
    <w:basedOn w:val="1"/>
    <w:qFormat/>
    <w:uiPriority w:val="0"/>
    <w:pPr>
      <w:spacing w:beforeAutospacing="1" w:afterAutospacing="1" w:line="588" w:lineRule="exact"/>
      <w:ind w:firstLine="560" w:firstLineChars="200"/>
      <w:jc w:val="center"/>
    </w:pPr>
    <w:rPr>
      <w:rFonts w:ascii="Times New Roman" w:hAnsi="Times New Roman" w:eastAsia="方正仿宋_GBK" w:cs="Times New Roman"/>
      <w:bCs w:val="0"/>
      <w:kern w:val="0"/>
      <w:sz w:val="24"/>
    </w:rPr>
  </w:style>
  <w:style w:type="paragraph" w:styleId="24">
    <w:name w:val="index 1"/>
    <w:basedOn w:val="1"/>
    <w:next w:val="1"/>
    <w:unhideWhenUsed/>
    <w:qFormat/>
    <w:uiPriority w:val="0"/>
    <w:pPr>
      <w:adjustRightInd w:val="0"/>
      <w:snapToGrid w:val="0"/>
      <w:spacing w:line="588" w:lineRule="exact"/>
      <w:jc w:val="center"/>
    </w:pPr>
    <w:rPr>
      <w:rFonts w:ascii="黑体" w:hAnsi="黑体" w:eastAsia="黑体" w:cs="宋体"/>
      <w:bCs w:val="0"/>
      <w:sz w:val="32"/>
      <w:szCs w:val="40"/>
    </w:rPr>
  </w:style>
  <w:style w:type="table" w:styleId="26">
    <w:name w:val="Table Grid"/>
    <w:basedOn w:val="25"/>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basedOn w:val="27"/>
    <w:qFormat/>
    <w:uiPriority w:val="0"/>
    <w:rPr>
      <w:b/>
    </w:rPr>
  </w:style>
  <w:style w:type="character" w:styleId="29">
    <w:name w:val="Emphasis"/>
    <w:basedOn w:val="27"/>
    <w:qFormat/>
    <w:uiPriority w:val="0"/>
    <w:rPr>
      <w:i/>
    </w:rPr>
  </w:style>
  <w:style w:type="character" w:styleId="30">
    <w:name w:val="footnote reference"/>
    <w:basedOn w:val="27"/>
    <w:semiHidden/>
    <w:unhideWhenUsed/>
    <w:qFormat/>
    <w:uiPriority w:val="99"/>
    <w:rPr>
      <w:vertAlign w:val="superscript"/>
    </w:rPr>
  </w:style>
  <w:style w:type="paragraph" w:customStyle="1" w:styleId="31">
    <w:name w:val="样式1"/>
    <w:basedOn w:val="1"/>
    <w:link w:val="32"/>
    <w:qFormat/>
    <w:uiPriority w:val="0"/>
    <w:rPr>
      <w:b/>
      <w:color w:val="548235" w:themeColor="accent6" w:themeShade="BF"/>
      <w:sz w:val="28"/>
    </w:rPr>
  </w:style>
  <w:style w:type="character" w:customStyle="1" w:styleId="32">
    <w:name w:val="样式1 Char"/>
    <w:basedOn w:val="27"/>
    <w:link w:val="31"/>
    <w:qFormat/>
    <w:uiPriority w:val="0"/>
    <w:rPr>
      <w:b/>
      <w:color w:val="548235" w:themeColor="accent6" w:themeShade="BF"/>
      <w:sz w:val="28"/>
    </w:rPr>
  </w:style>
  <w:style w:type="character" w:customStyle="1" w:styleId="33">
    <w:name w:val="页眉 Char"/>
    <w:basedOn w:val="27"/>
    <w:link w:val="18"/>
    <w:qFormat/>
    <w:uiPriority w:val="99"/>
    <w:rPr>
      <w:bCs/>
      <w:kern w:val="2"/>
      <w:sz w:val="18"/>
      <w:szCs w:val="18"/>
    </w:rPr>
  </w:style>
  <w:style w:type="character" w:customStyle="1" w:styleId="34">
    <w:name w:val="正文文本 Char"/>
    <w:basedOn w:val="27"/>
    <w:link w:val="13"/>
    <w:semiHidden/>
    <w:qFormat/>
    <w:uiPriority w:val="99"/>
    <w:rPr>
      <w:bCs/>
      <w:kern w:val="2"/>
      <w:sz w:val="21"/>
      <w:szCs w:val="22"/>
    </w:rPr>
  </w:style>
  <w:style w:type="character" w:customStyle="1" w:styleId="35">
    <w:name w:val="标题 1 Char"/>
    <w:basedOn w:val="27"/>
    <w:link w:val="5"/>
    <w:qFormat/>
    <w:uiPriority w:val="0"/>
    <w:rPr>
      <w:rFonts w:ascii="Times New Roman" w:hAnsi="Times New Roman" w:eastAsia="黑体" w:cs="Times New Roman"/>
      <w:bCs/>
      <w:kern w:val="44"/>
      <w:sz w:val="32"/>
      <w:szCs w:val="44"/>
    </w:rPr>
  </w:style>
  <w:style w:type="character" w:customStyle="1" w:styleId="36">
    <w:name w:val="标题 2 Char"/>
    <w:basedOn w:val="27"/>
    <w:link w:val="6"/>
    <w:qFormat/>
    <w:uiPriority w:val="0"/>
    <w:rPr>
      <w:rFonts w:eastAsia="方正楷体_GBK" w:asciiTheme="majorHAnsi" w:hAnsiTheme="majorHAnsi" w:cstheme="majorBidi"/>
      <w:bCs/>
      <w:kern w:val="2"/>
      <w:sz w:val="30"/>
      <w:szCs w:val="32"/>
    </w:rPr>
  </w:style>
  <w:style w:type="character" w:customStyle="1" w:styleId="37">
    <w:name w:val="标题 3 Char"/>
    <w:basedOn w:val="27"/>
    <w:link w:val="7"/>
    <w:qFormat/>
    <w:uiPriority w:val="0"/>
    <w:rPr>
      <w:rFonts w:ascii="Times New Roman" w:hAnsi="Times New Roman" w:eastAsia="方正仿宋_GBK" w:cs="Times New Roman"/>
      <w:b/>
      <w:bCs/>
      <w:kern w:val="2"/>
      <w:sz w:val="28"/>
      <w:szCs w:val="32"/>
    </w:rPr>
  </w:style>
  <w:style w:type="character" w:customStyle="1" w:styleId="38">
    <w:name w:val="标题 4 Char"/>
    <w:basedOn w:val="27"/>
    <w:link w:val="8"/>
    <w:qFormat/>
    <w:uiPriority w:val="0"/>
    <w:rPr>
      <w:rFonts w:ascii="Arial" w:hAnsi="Arial" w:eastAsia="黑体" w:cs="Times New Roman"/>
      <w:b/>
      <w:kern w:val="2"/>
      <w:sz w:val="28"/>
      <w:szCs w:val="22"/>
    </w:rPr>
  </w:style>
  <w:style w:type="character" w:customStyle="1" w:styleId="39">
    <w:name w:val="标题 5 Char"/>
    <w:basedOn w:val="27"/>
    <w:link w:val="9"/>
    <w:qFormat/>
    <w:uiPriority w:val="0"/>
    <w:rPr>
      <w:rFonts w:ascii="Times New Roman" w:hAnsi="Times New Roman" w:eastAsia="方正仿宋_GBK" w:cs="Times New Roman"/>
      <w:kern w:val="2"/>
      <w:sz w:val="28"/>
      <w:szCs w:val="38"/>
    </w:rPr>
  </w:style>
  <w:style w:type="character" w:customStyle="1" w:styleId="40">
    <w:name w:val="批注文字 Char"/>
    <w:basedOn w:val="27"/>
    <w:link w:val="12"/>
    <w:qFormat/>
    <w:uiPriority w:val="0"/>
    <w:rPr>
      <w:rFonts w:ascii="Times New Roman" w:hAnsi="Times New Roman" w:eastAsia="方正仿宋_GBK" w:cs="Times New Roman"/>
      <w:kern w:val="2"/>
      <w:sz w:val="28"/>
      <w:szCs w:val="22"/>
    </w:rPr>
  </w:style>
  <w:style w:type="character" w:customStyle="1" w:styleId="41">
    <w:name w:val="纯文本 Char"/>
    <w:basedOn w:val="27"/>
    <w:link w:val="15"/>
    <w:qFormat/>
    <w:uiPriority w:val="0"/>
    <w:rPr>
      <w:rFonts w:ascii="宋体" w:hAnsi="Courier New" w:eastAsia="方正仿宋_GBK" w:cs="Times New Roman"/>
      <w:kern w:val="2"/>
      <w:sz w:val="28"/>
      <w:szCs w:val="22"/>
    </w:rPr>
  </w:style>
  <w:style w:type="paragraph" w:customStyle="1" w:styleId="42">
    <w:name w:val="Index5"/>
    <w:basedOn w:val="1"/>
    <w:next w:val="1"/>
    <w:qFormat/>
    <w:uiPriority w:val="0"/>
    <w:pPr>
      <w:spacing w:line="588" w:lineRule="exact"/>
      <w:ind w:left="1680" w:firstLine="560" w:firstLineChars="200"/>
    </w:pPr>
    <w:rPr>
      <w:rFonts w:ascii="Times New Roman" w:hAnsi="Times New Roman" w:eastAsia="方正仿宋_GBK" w:cs="Times New Roman"/>
      <w:bCs w:val="0"/>
      <w:sz w:val="28"/>
    </w:rPr>
  </w:style>
  <w:style w:type="character" w:customStyle="1" w:styleId="43">
    <w:name w:val="脚注文本 Char"/>
    <w:basedOn w:val="27"/>
    <w:link w:val="20"/>
    <w:semiHidden/>
    <w:qFormat/>
    <w:uiPriority w:val="99"/>
    <w:rPr>
      <w:rFonts w:ascii="Times New Roman" w:hAnsi="Times New Roman" w:eastAsia="方正仿宋_GBK" w:cs="Times New Roman"/>
      <w:kern w:val="2"/>
      <w:sz w:val="18"/>
      <w:szCs w:val="18"/>
    </w:rPr>
  </w:style>
  <w:style w:type="character" w:customStyle="1" w:styleId="44">
    <w:name w:val="HTML 预设格式 Char"/>
    <w:basedOn w:val="27"/>
    <w:link w:val="22"/>
    <w:qFormat/>
    <w:uiPriority w:val="0"/>
    <w:rPr>
      <w:rFonts w:ascii="宋体" w:hAnsi="Times New Roman" w:eastAsia="方正仿宋_GBK" w:cs="宋体"/>
      <w:bCs/>
      <w:sz w:val="24"/>
      <w:szCs w:val="24"/>
    </w:rPr>
  </w:style>
  <w:style w:type="paragraph" w:customStyle="1" w:styleId="45">
    <w:name w:val="TableOfAuthoring"/>
    <w:basedOn w:val="1"/>
    <w:next w:val="1"/>
    <w:qFormat/>
    <w:uiPriority w:val="0"/>
    <w:pPr>
      <w:suppressAutoHyphens/>
      <w:spacing w:beforeAutospacing="1" w:afterAutospacing="1" w:line="588" w:lineRule="exact"/>
      <w:ind w:left="200" w:leftChars="200" w:firstLine="560" w:firstLineChars="200"/>
      <w:textAlignment w:val="baseline"/>
    </w:pPr>
    <w:rPr>
      <w:rFonts w:ascii="Times New Roman" w:hAnsi="Times New Roman" w:eastAsia="方正仿宋_GBK" w:cs="Times New Roman"/>
      <w:bCs w:val="0"/>
      <w:sz w:val="28"/>
    </w:rPr>
  </w:style>
  <w:style w:type="paragraph" w:customStyle="1" w:styleId="46">
    <w:name w:val="【新版】正文"/>
    <w:basedOn w:val="1"/>
    <w:qFormat/>
    <w:uiPriority w:val="0"/>
    <w:pPr>
      <w:spacing w:line="600" w:lineRule="exact"/>
      <w:ind w:firstLine="200" w:firstLineChars="200"/>
    </w:pPr>
    <w:rPr>
      <w:rFonts w:ascii="Times New Roman" w:hAnsi="Times New Roman" w:eastAsia="仿宋" w:cs="Times New Roman"/>
      <w:bCs w:val="0"/>
      <w:sz w:val="30"/>
    </w:rPr>
  </w:style>
  <w:style w:type="paragraph" w:customStyle="1" w:styleId="47">
    <w:name w:val="First Paragraph"/>
    <w:basedOn w:val="13"/>
    <w:next w:val="13"/>
    <w:qFormat/>
    <w:uiPriority w:val="0"/>
    <w:pPr>
      <w:spacing w:before="180" w:after="180" w:line="588" w:lineRule="exact"/>
      <w:ind w:firstLine="560" w:firstLineChars="200"/>
    </w:pPr>
    <w:rPr>
      <w:rFonts w:ascii="Times New Roman" w:hAnsi="Times New Roman" w:eastAsia="方正仿宋_GBK" w:cs="Times New Roman"/>
      <w:bCs w:val="0"/>
      <w:sz w:val="28"/>
    </w:rPr>
  </w:style>
  <w:style w:type="paragraph" w:customStyle="1" w:styleId="48">
    <w:name w:val="WPSOffice手动目录 1"/>
    <w:qFormat/>
    <w:uiPriority w:val="0"/>
    <w:pPr>
      <w:spacing w:line="588" w:lineRule="exact"/>
      <w:ind w:firstLine="1120" w:firstLineChars="200"/>
    </w:pPr>
    <w:rPr>
      <w:rFonts w:ascii="Times New Roman" w:hAnsi="Times New Roman" w:eastAsia="黑体" w:cs="Times New Roman"/>
      <w:sz w:val="30"/>
      <w:lang w:val="en-US" w:eastAsia="zh-CN" w:bidi="ar-SA"/>
    </w:rPr>
  </w:style>
  <w:style w:type="paragraph" w:customStyle="1" w:styleId="49">
    <w:name w:val="WPSOffice手动目录 2"/>
    <w:qFormat/>
    <w:uiPriority w:val="0"/>
    <w:pPr>
      <w:spacing w:line="588" w:lineRule="exact"/>
      <w:ind w:left="200" w:leftChars="200" w:firstLine="2240" w:firstLineChars="400"/>
    </w:pPr>
    <w:rPr>
      <w:rFonts w:ascii="Times New Roman" w:hAnsi="Times New Roman" w:eastAsia="方正仿宋_GBK" w:cs="Times New Roman"/>
      <w:sz w:val="28"/>
      <w:lang w:val="en-US" w:eastAsia="zh-CN" w:bidi="ar-SA"/>
    </w:rPr>
  </w:style>
  <w:style w:type="character" w:customStyle="1" w:styleId="50">
    <w:name w:val="批注框文本 Char"/>
    <w:basedOn w:val="27"/>
    <w:link w:val="16"/>
    <w:qFormat/>
    <w:uiPriority w:val="0"/>
    <w:rPr>
      <w:rFonts w:ascii="Times New Roman" w:hAnsi="Times New Roman" w:eastAsia="方正仿宋_GBK"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4.jpeg"/><Relationship Id="rId21" Type="http://schemas.openxmlformats.org/officeDocument/2006/relationships/image" Target="media/image3.jpeg"/><Relationship Id="rId20" Type="http://schemas.openxmlformats.org/officeDocument/2006/relationships/image" Target="media/image2.jpeg"/><Relationship Id="rId2" Type="http://schemas.openxmlformats.org/officeDocument/2006/relationships/settings" Target="settings.xml"/><Relationship Id="rId19" Type="http://schemas.openxmlformats.org/officeDocument/2006/relationships/image" Target="media/image1.jpeg"/><Relationship Id="rId18" Type="http://schemas.openxmlformats.org/officeDocument/2006/relationships/chart" Target="charts/chart3.xml"/><Relationship Id="rId17" Type="http://schemas.openxmlformats.org/officeDocument/2006/relationships/chart" Target="charts/chart2.xml"/><Relationship Id="rId16" Type="http://schemas.openxmlformats.org/officeDocument/2006/relationships/chart" Target="charts/chart1.xml"/><Relationship Id="rId15" Type="http://schemas.openxmlformats.org/officeDocument/2006/relationships/theme" Target="theme/theme1.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
        <c:rich>
          <a:bodyPr/>
          <a:lstStyle/>
          <a:p>
            <a:pPr>
              <a:defRPr/>
            </a:pPr>
          </a:p>
        </c:rich>
      </c:tx>
    </c:title>
    <c:autoTitleDeleted val="false"/>
    <c:plotArea>
      <c:layout/>
      <c:barChart>
        <c:barDir val="col"/>
        <c:grouping val="clustered"/>
        <c:varyColors val="false"/>
        <c:ser>
          <c:idx val="0"/>
          <c:order val="0"/>
          <c:tx>
            <c:strRef>
              <c:f>Sheet1!$B$1</c:f>
              <c:strCache>
                <c:ptCount val="1"/>
                <c:pt idx="0">
                  <c:v>地区生产总值</c:v>
                </c:pt>
              </c:strCache>
            </c:strRef>
          </c:tx>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prstDash val="solid"/>
                      <a:round/>
                    </a:ln>
                    <a:effectLst/>
                  </c:spPr>
                </c15:leaderLines>
              </c:ext>
            </c:extLst>
          </c:dLbls>
          <c:cat>
            <c:strRef>
              <c:f>Sheet1!$A$2:$A$6</c:f>
              <c:strCache>
                <c:ptCount val="5"/>
                <c:pt idx="0">
                  <c:v>2021年</c:v>
                </c:pt>
                <c:pt idx="1">
                  <c:v>2022年</c:v>
                </c:pt>
                <c:pt idx="2">
                  <c:v>2023年</c:v>
                </c:pt>
                <c:pt idx="3">
                  <c:v>2024年</c:v>
                </c:pt>
                <c:pt idx="4">
                  <c:v>2025年</c:v>
                </c:pt>
              </c:strCache>
            </c:strRef>
          </c:cat>
          <c:val>
            <c:numRef>
              <c:f>Sheet1!$B$2:$B$6</c:f>
              <c:numCache>
                <c:formatCode>General</c:formatCode>
                <c:ptCount val="5"/>
                <c:pt idx="0">
                  <c:v>1817</c:v>
                </c:pt>
                <c:pt idx="1">
                  <c:v>1877.64</c:v>
                </c:pt>
                <c:pt idx="2">
                  <c:v>1948.52</c:v>
                </c:pt>
                <c:pt idx="3">
                  <c:v>2093.82</c:v>
                </c:pt>
                <c:pt idx="4">
                  <c:v>2191.55</c:v>
                </c:pt>
              </c:numCache>
            </c:numRef>
          </c:val>
        </c:ser>
        <c:dLbls>
          <c:showLegendKey val="false"/>
          <c:showVal val="true"/>
          <c:showCatName val="false"/>
          <c:showSerName val="false"/>
          <c:showPercent val="false"/>
          <c:showBubbleSize val="false"/>
        </c:dLbls>
        <c:gapWidth val="219"/>
        <c:overlap val="-27"/>
        <c:axId val="106411136"/>
        <c:axId val="106412672"/>
      </c:barChart>
      <c:lineChart>
        <c:grouping val="standard"/>
        <c:varyColors val="false"/>
        <c:ser>
          <c:idx val="2"/>
          <c:order val="1"/>
          <c:tx>
            <c:strRef>
              <c:f>Sheet1!$C$1</c:f>
              <c:strCache>
                <c:ptCount val="1"/>
                <c:pt idx="0">
                  <c:v>增长率</c:v>
                </c:pt>
              </c:strCache>
            </c:strRef>
          </c:tx>
          <c:spPr>
            <a:ln w="28575" cap="rnd" cmpd="sng" algn="ctr">
              <a:solidFill>
                <a:schemeClr val="accent3"/>
              </a:solidFill>
              <a:prstDash val="solid"/>
              <a:round/>
            </a:ln>
            <a:effectLst/>
          </c:spPr>
          <c:marker>
            <c:symbol val="none"/>
          </c:marker>
          <c:dLbls>
            <c:dLbl>
              <c:idx val="0"/>
              <c:layout>
                <c:manualLayout>
                  <c:x val="-0.00326165740517033"/>
                  <c:y val="-0.0261368465788355"/>
                </c:manualLayout>
              </c:layout>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dLbl>
              <c:idx val="1"/>
              <c:layout>
                <c:manualLayout>
                  <c:x val="0.0263348634935975"/>
                  <c:y val="0.0609859753506162"/>
                </c:manualLayout>
              </c:layout>
              <c:tx>
                <c:rich>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r>
                      <a:rPr lang="en-US" altLang="en-US"/>
                      <a:t>3.8%</a:t>
                    </a:r>
                    <a:endParaRPr lang="en-US" altLang="en-US"/>
                  </a:p>
                </c:rich>
              </c:tx>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dLbl>
              <c:idx val="2"/>
              <c:layout>
                <c:manualLayout>
                  <c:x val="0.0314085527905291"/>
                  <c:y val="0.0985975350616235"/>
                </c:manualLayout>
              </c:layout>
              <c:tx>
                <c:rich>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r>
                      <a:rPr lang="en-US" altLang="en-US"/>
                      <a:t>5.6%</a:t>
                    </a:r>
                    <a:endParaRPr lang="en-US" altLang="en-US"/>
                  </a:p>
                </c:rich>
              </c:tx>
              <c:dLblPos val="r"/>
              <c:showLegendKey val="false"/>
              <c:showVal val="true"/>
              <c:showCatName val="false"/>
              <c:showSerName val="false"/>
              <c:showPercent val="false"/>
              <c:showBubbleSize val="false"/>
              <c:extLst>
                <c:ext xmlns:c15="http://schemas.microsoft.com/office/drawing/2012/chart" uri="{CE6537A1-D6FC-4f65-9D91-7224C49458BB}">
                  <c15:layout>
                    <c:manualLayout>
                      <c:w val="0.0767093500845615"/>
                      <c:h val="0.0912609492768385"/>
                    </c:manualLayout>
                  </c15:layout>
                </c:ext>
              </c:extLst>
            </c:dLbl>
            <c:dLbl>
              <c:idx val="3"/>
              <c:layout>
                <c:manualLayout>
                  <c:x val="0.0279052911331239"/>
                  <c:y val="0.0580110497237569"/>
                </c:manualLayout>
              </c:layout>
              <c:tx>
                <c:rich>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r>
                      <a:rPr lang="en-US" altLang="en-US"/>
                      <a:t>5.3%</a:t>
                    </a:r>
                    <a:endParaRPr lang="en-US" altLang="en-US"/>
                  </a:p>
                </c:rich>
              </c:tx>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dLbl>
              <c:idx val="4"/>
              <c:layout>
                <c:manualLayout>
                  <c:x val="0.0230732060884272"/>
                  <c:y val="0.0435614109647259"/>
                </c:manualLayout>
              </c:layout>
              <c:tx>
                <c:rich>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r>
                      <a:rPr lang="en-US" altLang="en-US"/>
                      <a:t>5.7%</a:t>
                    </a:r>
                    <a:endParaRPr lang="en-US" altLang="en-US"/>
                  </a:p>
                </c:rich>
              </c:tx>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r"/>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prstDash val="solid"/>
                      <a:round/>
                    </a:ln>
                    <a:effectLst/>
                  </c:spPr>
                </c15:leaderLines>
              </c:ext>
            </c:extLst>
          </c:dLbls>
          <c:cat>
            <c:strRef>
              <c:f>Sheet1!$A$2:$A$6</c:f>
              <c:strCache>
                <c:ptCount val="5"/>
                <c:pt idx="0">
                  <c:v>2021年</c:v>
                </c:pt>
                <c:pt idx="1">
                  <c:v>2022年</c:v>
                </c:pt>
                <c:pt idx="2">
                  <c:v>2023年</c:v>
                </c:pt>
                <c:pt idx="3">
                  <c:v>2024年</c:v>
                </c:pt>
                <c:pt idx="4">
                  <c:v>2025年</c:v>
                </c:pt>
              </c:strCache>
            </c:strRef>
          </c:cat>
          <c:val>
            <c:numRef>
              <c:f>Sheet1!$C$2:$C$6</c:f>
              <c:numCache>
                <c:formatCode>0.00%</c:formatCode>
                <c:ptCount val="5"/>
                <c:pt idx="0">
                  <c:v>0.084</c:v>
                </c:pt>
                <c:pt idx="1">
                  <c:v>0.038</c:v>
                </c:pt>
                <c:pt idx="2">
                  <c:v>0.056</c:v>
                </c:pt>
                <c:pt idx="3">
                  <c:v>0.053</c:v>
                </c:pt>
                <c:pt idx="4">
                  <c:v>0.057</c:v>
                </c:pt>
              </c:numCache>
            </c:numRef>
          </c:val>
          <c:smooth val="false"/>
        </c:ser>
        <c:dLbls>
          <c:showLegendKey val="false"/>
          <c:showVal val="true"/>
          <c:showCatName val="false"/>
          <c:showSerName val="false"/>
          <c:showPercent val="false"/>
          <c:showBubbleSize val="false"/>
        </c:dLbls>
        <c:marker val="false"/>
        <c:smooth val="false"/>
        <c:axId val="106426368"/>
        <c:axId val="106427904"/>
      </c:lineChart>
      <c:catAx>
        <c:axId val="106411136"/>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06412672"/>
        <c:crosses val="autoZero"/>
        <c:auto val="true"/>
        <c:lblAlgn val="ctr"/>
        <c:lblOffset val="100"/>
        <c:noMultiLvlLbl val="false"/>
      </c:catAx>
      <c:valAx>
        <c:axId val="106412672"/>
        <c:scaling>
          <c:orientation val="minMax"/>
        </c:scaling>
        <c:delete val="false"/>
        <c:axPos val="l"/>
        <c:majorGridlines>
          <c:spPr>
            <a:ln w="9525" cap="flat" cmpd="sng" algn="ctr">
              <a:solidFill>
                <a:schemeClr val="lt1">
                  <a:lumMod val="90200"/>
                </a:schemeClr>
              </a:solidFill>
              <a:prstDash val="solid"/>
              <a:round/>
            </a:ln>
            <a:effectLst/>
          </c:spPr>
        </c:majorGridlines>
        <c:numFmt formatCode="General" sourceLinked="true"/>
        <c:majorTickMark val="none"/>
        <c:minorTickMark val="none"/>
        <c:tickLblPos val="nextTo"/>
        <c:spPr>
          <a:noFill/>
          <a:ln w="1270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06411136"/>
        <c:crosses val="autoZero"/>
        <c:crossBetween val="between"/>
      </c:valAx>
      <c:catAx>
        <c:axId val="106426368"/>
        <c:scaling>
          <c:orientation val="minMax"/>
        </c:scaling>
        <c:delete val="true"/>
        <c:axPos val="b"/>
        <c:majorTickMark val="none"/>
        <c:minorTickMark val="none"/>
        <c:tickLblPos val="nextTo"/>
        <c:txPr>
          <a:bodyPr rot="-60000000" spcFirstLastPara="0" vertOverflow="ellipsis" vert="horz" wrap="square" anchor="ctr" anchorCtr="true"/>
          <a:lstStyle/>
          <a:p>
            <a:pPr>
              <a:defRPr lang="zh-CN" sz="900" b="0" i="0" u="none" strike="noStrike" kern="1200" baseline="0">
                <a:solidFill>
                  <a:schemeClr val="tx1"/>
                </a:solidFill>
                <a:latin typeface="+mn-lt"/>
                <a:ea typeface="+mn-ea"/>
                <a:cs typeface="+mn-cs"/>
              </a:defRPr>
            </a:pPr>
          </a:p>
        </c:txPr>
        <c:crossAx val="106427904"/>
        <c:crosses val="autoZero"/>
        <c:auto val="true"/>
        <c:lblAlgn val="ctr"/>
        <c:lblOffset val="100"/>
        <c:noMultiLvlLbl val="false"/>
      </c:catAx>
      <c:valAx>
        <c:axId val="106427904"/>
        <c:scaling>
          <c:orientation val="minMax"/>
        </c:scaling>
        <c:delete val="false"/>
        <c:axPos val="r"/>
        <c:numFmt formatCode="0%" sourceLinked="false"/>
        <c:majorTickMark val="none"/>
        <c:minorTickMark val="none"/>
        <c:tickLblPos val="nextTo"/>
        <c:spPr>
          <a:noFill/>
          <a:ln w="1270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06426368"/>
        <c:crosses val="max"/>
        <c:crossBetween val="between"/>
      </c:valAx>
      <c:spPr>
        <a:noFill/>
        <a:ln>
          <a:noFill/>
        </a:ln>
        <a:effectLst/>
      </c:spPr>
    </c:plotArea>
    <c:legend>
      <c:legendPos val="b"/>
      <c:legendEntry>
        <c:idx val="0"/>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Entry>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a:lstStyle/>
    <a:p>
      <a:pPr>
        <a:defRPr lang="zh-CN" sz="900"/>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barChart>
        <c:barDir val="col"/>
        <c:grouping val="clustered"/>
        <c:varyColors val="false"/>
        <c:ser>
          <c:idx val="0"/>
          <c:order val="0"/>
          <c:tx>
            <c:strRef>
              <c:f>Sheet1!$B$1</c:f>
              <c:strCache>
                <c:ptCount val="1"/>
                <c:pt idx="0">
                  <c:v>班列开行数</c:v>
                </c:pt>
              </c:strCache>
            </c:strRef>
          </c:tx>
          <c:spPr>
            <a:solidFill>
              <a:schemeClr val="accent1"/>
            </a:solidFill>
            <a:ln>
              <a:noFill/>
            </a:ln>
            <a:effectLst/>
          </c:spPr>
          <c:invertIfNegative val="false"/>
          <c:dLbls>
            <c:dLbl>
              <c:idx val="0"/>
              <c:layout>
                <c:manualLayout>
                  <c:x val="-0.0362406378352259"/>
                  <c:y val="0.00297492562685933"/>
                </c:manualLayout>
              </c:layout>
              <c:dLblPos val="outEnd"/>
              <c:showLegendKey val="false"/>
              <c:showVal val="true"/>
              <c:showCatName val="false"/>
              <c:showSerName val="false"/>
              <c:showPercent val="fals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prstDash val="solid"/>
                      <a:round/>
                    </a:ln>
                    <a:effectLst/>
                  </c:spPr>
                </c15:leaderLines>
              </c:ext>
            </c:extLst>
          </c:dLbls>
          <c:cat>
            <c:strRef>
              <c:f>Sheet1!$A$2:$A$6</c:f>
              <c:strCache>
                <c:ptCount val="5"/>
                <c:pt idx="0">
                  <c:v>2021年</c:v>
                </c:pt>
                <c:pt idx="1">
                  <c:v>2022年</c:v>
                </c:pt>
                <c:pt idx="2">
                  <c:v>2023年</c:v>
                </c:pt>
                <c:pt idx="3">
                  <c:v>2024年</c:v>
                </c:pt>
                <c:pt idx="4">
                  <c:v>2025年</c:v>
                </c:pt>
              </c:strCache>
            </c:strRef>
          </c:cat>
          <c:val>
            <c:numRef>
              <c:f>Sheet1!$B$2:$B$6</c:f>
              <c:numCache>
                <c:formatCode>General</c:formatCode>
                <c:ptCount val="5"/>
                <c:pt idx="0">
                  <c:v>17</c:v>
                </c:pt>
                <c:pt idx="1">
                  <c:v>151</c:v>
                </c:pt>
                <c:pt idx="2">
                  <c:v>455</c:v>
                </c:pt>
                <c:pt idx="3">
                  <c:v>1009</c:v>
                </c:pt>
                <c:pt idx="4">
                  <c:v>1220</c:v>
                </c:pt>
              </c:numCache>
            </c:numRef>
          </c:val>
        </c:ser>
        <c:dLbls>
          <c:showLegendKey val="false"/>
          <c:showVal val="true"/>
          <c:showCatName val="false"/>
          <c:showSerName val="false"/>
          <c:showPercent val="false"/>
          <c:showBubbleSize val="false"/>
        </c:dLbls>
        <c:gapWidth val="150"/>
        <c:axId val="105959808"/>
        <c:axId val="105962496"/>
      </c:barChart>
      <c:lineChart>
        <c:grouping val="standard"/>
        <c:varyColors val="false"/>
        <c:ser>
          <c:idx val="1"/>
          <c:order val="1"/>
          <c:tx>
            <c:strRef>
              <c:f>Sheet1!$C$1</c:f>
              <c:strCache>
                <c:ptCount val="1"/>
                <c:pt idx="0">
                  <c:v>增速</c:v>
                </c:pt>
              </c:strCache>
            </c:strRef>
          </c:tx>
          <c:spPr>
            <a:ln w="28575" cap="rnd" cmpd="sng" algn="ctr">
              <a:solidFill>
                <a:schemeClr val="accent2"/>
              </a:solidFill>
              <a:prstDash val="solid"/>
              <a:round/>
            </a:ln>
            <a:effectLst/>
          </c:spPr>
          <c:marker>
            <c:symbol val="none"/>
          </c:marker>
          <c:dLbls>
            <c:dLbl>
              <c:idx val="0"/>
              <c:layout>
                <c:manualLayout>
                  <c:x val="-0.0675283884996376"/>
                  <c:y val="-0.188270293242669"/>
                </c:manualLayout>
              </c:layout>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dLbl>
              <c:idx val="1"/>
              <c:layout>
                <c:manualLayout>
                  <c:x val="-0.0215027784489007"/>
                  <c:y val="-0.0231619209519762"/>
                </c:manualLayout>
              </c:layout>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dLbl>
              <c:idx val="2"/>
              <c:layout>
                <c:manualLayout>
                  <c:x val="0.0131674317467987"/>
                  <c:y val="0.0956226094347641"/>
                </c:manualLayout>
              </c:layout>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dLbl>
              <c:idx val="3"/>
              <c:layout>
                <c:manualLayout>
                  <c:x val="0.0215027784489007"/>
                  <c:y val="-0.0522736931576711"/>
                </c:manualLayout>
              </c:layout>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dLbl>
              <c:idx val="4"/>
              <c:layout>
                <c:manualLayout>
                  <c:x val="0.018120318917613"/>
                  <c:y val="-0.0231619209519762"/>
                </c:manualLayout>
              </c:layout>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r"/>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prstDash val="solid"/>
                      <a:round/>
                    </a:ln>
                    <a:effectLst/>
                  </c:spPr>
                </c15:leaderLines>
              </c:ext>
            </c:extLst>
          </c:dLbls>
          <c:cat>
            <c:strRef>
              <c:f>Sheet1!$A$2:$A$6</c:f>
              <c:strCache>
                <c:ptCount val="5"/>
                <c:pt idx="0">
                  <c:v>2021年</c:v>
                </c:pt>
                <c:pt idx="1">
                  <c:v>2022年</c:v>
                </c:pt>
                <c:pt idx="2">
                  <c:v>2023年</c:v>
                </c:pt>
                <c:pt idx="3">
                  <c:v>2024年</c:v>
                </c:pt>
                <c:pt idx="4">
                  <c:v>2025年</c:v>
                </c:pt>
              </c:strCache>
            </c:strRef>
          </c:cat>
          <c:val>
            <c:numRef>
              <c:f>Sheet1!$C$2:$C$6</c:f>
              <c:numCache>
                <c:formatCode>General</c:formatCode>
                <c:ptCount val="5"/>
                <c:pt idx="1" c:formatCode="0%">
                  <c:v>7.88235294117647</c:v>
                </c:pt>
                <c:pt idx="2" c:formatCode="0%">
                  <c:v>2.01324503311258</c:v>
                </c:pt>
                <c:pt idx="3" c:formatCode="0%">
                  <c:v>1.21758241758242</c:v>
                </c:pt>
                <c:pt idx="4" c:formatCode="0%">
                  <c:v>0.209117938553023</c:v>
                </c:pt>
              </c:numCache>
            </c:numRef>
          </c:val>
          <c:smooth val="false"/>
        </c:ser>
        <c:dLbls>
          <c:showLegendKey val="false"/>
          <c:showVal val="true"/>
          <c:showCatName val="false"/>
          <c:showSerName val="false"/>
          <c:showPercent val="false"/>
          <c:showBubbleSize val="false"/>
        </c:dLbls>
        <c:marker val="false"/>
        <c:smooth val="false"/>
        <c:axId val="105968384"/>
        <c:axId val="105969920"/>
      </c:lineChart>
      <c:catAx>
        <c:axId val="105959808"/>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05962496"/>
        <c:crosses val="autoZero"/>
        <c:auto val="true"/>
        <c:lblAlgn val="ctr"/>
        <c:lblOffset val="100"/>
        <c:noMultiLvlLbl val="false"/>
      </c:catAx>
      <c:valAx>
        <c:axId val="105962496"/>
        <c:scaling>
          <c:orientation val="minMax"/>
        </c:scaling>
        <c:delete val="false"/>
        <c:axPos val="l"/>
        <c:majorGridlines>
          <c:spPr>
            <a:ln w="9525" cap="flat" cmpd="sng" algn="ctr">
              <a:solidFill>
                <a:schemeClr val="lt1">
                  <a:lumMod val="90200"/>
                </a:schemeClr>
              </a:solidFill>
              <a:prstDash val="solid"/>
              <a:round/>
            </a:ln>
            <a:effectLst/>
          </c:spPr>
        </c:majorGridlines>
        <c:numFmt formatCode="General"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05959808"/>
        <c:crosses val="autoZero"/>
        <c:crossBetween val="between"/>
      </c:valAx>
      <c:catAx>
        <c:axId val="105968384"/>
        <c:scaling>
          <c:orientation val="minMax"/>
        </c:scaling>
        <c:delete val="true"/>
        <c:axPos val="b"/>
        <c:majorTickMark val="none"/>
        <c:minorTickMark val="none"/>
        <c:tickLblPos val="nextTo"/>
        <c:txPr>
          <a:bodyPr rot="-60000000" spcFirstLastPara="0" vertOverflow="ellipsis" vert="horz" wrap="square" anchor="ctr" anchorCtr="true"/>
          <a:lstStyle/>
          <a:p>
            <a:pPr>
              <a:defRPr lang="zh-CN" sz="900" b="0" i="0" u="none" strike="noStrike" kern="1200" baseline="0">
                <a:solidFill>
                  <a:schemeClr val="tx1"/>
                </a:solidFill>
                <a:latin typeface="+mn-lt"/>
                <a:ea typeface="+mn-ea"/>
                <a:cs typeface="+mn-cs"/>
              </a:defRPr>
            </a:pPr>
          </a:p>
        </c:txPr>
        <c:crossAx val="105969920"/>
        <c:crosses val="autoZero"/>
        <c:auto val="true"/>
        <c:lblAlgn val="ctr"/>
        <c:lblOffset val="100"/>
        <c:noMultiLvlLbl val="false"/>
      </c:catAx>
      <c:valAx>
        <c:axId val="105969920"/>
        <c:scaling>
          <c:orientation val="minMax"/>
        </c:scaling>
        <c:delete val="false"/>
        <c:axPos val="r"/>
        <c:numFmt formatCode="0%" sourceLinked="fals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05968384"/>
        <c:crosses val="max"/>
        <c:crossBetween val="between"/>
      </c:valAx>
      <c:spPr>
        <a:noFill/>
        <a:ln>
          <a:noFill/>
        </a:ln>
        <a:effectLst/>
      </c:spPr>
    </c:plotArea>
    <c:legend>
      <c:legendPos val="b"/>
      <c:legendEntry>
        <c:idx val="0"/>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Entry>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a:lstStyle/>
    <a:p>
      <a:pPr>
        <a:defRPr lang="zh-CN" sz="900"/>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99010762877611"/>
          <c:y val="0.00614628149969269"/>
        </c:manualLayout>
      </c:layout>
      <c:overlay val="false"/>
      <c:spPr>
        <a:noFill/>
        <a:ln>
          <a:noFill/>
        </a:ln>
        <a:effectLst/>
      </c:spPr>
      <c:tx>
        <c:rich>
          <a:bodyPr/>
          <a:lstStyle/>
          <a:p>
            <a:pPr>
              <a:defRPr/>
            </a:pPr>
          </a:p>
        </c:rich>
      </c:tx>
    </c:title>
    <c:autoTitleDeleted val="false"/>
    <c:plotArea>
      <c:layout/>
      <c:barChart>
        <c:barDir val="col"/>
        <c:grouping val="clustered"/>
        <c:varyColors val="false"/>
        <c:ser>
          <c:idx val="0"/>
          <c:order val="0"/>
          <c:tx>
            <c:strRef>
              <c:f>Sheet1!$B$1</c:f>
              <c:strCache>
                <c:ptCount val="1"/>
                <c:pt idx="0">
                  <c:v>城镇居民可支配收入</c:v>
                </c:pt>
              </c:strCache>
            </c:strRef>
          </c:tx>
          <c:spPr>
            <a:solidFill>
              <a:schemeClr val="accent1"/>
            </a:solidFill>
            <a:ln>
              <a:noFill/>
            </a:ln>
            <a:effectLst/>
          </c:spPr>
          <c:invertIfNegative val="false"/>
          <c:dLbls>
            <c:dLbl>
              <c:idx val="0"/>
              <c:layout>
                <c:manualLayout>
                  <c:x val="-0.00833534670210196"/>
                  <c:y val="0"/>
                </c:manualLayout>
              </c:layout>
              <c:dLblPos val="outEnd"/>
              <c:showLegendKey val="false"/>
              <c:showVal val="true"/>
              <c:showCatName val="false"/>
              <c:showSerName val="false"/>
              <c:showPercent val="false"/>
              <c:showBubbleSize val="false"/>
              <c:extLst>
                <c:ext xmlns:c15="http://schemas.microsoft.com/office/drawing/2012/chart" uri="{CE6537A1-D6FC-4f65-9D91-7224C49458BB}">
                  <c15:layout>
                    <c:manualLayout>
                      <c:w val="0.0913264073447693"/>
                      <c:h val="0.0484487887802805"/>
                    </c:manualLayout>
                  </c15:layout>
                </c:ext>
              </c:extLst>
            </c:dLbl>
            <c:dLbl>
              <c:idx val="1"/>
              <c:layout>
                <c:manualLayout>
                  <c:x val="0.00495288717081421"/>
                  <c:y val="0.0114747131321717"/>
                </c:manualLayout>
              </c:layout>
              <c:dLblPos val="outEnd"/>
              <c:showLegendKey val="false"/>
              <c:showVal val="true"/>
              <c:showCatName val="false"/>
              <c:showSerName val="false"/>
              <c:showPercent val="false"/>
              <c:showBubbleSize val="false"/>
              <c:extLst>
                <c:ext xmlns:c15="http://schemas.microsoft.com/office/drawing/2012/chart" uri="{CE6537A1-D6FC-4f65-9D91-7224C49458BB}">
                  <c15:layout/>
                </c:ext>
              </c:extLst>
            </c:dLbl>
            <c:dLbl>
              <c:idx val="2"/>
              <c:layout>
                <c:manualLayout>
                  <c:x val="-0.00338245953128775"/>
                  <c:y val="0.00871228219294518"/>
                </c:manualLayout>
              </c:layout>
              <c:dLblPos val="outEnd"/>
              <c:showLegendKey val="false"/>
              <c:showVal val="true"/>
              <c:showCatName val="false"/>
              <c:showSerName val="false"/>
              <c:showPercent val="false"/>
              <c:showBubbleSize val="false"/>
              <c:extLst>
                <c:ext xmlns:c15="http://schemas.microsoft.com/office/drawing/2012/chart" uri="{CE6537A1-D6FC-4f65-9D91-7224C49458BB}">
                  <c15:layout/>
                </c:ext>
              </c:extLst>
            </c:dLbl>
            <c:dLbl>
              <c:idx val="3"/>
              <c:layout>
                <c:manualLayout>
                  <c:x val="0.00157042763952646"/>
                  <c:y val="0.014449638759031"/>
                </c:manualLayout>
              </c:layout>
              <c:dLblPos val="outEnd"/>
              <c:showLegendKey val="false"/>
              <c:showVal val="true"/>
              <c:showCatName val="false"/>
              <c:showSerName val="false"/>
              <c:showPercent val="fals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8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prstDash val="solid"/>
                      <a:round/>
                    </a:ln>
                    <a:effectLst/>
                  </c:spPr>
                </c15:leaderLines>
              </c:ext>
            </c:extLst>
          </c:dLbls>
          <c:cat>
            <c:strRef>
              <c:f>Sheet1!$A$2:$A$6</c:f>
              <c:strCache>
                <c:ptCount val="5"/>
                <c:pt idx="0">
                  <c:v>2021年</c:v>
                </c:pt>
                <c:pt idx="1">
                  <c:v>2022年</c:v>
                </c:pt>
                <c:pt idx="2">
                  <c:v>2023年</c:v>
                </c:pt>
                <c:pt idx="3">
                  <c:v>2024年</c:v>
                </c:pt>
                <c:pt idx="4">
                  <c:v>2025年</c:v>
                </c:pt>
              </c:strCache>
            </c:strRef>
          </c:cat>
          <c:val>
            <c:numRef>
              <c:f>Sheet1!$B$2:$B$6</c:f>
              <c:numCache>
                <c:formatCode>General</c:formatCode>
                <c:ptCount val="5"/>
                <c:pt idx="0">
                  <c:v>32634</c:v>
                </c:pt>
                <c:pt idx="1">
                  <c:v>34168</c:v>
                </c:pt>
                <c:pt idx="2">
                  <c:v>35945</c:v>
                </c:pt>
                <c:pt idx="3">
                  <c:v>37742</c:v>
                </c:pt>
                <c:pt idx="4">
                  <c:v>39667</c:v>
                </c:pt>
              </c:numCache>
            </c:numRef>
          </c:val>
        </c:ser>
        <c:ser>
          <c:idx val="1"/>
          <c:order val="1"/>
          <c:tx>
            <c:strRef>
              <c:f>Sheet1!$C$1</c:f>
              <c:strCache>
                <c:ptCount val="1"/>
                <c:pt idx="0">
                  <c:v>农村居民可支配收入</c:v>
                </c:pt>
              </c:strCache>
            </c:strRef>
          </c:tx>
          <c:spPr>
            <a:solidFill>
              <a:schemeClr val="accent2"/>
            </a:solidFill>
            <a:ln>
              <a:noFill/>
            </a:ln>
            <a:effectLst/>
          </c:spPr>
          <c:invertIfNegative val="false"/>
          <c:dLbls>
            <c:dLbl>
              <c:idx val="0"/>
              <c:layout>
                <c:manualLayout>
                  <c:x val="0.00652331481034066"/>
                  <c:y val="0.023374415639609"/>
                </c:manualLayout>
              </c:layout>
              <c:dLblPos val="outEnd"/>
              <c:showLegendKey val="false"/>
              <c:showVal val="true"/>
              <c:showCatName val="false"/>
              <c:showSerName val="false"/>
              <c:showPercent val="false"/>
              <c:showBubbleSize val="false"/>
              <c:extLst>
                <c:ext xmlns:c15="http://schemas.microsoft.com/office/drawing/2012/chart" uri="{CE6537A1-D6FC-4f65-9D91-7224C49458BB}">
                  <c15:layout>
                    <c:manualLayout>
                      <c:w val="0.0912056052186518"/>
                      <c:h val="0.0692732681682958"/>
                    </c:manualLayout>
                  </c15:layout>
                </c:ext>
              </c:extLst>
            </c:dLbl>
            <c:dLbl>
              <c:idx val="1"/>
              <c:layout>
                <c:manualLayout>
                  <c:x val="0.0576226141580092"/>
                  <c:y val="0.104122396940077"/>
                </c:manualLayout>
              </c:layout>
              <c:dLblPos val="outEnd"/>
              <c:showLegendKey val="false"/>
              <c:showVal val="true"/>
              <c:showCatName val="false"/>
              <c:showSerName val="false"/>
              <c:showPercent val="false"/>
              <c:showBubbleSize val="false"/>
              <c:extLst>
                <c:ext xmlns:c15="http://schemas.microsoft.com/office/drawing/2012/chart" uri="{CE6537A1-D6FC-4f65-9D91-7224C49458BB}">
                  <c15:layout/>
                </c:ext>
              </c:extLst>
            </c:dLbl>
            <c:dLbl>
              <c:idx val="2"/>
              <c:layout>
                <c:manualLayout>
                  <c:x val="0.00338245953128775"/>
                  <c:y val="0.0174245643858904"/>
                </c:manualLayout>
              </c:layout>
              <c:dLblPos val="outEnd"/>
              <c:showLegendKey val="false"/>
              <c:showVal val="true"/>
              <c:showCatName val="false"/>
              <c:showSerName val="false"/>
              <c:showPercent val="false"/>
              <c:showBubbleSize val="false"/>
              <c:extLst>
                <c:ext xmlns:c15="http://schemas.microsoft.com/office/drawing/2012/chart" uri="{CE6537A1-D6FC-4f65-9D91-7224C49458BB}">
                  <c15:layout/>
                </c:ext>
              </c:extLst>
            </c:dLbl>
            <c:dLbl>
              <c:idx val="3"/>
              <c:layout>
                <c:manualLayout>
                  <c:x val="0.00833534670210196"/>
                  <c:y val="0.0318742031449213"/>
                </c:manualLayout>
              </c:layout>
              <c:dLblPos val="outEnd"/>
              <c:showLegendKey val="false"/>
              <c:showVal val="true"/>
              <c:showCatName val="false"/>
              <c:showSerName val="false"/>
              <c:showPercent val="false"/>
              <c:showBubbleSize val="false"/>
              <c:extLst>
                <c:ext xmlns:c15="http://schemas.microsoft.com/office/drawing/2012/chart" uri="{CE6537A1-D6FC-4f65-9D91-7224C49458BB}">
                  <c15:layout/>
                </c:ext>
              </c:extLst>
            </c:dLbl>
            <c:dLbl>
              <c:idx val="4"/>
              <c:layout>
                <c:manualLayout>
                  <c:x val="0.00507368929693163"/>
                  <c:y val="0.028899277518062"/>
                </c:manualLayout>
              </c:layout>
              <c:dLblPos val="outEnd"/>
              <c:showLegendKey val="false"/>
              <c:showVal val="true"/>
              <c:showCatName val="false"/>
              <c:showSerName val="false"/>
              <c:showPercent val="fals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8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prstDash val="solid"/>
                      <a:round/>
                    </a:ln>
                    <a:effectLst/>
                  </c:spPr>
                </c15:leaderLines>
              </c:ext>
            </c:extLst>
          </c:dLbls>
          <c:cat>
            <c:strRef>
              <c:f>Sheet1!$A$2:$A$6</c:f>
              <c:strCache>
                <c:ptCount val="5"/>
                <c:pt idx="0">
                  <c:v>2021年</c:v>
                </c:pt>
                <c:pt idx="1">
                  <c:v>2022年</c:v>
                </c:pt>
                <c:pt idx="2">
                  <c:v>2023年</c:v>
                </c:pt>
                <c:pt idx="3">
                  <c:v>2024年</c:v>
                </c:pt>
                <c:pt idx="4">
                  <c:v>2025年</c:v>
                </c:pt>
              </c:strCache>
            </c:strRef>
          </c:cat>
          <c:val>
            <c:numRef>
              <c:f>Sheet1!$C$2:$C$6</c:f>
              <c:numCache>
                <c:formatCode>General</c:formatCode>
                <c:ptCount val="5"/>
                <c:pt idx="0">
                  <c:v>13321</c:v>
                </c:pt>
                <c:pt idx="1">
                  <c:v>17745</c:v>
                </c:pt>
                <c:pt idx="2">
                  <c:v>15352</c:v>
                </c:pt>
                <c:pt idx="3">
                  <c:v>16365</c:v>
                </c:pt>
                <c:pt idx="4">
                  <c:v>17494</c:v>
                </c:pt>
              </c:numCache>
            </c:numRef>
          </c:val>
        </c:ser>
        <c:dLbls>
          <c:showLegendKey val="false"/>
          <c:showVal val="true"/>
          <c:showCatName val="false"/>
          <c:showSerName val="false"/>
          <c:showPercent val="false"/>
          <c:showBubbleSize val="false"/>
        </c:dLbls>
        <c:gapWidth val="219"/>
        <c:overlap val="-27"/>
        <c:axId val="106353792"/>
        <c:axId val="106355328"/>
      </c:barChart>
      <c:lineChart>
        <c:grouping val="standard"/>
        <c:varyColors val="false"/>
        <c:ser>
          <c:idx val="2"/>
          <c:order val="2"/>
          <c:tx>
            <c:strRef>
              <c:f>Sheet1!$D$1</c:f>
              <c:strCache>
                <c:ptCount val="1"/>
                <c:pt idx="0">
                  <c:v>城镇居民可支配收入收入增长率</c:v>
                </c:pt>
              </c:strCache>
            </c:strRef>
          </c:tx>
          <c:spPr>
            <a:ln w="28575" cap="rnd" cmpd="sng" algn="ctr">
              <a:solidFill>
                <a:srgbClr val="4874CB"/>
              </a:solidFill>
              <a:prstDash val="solid"/>
              <a:round/>
            </a:ln>
            <a:effectLst/>
          </c:spPr>
          <c:marker>
            <c:symbol val="none"/>
          </c:marker>
          <c:dLbls>
            <c:dLbl>
              <c:idx val="0"/>
              <c:layout>
                <c:manualLayout>
                  <c:x val="-0.0215027784489007"/>
                  <c:y val="-0.0231619209519762"/>
                </c:manualLayout>
              </c:layout>
              <c:tx>
                <c:rich>
                  <a:bodyPr rot="0" spcFirstLastPara="0" vertOverflow="ellipsis" vert="horz" wrap="square" lIns="38100" tIns="19050" rIns="38100" bIns="19050" anchor="ctr" anchorCtr="true"/>
                  <a:lstStyle/>
                  <a:p>
                    <a:pPr>
                      <a:defRPr lang="zh-CN" sz="800" b="0" i="0" u="none" strike="noStrike" kern="1200" baseline="0">
                        <a:solidFill>
                          <a:schemeClr val="tx1">
                            <a:lumMod val="75000"/>
                            <a:lumOff val="25000"/>
                          </a:schemeClr>
                        </a:solidFill>
                        <a:latin typeface="+mn-lt"/>
                        <a:ea typeface="+mn-ea"/>
                        <a:cs typeface="+mn-cs"/>
                      </a:defRPr>
                    </a:pPr>
                    <a:r>
                      <a:rPr lang="en-US" altLang="zh-CN"/>
                      <a:t>7.6%</a:t>
                    </a:r>
                    <a:endParaRPr lang="en-US" altLang="zh-CN"/>
                  </a:p>
                </c:rich>
              </c:tx>
              <c:dLblPos val="r"/>
              <c:showLegendKey val="false"/>
              <c:showVal val="true"/>
              <c:showCatName val="false"/>
              <c:showSerName val="false"/>
              <c:showPercent val="false"/>
              <c:showBubbleSize val="false"/>
              <c:extLst>
                <c:ext xmlns:c15="http://schemas.microsoft.com/office/drawing/2012/chart" uri="{CE6537A1-D6FC-4f65-9D91-7224C49458BB}">
                  <c15:layout>
                    <c:manualLayout>
                      <c:w val="0.0884271563179512"/>
                      <c:h val="0.0826604334891628"/>
                    </c:manualLayout>
                  </c15:layout>
                </c:ext>
              </c:extLst>
            </c:dLbl>
            <c:dLbl>
              <c:idx val="1"/>
              <c:layout>
                <c:manualLayout>
                  <c:x val="0.0413143271321575"/>
                  <c:y val="-0.0465363365915852"/>
                </c:manualLayout>
              </c:layout>
              <c:tx>
                <c:rich>
                  <a:bodyPr rot="0" spcFirstLastPara="0" vertOverflow="ellipsis" vert="horz" wrap="square" lIns="38100" tIns="19050" rIns="38100" bIns="19050" anchor="ctr" anchorCtr="true"/>
                  <a:lstStyle/>
                  <a:p>
                    <a:pPr>
                      <a:defRPr lang="zh-CN" sz="800" b="0" i="0" u="none" strike="noStrike" kern="1200" baseline="0">
                        <a:solidFill>
                          <a:schemeClr val="tx1">
                            <a:lumMod val="75000"/>
                            <a:lumOff val="25000"/>
                          </a:schemeClr>
                        </a:solidFill>
                        <a:latin typeface="+mn-lt"/>
                        <a:ea typeface="+mn-ea"/>
                        <a:cs typeface="+mn-cs"/>
                      </a:defRPr>
                    </a:pPr>
                    <a:r>
                      <a:rPr lang="en-US" altLang="zh-CN"/>
                      <a:t>4.7%</a:t>
                    </a:r>
                    <a:endParaRPr lang="en-US" altLang="zh-CN"/>
                  </a:p>
                </c:rich>
              </c:tx>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dLbl>
              <c:idx val="2"/>
              <c:layout>
                <c:manualLayout>
                  <c:x val="-0.00821454457598454"/>
                  <c:y val="-0.0492987675308117"/>
                </c:manualLayout>
              </c:layout>
              <c:tx>
                <c:rich>
                  <a:bodyPr rot="0" spcFirstLastPara="0" vertOverflow="ellipsis" vert="horz" wrap="square" lIns="38100" tIns="19050" rIns="38100" bIns="19050" anchor="ctr" anchorCtr="true"/>
                  <a:lstStyle/>
                  <a:p>
                    <a:pPr>
                      <a:defRPr lang="zh-CN" sz="800" b="0" i="0" u="none" strike="noStrike" kern="1200" baseline="0">
                        <a:solidFill>
                          <a:schemeClr val="tx1">
                            <a:lumMod val="75000"/>
                            <a:lumOff val="25000"/>
                          </a:schemeClr>
                        </a:solidFill>
                        <a:latin typeface="+mn-lt"/>
                        <a:ea typeface="+mn-ea"/>
                        <a:cs typeface="+mn-cs"/>
                      </a:defRPr>
                    </a:pPr>
                    <a:r>
                      <a:rPr lang="en-US" altLang="zh-CN"/>
                      <a:t>5.2%</a:t>
                    </a:r>
                    <a:endParaRPr lang="en-US" altLang="zh-CN"/>
                  </a:p>
                </c:rich>
              </c:tx>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dLbl>
              <c:idx val="3"/>
              <c:layout>
                <c:manualLayout>
                  <c:x val="0.0165498912780865"/>
                  <c:y val="-0.0405864853378666"/>
                </c:manualLayout>
              </c:layout>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dLbl>
              <c:idx val="4"/>
              <c:layout>
                <c:manualLayout>
                  <c:x val="-0.00314085527905291"/>
                  <c:y val="-0.0371865703357416"/>
                </c:manualLayout>
              </c:layout>
              <c:tx>
                <c:rich>
                  <a:bodyPr rot="0" spcFirstLastPara="0" vertOverflow="ellipsis" vert="horz" wrap="square" lIns="38100" tIns="19050" rIns="38100" bIns="19050" anchor="ctr" anchorCtr="true"/>
                  <a:lstStyle/>
                  <a:p>
                    <a:pPr>
                      <a:defRPr lang="zh-CN" sz="800" b="0" i="0" u="none" strike="noStrike" kern="1200" baseline="0">
                        <a:solidFill>
                          <a:schemeClr val="tx1">
                            <a:lumMod val="75000"/>
                            <a:lumOff val="25000"/>
                          </a:schemeClr>
                        </a:solidFill>
                        <a:latin typeface="+mn-lt"/>
                        <a:ea typeface="+mn-ea"/>
                        <a:cs typeface="+mn-cs"/>
                      </a:defRPr>
                    </a:pPr>
                    <a:r>
                      <a:rPr lang="en-US" altLang="zh-CN"/>
                      <a:t>5.5%</a:t>
                    </a:r>
                    <a:endParaRPr lang="en-US" altLang="zh-CN"/>
                  </a:p>
                </c:rich>
              </c:tx>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800" b="0" i="0" u="none" strike="noStrike" kern="1200" baseline="0">
                    <a:solidFill>
                      <a:schemeClr val="tx1">
                        <a:lumMod val="75000"/>
                        <a:lumOff val="25000"/>
                      </a:schemeClr>
                    </a:solidFill>
                    <a:latin typeface="+mn-lt"/>
                    <a:ea typeface="+mn-ea"/>
                    <a:cs typeface="+mn-cs"/>
                  </a:defRPr>
                </a:pPr>
              </a:p>
            </c:txPr>
            <c:dLblPos val="r"/>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prstDash val="solid"/>
                      <a:round/>
                    </a:ln>
                    <a:effectLst/>
                  </c:spPr>
                </c15:leaderLines>
              </c:ext>
            </c:extLst>
          </c:dLbls>
          <c:cat>
            <c:strRef>
              <c:f>Sheet1!$A$2:$A$6</c:f>
              <c:strCache>
                <c:ptCount val="5"/>
                <c:pt idx="0">
                  <c:v>2021年</c:v>
                </c:pt>
                <c:pt idx="1">
                  <c:v>2022年</c:v>
                </c:pt>
                <c:pt idx="2">
                  <c:v>2023年</c:v>
                </c:pt>
                <c:pt idx="3">
                  <c:v>2024年</c:v>
                </c:pt>
                <c:pt idx="4">
                  <c:v>2025年</c:v>
                </c:pt>
              </c:strCache>
            </c:strRef>
          </c:cat>
          <c:val>
            <c:numRef>
              <c:f>Sheet1!$D$2:$D$6</c:f>
              <c:numCache>
                <c:formatCode>0.00%</c:formatCode>
                <c:ptCount val="5"/>
                <c:pt idx="0">
                  <c:v>0.076</c:v>
                </c:pt>
                <c:pt idx="1">
                  <c:v>0.047</c:v>
                </c:pt>
                <c:pt idx="2">
                  <c:v>0.052</c:v>
                </c:pt>
                <c:pt idx="3" c:formatCode="0%">
                  <c:v>0.05</c:v>
                </c:pt>
                <c:pt idx="4">
                  <c:v>0.051</c:v>
                </c:pt>
              </c:numCache>
            </c:numRef>
          </c:val>
          <c:smooth val="false"/>
        </c:ser>
        <c:ser>
          <c:idx val="3"/>
          <c:order val="3"/>
          <c:tx>
            <c:strRef>
              <c:f>Sheet1!$E$1</c:f>
              <c:strCache>
                <c:ptCount val="1"/>
                <c:pt idx="0">
                  <c:v>农村居民可支配收入收入增长率</c:v>
                </c:pt>
              </c:strCache>
            </c:strRef>
          </c:tx>
          <c:spPr>
            <a:ln w="28575" cap="rnd" cmpd="sng" algn="ctr">
              <a:solidFill>
                <a:srgbClr val="EE822F"/>
              </a:solidFill>
              <a:prstDash val="solid"/>
              <a:round/>
            </a:ln>
            <a:effectLst/>
          </c:spPr>
          <c:marker>
            <c:symbol val="none"/>
          </c:marker>
          <c:dLbls>
            <c:dLbl>
              <c:idx val="0"/>
              <c:layout>
                <c:manualLayout>
                  <c:x val="-0.0444551824112104"/>
                  <c:y val="-0.0318742031449214"/>
                </c:manualLayout>
              </c:layout>
              <c:tx>
                <c:rich>
                  <a:bodyPr rot="0" spcFirstLastPara="0" vertOverflow="ellipsis" vert="horz" wrap="square" lIns="38100" tIns="19050" rIns="38100" bIns="19050" anchor="ctr" anchorCtr="true"/>
                  <a:lstStyle/>
                  <a:p>
                    <a:pPr>
                      <a:defRPr lang="zh-CN" sz="800" b="0" i="0" u="none" strike="noStrike" kern="1200" baseline="0">
                        <a:solidFill>
                          <a:schemeClr val="tx1">
                            <a:lumMod val="75000"/>
                            <a:lumOff val="25000"/>
                          </a:schemeClr>
                        </a:solidFill>
                        <a:latin typeface="+mn-lt"/>
                        <a:ea typeface="+mn-ea"/>
                        <a:cs typeface="+mn-cs"/>
                      </a:defRPr>
                    </a:pPr>
                    <a:r>
                      <a:rPr lang="en-US" altLang="zh-CN"/>
                      <a:t>11.1%</a:t>
                    </a:r>
                    <a:endParaRPr lang="en-US" altLang="zh-CN"/>
                  </a:p>
                </c:rich>
              </c:tx>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dLbl>
              <c:idx val="1"/>
              <c:layout>
                <c:manualLayout>
                  <c:x val="-0.00978497221551099"/>
                  <c:y val="-0.0752231194220145"/>
                </c:manualLayout>
              </c:layout>
              <c:tx>
                <c:rich>
                  <a:bodyPr rot="0" spcFirstLastPara="0" vertOverflow="ellipsis" vert="horz" wrap="square" lIns="38100" tIns="19050" rIns="38100" bIns="19050" anchor="ctr" anchorCtr="true"/>
                  <a:lstStyle/>
                  <a:p>
                    <a:pPr>
                      <a:defRPr lang="zh-CN" sz="800" b="0" i="0" u="none" strike="noStrike" kern="1200" baseline="0">
                        <a:solidFill>
                          <a:schemeClr val="tx1">
                            <a:lumMod val="75000"/>
                            <a:lumOff val="25000"/>
                          </a:schemeClr>
                        </a:solidFill>
                        <a:latin typeface="+mn-lt"/>
                        <a:ea typeface="+mn-ea"/>
                        <a:cs typeface="+mn-cs"/>
                      </a:defRPr>
                    </a:pPr>
                    <a:r>
                      <a:rPr lang="en-US" altLang="zh-CN"/>
                      <a:t>5.2%</a:t>
                    </a:r>
                    <a:endParaRPr lang="en-US" altLang="zh-CN"/>
                  </a:p>
                </c:rich>
              </c:tx>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dLbl>
              <c:idx val="2"/>
              <c:layout>
                <c:manualLayout>
                  <c:x val="-0.00664411693645808"/>
                  <c:y val="-0.0376115597110072"/>
                </c:manualLayout>
              </c:layout>
              <c:tx>
                <c:rich>
                  <a:bodyPr rot="0" spcFirstLastPara="0" vertOverflow="ellipsis" vert="horz" wrap="square" lIns="38100" tIns="19050" rIns="38100" bIns="19050" anchor="ctr" anchorCtr="true"/>
                  <a:lstStyle/>
                  <a:p>
                    <a:pPr>
                      <a:defRPr lang="zh-CN" sz="800" b="0" i="0" u="none" strike="noStrike" kern="1200" baseline="0">
                        <a:solidFill>
                          <a:schemeClr val="tx1">
                            <a:lumMod val="75000"/>
                            <a:lumOff val="25000"/>
                          </a:schemeClr>
                        </a:solidFill>
                        <a:latin typeface="+mn-lt"/>
                        <a:ea typeface="+mn-ea"/>
                        <a:cs typeface="+mn-cs"/>
                      </a:defRPr>
                    </a:pPr>
                    <a:r>
                      <a:rPr lang="en-US" altLang="zh-CN"/>
                      <a:t>7.6%</a:t>
                    </a:r>
                    <a:endParaRPr lang="en-US" altLang="zh-CN"/>
                  </a:p>
                </c:rich>
              </c:tx>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dLbl>
              <c:idx val="3"/>
              <c:layout>
                <c:manualLayout>
                  <c:x val="-0.00169122976564388"/>
                  <c:y val="-0.0665108372290693"/>
                </c:manualLayout>
              </c:layout>
              <c:tx>
                <c:rich>
                  <a:bodyPr rot="0" spcFirstLastPara="0" vertOverflow="ellipsis" vert="horz" wrap="square" lIns="38100" tIns="19050" rIns="38100" bIns="19050" anchor="ctr" anchorCtr="true"/>
                  <a:lstStyle/>
                  <a:p>
                    <a:pPr>
                      <a:defRPr lang="zh-CN" sz="800" b="0" i="0" u="none" strike="noStrike" kern="1200" baseline="0">
                        <a:solidFill>
                          <a:schemeClr val="tx1">
                            <a:lumMod val="75000"/>
                            <a:lumOff val="25000"/>
                          </a:schemeClr>
                        </a:solidFill>
                        <a:latin typeface="+mn-lt"/>
                        <a:ea typeface="+mn-ea"/>
                        <a:cs typeface="+mn-cs"/>
                      </a:defRPr>
                    </a:pPr>
                    <a:r>
                      <a:rPr lang="en-US" altLang="zh-CN"/>
                      <a:t>6.6%</a:t>
                    </a:r>
                    <a:endParaRPr lang="en-US" altLang="zh-CN"/>
                  </a:p>
                </c:rich>
              </c:tx>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dLbl>
              <c:idx val="4"/>
              <c:layout>
                <c:manualLayout>
                  <c:x val="0.00664411693645808"/>
                  <c:y val="-0.0348491287717807"/>
                </c:manualLayout>
              </c:layout>
              <c:tx>
                <c:rich>
                  <a:bodyPr rot="0" spcFirstLastPara="0" vertOverflow="ellipsis" vert="horz" wrap="square" lIns="38100" tIns="19050" rIns="38100" bIns="19050" anchor="ctr" anchorCtr="true"/>
                  <a:lstStyle/>
                  <a:p>
                    <a:pPr>
                      <a:defRPr lang="zh-CN" sz="800" b="0" i="0" u="none" strike="noStrike" kern="1200" baseline="0">
                        <a:solidFill>
                          <a:schemeClr val="tx1">
                            <a:lumMod val="75000"/>
                            <a:lumOff val="25000"/>
                          </a:schemeClr>
                        </a:solidFill>
                        <a:latin typeface="+mn-lt"/>
                        <a:ea typeface="+mn-ea"/>
                        <a:cs typeface="+mn-cs"/>
                      </a:defRPr>
                    </a:pPr>
                    <a:r>
                      <a:rPr lang="en-US" altLang="en-US"/>
                      <a:t>6.9%</a:t>
                    </a:r>
                    <a:endParaRPr lang="en-US" altLang="en-US"/>
                  </a:p>
                </c:rich>
              </c:tx>
              <c:dLblPos val="r"/>
              <c:showLegendKey val="false"/>
              <c:showVal val="true"/>
              <c:showCatName val="false"/>
              <c:showSerName val="false"/>
              <c:showPercent val="false"/>
              <c:showBubbleSize val="false"/>
              <c:extLst>
                <c:ext xmlns:c15="http://schemas.microsoft.com/office/drawing/2012/chart" uri="{CE6537A1-D6FC-4f65-9D91-7224C49458BB}">
                  <c15:layout>
                    <c:manualLayout>
                      <c:w val="0.064388961892247"/>
                      <c:h val="0.0549111997100399"/>
                    </c:manualLayout>
                  </c15:layout>
                </c:ext>
              </c:extLst>
            </c:dLbl>
            <c:spPr>
              <a:noFill/>
              <a:ln>
                <a:noFill/>
              </a:ln>
              <a:effectLst/>
            </c:spPr>
            <c:txPr>
              <a:bodyPr rot="0" spcFirstLastPara="0" vertOverflow="ellipsis" vert="horz" wrap="square" lIns="38100" tIns="19050" rIns="38100" bIns="19050" anchor="ctr" anchorCtr="true"/>
              <a:lstStyle/>
              <a:p>
                <a:pPr>
                  <a:defRPr lang="zh-CN" sz="800" b="0" i="0" u="none" strike="noStrike" kern="1200" baseline="0">
                    <a:solidFill>
                      <a:schemeClr val="tx1">
                        <a:lumMod val="75000"/>
                        <a:lumOff val="25000"/>
                      </a:schemeClr>
                    </a:solidFill>
                    <a:latin typeface="+mn-lt"/>
                    <a:ea typeface="+mn-ea"/>
                    <a:cs typeface="+mn-cs"/>
                  </a:defRPr>
                </a:pPr>
              </a:p>
            </c:txPr>
            <c:dLblPos val="r"/>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prstDash val="solid"/>
                      <a:round/>
                    </a:ln>
                    <a:effectLst/>
                  </c:spPr>
                </c15:leaderLines>
              </c:ext>
            </c:extLst>
          </c:dLbls>
          <c:cat>
            <c:strRef>
              <c:f>Sheet1!$A$2:$A$6</c:f>
              <c:strCache>
                <c:ptCount val="5"/>
                <c:pt idx="0">
                  <c:v>2021年</c:v>
                </c:pt>
                <c:pt idx="1">
                  <c:v>2022年</c:v>
                </c:pt>
                <c:pt idx="2">
                  <c:v>2023年</c:v>
                </c:pt>
                <c:pt idx="3">
                  <c:v>2024年</c:v>
                </c:pt>
                <c:pt idx="4">
                  <c:v>2025年</c:v>
                </c:pt>
              </c:strCache>
            </c:strRef>
          </c:cat>
          <c:val>
            <c:numRef>
              <c:f>Sheet1!$E$2:$E$6</c:f>
              <c:numCache>
                <c:formatCode>0.00%</c:formatCode>
                <c:ptCount val="5"/>
                <c:pt idx="0">
                  <c:v>0.111</c:v>
                </c:pt>
                <c:pt idx="1">
                  <c:v>0.052</c:v>
                </c:pt>
                <c:pt idx="2">
                  <c:v>0.076</c:v>
                </c:pt>
                <c:pt idx="3">
                  <c:v>0.066</c:v>
                </c:pt>
                <c:pt idx="4">
                  <c:v>0.069</c:v>
                </c:pt>
              </c:numCache>
            </c:numRef>
          </c:val>
          <c:smooth val="false"/>
        </c:ser>
        <c:dLbls>
          <c:showLegendKey val="false"/>
          <c:showVal val="true"/>
          <c:showCatName val="false"/>
          <c:showSerName val="false"/>
          <c:showPercent val="false"/>
          <c:showBubbleSize val="false"/>
        </c:dLbls>
        <c:marker val="false"/>
        <c:smooth val="false"/>
        <c:axId val="106439040"/>
        <c:axId val="106440576"/>
      </c:lineChart>
      <c:catAx>
        <c:axId val="106353792"/>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800" b="0" i="0" u="none" strike="noStrike" kern="1200" baseline="0">
                <a:solidFill>
                  <a:schemeClr val="tx1">
                    <a:lumMod val="65000"/>
                    <a:lumOff val="35000"/>
                  </a:schemeClr>
                </a:solidFill>
                <a:latin typeface="+mn-lt"/>
                <a:ea typeface="+mn-ea"/>
                <a:cs typeface="+mn-cs"/>
              </a:defRPr>
            </a:pPr>
          </a:p>
        </c:txPr>
        <c:crossAx val="106355328"/>
        <c:crosses val="autoZero"/>
        <c:auto val="true"/>
        <c:lblAlgn val="ctr"/>
        <c:lblOffset val="100"/>
        <c:noMultiLvlLbl val="false"/>
      </c:catAx>
      <c:valAx>
        <c:axId val="106355328"/>
        <c:scaling>
          <c:orientation val="minMax"/>
        </c:scaling>
        <c:delete val="false"/>
        <c:axPos val="l"/>
        <c:majorGridlines>
          <c:spPr>
            <a:ln w="9525" cap="flat" cmpd="sng" algn="ctr">
              <a:solidFill>
                <a:schemeClr val="lt1">
                  <a:lumMod val="90200"/>
                </a:schemeClr>
              </a:solidFill>
              <a:prstDash val="solid"/>
              <a:round/>
            </a:ln>
            <a:effectLst/>
          </c:spPr>
        </c:majorGridlines>
        <c:numFmt formatCode="General" sourceLinked="true"/>
        <c:majorTickMark val="none"/>
        <c:minorTickMark val="none"/>
        <c:tickLblPos val="nextTo"/>
        <c:spPr>
          <a:noFill/>
          <a:ln w="12700" cap="flat" cmpd="sng" algn="ctr">
            <a:noFill/>
            <a:prstDash val="solid"/>
            <a:round/>
          </a:ln>
          <a:effectLst/>
        </c:spPr>
        <c:txPr>
          <a:bodyPr rot="-60000000" spcFirstLastPara="0" vertOverflow="ellipsis" vert="horz" wrap="square" anchor="ctr" anchorCtr="true"/>
          <a:lstStyle/>
          <a:p>
            <a:pPr>
              <a:defRPr lang="zh-CN" sz="800" b="0" i="0" u="none" strike="noStrike" kern="1200" baseline="0">
                <a:solidFill>
                  <a:schemeClr val="tx1">
                    <a:lumMod val="65000"/>
                    <a:lumOff val="35000"/>
                  </a:schemeClr>
                </a:solidFill>
                <a:latin typeface="+mn-lt"/>
                <a:ea typeface="+mn-ea"/>
                <a:cs typeface="+mn-cs"/>
              </a:defRPr>
            </a:pPr>
          </a:p>
        </c:txPr>
        <c:crossAx val="106353792"/>
        <c:crosses val="autoZero"/>
        <c:crossBetween val="between"/>
      </c:valAx>
      <c:catAx>
        <c:axId val="106439040"/>
        <c:scaling>
          <c:orientation val="minMax"/>
        </c:scaling>
        <c:delete val="true"/>
        <c:axPos val="b"/>
        <c:majorTickMark val="out"/>
        <c:minorTickMark val="none"/>
        <c:tickLblPos val="nextTo"/>
        <c:txPr>
          <a:bodyPr rot="-60000000" spcFirstLastPara="0" vertOverflow="ellipsis" vert="horz" wrap="square" anchor="ctr" anchorCtr="true"/>
          <a:lstStyle/>
          <a:p>
            <a:pPr>
              <a:defRPr lang="zh-CN" sz="800" b="0" i="0" u="none" strike="noStrike" kern="1200" baseline="0">
                <a:solidFill>
                  <a:schemeClr val="tx1"/>
                </a:solidFill>
                <a:latin typeface="+mn-lt"/>
                <a:ea typeface="+mn-ea"/>
                <a:cs typeface="+mn-cs"/>
              </a:defRPr>
            </a:pPr>
          </a:p>
        </c:txPr>
        <c:crossAx val="106440576"/>
        <c:crosses val="autoZero"/>
        <c:auto val="true"/>
        <c:lblAlgn val="ctr"/>
        <c:lblOffset val="100"/>
        <c:noMultiLvlLbl val="false"/>
      </c:catAx>
      <c:valAx>
        <c:axId val="106440576"/>
        <c:scaling>
          <c:orientation val="minMax"/>
        </c:scaling>
        <c:delete val="false"/>
        <c:axPos val="r"/>
        <c:numFmt formatCode="0%" sourceLinked="false"/>
        <c:majorTickMark val="in"/>
        <c:minorTickMark val="none"/>
        <c:tickLblPos val="nextTo"/>
        <c:spPr>
          <a:noFill/>
          <a:ln w="12700" cap="flat" cmpd="sng" algn="ctr">
            <a:solidFill>
              <a:schemeClr val="accent1"/>
            </a:solidFill>
            <a:prstDash val="solid"/>
            <a:round/>
          </a:ln>
          <a:effectLst/>
        </c:spPr>
        <c:txPr>
          <a:bodyPr rot="-60000000" spcFirstLastPara="0" vertOverflow="ellipsis" vert="horz" wrap="square" anchor="ctr" anchorCtr="true"/>
          <a:lstStyle/>
          <a:p>
            <a:pPr>
              <a:defRPr lang="zh-CN" sz="800" b="0" i="0" u="none" strike="noStrike" kern="1200" baseline="0">
                <a:solidFill>
                  <a:schemeClr val="tx1">
                    <a:lumMod val="65000"/>
                    <a:lumOff val="35000"/>
                  </a:schemeClr>
                </a:solidFill>
                <a:latin typeface="+mn-lt"/>
                <a:ea typeface="+mn-ea"/>
                <a:cs typeface="+mn-cs"/>
              </a:defRPr>
            </a:pPr>
          </a:p>
        </c:txPr>
        <c:crossAx val="106439040"/>
        <c:crosses val="max"/>
        <c:crossBetween val="between"/>
      </c:valAx>
      <c:spPr>
        <a:noFill/>
        <a:ln>
          <a:noFill/>
        </a:ln>
        <a:effectLst/>
      </c:spPr>
    </c:plotArea>
    <c:legend>
      <c:legendPos val="b"/>
      <c:legendEntry>
        <c:idx val="0"/>
        <c:txPr>
          <a:bodyPr rot="0" spcFirstLastPara="0" vertOverflow="ellipsis" vert="horz" wrap="square" anchor="ctr" anchorCtr="true"/>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true"/>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true"/>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3"/>
        <c:txPr>
          <a:bodyPr rot="0" spcFirstLastPara="0" vertOverflow="ellipsis" vert="horz" wrap="square" anchor="ctr" anchorCtr="true"/>
          <a:lstStyle/>
          <a:p>
            <a:pPr>
              <a:defRPr lang="zh-CN" sz="800" b="0" i="0" u="none" strike="noStrike" kern="1200" baseline="0">
                <a:solidFill>
                  <a:schemeClr val="tx1">
                    <a:lumMod val="65000"/>
                    <a:lumOff val="35000"/>
                  </a:schemeClr>
                </a:solidFill>
                <a:latin typeface="+mn-lt"/>
                <a:ea typeface="+mn-ea"/>
                <a:cs typeface="+mn-cs"/>
              </a:defRPr>
            </a:pPr>
          </a:p>
        </c:txPr>
      </c:legendEntry>
      <c:layout/>
      <c:overlay val="false"/>
      <c:spPr>
        <a:noFill/>
        <a:ln>
          <a:noFill/>
        </a:ln>
        <a:effectLst/>
      </c:spPr>
      <c:txPr>
        <a:bodyPr rot="0" spcFirstLastPara="0" vertOverflow="ellipsis" vert="horz" wrap="square" anchor="ctr" anchorCtr="true"/>
        <a:lstStyle/>
        <a:p>
          <a:pPr>
            <a:defRPr lang="zh-CN" sz="8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a:lstStyle/>
    <a:p>
      <a:pPr>
        <a:defRPr lang="zh-CN" sz="800"/>
      </a:pPr>
    </a:p>
  </c:txPr>
  <c:externalData r:id="rId1">
    <c:autoUpdate val="false"/>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Yozosoft</Company>
  <Pages>199</Pages>
  <Words>14281</Words>
  <Characters>81407</Characters>
  <Lines>678</Lines>
  <Paragraphs>190</Paragraphs>
  <TotalTime>7</TotalTime>
  <ScaleCrop>false</ScaleCrop>
  <LinksUpToDate>false</LinksUpToDate>
  <CharactersWithSpaces>95498</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2026-06-17T00:24:00Z</dcterms:created>
  <dc:creator>User274</dc:creator>
  <cp:lastModifiedBy>WPS_1767753103</cp:lastModifiedBy>
  <cp:lastPrinted>2026-06-17T00:24:00Z</cp:lastPrinted>
  <dcterms:modified xsi:type="dcterms:W3CDTF">2026-07-31T17:07:33Z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BB39D9CDF0722B5DC0636C6AFE7530A4_43</vt:lpwstr>
  </property>
</Properties>
</file>