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AA2A7">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方正小标宋_GBK" w:eastAsia="方正小标宋_GBK"/>
          <w:b/>
          <w:bCs w:val="0"/>
          <w:sz w:val="72"/>
          <w:szCs w:val="72"/>
        </w:rPr>
      </w:pPr>
      <w:r>
        <w:rPr>
          <w:rFonts w:hint="eastAsia" w:ascii="方正小标宋_GBK" w:eastAsia="方正小标宋_GBK"/>
          <w:b/>
          <w:bCs w:val="0"/>
          <w:sz w:val="72"/>
          <w:szCs w:val="72"/>
        </w:rPr>
        <w:t>建设项目环境影响报告表</w:t>
      </w:r>
    </w:p>
    <w:p w14:paraId="3E9C7513">
      <w:pPr>
        <w:adjustRightInd w:val="0"/>
        <w:snapToGrid w:val="0"/>
        <w:spacing w:before="192" w:beforeLines="80"/>
        <w:jc w:val="center"/>
        <w:rPr>
          <w:rFonts w:hint="eastAsia" w:ascii="楷体_GB2312" w:eastAsia="楷体_GB2312"/>
          <w:b/>
          <w:bCs w:val="0"/>
          <w:sz w:val="48"/>
          <w:szCs w:val="48"/>
        </w:rPr>
      </w:pPr>
      <w:r>
        <w:rPr>
          <w:rFonts w:hint="eastAsia" w:ascii="楷体_GB2312" w:eastAsia="楷体_GB2312"/>
          <w:b/>
          <w:bCs w:val="0"/>
          <w:sz w:val="48"/>
          <w:szCs w:val="48"/>
        </w:rPr>
        <w:t>（</w:t>
      </w:r>
      <w:r>
        <w:rPr>
          <w:rFonts w:hint="eastAsia" w:ascii="楷体_GB2312" w:eastAsia="楷体_GB2312"/>
          <w:b/>
          <w:bCs w:val="0"/>
          <w:sz w:val="48"/>
          <w:szCs w:val="48"/>
          <w:lang w:val="en-US" w:eastAsia="zh-CN"/>
        </w:rPr>
        <w:t>送审稿</w:t>
      </w:r>
      <w:r>
        <w:rPr>
          <w:rFonts w:hint="eastAsia" w:ascii="楷体_GB2312" w:eastAsia="楷体_GB2312"/>
          <w:b/>
          <w:bCs w:val="0"/>
          <w:sz w:val="48"/>
          <w:szCs w:val="48"/>
        </w:rPr>
        <w:t>）</w:t>
      </w:r>
    </w:p>
    <w:p w14:paraId="3142634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ascii="华文仿宋" w:hAnsi="华文仿宋" w:eastAsia="华文仿宋" w:cs="华文仿宋"/>
          <w:color w:val="000000"/>
          <w:kern w:val="44"/>
          <w:sz w:val="44"/>
          <w:szCs w:val="44"/>
        </w:rPr>
      </w:pPr>
    </w:p>
    <w:p w14:paraId="6F17ADB0">
      <w:pPr>
        <w:jc w:val="center"/>
        <w:rPr>
          <w:rFonts w:eastAsia="仿宋"/>
          <w:sz w:val="52"/>
          <w:szCs w:val="52"/>
        </w:rPr>
      </w:pPr>
    </w:p>
    <w:p w14:paraId="25D036BA">
      <w:pPr>
        <w:ind w:firstLine="1040"/>
        <w:rPr>
          <w:rFonts w:eastAsia="仿宋"/>
          <w:sz w:val="44"/>
          <w:szCs w:val="44"/>
        </w:rPr>
      </w:pPr>
    </w:p>
    <w:p w14:paraId="7134311A">
      <w:pPr>
        <w:ind w:firstLine="1040"/>
        <w:rPr>
          <w:rFonts w:eastAsia="仿宋"/>
          <w:sz w:val="44"/>
          <w:szCs w:val="44"/>
        </w:rPr>
      </w:pPr>
    </w:p>
    <w:p w14:paraId="450C94A0">
      <w:pPr>
        <w:ind w:firstLine="1040"/>
        <w:rPr>
          <w:rFonts w:eastAsia="仿宋"/>
          <w:sz w:val="44"/>
          <w:szCs w:val="44"/>
        </w:rPr>
      </w:pPr>
    </w:p>
    <w:p w14:paraId="795820D9">
      <w:pPr>
        <w:ind w:firstLine="1040"/>
        <w:rPr>
          <w:rFonts w:eastAsia="仿宋"/>
          <w:sz w:val="44"/>
          <w:szCs w:val="44"/>
        </w:rPr>
      </w:pPr>
    </w:p>
    <w:p w14:paraId="1894251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315" w:leftChars="150" w:right="-315" w:rightChars="-150" w:firstLine="0"/>
        <w:textAlignment w:val="auto"/>
        <w:rPr>
          <w:rFonts w:hint="default" w:ascii="仿宋_GB2312" w:eastAsia="仿宋_GB2312"/>
          <w:sz w:val="36"/>
          <w:szCs w:val="36"/>
          <w:u w:val="single"/>
          <w:lang w:val="en-US" w:eastAsia="zh-CN"/>
        </w:rPr>
      </w:pPr>
      <w:r>
        <w:rPr>
          <w:rFonts w:hint="eastAsia" w:ascii="仿宋_GB2312" w:eastAsia="仿宋_GB2312"/>
          <w:sz w:val="36"/>
          <w:szCs w:val="36"/>
        </w:rPr>
        <w:t>项目名称：</w:t>
      </w:r>
      <w:r>
        <w:rPr>
          <w:rFonts w:hint="eastAsia" w:ascii="仿宋_GB2312" w:eastAsia="仿宋_GB2312"/>
          <w:sz w:val="36"/>
          <w:szCs w:val="36"/>
          <w:u w:val="single"/>
          <w:lang w:val="en-US" w:eastAsia="zh-CN"/>
        </w:rPr>
        <w:t xml:space="preserve">    汽车零部件加工生产线项目</w:t>
      </w:r>
      <w:r>
        <w:rPr>
          <w:rFonts w:hint="eastAsia"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p>
    <w:p w14:paraId="6D17E2B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315" w:leftChars="150" w:right="-315" w:rightChars="-150" w:firstLine="0"/>
        <w:textAlignment w:val="auto"/>
        <w:rPr>
          <w:rFonts w:ascii="仿宋_GB2312" w:eastAsia="仿宋_GB2312"/>
          <w:spacing w:val="-45"/>
          <w:sz w:val="36"/>
          <w:szCs w:val="36"/>
          <w:u w:val="single"/>
        </w:rPr>
      </w:pPr>
      <w:r>
        <w:rPr>
          <w:rFonts w:hint="eastAsia" w:ascii="仿宋_GB2312" w:eastAsia="仿宋_GB2312"/>
          <w:sz w:val="36"/>
          <w:szCs w:val="36"/>
        </w:rPr>
        <w:t>建设单位（盖章）：</w:t>
      </w:r>
      <w:r>
        <w:rPr>
          <w:rFonts w:hint="eastAsia" w:ascii="仿宋_GB2312" w:eastAsia="仿宋_GB2312"/>
          <w:spacing w:val="-45"/>
          <w:sz w:val="36"/>
          <w:szCs w:val="36"/>
          <w:u w:val="single"/>
          <w:lang w:val="en-US" w:eastAsia="zh-CN"/>
        </w:rPr>
        <w:t>湖南省洪江市万顺汽车零部件有限责任公司</w:t>
      </w:r>
    </w:p>
    <w:p w14:paraId="507A42F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315" w:leftChars="150" w:right="-315" w:rightChars="-150" w:firstLine="0"/>
        <w:textAlignment w:val="auto"/>
        <w:rPr>
          <w:rFonts w:hint="default" w:ascii="仿宋_GB2312" w:eastAsia="仿宋_GB2312"/>
          <w:sz w:val="36"/>
          <w:szCs w:val="36"/>
          <w:u w:val="single"/>
          <w:lang w:val="en-US" w:eastAsia="zh-CN"/>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default" w:ascii="Times New Roman" w:hAnsi="Times New Roman" w:eastAsia="仿宋_GB2312" w:cs="Times New Roman"/>
          <w:sz w:val="36"/>
          <w:szCs w:val="36"/>
          <w:u w:val="single"/>
          <w:lang w:val="en-US" w:eastAsia="zh-CN"/>
        </w:rPr>
        <w:t>2024年8月</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p>
    <w:p w14:paraId="4F88EE1E">
      <w:pPr>
        <w:adjustRightInd w:val="0"/>
        <w:snapToGrid w:val="0"/>
        <w:spacing w:line="288" w:lineRule="auto"/>
        <w:ind w:firstLine="1040"/>
        <w:rPr>
          <w:rFonts w:ascii="仿宋_GB2312" w:eastAsia="仿宋_GB2312"/>
          <w:sz w:val="36"/>
          <w:szCs w:val="36"/>
          <w:u w:val="single"/>
        </w:rPr>
      </w:pPr>
    </w:p>
    <w:p w14:paraId="6ED7909B">
      <w:pPr>
        <w:pStyle w:val="19"/>
        <w:tabs>
          <w:tab w:val="right" w:leader="dot" w:pos="8306"/>
        </w:tabs>
        <w:spacing w:line="360" w:lineRule="auto"/>
        <w:ind w:firstLine="562" w:firstLineChars="200"/>
        <w:jc w:val="center"/>
        <w:rPr>
          <w:rFonts w:hint="eastAsia"/>
          <w:b/>
          <w:bCs/>
          <w:sz w:val="28"/>
          <w:szCs w:val="28"/>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0F054CAB">
      <w:pPr>
        <w:pStyle w:val="19"/>
        <w:tabs>
          <w:tab w:val="right" w:leader="dot" w:pos="8306"/>
        </w:tabs>
        <w:spacing w:line="360" w:lineRule="auto"/>
        <w:ind w:firstLine="562" w:firstLineChars="200"/>
        <w:jc w:val="center"/>
        <w:rPr>
          <w:b/>
          <w:bCs/>
          <w:sz w:val="28"/>
          <w:szCs w:val="28"/>
        </w:rPr>
      </w:pPr>
      <w:r>
        <w:rPr>
          <w:rFonts w:hint="eastAsia"/>
          <w:b/>
          <w:bCs/>
          <w:sz w:val="28"/>
          <w:szCs w:val="28"/>
        </w:rPr>
        <w:t>目录</w:t>
      </w:r>
    </w:p>
    <w:p w14:paraId="04595236">
      <w:pPr>
        <w:pStyle w:val="19"/>
        <w:tabs>
          <w:tab w:val="right" w:leader="dot" w:pos="8306"/>
        </w:tabs>
        <w:spacing w:line="360" w:lineRule="auto"/>
        <w:ind w:firstLine="420" w:firstLineChars="200"/>
      </w:pPr>
      <w:r>
        <w:fldChar w:fldCharType="begin"/>
      </w:r>
      <w:r>
        <w:instrText xml:space="preserve">TOC \o "1-1" \h \u </w:instrText>
      </w:r>
      <w:r>
        <w:fldChar w:fldCharType="separate"/>
      </w:r>
      <w:r>
        <w:fldChar w:fldCharType="begin"/>
      </w:r>
      <w:r>
        <w:instrText xml:space="preserve"> HYPERLINK \l "_Toc22535" </w:instrText>
      </w:r>
      <w:r>
        <w:fldChar w:fldCharType="separate"/>
      </w:r>
      <w:r>
        <w:rPr>
          <w:rFonts w:hint="eastAsia"/>
        </w:rPr>
        <w:t>一、建设项目基本情况</w:t>
      </w:r>
      <w:r>
        <w:tab/>
      </w:r>
      <w:r>
        <w:fldChar w:fldCharType="begin"/>
      </w:r>
      <w:r>
        <w:instrText xml:space="preserve"> PAGEREF _Toc22535 \h </w:instrText>
      </w:r>
      <w:r>
        <w:fldChar w:fldCharType="separate"/>
      </w:r>
      <w:r>
        <w:t>1</w:t>
      </w:r>
      <w:r>
        <w:fldChar w:fldCharType="end"/>
      </w:r>
      <w:r>
        <w:fldChar w:fldCharType="end"/>
      </w:r>
    </w:p>
    <w:p w14:paraId="74B661C4">
      <w:pPr>
        <w:pStyle w:val="19"/>
        <w:tabs>
          <w:tab w:val="right" w:leader="dot" w:pos="8306"/>
        </w:tabs>
        <w:spacing w:line="360" w:lineRule="auto"/>
        <w:ind w:firstLine="420" w:firstLineChars="200"/>
      </w:pPr>
      <w:r>
        <w:fldChar w:fldCharType="begin"/>
      </w:r>
      <w:r>
        <w:instrText xml:space="preserve"> HYPERLINK \l "_Toc29058" </w:instrText>
      </w:r>
      <w:r>
        <w:fldChar w:fldCharType="separate"/>
      </w:r>
      <w:r>
        <w:rPr>
          <w:rFonts w:hint="eastAsia"/>
        </w:rPr>
        <w:t>二、建设项目工程分析</w:t>
      </w:r>
      <w:r>
        <w:tab/>
      </w:r>
      <w:r>
        <w:fldChar w:fldCharType="begin"/>
      </w:r>
      <w:r>
        <w:instrText xml:space="preserve"> PAGEREF _Toc29058 \h </w:instrText>
      </w:r>
      <w:r>
        <w:fldChar w:fldCharType="separate"/>
      </w:r>
      <w:r>
        <w:t>15</w:t>
      </w:r>
      <w:r>
        <w:fldChar w:fldCharType="end"/>
      </w:r>
      <w:r>
        <w:fldChar w:fldCharType="end"/>
      </w:r>
    </w:p>
    <w:p w14:paraId="758E9DB4">
      <w:pPr>
        <w:pStyle w:val="19"/>
        <w:tabs>
          <w:tab w:val="right" w:leader="dot" w:pos="8306"/>
        </w:tabs>
        <w:spacing w:line="360" w:lineRule="auto"/>
        <w:ind w:firstLine="420" w:firstLineChars="200"/>
      </w:pPr>
      <w:r>
        <w:fldChar w:fldCharType="begin"/>
      </w:r>
      <w:r>
        <w:instrText xml:space="preserve"> HYPERLINK \l "_Toc21723" </w:instrText>
      </w:r>
      <w:r>
        <w:fldChar w:fldCharType="separate"/>
      </w:r>
      <w:r>
        <w:t>三、区域环境质量现状、环境保护目标及评价标准</w:t>
      </w:r>
      <w:r>
        <w:tab/>
      </w:r>
      <w:r>
        <w:fldChar w:fldCharType="begin"/>
      </w:r>
      <w:r>
        <w:instrText xml:space="preserve"> PAGEREF _Toc21723 \h </w:instrText>
      </w:r>
      <w:r>
        <w:fldChar w:fldCharType="separate"/>
      </w:r>
      <w:r>
        <w:t>26</w:t>
      </w:r>
      <w:r>
        <w:fldChar w:fldCharType="end"/>
      </w:r>
      <w:r>
        <w:fldChar w:fldCharType="end"/>
      </w:r>
    </w:p>
    <w:p w14:paraId="5E3C27C7">
      <w:pPr>
        <w:pStyle w:val="19"/>
        <w:tabs>
          <w:tab w:val="right" w:leader="dot" w:pos="8306"/>
        </w:tabs>
        <w:spacing w:line="360" w:lineRule="auto"/>
        <w:ind w:firstLine="420" w:firstLineChars="200"/>
      </w:pPr>
      <w:r>
        <w:fldChar w:fldCharType="begin"/>
      </w:r>
      <w:r>
        <w:instrText xml:space="preserve"> HYPERLINK \l "_Toc10536" </w:instrText>
      </w:r>
      <w:r>
        <w:fldChar w:fldCharType="separate"/>
      </w:r>
      <w:r>
        <w:rPr>
          <w:rFonts w:hint="eastAsia"/>
        </w:rPr>
        <w:t>四、主要环境影响和保护措施</w:t>
      </w:r>
      <w:r>
        <w:tab/>
      </w:r>
      <w:r>
        <w:fldChar w:fldCharType="begin"/>
      </w:r>
      <w:r>
        <w:instrText xml:space="preserve"> PAGEREF _Toc10536 \h </w:instrText>
      </w:r>
      <w:r>
        <w:fldChar w:fldCharType="separate"/>
      </w:r>
      <w:r>
        <w:t>34</w:t>
      </w:r>
      <w:r>
        <w:fldChar w:fldCharType="end"/>
      </w:r>
      <w:r>
        <w:fldChar w:fldCharType="end"/>
      </w:r>
    </w:p>
    <w:p w14:paraId="508B620C">
      <w:pPr>
        <w:pStyle w:val="19"/>
        <w:tabs>
          <w:tab w:val="right" w:leader="dot" w:pos="8306"/>
        </w:tabs>
        <w:spacing w:line="360" w:lineRule="auto"/>
        <w:ind w:firstLine="420" w:firstLineChars="200"/>
      </w:pPr>
      <w:r>
        <w:fldChar w:fldCharType="begin"/>
      </w:r>
      <w:r>
        <w:instrText xml:space="preserve"> HYPERLINK \l "_Toc18471" </w:instrText>
      </w:r>
      <w:r>
        <w:fldChar w:fldCharType="separate"/>
      </w:r>
      <w:r>
        <w:rPr>
          <w:rFonts w:hint="eastAsia"/>
        </w:rPr>
        <w:t>五、环境保护措施监督检查清单</w:t>
      </w:r>
      <w:r>
        <w:tab/>
      </w:r>
      <w:r>
        <w:fldChar w:fldCharType="begin"/>
      </w:r>
      <w:r>
        <w:instrText xml:space="preserve"> PAGEREF _Toc18471 \h </w:instrText>
      </w:r>
      <w:r>
        <w:fldChar w:fldCharType="separate"/>
      </w:r>
      <w:r>
        <w:t>53</w:t>
      </w:r>
      <w:r>
        <w:fldChar w:fldCharType="end"/>
      </w:r>
      <w:r>
        <w:fldChar w:fldCharType="end"/>
      </w:r>
    </w:p>
    <w:p w14:paraId="54291B2B">
      <w:pPr>
        <w:pStyle w:val="19"/>
        <w:tabs>
          <w:tab w:val="right" w:leader="dot" w:pos="8306"/>
        </w:tabs>
        <w:spacing w:line="360" w:lineRule="auto"/>
        <w:ind w:firstLine="420" w:firstLineChars="200"/>
      </w:pPr>
      <w:r>
        <w:fldChar w:fldCharType="begin"/>
      </w:r>
      <w:r>
        <w:instrText xml:space="preserve"> HYPERLINK \l "_Toc4779" </w:instrText>
      </w:r>
      <w:r>
        <w:fldChar w:fldCharType="separate"/>
      </w:r>
      <w:r>
        <w:rPr>
          <w:rFonts w:hint="eastAsia"/>
        </w:rPr>
        <w:t>六、结论</w:t>
      </w:r>
      <w:r>
        <w:tab/>
      </w:r>
      <w:r>
        <w:fldChar w:fldCharType="begin"/>
      </w:r>
      <w:r>
        <w:instrText xml:space="preserve"> PAGEREF _Toc4779 \h </w:instrText>
      </w:r>
      <w:r>
        <w:fldChar w:fldCharType="separate"/>
      </w:r>
      <w:r>
        <w:t>55</w:t>
      </w:r>
      <w:r>
        <w:fldChar w:fldCharType="end"/>
      </w:r>
      <w:r>
        <w:fldChar w:fldCharType="end"/>
      </w:r>
    </w:p>
    <w:p w14:paraId="3AAF3695">
      <w:pPr>
        <w:spacing w:line="360" w:lineRule="auto"/>
        <w:ind w:firstLine="420" w:firstLineChars="200"/>
        <w:jc w:val="left"/>
      </w:pPr>
      <w:r>
        <w:fldChar w:fldCharType="end"/>
      </w:r>
    </w:p>
    <w:p w14:paraId="4AC416DD">
      <w:pPr>
        <w:spacing w:line="360" w:lineRule="auto"/>
        <w:ind w:firstLine="420" w:firstLineChars="200"/>
        <w:jc w:val="left"/>
      </w:pPr>
      <w:r>
        <w:rPr>
          <w:rFonts w:hint="eastAsia"/>
        </w:rPr>
        <w:t>附图</w:t>
      </w:r>
    </w:p>
    <w:p w14:paraId="14FF24D4">
      <w:pPr>
        <w:spacing w:line="360" w:lineRule="auto"/>
        <w:ind w:firstLine="420" w:firstLineChars="200"/>
        <w:jc w:val="left"/>
      </w:pPr>
      <w:r>
        <w:rPr>
          <w:rFonts w:hint="eastAsia"/>
        </w:rPr>
        <w:t>附图1  项目地理位置图</w:t>
      </w:r>
    </w:p>
    <w:p w14:paraId="4E14C0C8">
      <w:pPr>
        <w:spacing w:line="360" w:lineRule="auto"/>
        <w:ind w:firstLine="420" w:firstLineChars="200"/>
        <w:jc w:val="left"/>
      </w:pPr>
      <w:r>
        <w:rPr>
          <w:rFonts w:hint="eastAsia"/>
        </w:rPr>
        <w:t>附图2  项目平面布局图</w:t>
      </w:r>
    </w:p>
    <w:p w14:paraId="78E34E01">
      <w:pPr>
        <w:spacing w:line="360" w:lineRule="auto"/>
        <w:ind w:firstLine="420" w:firstLineChars="200"/>
        <w:jc w:val="left"/>
      </w:pPr>
      <w:r>
        <w:rPr>
          <w:rFonts w:hint="eastAsia"/>
        </w:rPr>
        <w:t>附图3  环境保护目标图</w:t>
      </w:r>
    </w:p>
    <w:p w14:paraId="3E9D1042">
      <w:pPr>
        <w:spacing w:line="360" w:lineRule="auto"/>
        <w:ind w:firstLine="420" w:firstLineChars="200"/>
        <w:jc w:val="left"/>
        <w:rPr>
          <w:rFonts w:hint="default" w:eastAsia="宋体"/>
          <w:lang w:val="en-US" w:eastAsia="zh-CN"/>
        </w:rPr>
      </w:pPr>
      <w:r>
        <w:rPr>
          <w:rFonts w:hint="eastAsia"/>
        </w:rPr>
        <w:t xml:space="preserve">附图4  </w:t>
      </w:r>
      <w:r>
        <w:rPr>
          <w:rFonts w:hint="eastAsia"/>
          <w:lang w:val="en-US" w:eastAsia="zh-CN"/>
        </w:rPr>
        <w:t>环境空气监测点位图</w:t>
      </w:r>
    </w:p>
    <w:p w14:paraId="5BF44A3E">
      <w:pPr>
        <w:spacing w:line="360" w:lineRule="auto"/>
        <w:ind w:firstLine="420" w:firstLineChars="200"/>
        <w:jc w:val="left"/>
      </w:pPr>
      <w:r>
        <w:rPr>
          <w:rFonts w:hint="eastAsia"/>
        </w:rPr>
        <w:t xml:space="preserve">附图5  </w:t>
      </w:r>
      <w:r>
        <w:rPr>
          <w:rFonts w:hint="eastAsia"/>
          <w:lang w:val="en-US" w:eastAsia="zh-CN"/>
        </w:rPr>
        <w:t>地表水</w:t>
      </w:r>
      <w:r>
        <w:rPr>
          <w:rFonts w:hint="eastAsia"/>
        </w:rPr>
        <w:t>监测</w:t>
      </w:r>
      <w:r>
        <w:rPr>
          <w:rFonts w:hint="eastAsia"/>
          <w:lang w:val="en-US" w:eastAsia="zh-CN"/>
        </w:rPr>
        <w:t>断面</w:t>
      </w:r>
      <w:r>
        <w:rPr>
          <w:rFonts w:hint="eastAsia"/>
        </w:rPr>
        <w:t>图</w:t>
      </w:r>
    </w:p>
    <w:p w14:paraId="3D632049">
      <w:pPr>
        <w:spacing w:line="360" w:lineRule="auto"/>
        <w:ind w:firstLine="420" w:firstLineChars="200"/>
        <w:jc w:val="left"/>
      </w:pPr>
      <w:r>
        <w:rPr>
          <w:rFonts w:hint="eastAsia"/>
        </w:rPr>
        <w:t>附图6  土地利用规划图</w:t>
      </w:r>
    </w:p>
    <w:p w14:paraId="265953C6">
      <w:pPr>
        <w:spacing w:line="360" w:lineRule="auto"/>
        <w:ind w:firstLine="420" w:firstLineChars="200"/>
        <w:jc w:val="left"/>
      </w:pPr>
      <w:r>
        <w:rPr>
          <w:rFonts w:hint="eastAsia"/>
        </w:rPr>
        <w:t>附图7  产业开发区污水规划图</w:t>
      </w:r>
    </w:p>
    <w:p w14:paraId="2104616F">
      <w:pPr>
        <w:spacing w:line="360" w:lineRule="auto"/>
        <w:ind w:firstLine="420" w:firstLineChars="200"/>
        <w:jc w:val="left"/>
      </w:pPr>
      <w:r>
        <w:rPr>
          <w:rFonts w:hint="eastAsia"/>
        </w:rPr>
        <w:t>附件</w:t>
      </w:r>
    </w:p>
    <w:p w14:paraId="6EB98559">
      <w:pPr>
        <w:spacing w:line="360" w:lineRule="auto"/>
        <w:ind w:firstLine="420" w:firstLineChars="200"/>
        <w:jc w:val="left"/>
      </w:pPr>
      <w:r>
        <w:rPr>
          <w:rFonts w:hint="eastAsia"/>
        </w:rPr>
        <w:t>附件1  发改委备案文件</w:t>
      </w:r>
    </w:p>
    <w:p w14:paraId="28E49512">
      <w:pPr>
        <w:spacing w:line="360" w:lineRule="auto"/>
        <w:ind w:firstLine="420" w:firstLineChars="200"/>
        <w:jc w:val="left"/>
      </w:pPr>
      <w:r>
        <w:rPr>
          <w:rFonts w:hint="eastAsia"/>
        </w:rPr>
        <w:t>附件2  营业执照</w:t>
      </w:r>
    </w:p>
    <w:p w14:paraId="5A62ECBA">
      <w:pPr>
        <w:spacing w:line="360" w:lineRule="auto"/>
        <w:ind w:firstLine="420" w:firstLineChars="200"/>
        <w:jc w:val="left"/>
      </w:pPr>
      <w:r>
        <w:rPr>
          <w:rFonts w:hint="eastAsia"/>
        </w:rPr>
        <w:t>附件3  环评委托书</w:t>
      </w:r>
    </w:p>
    <w:p w14:paraId="23ED30F1">
      <w:pPr>
        <w:spacing w:line="360" w:lineRule="auto"/>
        <w:ind w:firstLine="420" w:firstLineChars="200"/>
        <w:jc w:val="left"/>
        <w:rPr>
          <w:rFonts w:hint="default" w:eastAsia="宋体"/>
          <w:lang w:val="en-US" w:eastAsia="zh-CN"/>
        </w:rPr>
      </w:pPr>
      <w:r>
        <w:rPr>
          <w:rFonts w:hint="eastAsia"/>
        </w:rPr>
        <w:t xml:space="preserve">附件4  </w:t>
      </w:r>
      <w:r>
        <w:rPr>
          <w:rFonts w:hint="eastAsia"/>
          <w:lang w:val="en-US" w:eastAsia="zh-CN"/>
        </w:rPr>
        <w:t>经信委证明文件</w:t>
      </w:r>
    </w:p>
    <w:p w14:paraId="6F378B78">
      <w:pPr>
        <w:spacing w:line="360" w:lineRule="auto"/>
        <w:ind w:firstLine="420" w:firstLineChars="200"/>
        <w:jc w:val="left"/>
      </w:pPr>
      <w:r>
        <w:rPr>
          <w:rFonts w:hint="eastAsia"/>
        </w:rPr>
        <w:t>附件5  入园合同</w:t>
      </w:r>
    </w:p>
    <w:p w14:paraId="33B2AA7A">
      <w:pPr>
        <w:spacing w:line="360" w:lineRule="auto"/>
        <w:ind w:firstLine="420" w:firstLineChars="200"/>
        <w:jc w:val="left"/>
        <w:rPr>
          <w:rFonts w:hint="eastAsia"/>
        </w:rPr>
      </w:pPr>
      <w:r>
        <w:rPr>
          <w:rFonts w:hint="eastAsia"/>
        </w:rPr>
        <w:t>附件6  不动产证</w:t>
      </w:r>
    </w:p>
    <w:p w14:paraId="6A66FCF7">
      <w:pPr>
        <w:spacing w:line="360" w:lineRule="auto"/>
        <w:ind w:firstLine="420" w:firstLineChars="200"/>
        <w:jc w:val="left"/>
        <w:rPr>
          <w:rFonts w:hint="default" w:eastAsia="宋体"/>
          <w:highlight w:val="none"/>
          <w:lang w:val="en-US" w:eastAsia="zh-CN"/>
        </w:rPr>
      </w:pPr>
      <w:r>
        <w:rPr>
          <w:rFonts w:hint="eastAsia"/>
          <w:highlight w:val="none"/>
          <w:lang w:val="en-US" w:eastAsia="zh-CN"/>
        </w:rPr>
        <w:t>附件7  不予处罚文件</w:t>
      </w:r>
    </w:p>
    <w:p w14:paraId="6F59CB41">
      <w:pPr>
        <w:spacing w:line="360" w:lineRule="auto"/>
        <w:ind w:firstLine="420" w:firstLineChars="200"/>
        <w:jc w:val="left"/>
        <w:rPr>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7103FC63">
      <w:pPr>
        <w:pStyle w:val="4"/>
        <w:rPr>
          <w:rFonts w:hint="eastAsia"/>
        </w:rPr>
      </w:pPr>
      <w:bookmarkStart w:id="0" w:name="_Toc18254"/>
      <w:bookmarkStart w:id="1" w:name="_Toc22535"/>
      <w:r>
        <w:rPr>
          <w:rFonts w:hint="eastAsia"/>
        </w:rPr>
        <w:t>一、建设项目基本情况</w:t>
      </w:r>
    </w:p>
    <w:bookmarkEnd w:id="0"/>
    <w:bookmarkEnd w:id="1"/>
    <w:tbl>
      <w:tblPr>
        <w:tblStyle w:val="21"/>
        <w:tblW w:w="95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76"/>
        <w:gridCol w:w="2672"/>
        <w:gridCol w:w="1911"/>
        <w:gridCol w:w="3640"/>
      </w:tblGrid>
      <w:tr w14:paraId="5D5139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1376" w:type="dxa"/>
            <w:tcMar>
              <w:top w:w="16" w:type="dxa"/>
              <w:left w:w="16" w:type="dxa"/>
              <w:right w:w="16" w:type="dxa"/>
            </w:tcMar>
            <w:vAlign w:val="center"/>
          </w:tcPr>
          <w:p w14:paraId="017AED70">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建设项目名称</w:t>
            </w:r>
          </w:p>
        </w:tc>
        <w:tc>
          <w:tcPr>
            <w:tcW w:w="8223" w:type="dxa"/>
            <w:gridSpan w:val="3"/>
            <w:vAlign w:val="center"/>
          </w:tcPr>
          <w:p w14:paraId="715CCF68">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汽车零部件加工生产线项目</w:t>
            </w:r>
          </w:p>
        </w:tc>
      </w:tr>
      <w:tr w14:paraId="13F837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376" w:type="dxa"/>
            <w:tcMar>
              <w:top w:w="16" w:type="dxa"/>
              <w:left w:w="16" w:type="dxa"/>
              <w:right w:w="16" w:type="dxa"/>
            </w:tcMar>
            <w:vAlign w:val="center"/>
          </w:tcPr>
          <w:p w14:paraId="6A2A9531">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项目代码</w:t>
            </w:r>
          </w:p>
        </w:tc>
        <w:tc>
          <w:tcPr>
            <w:tcW w:w="8223" w:type="dxa"/>
            <w:gridSpan w:val="3"/>
            <w:vAlign w:val="center"/>
          </w:tcPr>
          <w:p w14:paraId="2A9523AA">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2109-431281-04-01-414087</w:t>
            </w:r>
          </w:p>
        </w:tc>
      </w:tr>
      <w:tr w14:paraId="725C96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376" w:type="dxa"/>
            <w:tcMar>
              <w:top w:w="16" w:type="dxa"/>
              <w:left w:w="16" w:type="dxa"/>
              <w:right w:w="16" w:type="dxa"/>
            </w:tcMar>
            <w:vAlign w:val="center"/>
          </w:tcPr>
          <w:p w14:paraId="5EA2A927">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建设单位联系人</w:t>
            </w:r>
          </w:p>
        </w:tc>
        <w:tc>
          <w:tcPr>
            <w:tcW w:w="2672" w:type="dxa"/>
            <w:vAlign w:val="center"/>
          </w:tcPr>
          <w:p w14:paraId="19A365E9">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金建雄</w:t>
            </w:r>
          </w:p>
        </w:tc>
        <w:tc>
          <w:tcPr>
            <w:tcW w:w="1911" w:type="dxa"/>
            <w:vAlign w:val="center"/>
          </w:tcPr>
          <w:p w14:paraId="1EFE6E85">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联系方式</w:t>
            </w:r>
          </w:p>
        </w:tc>
        <w:tc>
          <w:tcPr>
            <w:tcW w:w="3640" w:type="dxa"/>
            <w:vAlign w:val="center"/>
          </w:tcPr>
          <w:p w14:paraId="72DF75CD">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13765688018</w:t>
            </w:r>
          </w:p>
        </w:tc>
      </w:tr>
      <w:tr w14:paraId="6B4E99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376" w:type="dxa"/>
            <w:tcMar>
              <w:top w:w="16" w:type="dxa"/>
              <w:left w:w="16" w:type="dxa"/>
              <w:right w:w="16" w:type="dxa"/>
            </w:tcMar>
            <w:vAlign w:val="center"/>
          </w:tcPr>
          <w:p w14:paraId="74A9FF00">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建设地点</w:t>
            </w:r>
          </w:p>
        </w:tc>
        <w:tc>
          <w:tcPr>
            <w:tcW w:w="8223" w:type="dxa"/>
            <w:gridSpan w:val="3"/>
            <w:vAlign w:val="center"/>
          </w:tcPr>
          <w:p w14:paraId="1C43DB9C">
            <w:pPr>
              <w:jc w:val="center"/>
              <w:rPr>
                <w:rFonts w:hint="default" w:eastAsia="宋体"/>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洪江市高新区双溪产业片区四维集团</w:t>
            </w:r>
            <w:r>
              <w:rPr>
                <w:rFonts w:hint="eastAsia"/>
                <w:color w:val="000000" w:themeColor="text1"/>
                <w:sz w:val="24"/>
                <w:szCs w:val="24"/>
                <w:lang w:val="en-US" w:eastAsia="zh-CN"/>
                <w14:textFill>
                  <w14:solidFill>
                    <w14:schemeClr w14:val="tx1"/>
                  </w14:solidFill>
                </w14:textFill>
              </w:rPr>
              <w:t>西侧133米处</w:t>
            </w:r>
          </w:p>
        </w:tc>
      </w:tr>
      <w:tr w14:paraId="6203B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376" w:type="dxa"/>
            <w:tcMar>
              <w:top w:w="16" w:type="dxa"/>
              <w:left w:w="16" w:type="dxa"/>
              <w:right w:w="16" w:type="dxa"/>
            </w:tcMar>
            <w:vAlign w:val="center"/>
          </w:tcPr>
          <w:p w14:paraId="53D38A64">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地理坐标</w:t>
            </w:r>
          </w:p>
        </w:tc>
        <w:tc>
          <w:tcPr>
            <w:tcW w:w="8223" w:type="dxa"/>
            <w:gridSpan w:val="3"/>
            <w:vAlign w:val="center"/>
          </w:tcPr>
          <w:p w14:paraId="242E7F2F">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东经</w:t>
            </w:r>
            <w:r>
              <w:rPr>
                <w:color w:val="67757C"/>
                <w:sz w:val="24"/>
                <w:szCs w:val="24"/>
                <w:shd w:val="clear" w:color="auto" w:fill="E9ECEF"/>
              </w:rPr>
              <mc:AlternateContent>
                <mc:Choice Requires="wps">
                  <w:drawing>
                    <wp:inline distT="0" distB="0" distL="114300" distR="114300">
                      <wp:extent cx="635" cy="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U5CpzgAAAP8AAAAPAAAAAAAAAAEAIAAAACIAAABkcnMvZG93bnJldi54bWxQSwEC&#10;FAAUAAAACACHTuJAJVlVbv4BAAAYBAAADgAAAAAAAAABACAAAAAdAQAAZHJzL2Uyb0RvYy54bWxQ&#10;SwUGAAAAAAYABgBZAQAAjQUAAAAA&#10;">
                      <v:fill on="f" focussize="0,0"/>
                      <v:stroke color="#000000" joinstyle="miter"/>
                      <v:imagedata o:title=""/>
                      <o:lock v:ext="edit" aspectratio="t"/>
                      <w10:wrap type="none"/>
                      <w10:anchorlock/>
                    </v:rect>
                  </w:pict>
                </mc:Fallback>
              </mc:AlternateContent>
            </w:r>
            <w:r>
              <w:rPr>
                <w:color w:val="67757C"/>
                <w:sz w:val="24"/>
                <w:szCs w:val="24"/>
                <w:shd w:val="clear" w:color="auto" w:fill="E9ECEF"/>
              </w:rPr>
              <mc:AlternateContent>
                <mc:Choice Requires="wps">
                  <w:drawing>
                    <wp:inline distT="0" distB="0" distL="114300" distR="114300">
                      <wp:extent cx="635" cy="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OQqc4AAAD/AAAADwAAAAAAAAABACAAAAAiAAAAZHJzL2Rvd25yZXYueG1sUEsB&#10;AhQAFAAAAAgAh07iQK6fEgH/AQAAGAQAAA4AAAAAAAAAAQAgAAAAHQEAAGRycy9lMm9Eb2MueG1s&#10;UEsFBgAAAAAGAAYAWQEAAI4FAAAAAA==&#10;">
                      <v:fill on="f" focussize="0,0"/>
                      <v:stroke color="#000000" joinstyle="miter"/>
                      <v:imagedata o:title=""/>
                      <o:lock v:ext="edit" aspectratio="t"/>
                      <w10:wrap type="none"/>
                      <w10:anchorlock/>
                    </v:rect>
                  </w:pict>
                </mc:Fallback>
              </mc:AlternateContent>
            </w:r>
            <w:r>
              <w:rPr>
                <w:color w:val="000000" w:themeColor="text1"/>
                <w:sz w:val="24"/>
                <w:szCs w:val="24"/>
                <w14:textFill>
                  <w14:solidFill>
                    <w14:schemeClr w14:val="tx1"/>
                  </w14:solidFill>
                </w14:textFill>
              </w:rPr>
              <w:t>109°5</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59.92</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北纬27°15′</w:t>
            </w:r>
            <w:r>
              <w:rPr>
                <w:rFonts w:hint="eastAsia"/>
                <w:color w:val="000000" w:themeColor="text1"/>
                <w:sz w:val="24"/>
                <w:szCs w:val="24"/>
                <w14:textFill>
                  <w14:solidFill>
                    <w14:schemeClr w14:val="tx1"/>
                  </w14:solidFill>
                </w14:textFill>
              </w:rPr>
              <w:t>25.45</w:t>
            </w:r>
            <w:r>
              <w:rPr>
                <w:color w:val="000000" w:themeColor="text1"/>
                <w:sz w:val="24"/>
                <w:szCs w:val="24"/>
                <w14:textFill>
                  <w14:solidFill>
                    <w14:schemeClr w14:val="tx1"/>
                  </w14:solidFill>
                </w14:textFill>
              </w:rPr>
              <w:t>″</w:t>
            </w:r>
          </w:p>
        </w:tc>
      </w:tr>
      <w:tr w14:paraId="799E3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376" w:type="dxa"/>
            <w:tcMar>
              <w:top w:w="16" w:type="dxa"/>
              <w:left w:w="16" w:type="dxa"/>
              <w:right w:w="16" w:type="dxa"/>
            </w:tcMar>
            <w:vAlign w:val="center"/>
          </w:tcPr>
          <w:p w14:paraId="158F4C44">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国民经济</w:t>
            </w:r>
          </w:p>
          <w:p w14:paraId="4609A59D">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行业类别</w:t>
            </w:r>
          </w:p>
        </w:tc>
        <w:tc>
          <w:tcPr>
            <w:tcW w:w="2672" w:type="dxa"/>
            <w:vAlign w:val="center"/>
          </w:tcPr>
          <w:p w14:paraId="699E1F92">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C3391黑色金属铸造</w:t>
            </w:r>
          </w:p>
        </w:tc>
        <w:tc>
          <w:tcPr>
            <w:tcW w:w="1911" w:type="dxa"/>
            <w:vAlign w:val="center"/>
          </w:tcPr>
          <w:p w14:paraId="0BACFB63">
            <w:pPr>
              <w:adjustRightInd w:val="0"/>
              <w:snapToGrid w:val="0"/>
              <w:jc w:val="center"/>
              <w:rPr>
                <w:color w:val="000000" w:themeColor="text1"/>
                <w:sz w:val="24"/>
                <w:szCs w:val="24"/>
                <w14:textFill>
                  <w14:solidFill>
                    <w14:schemeClr w14:val="tx1"/>
                  </w14:solidFill>
                </w14:textFill>
              </w:rPr>
            </w:pPr>
            <w:bookmarkStart w:id="2" w:name="_Hlk49843745"/>
            <w:r>
              <w:rPr>
                <w:color w:val="000000" w:themeColor="text1"/>
                <w:sz w:val="24"/>
                <w:szCs w:val="24"/>
                <w14:textFill>
                  <w14:solidFill>
                    <w14:schemeClr w14:val="tx1"/>
                  </w14:solidFill>
                </w14:textFill>
              </w:rPr>
              <w:t>建设项目</w:t>
            </w:r>
          </w:p>
          <w:p w14:paraId="04D7FC3E">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行业类别</w:t>
            </w:r>
            <w:bookmarkEnd w:id="2"/>
          </w:p>
        </w:tc>
        <w:tc>
          <w:tcPr>
            <w:tcW w:w="3640" w:type="dxa"/>
            <w:vAlign w:val="center"/>
          </w:tcPr>
          <w:p w14:paraId="4CEA677E">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三十、金属制品业3368铸造</w:t>
            </w:r>
          </w:p>
          <w:p w14:paraId="1AAA2E48">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及其他金属制品制造339、</w:t>
            </w:r>
          </w:p>
        </w:tc>
      </w:tr>
      <w:tr w14:paraId="154D27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58" w:hRule="atLeast"/>
          <w:jc w:val="center"/>
        </w:trPr>
        <w:tc>
          <w:tcPr>
            <w:tcW w:w="1376" w:type="dxa"/>
            <w:tcMar>
              <w:top w:w="16" w:type="dxa"/>
              <w:left w:w="16" w:type="dxa"/>
              <w:right w:w="16" w:type="dxa"/>
            </w:tcMar>
            <w:vAlign w:val="center"/>
          </w:tcPr>
          <w:p w14:paraId="51208A4D">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建设性质</w:t>
            </w:r>
          </w:p>
        </w:tc>
        <w:tc>
          <w:tcPr>
            <w:tcW w:w="2672" w:type="dxa"/>
            <w:vAlign w:val="center"/>
          </w:tcPr>
          <w:p w14:paraId="06E6F0E5">
            <w:pPr>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sym w:font="Wingdings 2" w:char="0052"/>
            </w:r>
            <w:r>
              <w:rPr>
                <w:color w:val="000000" w:themeColor="text1"/>
                <w:sz w:val="24"/>
                <w:szCs w:val="24"/>
                <w14:textFill>
                  <w14:solidFill>
                    <w14:schemeClr w14:val="tx1"/>
                  </w14:solidFill>
                </w14:textFill>
              </w:rPr>
              <w:t>新建（迁建）</w:t>
            </w:r>
          </w:p>
          <w:p w14:paraId="520DCEB4">
            <w:pPr>
              <w:jc w:val="left"/>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改建</w:t>
            </w:r>
          </w:p>
          <w:p w14:paraId="7DBDBCEF">
            <w:pPr>
              <w:jc w:val="left"/>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扩建</w:t>
            </w:r>
          </w:p>
          <w:p w14:paraId="63A545FB">
            <w:pPr>
              <w:jc w:val="left"/>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技术改造</w:t>
            </w:r>
          </w:p>
        </w:tc>
        <w:tc>
          <w:tcPr>
            <w:tcW w:w="1911" w:type="dxa"/>
            <w:vAlign w:val="center"/>
          </w:tcPr>
          <w:p w14:paraId="5EA166A4">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建设项目</w:t>
            </w:r>
          </w:p>
          <w:p w14:paraId="63765A46">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申报情形</w:t>
            </w:r>
          </w:p>
        </w:tc>
        <w:tc>
          <w:tcPr>
            <w:tcW w:w="3640" w:type="dxa"/>
            <w:vAlign w:val="center"/>
          </w:tcPr>
          <w:p w14:paraId="33612FA8">
            <w:pPr>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☑首次申报项目</w:t>
            </w:r>
          </w:p>
          <w:p w14:paraId="08203523">
            <w:pPr>
              <w:jc w:val="left"/>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不予批准后再次申报项目</w:t>
            </w:r>
          </w:p>
          <w:p w14:paraId="71404979">
            <w:pPr>
              <w:jc w:val="left"/>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超五年重新审核项目</w:t>
            </w:r>
          </w:p>
          <w:p w14:paraId="50F66B0C">
            <w:pPr>
              <w:jc w:val="left"/>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重大变动重新报批项目</w:t>
            </w:r>
          </w:p>
        </w:tc>
      </w:tr>
      <w:tr w14:paraId="0E0485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1376" w:type="dxa"/>
            <w:tcMar>
              <w:top w:w="16" w:type="dxa"/>
              <w:left w:w="16" w:type="dxa"/>
              <w:right w:w="16" w:type="dxa"/>
            </w:tcMar>
            <w:vAlign w:val="center"/>
          </w:tcPr>
          <w:p w14:paraId="5550C8C4">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项目审批（核准/</w:t>
            </w:r>
          </w:p>
          <w:p w14:paraId="6B80CD6D">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备案）部门（选填）</w:t>
            </w:r>
          </w:p>
        </w:tc>
        <w:tc>
          <w:tcPr>
            <w:tcW w:w="2672" w:type="dxa"/>
            <w:vAlign w:val="center"/>
          </w:tcPr>
          <w:p w14:paraId="08BE4861">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洪江市发展和改革局</w:t>
            </w:r>
          </w:p>
        </w:tc>
        <w:tc>
          <w:tcPr>
            <w:tcW w:w="1911" w:type="dxa"/>
            <w:vAlign w:val="center"/>
          </w:tcPr>
          <w:p w14:paraId="110B4FB8">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项目审批（核准/</w:t>
            </w:r>
          </w:p>
          <w:p w14:paraId="43496E56">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备案）文号（选填）</w:t>
            </w:r>
          </w:p>
        </w:tc>
        <w:tc>
          <w:tcPr>
            <w:tcW w:w="3640" w:type="dxa"/>
            <w:vAlign w:val="center"/>
          </w:tcPr>
          <w:p w14:paraId="0BB2FFC7">
            <w:pPr>
              <w:adjustRightInd w:val="0"/>
              <w:snapToGrid w:val="0"/>
              <w:jc w:val="center"/>
              <w:rPr>
                <w:rFonts w:eastAsia="微软雅黑"/>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20211001</w:t>
            </w:r>
          </w:p>
        </w:tc>
      </w:tr>
      <w:tr w14:paraId="0C41A0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376" w:type="dxa"/>
            <w:tcMar>
              <w:top w:w="16" w:type="dxa"/>
              <w:left w:w="16" w:type="dxa"/>
              <w:right w:w="16" w:type="dxa"/>
            </w:tcMar>
            <w:vAlign w:val="center"/>
          </w:tcPr>
          <w:p w14:paraId="120B2810">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总投资（万元）</w:t>
            </w:r>
          </w:p>
        </w:tc>
        <w:tc>
          <w:tcPr>
            <w:tcW w:w="2672" w:type="dxa"/>
            <w:vAlign w:val="center"/>
          </w:tcPr>
          <w:p w14:paraId="2C1DBADF">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5000</w:t>
            </w:r>
          </w:p>
        </w:tc>
        <w:tc>
          <w:tcPr>
            <w:tcW w:w="1911" w:type="dxa"/>
            <w:tcMar>
              <w:top w:w="16" w:type="dxa"/>
              <w:left w:w="16" w:type="dxa"/>
              <w:right w:w="16" w:type="dxa"/>
            </w:tcMar>
            <w:vAlign w:val="center"/>
          </w:tcPr>
          <w:p w14:paraId="1836A784">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环保投资（万元）</w:t>
            </w:r>
          </w:p>
        </w:tc>
        <w:tc>
          <w:tcPr>
            <w:tcW w:w="3640" w:type="dxa"/>
            <w:vAlign w:val="center"/>
          </w:tcPr>
          <w:p w14:paraId="6CF31AB2">
            <w:pPr>
              <w:adjustRightInd w:val="0"/>
              <w:snapToGrid w:val="0"/>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81</w:t>
            </w:r>
          </w:p>
        </w:tc>
      </w:tr>
      <w:tr w14:paraId="1550DB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376" w:type="dxa"/>
            <w:tcMar>
              <w:top w:w="16" w:type="dxa"/>
              <w:left w:w="16" w:type="dxa"/>
              <w:right w:w="16" w:type="dxa"/>
            </w:tcMar>
            <w:vAlign w:val="center"/>
          </w:tcPr>
          <w:p w14:paraId="3C569FD5">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环保投资占比（%）</w:t>
            </w:r>
          </w:p>
        </w:tc>
        <w:tc>
          <w:tcPr>
            <w:tcW w:w="2672" w:type="dxa"/>
            <w:vAlign w:val="center"/>
          </w:tcPr>
          <w:p w14:paraId="668C3388">
            <w:pPr>
              <w:adjustRightInd w:val="0"/>
              <w:snapToGrid w:val="0"/>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1.62</w:t>
            </w:r>
          </w:p>
        </w:tc>
        <w:tc>
          <w:tcPr>
            <w:tcW w:w="1911" w:type="dxa"/>
            <w:tcMar>
              <w:top w:w="16" w:type="dxa"/>
              <w:left w:w="16" w:type="dxa"/>
              <w:right w:w="16" w:type="dxa"/>
            </w:tcMar>
            <w:vAlign w:val="center"/>
          </w:tcPr>
          <w:p w14:paraId="4CCEA081">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施工工期</w:t>
            </w:r>
          </w:p>
        </w:tc>
        <w:tc>
          <w:tcPr>
            <w:tcW w:w="3640" w:type="dxa"/>
            <w:vAlign w:val="center"/>
          </w:tcPr>
          <w:p w14:paraId="0D2E5D88">
            <w:pPr>
              <w:adjustRightInd w:val="0"/>
              <w:snapToGrid w:val="0"/>
              <w:jc w:val="center"/>
              <w:rPr>
                <w:color w:val="000000" w:themeColor="text1"/>
                <w:sz w:val="24"/>
                <w:szCs w:val="24"/>
                <w14:textFill>
                  <w14:solidFill>
                    <w14:schemeClr w14:val="tx1"/>
                  </w14:solidFill>
                </w14:textFill>
              </w:rPr>
            </w:pPr>
            <w:r>
              <w:rPr>
                <w:rFonts w:hint="eastAsia"/>
                <w:sz w:val="24"/>
                <w:szCs w:val="24"/>
                <w:lang w:val="en-US" w:eastAsia="zh-CN"/>
              </w:rPr>
              <w:t>3</w:t>
            </w:r>
            <w:r>
              <w:rPr>
                <w:rFonts w:hint="eastAsia"/>
                <w:sz w:val="24"/>
                <w:szCs w:val="24"/>
              </w:rPr>
              <w:t>个月</w:t>
            </w:r>
          </w:p>
        </w:tc>
      </w:tr>
      <w:tr w14:paraId="5D552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376" w:type="dxa"/>
            <w:tcMar>
              <w:top w:w="16" w:type="dxa"/>
              <w:left w:w="16" w:type="dxa"/>
              <w:right w:w="16" w:type="dxa"/>
            </w:tcMar>
            <w:vAlign w:val="center"/>
          </w:tcPr>
          <w:p w14:paraId="4B107BF2">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是否开工建设</w:t>
            </w:r>
          </w:p>
        </w:tc>
        <w:tc>
          <w:tcPr>
            <w:tcW w:w="2672" w:type="dxa"/>
            <w:vAlign w:val="center"/>
          </w:tcPr>
          <w:p w14:paraId="11356103">
            <w:pPr>
              <w:adjustRightInd w:val="0"/>
              <w:snapToGri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sym w:font="Wingdings 2" w:char="00A3"/>
            </w:r>
            <w:r>
              <w:rPr>
                <w:color w:val="000000" w:themeColor="text1"/>
                <w:sz w:val="24"/>
                <w:szCs w:val="24"/>
                <w14:textFill>
                  <w14:solidFill>
                    <w14:schemeClr w14:val="tx1"/>
                  </w14:solidFill>
                </w14:textFill>
              </w:rPr>
              <w:t>否</w:t>
            </w:r>
          </w:p>
          <w:p w14:paraId="58F2D2BE">
            <w:pPr>
              <w:adjustRightInd w:val="0"/>
              <w:snapToGri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sym w:font="Wingdings 2" w:char="0052"/>
            </w:r>
            <w:r>
              <w:rPr>
                <w:color w:val="000000" w:themeColor="text1"/>
                <w:sz w:val="24"/>
                <w:szCs w:val="24"/>
                <w14:textFill>
                  <w14:solidFill>
                    <w14:schemeClr w14:val="tx1"/>
                  </w14:solidFill>
                </w14:textFill>
              </w:rPr>
              <w:t>是：</w:t>
            </w:r>
            <w:r>
              <w:rPr>
                <w:rFonts w:hint="eastAsia"/>
                <w:color w:val="000000" w:themeColor="text1"/>
                <w:sz w:val="24"/>
                <w:szCs w:val="24"/>
                <w14:textFill>
                  <w14:solidFill>
                    <w14:schemeClr w14:val="tx1"/>
                  </w14:solidFill>
                </w14:textFill>
              </w:rPr>
              <w:t>已建成，未投产</w:t>
            </w:r>
          </w:p>
        </w:tc>
        <w:tc>
          <w:tcPr>
            <w:tcW w:w="1911" w:type="dxa"/>
            <w:tcMar>
              <w:top w:w="16" w:type="dxa"/>
              <w:left w:w="16" w:type="dxa"/>
              <w:right w:w="16" w:type="dxa"/>
            </w:tcMar>
            <w:vAlign w:val="center"/>
          </w:tcPr>
          <w:p w14:paraId="69D77611">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用地面积</w:t>
            </w:r>
            <w:r>
              <w:rPr>
                <w:color w:val="000000" w:themeColor="text1"/>
                <w:spacing w:val="-6"/>
                <w:szCs w:val="21"/>
                <w14:textFill>
                  <w14:solidFill>
                    <w14:schemeClr w14:val="tx1"/>
                  </w14:solidFill>
                </w14:textFill>
              </w:rPr>
              <w:t>（m</w:t>
            </w:r>
            <w:r>
              <w:rPr>
                <w:color w:val="000000" w:themeColor="text1"/>
                <w:spacing w:val="-6"/>
                <w:szCs w:val="21"/>
                <w:vertAlign w:val="superscript"/>
                <w14:textFill>
                  <w14:solidFill>
                    <w14:schemeClr w14:val="tx1"/>
                  </w14:solidFill>
                </w14:textFill>
              </w:rPr>
              <w:t>2</w:t>
            </w:r>
            <w:r>
              <w:rPr>
                <w:color w:val="000000" w:themeColor="text1"/>
                <w:spacing w:val="-6"/>
                <w:szCs w:val="21"/>
                <w14:textFill>
                  <w14:solidFill>
                    <w14:schemeClr w14:val="tx1"/>
                  </w14:solidFill>
                </w14:textFill>
              </w:rPr>
              <w:t>）</w:t>
            </w:r>
          </w:p>
        </w:tc>
        <w:tc>
          <w:tcPr>
            <w:tcW w:w="3640" w:type="dxa"/>
            <w:vAlign w:val="center"/>
          </w:tcPr>
          <w:p w14:paraId="61DE2B77">
            <w:pPr>
              <w:adjustRightInd w:val="0"/>
              <w:snapToGrid w:val="0"/>
              <w:jc w:val="center"/>
              <w:rPr>
                <w:rFonts w:hint="default" w:eastAsia="宋体"/>
                <w:color w:val="000000" w:themeColor="text1"/>
                <w:sz w:val="24"/>
                <w:szCs w:val="24"/>
                <w:lang w:val="en-US" w:eastAsia="zh-CN"/>
                <w14:textFill>
                  <w14:solidFill>
                    <w14:schemeClr w14:val="tx1"/>
                  </w14:solidFill>
                </w14:textFill>
              </w:rPr>
            </w:pPr>
            <w:r>
              <w:rPr>
                <w:rFonts w:hint="eastAsia"/>
                <w:color w:val="auto"/>
                <w:sz w:val="24"/>
                <w:szCs w:val="24"/>
                <w:highlight w:val="none"/>
                <w:lang w:val="en-US" w:eastAsia="zh-CN"/>
              </w:rPr>
              <w:t>7931.56</w:t>
            </w:r>
          </w:p>
        </w:tc>
      </w:tr>
      <w:tr w14:paraId="3E7534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76" w:type="dxa"/>
            <w:vAlign w:val="center"/>
          </w:tcPr>
          <w:p w14:paraId="32B546CF">
            <w:pPr>
              <w:autoSpaceDE w:val="0"/>
              <w:autoSpaceDN w:val="0"/>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专项评价设置情况</w:t>
            </w:r>
          </w:p>
        </w:tc>
        <w:tc>
          <w:tcPr>
            <w:tcW w:w="8223" w:type="dxa"/>
            <w:gridSpan w:val="3"/>
            <w:vAlign w:val="center"/>
          </w:tcPr>
          <w:p w14:paraId="3BD76148">
            <w:pPr>
              <w:autoSpaceDE w:val="0"/>
              <w:autoSpaceDN w:val="0"/>
              <w:adjustRightInd w:val="0"/>
              <w:snapToGrid w:val="0"/>
              <w:jc w:val="center"/>
              <w:rPr>
                <w:rFonts w:hint="eastAsia"/>
                <w:color w:val="000000" w:themeColor="text1"/>
                <w:kern w:val="0"/>
                <w:sz w:val="24"/>
                <w:szCs w:val="24"/>
                <w:highlight w:val="red"/>
                <w14:textFill>
                  <w14:solidFill>
                    <w14:schemeClr w14:val="tx1"/>
                  </w14:solidFill>
                </w14:textFill>
              </w:rPr>
            </w:pPr>
            <w:r>
              <w:rPr>
                <w:rFonts w:hint="eastAsia"/>
                <w:color w:val="000000" w:themeColor="text1"/>
                <w:kern w:val="0"/>
                <w:sz w:val="24"/>
                <w:szCs w:val="24"/>
                <w14:textFill>
                  <w14:solidFill>
                    <w14:schemeClr w14:val="tx1"/>
                  </w14:solidFill>
                </w14:textFill>
              </w:rPr>
              <w:t>无需设置</w:t>
            </w:r>
          </w:p>
        </w:tc>
      </w:tr>
      <w:tr w14:paraId="24B339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76" w:type="dxa"/>
            <w:vAlign w:val="center"/>
          </w:tcPr>
          <w:p w14:paraId="08F87CB6">
            <w:pPr>
              <w:autoSpaceDE w:val="0"/>
              <w:autoSpaceDN w:val="0"/>
              <w:adjustRightInd w:val="0"/>
              <w:snapToGrid w:val="0"/>
              <w:jc w:val="center"/>
              <w:rPr>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规划情况</w:t>
            </w:r>
          </w:p>
        </w:tc>
        <w:tc>
          <w:tcPr>
            <w:tcW w:w="8223" w:type="dxa"/>
            <w:gridSpan w:val="3"/>
            <w:vAlign w:val="center"/>
          </w:tcPr>
          <w:p w14:paraId="3854A43D">
            <w:pPr>
              <w:autoSpaceDE w:val="0"/>
              <w:autoSpaceDN w:val="0"/>
              <w:adjustRightInd w:val="0"/>
              <w:snapToGrid w:val="0"/>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规划文件名称：《洪江市工业集中区发展规划（2011～2020）》</w:t>
            </w:r>
            <w:r>
              <w:rPr>
                <w:rFonts w:hint="eastAsia"/>
                <w:color w:val="000000" w:themeColor="text1"/>
                <w:sz w:val="24"/>
                <w:szCs w:val="24"/>
                <w14:textFill>
                  <w14:solidFill>
                    <w14:schemeClr w14:val="tx1"/>
                  </w14:solidFill>
                </w14:textFill>
              </w:rPr>
              <w:t>（2012.10）</w:t>
            </w:r>
            <w:r>
              <w:rPr>
                <w:color w:val="000000" w:themeColor="text1"/>
                <w:sz w:val="24"/>
                <w:szCs w:val="24"/>
                <w14:textFill>
                  <w14:solidFill>
                    <w14:schemeClr w14:val="tx1"/>
                  </w14:solidFill>
                </w14:textFill>
              </w:rPr>
              <w:t>审查机关：湖南省</w:t>
            </w:r>
            <w:r>
              <w:rPr>
                <w:rFonts w:hint="eastAsia"/>
                <w:color w:val="000000" w:themeColor="text1"/>
                <w:sz w:val="24"/>
                <w:szCs w:val="24"/>
                <w14:textFill>
                  <w14:solidFill>
                    <w14:schemeClr w14:val="tx1"/>
                  </w14:solidFill>
                </w14:textFill>
              </w:rPr>
              <w:t>发展和改革委员会</w:t>
            </w:r>
          </w:p>
          <w:p w14:paraId="01F43EF6">
            <w:pPr>
              <w:autoSpaceDE w:val="0"/>
              <w:autoSpaceDN w:val="0"/>
              <w:adjustRightInd w:val="0"/>
              <w:snapToGrid w:val="0"/>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审批文件名称及文号</w:t>
            </w:r>
            <w:r>
              <w:rPr>
                <w:rFonts w:hint="eastAsia"/>
                <w:color w:val="000000" w:themeColor="text1"/>
                <w:sz w:val="24"/>
                <w:szCs w:val="24"/>
                <w14:textFill>
                  <w14:solidFill>
                    <w14:schemeClr w14:val="tx1"/>
                  </w14:solidFill>
                </w14:textFill>
              </w:rPr>
              <w:t>：《湖南省发展和改革委员会</w:t>
            </w:r>
            <w:r>
              <w:rPr>
                <w:color w:val="000000" w:themeColor="text1"/>
                <w:sz w:val="24"/>
                <w:szCs w:val="24"/>
                <w14:textFill>
                  <w14:solidFill>
                    <w14:schemeClr w14:val="tx1"/>
                  </w14:solidFill>
                </w14:textFill>
              </w:rPr>
              <w:t>&lt;</w:t>
            </w:r>
            <w:r>
              <w:rPr>
                <w:rFonts w:hint="eastAsia"/>
                <w:color w:val="000000" w:themeColor="text1"/>
                <w:sz w:val="24"/>
                <w:szCs w:val="24"/>
                <w14:textFill>
                  <w14:solidFill>
                    <w14:schemeClr w14:val="tx1"/>
                  </w14:solidFill>
                </w14:textFill>
              </w:rPr>
              <w:t>关于洪江市工业集中区发展规划（2011~2020）的批复</w:t>
            </w:r>
            <w:r>
              <w:rPr>
                <w:color w:val="000000" w:themeColor="text1"/>
                <w:sz w:val="24"/>
                <w:szCs w:val="24"/>
                <w14:textFill>
                  <w14:solidFill>
                    <w14:schemeClr w14:val="tx1"/>
                  </w14:solidFill>
                </w14:textFill>
              </w:rPr>
              <w:t>&gt;</w:t>
            </w:r>
            <w:r>
              <w:rPr>
                <w:rFonts w:hint="eastAsia"/>
                <w:color w:val="000000" w:themeColor="text1"/>
                <w:sz w:val="24"/>
                <w:szCs w:val="24"/>
                <w14:textFill>
                  <w14:solidFill>
                    <w14:schemeClr w14:val="tx1"/>
                  </w14:solidFill>
                </w14:textFill>
              </w:rPr>
              <w:t>》（湘发改地区[2012]2046号）</w:t>
            </w:r>
          </w:p>
        </w:tc>
      </w:tr>
      <w:tr w14:paraId="6C647A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6" w:type="dxa"/>
            <w:vAlign w:val="center"/>
          </w:tcPr>
          <w:p w14:paraId="34DA0D2E">
            <w:pPr>
              <w:adjustRightInd w:val="0"/>
              <w:snapToGrid w:val="0"/>
              <w:jc w:val="center"/>
              <w:rPr>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规划环境影响评价情况</w:t>
            </w:r>
          </w:p>
        </w:tc>
        <w:tc>
          <w:tcPr>
            <w:tcW w:w="8223" w:type="dxa"/>
            <w:gridSpan w:val="3"/>
            <w:vAlign w:val="center"/>
          </w:tcPr>
          <w:p w14:paraId="555975DF">
            <w:pPr>
              <w:autoSpaceDE w:val="0"/>
              <w:autoSpaceDN w:val="0"/>
              <w:adjustRightInd w:val="0"/>
              <w:snapToGrid w:val="0"/>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规划环境影响评价文件名称：</w:t>
            </w:r>
          </w:p>
          <w:p w14:paraId="0AE1CF3C">
            <w:pPr>
              <w:autoSpaceDE w:val="0"/>
              <w:autoSpaceDN w:val="0"/>
              <w:adjustRightInd w:val="0"/>
              <w:snapToGrid w:val="0"/>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1、《洪江市工业集中区项目环境影响报告书》；</w:t>
            </w:r>
          </w:p>
          <w:p w14:paraId="7076C9DE">
            <w:pPr>
              <w:autoSpaceDE w:val="0"/>
              <w:autoSpaceDN w:val="0"/>
              <w:adjustRightInd w:val="0"/>
              <w:snapToGrid w:val="0"/>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2、《洪江市工业集中区环境影响跟踪评价报告书》。</w:t>
            </w:r>
          </w:p>
          <w:p w14:paraId="1FE252C0">
            <w:pPr>
              <w:autoSpaceDE w:val="0"/>
              <w:autoSpaceDN w:val="0"/>
              <w:adjustRightInd w:val="0"/>
              <w:snapToGrid w:val="0"/>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审查机关：湖南省生态环境厅。</w:t>
            </w:r>
          </w:p>
          <w:p w14:paraId="221EC654">
            <w:pPr>
              <w:autoSpaceDE w:val="0"/>
              <w:autoSpaceDN w:val="0"/>
              <w:adjustRightInd w:val="0"/>
              <w:snapToGrid w:val="0"/>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审查文件名称及文号：</w:t>
            </w:r>
          </w:p>
          <w:p w14:paraId="3588F49D">
            <w:pPr>
              <w:autoSpaceDE w:val="0"/>
              <w:autoSpaceDN w:val="0"/>
              <w:adjustRightInd w:val="0"/>
              <w:snapToGrid w:val="0"/>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1、《湖南省生态环境厅&lt;关于洪江市工业集中区项目环境影响报告书的批复&gt;》（湘环评[2013]115 号）</w:t>
            </w:r>
          </w:p>
          <w:p w14:paraId="02233032">
            <w:pPr>
              <w:autoSpaceDE w:val="0"/>
              <w:autoSpaceDN w:val="0"/>
              <w:adjustRightInd w:val="0"/>
              <w:snapToGrid w:val="0"/>
              <w:spacing w:line="360" w:lineRule="auto"/>
              <w:rPr>
                <w:color w:val="000000" w:themeColor="text1"/>
                <w:kern w:val="0"/>
                <w:sz w:val="24"/>
                <w:szCs w:val="24"/>
                <w:highlight w:val="red"/>
                <w14:textFill>
                  <w14:solidFill>
                    <w14:schemeClr w14:val="tx1"/>
                  </w14:solidFill>
                </w14:textFill>
              </w:rPr>
            </w:pPr>
            <w:r>
              <w:rPr>
                <w:color w:val="000000" w:themeColor="text1"/>
                <w:sz w:val="24"/>
                <w:szCs w:val="24"/>
                <w14:textFill>
                  <w14:solidFill>
                    <w14:schemeClr w14:val="tx1"/>
                  </w14:solidFill>
                </w14:textFill>
              </w:rPr>
              <w:t>2、《湖南省生态环境厅&lt;关于洪江市工业集中区环境影响跟踪评价工作意见的函&gt;》（湘环评函[2020]39号）。</w:t>
            </w:r>
          </w:p>
        </w:tc>
      </w:tr>
      <w:tr w14:paraId="370057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6" w:type="dxa"/>
            <w:vAlign w:val="center"/>
          </w:tcPr>
          <w:p w14:paraId="791A8BFD">
            <w:pPr>
              <w:autoSpaceDE w:val="0"/>
              <w:autoSpaceDN w:val="0"/>
              <w:adjustRightInd w:val="0"/>
              <w:snapToGrid w:val="0"/>
              <w:jc w:val="center"/>
              <w:rPr>
                <w:color w:val="000000" w:themeColor="text1"/>
                <w:sz w:val="24"/>
                <w:szCs w:val="24"/>
                <w14:textFill>
                  <w14:solidFill>
                    <w14:schemeClr w14:val="tx1"/>
                  </w14:solidFill>
                </w14:textFill>
              </w:rPr>
            </w:pPr>
            <w:r>
              <w:rPr>
                <w:color w:val="000000" w:themeColor="text1"/>
                <w:kern w:val="0"/>
                <w:sz w:val="24"/>
                <w:szCs w:val="24"/>
                <w14:textFill>
                  <w14:solidFill>
                    <w14:schemeClr w14:val="tx1"/>
                  </w14:solidFill>
                </w14:textFill>
              </w:rPr>
              <w:t>规划及规划环境影响评价符合性分析</w:t>
            </w:r>
          </w:p>
        </w:tc>
        <w:tc>
          <w:tcPr>
            <w:tcW w:w="8223" w:type="dxa"/>
            <w:gridSpan w:val="3"/>
            <w:vAlign w:val="center"/>
          </w:tcPr>
          <w:p w14:paraId="475F28D9">
            <w:pPr>
              <w:numPr>
                <w:ilvl w:val="0"/>
                <w:numId w:val="0"/>
              </w:numPr>
              <w:spacing w:line="360" w:lineRule="auto"/>
              <w:ind w:firstLine="482" w:firstLineChars="200"/>
              <w:rPr>
                <w:b/>
                <w:bCs/>
                <w:sz w:val="24"/>
                <w:u w:val="single"/>
              </w:rPr>
            </w:pPr>
            <w:r>
              <w:rPr>
                <w:rFonts w:ascii="Times New Roman" w:hAnsi="Times New Roman" w:eastAsia="宋体" w:cs="Times New Roman"/>
                <w:b/>
                <w:bCs/>
                <w:kern w:val="2"/>
                <w:sz w:val="24"/>
                <w:szCs w:val="22"/>
                <w:u w:val="single"/>
                <w:lang w:val="en-US" w:eastAsia="zh-CN" w:bidi="ar-SA"/>
              </w:rPr>
              <w:t>1、</w:t>
            </w:r>
            <w:r>
              <w:rPr>
                <w:b/>
                <w:bCs/>
                <w:sz w:val="24"/>
                <w:szCs w:val="24"/>
                <w:u w:val="single"/>
              </w:rPr>
              <w:t>与洪江市高新技术产业开发区规划符合性分析</w:t>
            </w:r>
          </w:p>
          <w:p w14:paraId="60DD8B99">
            <w:pPr>
              <w:spacing w:line="360" w:lineRule="auto"/>
              <w:ind w:firstLine="482" w:firstLineChars="200"/>
              <w:rPr>
                <w:b/>
                <w:bCs/>
                <w:sz w:val="24"/>
                <w:szCs w:val="24"/>
                <w:u w:val="single"/>
              </w:rPr>
            </w:pPr>
            <w:r>
              <w:rPr>
                <w:b/>
                <w:bCs/>
                <w:sz w:val="24"/>
                <w:szCs w:val="24"/>
                <w:u w:val="single"/>
              </w:rPr>
              <w:t>1.1</w:t>
            </w:r>
            <w:r>
              <w:rPr>
                <w:b/>
                <w:bCs/>
                <w:sz w:val="24"/>
                <w:szCs w:val="24"/>
                <w:u w:val="single"/>
              </w:rPr>
              <w:tab/>
            </w:r>
            <w:r>
              <w:rPr>
                <w:b/>
                <w:bCs/>
                <w:sz w:val="24"/>
                <w:szCs w:val="24"/>
                <w:u w:val="single"/>
              </w:rPr>
              <w:t>产业定位符合性</w:t>
            </w:r>
          </w:p>
          <w:p w14:paraId="1F6260D6">
            <w:pPr>
              <w:spacing w:line="360" w:lineRule="auto"/>
              <w:ind w:firstLine="480" w:firstLineChars="200"/>
              <w:rPr>
                <w:sz w:val="24"/>
                <w:szCs w:val="24"/>
                <w:u w:val="single"/>
              </w:rPr>
            </w:pPr>
            <w:r>
              <w:rPr>
                <w:sz w:val="24"/>
                <w:szCs w:val="24"/>
                <w:u w:val="single"/>
              </w:rPr>
              <w:t>2013年5月20日，《洪江市工业集中区项目环境影响报告书》（2012年11月）已取得由湖南省生态环境厅出具的《关于洪江市工业集中区项目环境影响报告书的批复》（湘环评[2013]115 号），2018年更名为洪江市高新技术产业开发区。根据《洪江市工业集中区发展规划（2011～2020）》，洪江市高新技术产业开发区包括双溪与株山两个产业片区（以下</w:t>
            </w:r>
            <w:r>
              <w:rPr>
                <w:rFonts w:hint="eastAsia"/>
                <w:sz w:val="24"/>
                <w:szCs w:val="24"/>
                <w:u w:val="single"/>
                <w:lang w:eastAsia="zh-CN"/>
              </w:rPr>
              <w:t>简称</w:t>
            </w:r>
            <w:r>
              <w:rPr>
                <w:sz w:val="24"/>
                <w:szCs w:val="24"/>
                <w:u w:val="single"/>
              </w:rPr>
              <w:t>双溪片区与株山片区），分别位于洪江市双溪镇及黔城镇。洪江市高新技术产业开发区总建设用地面积3.20平方公里（320.83公顷）。双溪片区临近双溪集镇，G209贯穿组团，为对外交通联系的主通道，片区距洪江市约8公里，距怀化市工业园约20公里。株山片区东邻枝柳铁路，西靠荷塘北路，南至株山安置区，北到铁坑村六组，总用地面积约91.76公顷。</w:t>
            </w:r>
          </w:p>
          <w:p w14:paraId="6D90C40C">
            <w:pPr>
              <w:spacing w:line="360" w:lineRule="auto"/>
              <w:ind w:firstLine="480" w:firstLineChars="200"/>
              <w:rPr>
                <w:sz w:val="24"/>
                <w:szCs w:val="24"/>
                <w:u w:val="single"/>
              </w:rPr>
            </w:pPr>
            <w:r>
              <w:rPr>
                <w:sz w:val="24"/>
                <w:szCs w:val="24"/>
                <w:u w:val="single"/>
              </w:rPr>
              <w:t>（1）洪江市高新技术产业开发区株山片区产业定位：以农产品加工业为依托，以现代食品工业为主体，以食品相关的高新技术产业为主导，以绿色环保、可持续发展为经营理念，以智能型第三产业为支撑，集食品加工、制造、流通、研发、信息交流为一体的现代食品产业集聚区。</w:t>
            </w:r>
          </w:p>
          <w:p w14:paraId="0FE32000">
            <w:pPr>
              <w:spacing w:line="360" w:lineRule="auto"/>
              <w:ind w:firstLine="480" w:firstLineChars="200"/>
              <w:rPr>
                <w:rFonts w:hint="eastAsia"/>
                <w:sz w:val="24"/>
                <w:szCs w:val="24"/>
                <w:u w:val="single"/>
              </w:rPr>
            </w:pPr>
            <w:r>
              <w:rPr>
                <w:sz w:val="24"/>
                <w:szCs w:val="24"/>
                <w:u w:val="single"/>
              </w:rPr>
              <w:t>（2）洪江市高新技术产业开发区及株山片区规划结构：洪江市高新技术产业开发区结构为“一区两片区”，即洪江市高新技术产业开发区由双溪片区和株山片区共同组成。一区两片区错位发展；互为补充，相互促进。双溪产业片区目前拥有具有一定经济实力的黔城水泥粉末公司等一批建材企业，并通过产业链的延伸，正在建设一批建材类企业。株山产业片区距离城区较近，并且地势较为空旷，以小型高新技术产业为龙头，可重点发展绿色食品产业。两个组团通过差异化发展，互为补充，大力引进具有竞争力的企业，共同做大做强洪江市高新技术产业开发区。工业用地主要以二类工业用地为主，主要位于片区西南部，一类工业用地主要位于片区北部。株山片区结构为</w:t>
            </w:r>
            <w:r>
              <w:rPr>
                <w:rFonts w:hint="eastAsia"/>
                <w:sz w:val="24"/>
                <w:szCs w:val="24"/>
                <w:u w:val="single"/>
                <w:lang w:eastAsia="zh-CN"/>
              </w:rPr>
              <w:t>“</w:t>
            </w:r>
            <w:r>
              <w:rPr>
                <w:sz w:val="24"/>
                <w:szCs w:val="24"/>
                <w:u w:val="single"/>
              </w:rPr>
              <w:t>一轴三区</w:t>
            </w:r>
            <w:r>
              <w:rPr>
                <w:rFonts w:hint="eastAsia"/>
                <w:sz w:val="24"/>
                <w:szCs w:val="24"/>
                <w:u w:val="single"/>
                <w:lang w:eastAsia="zh-CN"/>
              </w:rPr>
              <w:t>”</w:t>
            </w:r>
            <w:r>
              <w:rPr>
                <w:sz w:val="24"/>
                <w:szCs w:val="24"/>
                <w:u w:val="single"/>
              </w:rPr>
              <w:t>。</w:t>
            </w:r>
            <w:r>
              <w:rPr>
                <w:rFonts w:hint="eastAsia"/>
                <w:sz w:val="24"/>
                <w:szCs w:val="24"/>
                <w:u w:val="single"/>
                <w:lang w:eastAsia="zh-CN"/>
              </w:rPr>
              <w:t>“</w:t>
            </w:r>
            <w:r>
              <w:rPr>
                <w:sz w:val="24"/>
                <w:szCs w:val="24"/>
                <w:u w:val="single"/>
              </w:rPr>
              <w:t>一轴</w:t>
            </w:r>
            <w:r>
              <w:rPr>
                <w:rFonts w:hint="eastAsia"/>
                <w:sz w:val="24"/>
                <w:szCs w:val="24"/>
                <w:u w:val="single"/>
                <w:lang w:eastAsia="zh-CN"/>
              </w:rPr>
              <w:t>”</w:t>
            </w:r>
            <w:r>
              <w:rPr>
                <w:sz w:val="24"/>
                <w:szCs w:val="24"/>
                <w:u w:val="single"/>
              </w:rPr>
              <w:t>：沿国道209形成的组团发展轴</w:t>
            </w:r>
            <w:r>
              <w:rPr>
                <w:rFonts w:hint="eastAsia"/>
                <w:sz w:val="24"/>
                <w:szCs w:val="24"/>
                <w:u w:val="single"/>
              </w:rPr>
              <w:t>。</w:t>
            </w:r>
          </w:p>
          <w:p w14:paraId="2B31EBFD">
            <w:pPr>
              <w:spacing w:line="360" w:lineRule="auto"/>
              <w:ind w:firstLine="480" w:firstLineChars="200"/>
              <w:rPr>
                <w:sz w:val="24"/>
                <w:szCs w:val="24"/>
                <w:u w:val="single"/>
              </w:rPr>
            </w:pPr>
            <w:r>
              <w:rPr>
                <w:rFonts w:hint="eastAsia"/>
                <w:sz w:val="24"/>
                <w:szCs w:val="24"/>
                <w:u w:val="single"/>
                <w:lang w:eastAsia="zh-CN"/>
              </w:rPr>
              <w:t>“</w:t>
            </w:r>
            <w:r>
              <w:rPr>
                <w:sz w:val="24"/>
                <w:szCs w:val="24"/>
                <w:u w:val="single"/>
              </w:rPr>
              <w:t>三区</w:t>
            </w:r>
            <w:r>
              <w:rPr>
                <w:rFonts w:hint="eastAsia"/>
                <w:sz w:val="24"/>
                <w:szCs w:val="24"/>
                <w:u w:val="single"/>
                <w:lang w:eastAsia="zh-CN"/>
              </w:rPr>
              <w:t>”</w:t>
            </w:r>
            <w:r>
              <w:rPr>
                <w:sz w:val="24"/>
                <w:szCs w:val="24"/>
                <w:u w:val="single"/>
              </w:rPr>
              <w:t>分别为位于南部的以居住及物流仓储为主的综合配套服务区、被国道209分隔的东部工业区和西部工业区，均主要发展食品加工。</w:t>
            </w:r>
          </w:p>
          <w:p w14:paraId="554A92ED">
            <w:pPr>
              <w:spacing w:line="360" w:lineRule="auto"/>
              <w:ind w:firstLine="480" w:firstLineChars="200"/>
              <w:rPr>
                <w:sz w:val="24"/>
                <w:szCs w:val="24"/>
                <w:u w:val="single"/>
              </w:rPr>
            </w:pPr>
            <w:r>
              <w:rPr>
                <w:rFonts w:hint="eastAsia"/>
                <w:sz w:val="24"/>
                <w:szCs w:val="24"/>
                <w:u w:val="single"/>
              </w:rPr>
              <w:t>（3）</w:t>
            </w:r>
            <w:r>
              <w:rPr>
                <w:sz w:val="24"/>
                <w:szCs w:val="24"/>
                <w:u w:val="single"/>
              </w:rPr>
              <w:t>洪江市高新技术产业开发区发展规模：到2020年，土地工业总产值投资强度达到2000万元/公顷以上，工业用地地均产出不低于20亿元/平方公里，工业用地为2.025平方公里（202.05公顷），工业产值为40.5亿元。</w:t>
            </w:r>
          </w:p>
          <w:p w14:paraId="2F40DA2E">
            <w:pPr>
              <w:spacing w:line="360" w:lineRule="auto"/>
              <w:ind w:firstLine="480" w:firstLineChars="200"/>
              <w:rPr>
                <w:sz w:val="24"/>
                <w:szCs w:val="24"/>
                <w:u w:val="single"/>
              </w:rPr>
            </w:pPr>
            <w:r>
              <w:rPr>
                <w:rFonts w:hint="eastAsia"/>
                <w:sz w:val="24"/>
                <w:szCs w:val="24"/>
                <w:u w:val="single"/>
              </w:rPr>
              <w:t>（4）</w:t>
            </w:r>
            <w:r>
              <w:rPr>
                <w:sz w:val="24"/>
                <w:szCs w:val="24"/>
                <w:u w:val="single"/>
              </w:rPr>
              <w:t>禁止引入项目清单</w:t>
            </w:r>
          </w:p>
          <w:p w14:paraId="36132879">
            <w:pPr>
              <w:spacing w:line="360" w:lineRule="auto"/>
              <w:ind w:firstLine="480" w:firstLineChars="200"/>
              <w:rPr>
                <w:sz w:val="24"/>
                <w:szCs w:val="24"/>
                <w:u w:val="single"/>
              </w:rPr>
            </w:pPr>
            <w:r>
              <w:rPr>
                <w:sz w:val="24"/>
                <w:szCs w:val="24"/>
                <w:u w:val="single"/>
              </w:rPr>
              <w:t>根据《洪江市工业集中区项目环境影响报告书》，禁止引进不符合国家相关产业政策、达不到规模经济的项目。包括：</w:t>
            </w:r>
          </w:p>
          <w:p w14:paraId="46ECE94D">
            <w:pPr>
              <w:ind w:firstLine="422" w:firstLineChars="200"/>
              <w:jc w:val="center"/>
              <w:rPr>
                <w:rFonts w:hint="eastAsia"/>
                <w:b/>
                <w:bCs/>
                <w:u w:val="single"/>
              </w:rPr>
            </w:pPr>
            <w:r>
              <w:rPr>
                <w:b/>
                <w:bCs/>
                <w:u w:val="single"/>
              </w:rPr>
              <w:t>表1-1项目与园区禁止引进产业情况对比分析一览表</w:t>
            </w:r>
          </w:p>
          <w:tbl>
            <w:tblPr>
              <w:tblStyle w:val="21"/>
              <w:tblW w:w="7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9"/>
              <w:gridCol w:w="2686"/>
              <w:gridCol w:w="826"/>
            </w:tblGrid>
            <w:tr w14:paraId="2222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319" w:type="dxa"/>
                  <w:noWrap w:val="0"/>
                  <w:vAlign w:val="center"/>
                </w:tcPr>
                <w:p w14:paraId="3153EDF7">
                  <w:pPr>
                    <w:jc w:val="center"/>
                    <w:rPr>
                      <w:rFonts w:hint="eastAsia"/>
                      <w:b/>
                      <w:bCs/>
                      <w:u w:val="single"/>
                    </w:rPr>
                  </w:pPr>
                  <w:r>
                    <w:rPr>
                      <w:rFonts w:hint="eastAsia"/>
                      <w:b/>
                      <w:bCs/>
                      <w:u w:val="single"/>
                    </w:rPr>
                    <w:t>园区禁止引进相关产业</w:t>
                  </w:r>
                </w:p>
              </w:tc>
              <w:tc>
                <w:tcPr>
                  <w:tcW w:w="2686" w:type="dxa"/>
                  <w:noWrap w:val="0"/>
                  <w:vAlign w:val="center"/>
                </w:tcPr>
                <w:p w14:paraId="75BD235F">
                  <w:pPr>
                    <w:jc w:val="center"/>
                    <w:rPr>
                      <w:rFonts w:hint="eastAsia"/>
                      <w:b/>
                      <w:bCs/>
                      <w:u w:val="single"/>
                    </w:rPr>
                  </w:pPr>
                  <w:r>
                    <w:rPr>
                      <w:rFonts w:hint="eastAsia"/>
                      <w:b/>
                      <w:bCs/>
                      <w:u w:val="single"/>
                    </w:rPr>
                    <w:t>本项目符合性</w:t>
                  </w:r>
                </w:p>
              </w:tc>
              <w:tc>
                <w:tcPr>
                  <w:tcW w:w="826" w:type="dxa"/>
                  <w:noWrap w:val="0"/>
                  <w:vAlign w:val="center"/>
                </w:tcPr>
                <w:p w14:paraId="641954C6">
                  <w:pPr>
                    <w:jc w:val="center"/>
                    <w:rPr>
                      <w:rFonts w:hint="eastAsia"/>
                      <w:b/>
                      <w:bCs/>
                      <w:u w:val="single"/>
                    </w:rPr>
                  </w:pPr>
                  <w:r>
                    <w:rPr>
                      <w:rFonts w:hint="eastAsia"/>
                      <w:b/>
                      <w:bCs/>
                      <w:u w:val="single"/>
                    </w:rPr>
                    <w:t>分析结果</w:t>
                  </w:r>
                </w:p>
              </w:tc>
            </w:tr>
            <w:tr w14:paraId="498D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4319" w:type="dxa"/>
                  <w:noWrap w:val="0"/>
                  <w:vAlign w:val="center"/>
                </w:tcPr>
                <w:p w14:paraId="4D53FEC7">
                  <w:pPr>
                    <w:jc w:val="center"/>
                    <w:rPr>
                      <w:rFonts w:hint="eastAsia"/>
                      <w:u w:val="single"/>
                    </w:rPr>
                  </w:pPr>
                  <w:r>
                    <w:rPr>
                      <w:rFonts w:hint="eastAsia"/>
                      <w:u w:val="single"/>
                    </w:rPr>
                    <w:t>①铅、锌、铬等重污染冶炼行业，制革工业；电镀工业；使用含汞、砷、镉、铬、铅、氰化物等为原料的项目；日用化工、造纸、炼油、农药工业；水处理设施不完善的企业禁止开工生产；纺织印染工业；致癌、致畸、致突变产品生产项目；电力工业的小火力发电；国家产业政策明令禁止的项目，以及使用高、中硫煤等大量增加SO2和TSP排放污染严重的工业项目；大量增加COD排放的工业项目。</w:t>
                  </w:r>
                </w:p>
              </w:tc>
              <w:tc>
                <w:tcPr>
                  <w:tcW w:w="2686" w:type="dxa"/>
                  <w:noWrap w:val="0"/>
                  <w:vAlign w:val="center"/>
                </w:tcPr>
                <w:p w14:paraId="18628A91">
                  <w:pPr>
                    <w:jc w:val="center"/>
                    <w:rPr>
                      <w:rFonts w:hint="eastAsia"/>
                      <w:u w:val="single"/>
                    </w:rPr>
                  </w:pPr>
                  <w:r>
                    <w:rPr>
                      <w:rFonts w:hint="eastAsia"/>
                      <w:u w:val="single"/>
                    </w:rPr>
                    <w:t>本项目为</w:t>
                  </w:r>
                  <w:r>
                    <w:rPr>
                      <w:rFonts w:hint="eastAsia"/>
                      <w:u w:val="single"/>
                      <w:lang w:val="en-US" w:eastAsia="zh-CN"/>
                    </w:rPr>
                    <w:t>汽车零部件加工</w:t>
                  </w:r>
                  <w:r>
                    <w:rPr>
                      <w:rFonts w:hint="eastAsia"/>
                      <w:u w:val="single"/>
                    </w:rPr>
                    <w:t xml:space="preserve">，不属于以上项目及国家产业政策明令禁止及淘汰的项目 </w:t>
                  </w:r>
                </w:p>
              </w:tc>
              <w:tc>
                <w:tcPr>
                  <w:tcW w:w="826" w:type="dxa"/>
                  <w:noWrap w:val="0"/>
                  <w:vAlign w:val="center"/>
                </w:tcPr>
                <w:p w14:paraId="127FA720">
                  <w:pPr>
                    <w:jc w:val="center"/>
                    <w:rPr>
                      <w:u w:val="single"/>
                    </w:rPr>
                  </w:pPr>
                  <w:r>
                    <w:rPr>
                      <w:rFonts w:hint="eastAsia"/>
                      <w:u w:val="single"/>
                    </w:rPr>
                    <w:t>否</w:t>
                  </w:r>
                </w:p>
              </w:tc>
            </w:tr>
            <w:tr w14:paraId="16AA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19" w:type="dxa"/>
                  <w:noWrap w:val="0"/>
                  <w:vAlign w:val="center"/>
                </w:tcPr>
                <w:p w14:paraId="69D35E8F">
                  <w:pPr>
                    <w:jc w:val="center"/>
                    <w:rPr>
                      <w:rFonts w:hint="eastAsia"/>
                      <w:u w:val="single"/>
                    </w:rPr>
                  </w:pPr>
                  <w:r>
                    <w:rPr>
                      <w:rFonts w:hint="eastAsia"/>
                      <w:u w:val="single"/>
                    </w:rPr>
                    <w:t>②低效高能耗的产业、污染型产业。</w:t>
                  </w:r>
                </w:p>
              </w:tc>
              <w:tc>
                <w:tcPr>
                  <w:tcW w:w="2686" w:type="dxa"/>
                  <w:noWrap w:val="0"/>
                  <w:vAlign w:val="center"/>
                </w:tcPr>
                <w:p w14:paraId="63800F7F">
                  <w:pPr>
                    <w:rPr>
                      <w:rFonts w:hint="eastAsia"/>
                      <w:u w:val="single"/>
                    </w:rPr>
                  </w:pPr>
                  <w:r>
                    <w:rPr>
                      <w:rFonts w:hint="eastAsia"/>
                      <w:u w:val="single"/>
                    </w:rPr>
                    <w:t>本项目不属于</w:t>
                  </w:r>
                  <w:r>
                    <w:rPr>
                      <w:rFonts w:hint="eastAsia"/>
                      <w:u w:val="single"/>
                      <w:lang w:val="en-US" w:eastAsia="zh-CN"/>
                    </w:rPr>
                    <w:t>低效</w:t>
                  </w:r>
                  <w:r>
                    <w:rPr>
                      <w:rFonts w:hint="eastAsia"/>
                      <w:u w:val="single"/>
                      <w:lang w:eastAsia="zh-CN"/>
                    </w:rPr>
                    <w:t>高能耗</w:t>
                  </w:r>
                  <w:r>
                    <w:rPr>
                      <w:rFonts w:hint="eastAsia"/>
                      <w:u w:val="single"/>
                    </w:rPr>
                    <w:t>产业、高污染行业</w:t>
                  </w:r>
                </w:p>
              </w:tc>
              <w:tc>
                <w:tcPr>
                  <w:tcW w:w="826" w:type="dxa"/>
                  <w:noWrap w:val="0"/>
                  <w:vAlign w:val="center"/>
                </w:tcPr>
                <w:p w14:paraId="4D46345E">
                  <w:pPr>
                    <w:jc w:val="center"/>
                    <w:rPr>
                      <w:rFonts w:hint="eastAsia"/>
                      <w:u w:val="single"/>
                    </w:rPr>
                  </w:pPr>
                  <w:r>
                    <w:rPr>
                      <w:rFonts w:hint="eastAsia"/>
                      <w:u w:val="single"/>
                    </w:rPr>
                    <w:t>否</w:t>
                  </w:r>
                </w:p>
              </w:tc>
            </w:tr>
            <w:tr w14:paraId="0C2F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4319" w:type="dxa"/>
                  <w:noWrap w:val="0"/>
                  <w:vAlign w:val="center"/>
                </w:tcPr>
                <w:p w14:paraId="154570FD">
                  <w:pPr>
                    <w:jc w:val="center"/>
                    <w:rPr>
                      <w:rFonts w:hint="eastAsia"/>
                      <w:u w:val="single"/>
                    </w:rPr>
                  </w:pPr>
                  <w:r>
                    <w:rPr>
                      <w:rFonts w:hint="eastAsia"/>
                      <w:u w:val="single"/>
                    </w:rPr>
                    <w:t>③电镀、铅、锌、铬等重污染冶炼行业、“十八小”、“新五小”等污染企业或行业进入片区。</w:t>
                  </w:r>
                </w:p>
              </w:tc>
              <w:tc>
                <w:tcPr>
                  <w:tcW w:w="2686" w:type="dxa"/>
                  <w:noWrap w:val="0"/>
                  <w:vAlign w:val="center"/>
                </w:tcPr>
                <w:p w14:paraId="7589DEFF">
                  <w:pPr>
                    <w:jc w:val="center"/>
                    <w:rPr>
                      <w:rFonts w:hint="eastAsia"/>
                      <w:u w:val="single"/>
                    </w:rPr>
                  </w:pPr>
                  <w:r>
                    <w:rPr>
                      <w:rFonts w:hint="eastAsia"/>
                      <w:u w:val="single"/>
                    </w:rPr>
                    <w:t>项目不属于“十八小”、“新五小”等污染企业</w:t>
                  </w:r>
                </w:p>
              </w:tc>
              <w:tc>
                <w:tcPr>
                  <w:tcW w:w="826" w:type="dxa"/>
                  <w:noWrap w:val="0"/>
                  <w:vAlign w:val="center"/>
                </w:tcPr>
                <w:p w14:paraId="0DD898EF">
                  <w:pPr>
                    <w:jc w:val="center"/>
                    <w:rPr>
                      <w:rFonts w:hint="eastAsia"/>
                      <w:u w:val="single"/>
                    </w:rPr>
                  </w:pPr>
                  <w:r>
                    <w:rPr>
                      <w:rFonts w:hint="eastAsia"/>
                      <w:u w:val="single"/>
                    </w:rPr>
                    <w:t>否</w:t>
                  </w:r>
                </w:p>
              </w:tc>
            </w:tr>
          </w:tbl>
          <w:p w14:paraId="56F934E9">
            <w:pPr>
              <w:spacing w:line="360" w:lineRule="auto"/>
              <w:ind w:firstLine="480" w:firstLineChars="200"/>
              <w:rPr>
                <w:color w:val="000000" w:themeColor="text1"/>
                <w:sz w:val="24"/>
                <w:szCs w:val="24"/>
                <w:u w:val="single"/>
                <w14:textFill>
                  <w14:solidFill>
                    <w14:schemeClr w14:val="tx1"/>
                  </w14:solidFill>
                </w14:textFill>
              </w:rPr>
            </w:pPr>
            <w:r>
              <w:rPr>
                <w:sz w:val="24"/>
                <w:szCs w:val="24"/>
                <w:u w:val="single"/>
              </w:rPr>
              <w:t>根据《洪江市工业集中区项目环境影响报告书》及《湖南省生态环境厅&lt;关于洪江市工业集中区项目环境影响报告书的批复&gt;》中园区概况，</w:t>
            </w:r>
            <w:r>
              <w:rPr>
                <w:color w:val="000000" w:themeColor="text1"/>
                <w:sz w:val="24"/>
                <w:szCs w:val="24"/>
                <w:u w:val="single"/>
                <w14:textFill>
                  <w14:solidFill>
                    <w14:schemeClr w14:val="tx1"/>
                  </w14:solidFill>
                </w14:textFill>
              </w:rPr>
              <w:t>本项目</w:t>
            </w:r>
            <w:r>
              <w:rPr>
                <w:rFonts w:hint="eastAsia"/>
                <w:color w:val="000000" w:themeColor="text1"/>
                <w:sz w:val="24"/>
                <w:szCs w:val="24"/>
                <w:u w:val="single"/>
                <w14:textFill>
                  <w14:solidFill>
                    <w14:schemeClr w14:val="tx1"/>
                  </w14:solidFill>
                </w14:textFill>
              </w:rPr>
              <w:t>位于双溪片区，该片区将</w:t>
            </w:r>
            <w:r>
              <w:rPr>
                <w:rFonts w:hint="eastAsia"/>
                <w:sz w:val="24"/>
                <w:szCs w:val="24"/>
                <w:u w:val="single"/>
              </w:rPr>
              <w:t>新型建筑材料、节能及储能材料、电子信息材料及中药材加工</w:t>
            </w:r>
            <w:r>
              <w:rPr>
                <w:rFonts w:hint="eastAsia"/>
                <w:sz w:val="24"/>
                <w:szCs w:val="24"/>
                <w:u w:val="single"/>
                <w:lang w:eastAsia="zh-CN"/>
              </w:rPr>
              <w:t>作为主导产业</w:t>
            </w:r>
            <w:r>
              <w:rPr>
                <w:rFonts w:hint="eastAsia"/>
                <w:color w:val="000000" w:themeColor="text1"/>
                <w:sz w:val="24"/>
                <w:szCs w:val="24"/>
                <w:u w:val="single"/>
                <w14:textFill>
                  <w14:solidFill>
                    <w14:schemeClr w14:val="tx1"/>
                  </w14:solidFill>
                </w14:textFill>
              </w:rPr>
              <w:t>；项目经营汽车零部件制造，不在园区</w:t>
            </w:r>
            <w:r>
              <w:rPr>
                <w:color w:val="000000" w:themeColor="text1"/>
                <w:sz w:val="24"/>
                <w:szCs w:val="24"/>
                <w:u w:val="single"/>
                <w14:textFill>
                  <w14:solidFill>
                    <w14:schemeClr w14:val="tx1"/>
                  </w14:solidFill>
                </w14:textFill>
              </w:rPr>
              <w:t>负面清单内</w:t>
            </w:r>
            <w:r>
              <w:rPr>
                <w:rFonts w:hint="eastAsia"/>
                <w:color w:val="000000" w:themeColor="text1"/>
                <w:sz w:val="24"/>
                <w:szCs w:val="24"/>
                <w:u w:val="single"/>
                <w14:textFill>
                  <w14:solidFill>
                    <w14:schemeClr w14:val="tx1"/>
                  </w14:solidFill>
                </w14:textFill>
              </w:rPr>
              <w:t>，与</w:t>
            </w:r>
            <w:r>
              <w:rPr>
                <w:color w:val="000000" w:themeColor="text1"/>
                <w:sz w:val="24"/>
                <w:szCs w:val="24"/>
                <w:u w:val="single"/>
                <w14:textFill>
                  <w14:solidFill>
                    <w14:schemeClr w14:val="tx1"/>
                  </w14:solidFill>
                </w14:textFill>
              </w:rPr>
              <w:t>园区发展不冲突，满足入园条件</w:t>
            </w:r>
            <w:r>
              <w:rPr>
                <w:rFonts w:hint="eastAsia"/>
                <w:color w:val="000000" w:themeColor="text1"/>
                <w:sz w:val="24"/>
                <w:szCs w:val="24"/>
                <w:u w:val="single"/>
                <w14:textFill>
                  <w14:solidFill>
                    <w14:schemeClr w14:val="tx1"/>
                  </w14:solidFill>
                </w14:textFill>
              </w:rPr>
              <w:t>，入园合同见附件5</w:t>
            </w:r>
            <w:r>
              <w:rPr>
                <w:rFonts w:hint="eastAsia"/>
                <w:u w:val="single"/>
              </w:rPr>
              <w:t>。</w:t>
            </w:r>
          </w:p>
          <w:p w14:paraId="143FC15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color w:val="000000" w:themeColor="text1"/>
                <w:sz w:val="24"/>
                <w:szCs w:val="24"/>
                <w:u w:val="single"/>
                <w14:textFill>
                  <w14:solidFill>
                    <w14:schemeClr w14:val="tx1"/>
                  </w14:solidFill>
                </w14:textFill>
              </w:rPr>
            </w:pPr>
            <w:r>
              <w:rPr>
                <w:rFonts w:hint="eastAsia"/>
                <w:b/>
                <w:bCs/>
                <w:color w:val="000000" w:themeColor="text1"/>
                <w:sz w:val="24"/>
                <w:szCs w:val="24"/>
                <w:u w:val="single"/>
                <w:lang w:val="en-US" w:eastAsia="zh-CN"/>
                <w14:textFill>
                  <w14:solidFill>
                    <w14:schemeClr w14:val="tx1"/>
                  </w14:solidFill>
                </w14:textFill>
              </w:rPr>
              <w:t>1.2</w:t>
            </w:r>
            <w:r>
              <w:rPr>
                <w:b/>
                <w:bCs/>
                <w:color w:val="000000" w:themeColor="text1"/>
                <w:sz w:val="24"/>
                <w:szCs w:val="24"/>
                <w:u w:val="single"/>
                <w14:textFill>
                  <w14:solidFill>
                    <w14:schemeClr w14:val="tx1"/>
                  </w14:solidFill>
                </w14:textFill>
              </w:rPr>
              <w:t>用地规划符合性分析</w:t>
            </w:r>
          </w:p>
          <w:p w14:paraId="0DEDFB77">
            <w:pPr>
              <w:autoSpaceDE w:val="0"/>
              <w:autoSpaceDN w:val="0"/>
              <w:adjustRightInd w:val="0"/>
              <w:snapToGrid w:val="0"/>
              <w:spacing w:line="360" w:lineRule="auto"/>
              <w:ind w:firstLine="480" w:firstLineChars="200"/>
              <w:rPr>
                <w:color w:val="000000" w:themeColor="text1"/>
                <w:sz w:val="24"/>
                <w:szCs w:val="24"/>
                <w:u w:val="single"/>
                <w14:textFill>
                  <w14:solidFill>
                    <w14:schemeClr w14:val="tx1"/>
                  </w14:solidFill>
                </w14:textFill>
              </w:rPr>
            </w:pPr>
            <w:r>
              <w:rPr>
                <w:color w:val="000000" w:themeColor="text1"/>
                <w:sz w:val="24"/>
                <w:szCs w:val="24"/>
                <w:u w:val="single"/>
                <w14:textFill>
                  <w14:solidFill>
                    <w14:schemeClr w14:val="tx1"/>
                  </w14:solidFill>
                </w14:textFill>
              </w:rPr>
              <w:t>本项目从事汽车零部件铸造，属二类工业项目，依据洪江市规划设计院编制的洪江市工业集中区</w:t>
            </w:r>
            <w:r>
              <w:rPr>
                <w:rFonts w:hint="eastAsia"/>
                <w:color w:val="000000" w:themeColor="text1"/>
                <w:sz w:val="24"/>
                <w:szCs w:val="24"/>
                <w:u w:val="single"/>
                <w:lang w:eastAsia="zh-CN"/>
                <w14:textFill>
                  <w14:solidFill>
                    <w14:schemeClr w14:val="tx1"/>
                  </w14:solidFill>
                </w14:textFill>
              </w:rPr>
              <w:t>（</w:t>
            </w:r>
            <w:r>
              <w:rPr>
                <w:color w:val="000000" w:themeColor="text1"/>
                <w:sz w:val="24"/>
                <w:szCs w:val="24"/>
                <w:u w:val="single"/>
                <w14:textFill>
                  <w14:solidFill>
                    <w14:schemeClr w14:val="tx1"/>
                  </w14:solidFill>
                </w14:textFill>
              </w:rPr>
              <w:t>一期</w:t>
            </w:r>
            <w:r>
              <w:rPr>
                <w:rFonts w:hint="eastAsia"/>
                <w:color w:val="000000" w:themeColor="text1"/>
                <w:sz w:val="24"/>
                <w:szCs w:val="24"/>
                <w:u w:val="single"/>
                <w:lang w:eastAsia="zh-CN"/>
                <w14:textFill>
                  <w14:solidFill>
                    <w14:schemeClr w14:val="tx1"/>
                  </w14:solidFill>
                </w14:textFill>
              </w:rPr>
              <w:t>）</w:t>
            </w:r>
            <w:r>
              <w:rPr>
                <w:color w:val="000000" w:themeColor="text1"/>
                <w:sz w:val="24"/>
                <w:szCs w:val="24"/>
                <w:u w:val="single"/>
                <w14:textFill>
                  <w14:solidFill>
                    <w14:schemeClr w14:val="tx1"/>
                  </w14:solidFill>
                </w14:textFill>
              </w:rPr>
              <w:t>控制性详细规划，项目所处地属于</w:t>
            </w:r>
            <w:r>
              <w:rPr>
                <w:rFonts w:hint="eastAsia"/>
                <w:color w:val="000000" w:themeColor="text1"/>
                <w:sz w:val="24"/>
                <w:szCs w:val="24"/>
                <w:u w:val="single"/>
                <w14:textFill>
                  <w14:solidFill>
                    <w14:schemeClr w14:val="tx1"/>
                  </w14:solidFill>
                </w14:textFill>
              </w:rPr>
              <w:t>二</w:t>
            </w:r>
            <w:r>
              <w:rPr>
                <w:color w:val="000000" w:themeColor="text1"/>
                <w:sz w:val="24"/>
                <w:szCs w:val="24"/>
                <w:u w:val="single"/>
                <w14:textFill>
                  <w14:solidFill>
                    <w14:schemeClr w14:val="tx1"/>
                  </w14:solidFill>
                </w14:textFill>
              </w:rPr>
              <w:t>类工业用地，项目用地符合相关规划</w:t>
            </w:r>
            <w:r>
              <w:rPr>
                <w:rFonts w:hint="eastAsia"/>
                <w:color w:val="000000" w:themeColor="text1"/>
                <w:sz w:val="24"/>
                <w:szCs w:val="24"/>
                <w:u w:val="single"/>
                <w14:textFill>
                  <w14:solidFill>
                    <w14:schemeClr w14:val="tx1"/>
                  </w14:solidFill>
                </w14:textFill>
              </w:rPr>
              <w:t>（见附图6产业开发区土地利用规划图）</w:t>
            </w:r>
            <w:r>
              <w:rPr>
                <w:color w:val="000000" w:themeColor="text1"/>
                <w:sz w:val="24"/>
                <w:szCs w:val="24"/>
                <w:u w:val="single"/>
                <w14:textFill>
                  <w14:solidFill>
                    <w14:schemeClr w14:val="tx1"/>
                  </w14:solidFill>
                </w14:textFill>
              </w:rPr>
              <w:t>。</w:t>
            </w:r>
          </w:p>
          <w:p w14:paraId="6808B15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sz w:val="24"/>
                <w:szCs w:val="24"/>
                <w:u w:val="single"/>
              </w:rPr>
            </w:pPr>
            <w:r>
              <w:rPr>
                <w:rFonts w:hint="eastAsia"/>
                <w:b/>
                <w:bCs/>
                <w:sz w:val="24"/>
                <w:szCs w:val="24"/>
                <w:u w:val="single"/>
                <w:lang w:val="en-US" w:eastAsia="zh-CN"/>
              </w:rPr>
              <w:t>1.3</w:t>
            </w:r>
            <w:r>
              <w:rPr>
                <w:rFonts w:hint="eastAsia"/>
                <w:b/>
                <w:bCs/>
                <w:sz w:val="24"/>
                <w:szCs w:val="24"/>
                <w:u w:val="single"/>
              </w:rPr>
              <w:t>、与洪江市高新技术产业开发区环评批复的符合性分析</w:t>
            </w:r>
          </w:p>
          <w:p w14:paraId="15D85158">
            <w:pPr>
              <w:ind w:firstLine="422" w:firstLineChars="200"/>
              <w:jc w:val="center"/>
              <w:rPr>
                <w:rFonts w:hint="eastAsia"/>
                <w:b/>
                <w:bCs/>
                <w:u w:val="single"/>
              </w:rPr>
            </w:pPr>
            <w:r>
              <w:rPr>
                <w:rFonts w:hint="eastAsia"/>
                <w:b/>
                <w:bCs/>
                <w:u w:val="single"/>
              </w:rPr>
              <w:t>表1-2与洪江市高新技术产业开发区环评批复的符合性分析</w:t>
            </w:r>
          </w:p>
          <w:tbl>
            <w:tblPr>
              <w:tblStyle w:val="21"/>
              <w:tblW w:w="7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2"/>
              <w:gridCol w:w="2410"/>
              <w:gridCol w:w="1134"/>
            </w:tblGrid>
            <w:tr w14:paraId="022E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2" w:type="dxa"/>
                  <w:noWrap w:val="0"/>
                  <w:vAlign w:val="center"/>
                </w:tcPr>
                <w:p w14:paraId="310091AD">
                  <w:pPr>
                    <w:jc w:val="center"/>
                    <w:rPr>
                      <w:u w:val="single"/>
                    </w:rPr>
                  </w:pPr>
                  <w:r>
                    <w:rPr>
                      <w:u w:val="single"/>
                    </w:rPr>
                    <w:t>产业开发区批复意见</w:t>
                  </w:r>
                </w:p>
              </w:tc>
              <w:tc>
                <w:tcPr>
                  <w:tcW w:w="2410" w:type="dxa"/>
                  <w:noWrap w:val="0"/>
                  <w:vAlign w:val="center"/>
                </w:tcPr>
                <w:p w14:paraId="18C71FF7">
                  <w:pPr>
                    <w:jc w:val="center"/>
                    <w:rPr>
                      <w:u w:val="single"/>
                    </w:rPr>
                  </w:pPr>
                  <w:r>
                    <w:rPr>
                      <w:u w:val="single"/>
                    </w:rPr>
                    <w:t>本项目情况</w:t>
                  </w:r>
                </w:p>
              </w:tc>
              <w:tc>
                <w:tcPr>
                  <w:tcW w:w="1134" w:type="dxa"/>
                  <w:noWrap w:val="0"/>
                  <w:vAlign w:val="center"/>
                </w:tcPr>
                <w:p w14:paraId="1B7543BD">
                  <w:pPr>
                    <w:jc w:val="center"/>
                    <w:rPr>
                      <w:u w:val="single"/>
                    </w:rPr>
                  </w:pPr>
                  <w:r>
                    <w:rPr>
                      <w:u w:val="single"/>
                    </w:rPr>
                    <w:t>是否符合</w:t>
                  </w:r>
                </w:p>
              </w:tc>
            </w:tr>
            <w:tr w14:paraId="0851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2" w:type="dxa"/>
                  <w:noWrap w:val="0"/>
                  <w:vAlign w:val="center"/>
                </w:tcPr>
                <w:p w14:paraId="68AA91B6">
                  <w:pPr>
                    <w:jc w:val="center"/>
                    <w:rPr>
                      <w:u w:val="single"/>
                    </w:rPr>
                  </w:pPr>
                  <w:r>
                    <w:rPr>
                      <w:rFonts w:hint="eastAsia"/>
                      <w:u w:val="single"/>
                      <w:lang w:eastAsia="zh-CN"/>
                    </w:rPr>
                    <w:t>（</w:t>
                  </w:r>
                  <w:r>
                    <w:rPr>
                      <w:u w:val="single"/>
                    </w:rPr>
                    <w:t>一</w:t>
                  </w:r>
                  <w:r>
                    <w:rPr>
                      <w:rFonts w:hint="eastAsia"/>
                      <w:u w:val="single"/>
                      <w:lang w:eastAsia="zh-CN"/>
                    </w:rPr>
                    <w:t>）</w:t>
                  </w:r>
                  <w:r>
                    <w:rPr>
                      <w:u w:val="single"/>
                    </w:rPr>
                    <w:t>进一步优化规划布局，园区内各功能区相对集中布置，严格按照功能区划进行有序开发建设，处理好集中区内部各功能组团及集中区与周边农业、商住等各功能组团的关系，充分利用自然地形和绿化隔离带使各功能区隔离，控制在规划道路两侧新建对噪声敏感的建筑物，对集中区内工业区与周边居住安置区之间建设缓冲隔离带，确保功能区划明确、产业相对集中、生态环境优良。</w:t>
                  </w:r>
                </w:p>
              </w:tc>
              <w:tc>
                <w:tcPr>
                  <w:tcW w:w="2410" w:type="dxa"/>
                  <w:noWrap w:val="0"/>
                  <w:vAlign w:val="center"/>
                </w:tcPr>
                <w:p w14:paraId="685CE92E">
                  <w:pPr>
                    <w:jc w:val="center"/>
                    <w:rPr>
                      <w:u w:val="single"/>
                    </w:rPr>
                  </w:pPr>
                  <w:r>
                    <w:rPr>
                      <w:u w:val="single"/>
                    </w:rPr>
                    <w:t>本项目位于洪江市高新技术产业开发区</w:t>
                  </w:r>
                  <w:r>
                    <w:rPr>
                      <w:rFonts w:hint="eastAsia"/>
                      <w:u w:val="single"/>
                      <w:lang w:val="en-US" w:eastAsia="zh-CN"/>
                    </w:rPr>
                    <w:t>双溪</w:t>
                  </w:r>
                  <w:r>
                    <w:rPr>
                      <w:u w:val="single"/>
                    </w:rPr>
                    <w:t>片区，</w:t>
                  </w:r>
                  <w:r>
                    <w:rPr>
                      <w:rFonts w:hint="eastAsia"/>
                      <w:u w:val="single"/>
                    </w:rPr>
                    <w:t>进行</w:t>
                  </w:r>
                  <w:r>
                    <w:rPr>
                      <w:rFonts w:hint="eastAsia"/>
                      <w:u w:val="single"/>
                      <w:lang w:val="en-US" w:eastAsia="zh-CN"/>
                    </w:rPr>
                    <w:t>汽车零部件生产</w:t>
                  </w:r>
                  <w:r>
                    <w:rPr>
                      <w:u w:val="single"/>
                    </w:rPr>
                    <w:t>。项目不属于国家产业政策明令禁止及淘汰的项目，</w:t>
                  </w:r>
                  <w:r>
                    <w:rPr>
                      <w:highlight w:val="none"/>
                      <w:u w:val="single"/>
                    </w:rPr>
                    <w:t>且本项目属于产业结构指导目录（20</w:t>
                  </w:r>
                  <w:r>
                    <w:rPr>
                      <w:rFonts w:hint="eastAsia"/>
                      <w:highlight w:val="none"/>
                      <w:u w:val="single"/>
                      <w:lang w:val="en-US" w:eastAsia="zh-CN"/>
                    </w:rPr>
                    <w:t>24</w:t>
                  </w:r>
                  <w:r>
                    <w:rPr>
                      <w:highlight w:val="none"/>
                      <w:u w:val="single"/>
                    </w:rPr>
                    <w:t>年本）的鼓励类</w:t>
                  </w:r>
                </w:p>
              </w:tc>
              <w:tc>
                <w:tcPr>
                  <w:tcW w:w="1134" w:type="dxa"/>
                  <w:noWrap w:val="0"/>
                  <w:vAlign w:val="center"/>
                </w:tcPr>
                <w:p w14:paraId="78DBD32F">
                  <w:pPr>
                    <w:jc w:val="center"/>
                    <w:rPr>
                      <w:u w:val="single"/>
                    </w:rPr>
                  </w:pPr>
                  <w:r>
                    <w:rPr>
                      <w:rFonts w:hint="eastAsia"/>
                      <w:u w:val="single"/>
                    </w:rPr>
                    <w:t>是</w:t>
                  </w:r>
                </w:p>
              </w:tc>
            </w:tr>
            <w:tr w14:paraId="34C6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2" w:type="dxa"/>
                  <w:noWrap w:val="0"/>
                  <w:vAlign w:val="center"/>
                </w:tcPr>
                <w:p w14:paraId="6853DBEA">
                  <w:pPr>
                    <w:jc w:val="center"/>
                    <w:rPr>
                      <w:u w:val="single"/>
                      <w:lang w:val="zh-CN"/>
                    </w:rPr>
                  </w:pPr>
                  <w:r>
                    <w:rPr>
                      <w:u w:val="single"/>
                      <w:lang w:val="zh-CN"/>
                    </w:rPr>
                    <w:t>（二</w:t>
                  </w:r>
                  <w:r>
                    <w:rPr>
                      <w:rFonts w:hint="eastAsia"/>
                      <w:u w:val="single"/>
                      <w:lang w:val="zh-CN"/>
                    </w:rPr>
                    <w:t>）</w:t>
                  </w:r>
                  <w:r>
                    <w:rPr>
                      <w:u w:val="single"/>
                      <w:lang w:val="zh-CN"/>
                    </w:rPr>
                    <w:t>严格执行集中区入园企业准入制度，入园项目选址必须符合集中区总体发展规划、用地规划、环保规划及主导产业定位要求，不得引进国家明令淘汰和禁止发展的能耗物耗高、环境污染严重、不符合产业政策的建设项目，集中区禁止引入气型污染企业，除保留双溪片区现有三类工业企业外，禁止新引进三类工业企业，对双溪片区内现有的水泥产能规模不得扩建新增；在洪江市黔城镇饮用水源取水口搬迁完毕且水域功能区划相应调整完成前，双溪片区内不得新引进工业项目。管委会和地方环保行政主管部门必须按照报告书提出的“工业集中区准入行业、条件一览表”做好集中区内项目的招商把关，在入园项目前期和建设期，必须严格执行项目环境影响评价和“三同时”管理制度，推行清洁生产工艺，确保排污浓度、总量满足达标排放和总量控制要求；加强对规划区内企业的环境监管，对已入园项目按报告书提出的建议进行清理整治，确保集中区内建设项目总体满足地方环保管理要求。 按洪江市经济和信息化局的相关文件要求，限期于2015年年底前关停淘汰湖南港翔实业有限公司10万吨/年立密水泥生产线；对双溪片区现有气型污染企业制定搬迁退出计划、逐步退出片区，以减轻对双溪镇镇区的大气污染影响。</w:t>
                  </w:r>
                </w:p>
              </w:tc>
              <w:tc>
                <w:tcPr>
                  <w:tcW w:w="2410" w:type="dxa"/>
                  <w:noWrap w:val="0"/>
                  <w:vAlign w:val="center"/>
                </w:tcPr>
                <w:p w14:paraId="4157C113">
                  <w:pPr>
                    <w:jc w:val="center"/>
                    <w:rPr>
                      <w:u w:val="single"/>
                      <w:lang w:val="zh-CN"/>
                    </w:rPr>
                  </w:pPr>
                  <w:r>
                    <w:rPr>
                      <w:u w:val="single"/>
                      <w:lang w:val="zh-CN"/>
                    </w:rPr>
                    <w:t>本项目位于</w:t>
                  </w:r>
                  <w:r>
                    <w:rPr>
                      <w:rFonts w:hint="eastAsia"/>
                      <w:u w:val="single"/>
                      <w:lang w:val="en-US" w:eastAsia="zh-CN"/>
                    </w:rPr>
                    <w:t>双溪</w:t>
                  </w:r>
                  <w:r>
                    <w:rPr>
                      <w:u w:val="single"/>
                      <w:lang w:val="zh-CN"/>
                    </w:rPr>
                    <w:t>片区，符合入园企业准入制度、项目选址符合园区总体发展规划、环保规划及工业园产业定位要求。</w:t>
                  </w:r>
                </w:p>
              </w:tc>
              <w:tc>
                <w:tcPr>
                  <w:tcW w:w="1134" w:type="dxa"/>
                  <w:noWrap w:val="0"/>
                  <w:vAlign w:val="center"/>
                </w:tcPr>
                <w:p w14:paraId="1EF2E808">
                  <w:pPr>
                    <w:jc w:val="center"/>
                    <w:rPr>
                      <w:u w:val="single"/>
                      <w:lang w:bidi="zh-CN"/>
                    </w:rPr>
                  </w:pPr>
                  <w:r>
                    <w:rPr>
                      <w:rFonts w:hint="eastAsia"/>
                      <w:u w:val="single"/>
                      <w:lang w:bidi="zh-CN"/>
                    </w:rPr>
                    <w:t>是</w:t>
                  </w:r>
                </w:p>
              </w:tc>
            </w:tr>
            <w:tr w14:paraId="65CD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trPr>
              <w:tc>
                <w:tcPr>
                  <w:tcW w:w="4422" w:type="dxa"/>
                  <w:noWrap w:val="0"/>
                  <w:vAlign w:val="center"/>
                </w:tcPr>
                <w:p w14:paraId="6BF37038">
                  <w:pPr>
                    <w:jc w:val="center"/>
                    <w:rPr>
                      <w:u w:val="single"/>
                      <w:lang w:val="zh-CN"/>
                    </w:rPr>
                  </w:pPr>
                  <w:r>
                    <w:rPr>
                      <w:u w:val="single"/>
                      <w:lang w:val="zh-CN"/>
                    </w:rPr>
                    <w:t>（三）落实集中区水污染控制措施。集中区排水实施雨污分流，做好区域相应排水管网、污水处理厂等基础设施建设，按排水分区，双溪片区与双溪镇合建集中污水处理厂，该片区污水经收集后由片区规划建设的污水处理厂处理</w:t>
                  </w:r>
                  <w:r>
                    <w:rPr>
                      <w:rFonts w:hint="eastAsia"/>
                      <w:u w:val="single"/>
                      <w:lang w:val="zh-CN"/>
                    </w:rPr>
                    <w:t>达到</w:t>
                  </w:r>
                  <w:r>
                    <w:rPr>
                      <w:u w:val="single"/>
                      <w:lang w:val="zh-CN"/>
                    </w:rPr>
                    <w:t>《城镇污水处理厂污染物排放标准》（GB18918-2002）一级B标准后外排舞水；株山片区污水经管网送至已建成运行的洪江市城市污水处理厂深度处理。在各片区污水处理厂及相应纳污管网建成接管运营前，区内企业须 自建污水深度处理设施，确保企业排口外排废水满足《污水综合排放标准》（GB8978-1996）中一级标准要求</w:t>
                  </w:r>
                </w:p>
              </w:tc>
              <w:tc>
                <w:tcPr>
                  <w:tcW w:w="2410" w:type="dxa"/>
                  <w:noWrap w:val="0"/>
                  <w:vAlign w:val="center"/>
                </w:tcPr>
                <w:p w14:paraId="270CAE2F">
                  <w:pPr>
                    <w:rPr>
                      <w:u w:val="single"/>
                    </w:rPr>
                  </w:pPr>
                  <w:r>
                    <w:rPr>
                      <w:u w:val="single"/>
                      <w:lang w:val="zh-CN"/>
                    </w:rPr>
                    <w:t>本项目位于</w:t>
                  </w:r>
                  <w:r>
                    <w:rPr>
                      <w:rFonts w:hint="eastAsia"/>
                      <w:u w:val="single"/>
                      <w:lang w:val="en-US" w:eastAsia="zh-CN"/>
                    </w:rPr>
                    <w:t>双溪</w:t>
                  </w:r>
                  <w:r>
                    <w:rPr>
                      <w:u w:val="single"/>
                      <w:lang w:val="zh-CN"/>
                    </w:rPr>
                    <w:t>片区，</w:t>
                  </w:r>
                  <w:r>
                    <w:rPr>
                      <w:u w:val="single"/>
                    </w:rPr>
                    <w:t>本项目雨污分流，污污分流制，雨水进入园区雨水沟排入自然水体；仅有生活污水排入园区污水处理厂，无生产废水排放，不属于涉水排放企业。</w:t>
                  </w:r>
                </w:p>
                <w:p w14:paraId="09B89508">
                  <w:pPr>
                    <w:jc w:val="center"/>
                    <w:rPr>
                      <w:u w:val="single"/>
                      <w:lang w:val="zh-CN"/>
                    </w:rPr>
                  </w:pPr>
                </w:p>
              </w:tc>
              <w:tc>
                <w:tcPr>
                  <w:tcW w:w="1134" w:type="dxa"/>
                  <w:noWrap w:val="0"/>
                  <w:vAlign w:val="center"/>
                </w:tcPr>
                <w:p w14:paraId="7415CC7B">
                  <w:pPr>
                    <w:jc w:val="center"/>
                    <w:rPr>
                      <w:u w:val="single"/>
                      <w:lang w:bidi="zh-CN"/>
                    </w:rPr>
                  </w:pPr>
                  <w:r>
                    <w:rPr>
                      <w:rFonts w:hint="eastAsia"/>
                      <w:u w:val="single"/>
                      <w:lang w:bidi="zh-CN"/>
                    </w:rPr>
                    <w:t>是</w:t>
                  </w:r>
                </w:p>
              </w:tc>
            </w:tr>
            <w:tr w14:paraId="2A51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2" w:type="dxa"/>
                  <w:noWrap w:val="0"/>
                  <w:vAlign w:val="center"/>
                </w:tcPr>
                <w:p w14:paraId="3E5A8BD7">
                  <w:pPr>
                    <w:jc w:val="center"/>
                    <w:rPr>
                      <w:u w:val="single"/>
                      <w:lang w:val="zh-CN"/>
                    </w:rPr>
                  </w:pPr>
                  <w:r>
                    <w:rPr>
                      <w:rFonts w:hint="eastAsia"/>
                      <w:u w:val="single"/>
                      <w:lang w:eastAsia="zh-CN"/>
                    </w:rPr>
                    <w:t>（</w:t>
                  </w:r>
                  <w:r>
                    <w:rPr>
                      <w:u w:val="single"/>
                    </w:rPr>
                    <w:t>四</w:t>
                  </w:r>
                  <w:r>
                    <w:rPr>
                      <w:rFonts w:hint="eastAsia"/>
                      <w:u w:val="single"/>
                      <w:lang w:eastAsia="zh-CN"/>
                    </w:rPr>
                    <w:t>）</w:t>
                  </w:r>
                  <w:r>
                    <w:rPr>
                      <w:u w:val="single"/>
                    </w:rPr>
                    <w:t>按报告书要求做好集中区大气污染控制措施。管委会应积极推广清洁能源，在集中区内严格控制4吨/时以下燃煤锅炉建设，对现有燃煤企业通过集中协调外调低硫煤和洗选煤保障园区内燃煤含硫率控制在1%以下。建立集中区清洁生产管理考核机制，对各企业工艺废气产出的生产节点，应配置废气收集与处理净化装置，确保达标排放；加强生产工艺研究与技术改进，采取有效措施，减少入园企业工艺废气的无组织排放；入园企业各生产装置排放的废气须经处理达到相应的行业排放标准及《大气污染物综合排放标准》中二级标准要求。合理优化工业布局，在不同性质的工业企业间设置合理的间隔距离，防止相互干扰，对园区内现有的水泥厂、铁合金厂周边用地应严格按照相关准入条件、防护距离的规定做好控规，其内不得规划和建设环境敏感型建筑物</w:t>
                  </w:r>
                </w:p>
              </w:tc>
              <w:tc>
                <w:tcPr>
                  <w:tcW w:w="2410" w:type="dxa"/>
                  <w:noWrap w:val="0"/>
                  <w:vAlign w:val="center"/>
                </w:tcPr>
                <w:p w14:paraId="4B63F70C">
                  <w:pPr>
                    <w:jc w:val="center"/>
                    <w:rPr>
                      <w:u w:val="single"/>
                    </w:rPr>
                  </w:pPr>
                  <w:r>
                    <w:rPr>
                      <w:u w:val="single"/>
                    </w:rPr>
                    <w:t>本项目生产采用能源为电能，不使用煤等高污染能源，工程运营期产生的废气经相应的处理措施处理后达标排放</w:t>
                  </w:r>
                  <w:r>
                    <w:rPr>
                      <w:rFonts w:hint="eastAsia"/>
                      <w:u w:val="single"/>
                    </w:rPr>
                    <w:t>，</w:t>
                  </w:r>
                  <w:r>
                    <w:rPr>
                      <w:u w:val="single"/>
                    </w:rPr>
                    <w:t>对周边环境影响不大</w:t>
                  </w:r>
                  <w:r>
                    <w:rPr>
                      <w:rFonts w:hint="eastAsia"/>
                      <w:u w:val="single"/>
                      <w:lang w:eastAsia="zh-CN"/>
                    </w:rPr>
                    <w:t>。</w:t>
                  </w:r>
                </w:p>
              </w:tc>
              <w:tc>
                <w:tcPr>
                  <w:tcW w:w="1134" w:type="dxa"/>
                  <w:noWrap w:val="0"/>
                  <w:vAlign w:val="center"/>
                </w:tcPr>
                <w:p w14:paraId="460E9A97">
                  <w:pPr>
                    <w:jc w:val="center"/>
                    <w:rPr>
                      <w:u w:val="single"/>
                      <w:lang w:bidi="zh-CN"/>
                    </w:rPr>
                  </w:pPr>
                  <w:r>
                    <w:rPr>
                      <w:rFonts w:hint="eastAsia"/>
                      <w:u w:val="single"/>
                      <w:lang w:bidi="zh-CN"/>
                    </w:rPr>
                    <w:t>是</w:t>
                  </w:r>
                </w:p>
              </w:tc>
            </w:tr>
            <w:tr w14:paraId="1A0F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2" w:type="dxa"/>
                  <w:noWrap w:val="0"/>
                  <w:vAlign w:val="center"/>
                </w:tcPr>
                <w:p w14:paraId="521F1B98">
                  <w:pPr>
                    <w:jc w:val="center"/>
                    <w:rPr>
                      <w:u w:val="single"/>
                    </w:rPr>
                  </w:pPr>
                  <w:r>
                    <w:rPr>
                      <w:u w:val="single"/>
                    </w:rPr>
                    <w:t>（五）做好集中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w:t>
                  </w:r>
                </w:p>
              </w:tc>
              <w:tc>
                <w:tcPr>
                  <w:tcW w:w="2410" w:type="dxa"/>
                  <w:noWrap w:val="0"/>
                  <w:vAlign w:val="center"/>
                </w:tcPr>
                <w:p w14:paraId="5FA8024C">
                  <w:pPr>
                    <w:jc w:val="center"/>
                    <w:rPr>
                      <w:u w:val="single"/>
                    </w:rPr>
                  </w:pPr>
                  <w:r>
                    <w:rPr>
                      <w:u w:val="single"/>
                    </w:rPr>
                    <w:t>本项目工业固体废物和生活垃圾</w:t>
                  </w:r>
                  <w:r>
                    <w:rPr>
                      <w:rFonts w:hint="eastAsia"/>
                      <w:u w:val="single"/>
                    </w:rPr>
                    <w:t>分类收集，</w:t>
                  </w:r>
                  <w:r>
                    <w:rPr>
                      <w:u w:val="single"/>
                    </w:rPr>
                    <w:t>厂房内设置危废间</w:t>
                  </w:r>
                  <w:r>
                    <w:rPr>
                      <w:rFonts w:hint="eastAsia"/>
                      <w:u w:val="single"/>
                    </w:rPr>
                    <w:t>、垃圾桶</w:t>
                  </w:r>
                </w:p>
              </w:tc>
              <w:tc>
                <w:tcPr>
                  <w:tcW w:w="1134" w:type="dxa"/>
                  <w:noWrap w:val="0"/>
                  <w:vAlign w:val="center"/>
                </w:tcPr>
                <w:p w14:paraId="2E811AA5">
                  <w:pPr>
                    <w:jc w:val="center"/>
                    <w:rPr>
                      <w:u w:val="single"/>
                      <w:lang w:bidi="zh-CN"/>
                    </w:rPr>
                  </w:pPr>
                  <w:r>
                    <w:rPr>
                      <w:rFonts w:hint="eastAsia"/>
                      <w:u w:val="single"/>
                      <w:lang w:bidi="zh-CN"/>
                    </w:rPr>
                    <w:t>是</w:t>
                  </w:r>
                </w:p>
              </w:tc>
            </w:tr>
          </w:tbl>
          <w:p w14:paraId="62C120FE">
            <w:pPr>
              <w:spacing w:line="360" w:lineRule="auto"/>
              <w:ind w:firstLine="480" w:firstLineChars="200"/>
              <w:rPr>
                <w:rFonts w:hint="eastAsia"/>
                <w:kern w:val="0"/>
                <w:sz w:val="24"/>
                <w:szCs w:val="24"/>
                <w:u w:val="single"/>
              </w:rPr>
            </w:pPr>
            <w:r>
              <w:rPr>
                <w:rFonts w:hint="eastAsia"/>
                <w:kern w:val="0"/>
                <w:sz w:val="24"/>
                <w:szCs w:val="24"/>
                <w:u w:val="single"/>
              </w:rPr>
              <w:t>综上所述，本项目的建设符合洪江市高新技术产业开发区环评批复的要求。</w:t>
            </w:r>
          </w:p>
          <w:p w14:paraId="1BF9AA4A">
            <w:pPr>
              <w:autoSpaceDE w:val="0"/>
              <w:autoSpaceDN w:val="0"/>
              <w:adjustRightInd w:val="0"/>
              <w:snapToGrid w:val="0"/>
              <w:spacing w:line="360" w:lineRule="auto"/>
              <w:ind w:firstLine="482" w:firstLineChars="200"/>
              <w:rPr>
                <w:b/>
                <w:bCs/>
                <w:color w:val="000000" w:themeColor="text1"/>
                <w:sz w:val="24"/>
                <w:szCs w:val="24"/>
                <w:u w:val="single"/>
                <w14:textFill>
                  <w14:solidFill>
                    <w14:schemeClr w14:val="tx1"/>
                  </w14:solidFill>
                </w14:textFill>
              </w:rPr>
            </w:pPr>
            <w:r>
              <w:rPr>
                <w:rFonts w:hint="eastAsia"/>
                <w:b/>
                <w:bCs/>
                <w:color w:val="000000" w:themeColor="text1"/>
                <w:sz w:val="24"/>
                <w:szCs w:val="24"/>
                <w:u w:val="single"/>
                <w:lang w:val="en-US" w:eastAsia="zh-CN"/>
                <w14:textFill>
                  <w14:solidFill>
                    <w14:schemeClr w14:val="tx1"/>
                  </w14:solidFill>
                </w14:textFill>
              </w:rPr>
              <w:t>1.3</w:t>
            </w:r>
            <w:r>
              <w:rPr>
                <w:b/>
                <w:bCs/>
                <w:color w:val="000000" w:themeColor="text1"/>
                <w:sz w:val="24"/>
                <w:szCs w:val="24"/>
                <w:u w:val="single"/>
                <w14:textFill>
                  <w14:solidFill>
                    <w14:schemeClr w14:val="tx1"/>
                  </w14:solidFill>
                </w14:textFill>
              </w:rPr>
              <w:t>与湖南省生态环境厅《关于洪江市工业集中区环境影响跟踪评价工作意见的函》（湘环评函[2020]39号）</w:t>
            </w:r>
            <w:r>
              <w:rPr>
                <w:rFonts w:hint="eastAsia"/>
                <w:b/>
                <w:bCs/>
                <w:color w:val="000000" w:themeColor="text1"/>
                <w:sz w:val="24"/>
                <w:szCs w:val="24"/>
                <w:u w:val="single"/>
                <w:lang w:eastAsia="zh-CN"/>
                <w14:textFill>
                  <w14:solidFill>
                    <w14:schemeClr w14:val="tx1"/>
                  </w14:solidFill>
                </w14:textFill>
              </w:rPr>
              <w:t>符合</w:t>
            </w:r>
            <w:r>
              <w:rPr>
                <w:rFonts w:hint="eastAsia"/>
                <w:b/>
                <w:bCs/>
                <w:color w:val="000000" w:themeColor="text1"/>
                <w:sz w:val="24"/>
                <w:szCs w:val="24"/>
                <w:u w:val="single"/>
                <w:lang w:val="en-US" w:eastAsia="zh-CN"/>
                <w14:textFill>
                  <w14:solidFill>
                    <w14:schemeClr w14:val="tx1"/>
                  </w14:solidFill>
                </w14:textFill>
              </w:rPr>
              <w:t>性</w:t>
            </w:r>
            <w:r>
              <w:rPr>
                <w:b/>
                <w:bCs/>
                <w:color w:val="000000" w:themeColor="text1"/>
                <w:sz w:val="24"/>
                <w:szCs w:val="24"/>
                <w:u w:val="single"/>
                <w14:textFill>
                  <w14:solidFill>
                    <w14:schemeClr w14:val="tx1"/>
                  </w14:solidFill>
                </w14:textFill>
              </w:rPr>
              <w:t>分析。</w:t>
            </w:r>
          </w:p>
          <w:p w14:paraId="7FC4BB07">
            <w:pPr>
              <w:ind w:firstLine="422" w:firstLineChars="200"/>
              <w:jc w:val="center"/>
              <w:rPr>
                <w:rFonts w:hint="eastAsia"/>
                <w:b/>
                <w:bCs/>
                <w:u w:val="single"/>
              </w:rPr>
            </w:pPr>
            <w:r>
              <w:rPr>
                <w:rFonts w:hint="eastAsia"/>
                <w:b/>
                <w:bCs/>
                <w:u w:val="single"/>
              </w:rPr>
              <w:t>表1-</w:t>
            </w:r>
            <w:r>
              <w:rPr>
                <w:rFonts w:hint="eastAsia"/>
                <w:b/>
                <w:bCs/>
                <w:u w:val="single"/>
                <w:lang w:val="en-US" w:eastAsia="zh-CN"/>
              </w:rPr>
              <w:t>3</w:t>
            </w:r>
            <w:r>
              <w:rPr>
                <w:rFonts w:hint="eastAsia"/>
                <w:b/>
                <w:bCs/>
                <w:u w:val="single"/>
              </w:rPr>
              <w:t>项目与（湘环评函[2020]39号）</w:t>
            </w:r>
            <w:r>
              <w:rPr>
                <w:rFonts w:hint="eastAsia"/>
                <w:b/>
                <w:bCs/>
                <w:u w:val="single"/>
                <w:lang w:eastAsia="zh-CN"/>
              </w:rPr>
              <w:t>符合</w:t>
            </w:r>
            <w:r>
              <w:rPr>
                <w:rFonts w:hint="eastAsia"/>
                <w:b/>
                <w:bCs/>
                <w:u w:val="single"/>
                <w:lang w:val="en-US" w:eastAsia="zh-CN"/>
              </w:rPr>
              <w:t>性</w:t>
            </w:r>
            <w:r>
              <w:rPr>
                <w:rFonts w:hint="eastAsia"/>
                <w:b/>
                <w:bCs/>
                <w:u w:val="single"/>
              </w:rPr>
              <w:t>分析（仅列举相关）</w:t>
            </w:r>
          </w:p>
          <w:tbl>
            <w:tblPr>
              <w:tblStyle w:val="22"/>
              <w:tblW w:w="7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4"/>
              <w:gridCol w:w="3003"/>
              <w:gridCol w:w="1031"/>
            </w:tblGrid>
            <w:tr w14:paraId="5307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424" w:type="dxa"/>
                  <w:vAlign w:val="center"/>
                </w:tcPr>
                <w:p w14:paraId="055F774C">
                  <w:pPr>
                    <w:jc w:val="center"/>
                    <w:rPr>
                      <w:u w:val="single"/>
                    </w:rPr>
                  </w:pPr>
                  <w:r>
                    <w:rPr>
                      <w:u w:val="single"/>
                    </w:rPr>
                    <w:t>批复要求</w:t>
                  </w:r>
                </w:p>
              </w:tc>
              <w:tc>
                <w:tcPr>
                  <w:tcW w:w="3003" w:type="dxa"/>
                  <w:vAlign w:val="center"/>
                </w:tcPr>
                <w:p w14:paraId="06B72BDB">
                  <w:pPr>
                    <w:jc w:val="center"/>
                    <w:rPr>
                      <w:u w:val="single"/>
                    </w:rPr>
                  </w:pPr>
                  <w:r>
                    <w:rPr>
                      <w:u w:val="single"/>
                    </w:rPr>
                    <w:t>本项目情况</w:t>
                  </w:r>
                </w:p>
              </w:tc>
              <w:tc>
                <w:tcPr>
                  <w:tcW w:w="1031" w:type="dxa"/>
                  <w:vAlign w:val="center"/>
                </w:tcPr>
                <w:p w14:paraId="60A2CDC1">
                  <w:pPr>
                    <w:jc w:val="center"/>
                    <w:rPr>
                      <w:u w:val="single"/>
                    </w:rPr>
                  </w:pPr>
                  <w:r>
                    <w:rPr>
                      <w:u w:val="single"/>
                    </w:rPr>
                    <w:t>符合性</w:t>
                  </w:r>
                </w:p>
              </w:tc>
            </w:tr>
            <w:tr w14:paraId="5016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24" w:type="dxa"/>
                  <w:vAlign w:val="center"/>
                </w:tcPr>
                <w:p w14:paraId="69D6B4F0">
                  <w:pPr>
                    <w:rPr>
                      <w:u w:val="single"/>
                    </w:rPr>
                  </w:pPr>
                  <w:r>
                    <w:rPr>
                      <w:u w:val="single"/>
                    </w:rPr>
                    <w:t>进一步严格产业环境准入。园区后续发展与规划调整须符合园区“三线一单”环境准入清单要求及《报告书》提出的环境准入条件和负面清单要求。双溪片区现有三类工业企业在严格确保污染物不增加的前提下予以保留，禁止新引进三类工业企业。</w:t>
                  </w:r>
                </w:p>
              </w:tc>
              <w:tc>
                <w:tcPr>
                  <w:tcW w:w="3003" w:type="dxa"/>
                  <w:vAlign w:val="center"/>
                </w:tcPr>
                <w:p w14:paraId="7598534D">
                  <w:pPr>
                    <w:rPr>
                      <w:u w:val="single"/>
                    </w:rPr>
                  </w:pPr>
                  <w:r>
                    <w:rPr>
                      <w:u w:val="single"/>
                    </w:rPr>
                    <w:t>项目从事汽车零部件生产，属于铸造行业，符合园区</w:t>
                  </w:r>
                  <w:r>
                    <w:rPr>
                      <w:rFonts w:hint="eastAsia"/>
                      <w:u w:val="single"/>
                      <w:lang w:eastAsia="zh-CN"/>
                    </w:rPr>
                    <w:t>“</w:t>
                  </w:r>
                  <w:r>
                    <w:rPr>
                      <w:u w:val="single"/>
                    </w:rPr>
                    <w:t>三线一单</w:t>
                  </w:r>
                  <w:r>
                    <w:rPr>
                      <w:rFonts w:hint="eastAsia"/>
                      <w:u w:val="single"/>
                      <w:lang w:eastAsia="zh-CN"/>
                    </w:rPr>
                    <w:t>”</w:t>
                  </w:r>
                  <w:r>
                    <w:rPr>
                      <w:u w:val="single"/>
                    </w:rPr>
                    <w:t>环境准入清单要求，与</w:t>
                  </w:r>
                  <w:r>
                    <w:rPr>
                      <w:rFonts w:hint="eastAsia"/>
                      <w:u w:val="single"/>
                    </w:rPr>
                    <w:t>规划环评</w:t>
                  </w:r>
                  <w:r>
                    <w:rPr>
                      <w:u w:val="single"/>
                    </w:rPr>
                    <w:t>提出的环境准入条件和负面清单不冲突，不属于对公共设施等环境有严重干扰和污染的</w:t>
                  </w:r>
                  <w:r>
                    <w:rPr>
                      <w:rFonts w:hint="eastAsia"/>
                      <w:u w:val="single"/>
                    </w:rPr>
                    <w:t>三</w:t>
                  </w:r>
                  <w:r>
                    <w:rPr>
                      <w:u w:val="single"/>
                    </w:rPr>
                    <w:t>类工业。</w:t>
                  </w:r>
                </w:p>
              </w:tc>
              <w:tc>
                <w:tcPr>
                  <w:tcW w:w="1031" w:type="dxa"/>
                  <w:vAlign w:val="center"/>
                </w:tcPr>
                <w:p w14:paraId="47260B82">
                  <w:pPr>
                    <w:rPr>
                      <w:u w:val="single"/>
                    </w:rPr>
                  </w:pPr>
                  <w:r>
                    <w:rPr>
                      <w:u w:val="single"/>
                    </w:rPr>
                    <w:t>符合</w:t>
                  </w:r>
                </w:p>
              </w:tc>
            </w:tr>
            <w:tr w14:paraId="3C5E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3" w:hRule="atLeast"/>
                <w:jc w:val="center"/>
              </w:trPr>
              <w:tc>
                <w:tcPr>
                  <w:tcW w:w="3424" w:type="dxa"/>
                  <w:vAlign w:val="center"/>
                </w:tcPr>
                <w:p w14:paraId="39CF080F">
                  <w:pPr>
                    <w:rPr>
                      <w:u w:val="single"/>
                    </w:rPr>
                  </w:pPr>
                  <w:r>
                    <w:rPr>
                      <w:u w:val="single"/>
                    </w:rPr>
                    <w:t>进一步落实园区污染管控措施。完善园区雨污分流系统、污水收集管网及集中污水处理设施建设，确保园区废水应收尽收，全部送至配套的集中污水处理厂处理、双溪片区污水厂下游黔城镇饮用水源取水口搬迁完毕之前，该片区严禁引进涉水排放企业。优化能源结构，推广清洁能源，加强园区大气污染防治，加大对区内重点排污企业废气治理措施运行情况及废气无组织排放的监管，确保大气污染物达标排放，对治理设施不能有效运行的企业，采取停产措施。做好工业固体废物和生活垃圾的分类收集、转运、综合利用和无害化处理，建立完善的固废管理体系。对危险废物应严格按照国家有关规定综合利用或妥善处置，对危险废物产生企业和经营单位，应强化日常环境监管。</w:t>
                  </w:r>
                  <w:r>
                    <w:rPr>
                      <w:rFonts w:hint="eastAsia"/>
                      <w:u w:val="single"/>
                      <w:lang w:eastAsia="zh-CN"/>
                    </w:rPr>
                    <w:t>园区</w:t>
                  </w:r>
                  <w:r>
                    <w:rPr>
                      <w:u w:val="single"/>
                    </w:rPr>
                    <w:t>严格落实排污许可制度和污染物排放总量控制，重点抓好企业环保手续的完善。</w:t>
                  </w:r>
                </w:p>
              </w:tc>
              <w:tc>
                <w:tcPr>
                  <w:tcW w:w="3003" w:type="dxa"/>
                  <w:vAlign w:val="center"/>
                </w:tcPr>
                <w:p w14:paraId="6B81A2A1">
                  <w:pPr>
                    <w:rPr>
                      <w:u w:val="single"/>
                    </w:rPr>
                  </w:pPr>
                  <w:r>
                    <w:rPr>
                      <w:u w:val="single"/>
                    </w:rPr>
                    <w:t>项目采用雨污分流制排水；雨水收集后纳入园区雨水管网，污水中仅有生活污水排入园区污水处理厂，无生产废水排放，不属于涉水排放企业。</w:t>
                  </w:r>
                </w:p>
                <w:p w14:paraId="7E50070A">
                  <w:pPr>
                    <w:rPr>
                      <w:u w:val="single"/>
                    </w:rPr>
                  </w:pPr>
                  <w:r>
                    <w:rPr>
                      <w:u w:val="single"/>
                    </w:rPr>
                    <w:t>项目排放的所有废气均经相应的环保设施治理后排放，均可达到相应的标准限值。</w:t>
                  </w:r>
                </w:p>
                <w:p w14:paraId="73BFAC6C">
                  <w:pPr>
                    <w:rPr>
                      <w:u w:val="single"/>
                    </w:rPr>
                  </w:pPr>
                  <w:r>
                    <w:rPr>
                      <w:u w:val="single"/>
                    </w:rPr>
                    <w:t>项目一般工业固体废物外售综合利用或回用于生产，危险废物暂存于危废间，定期交由有资质单位处置。环评要求项目建设后及时</w:t>
                  </w:r>
                  <w:r>
                    <w:rPr>
                      <w:rFonts w:hint="eastAsia"/>
                      <w:u w:val="single"/>
                    </w:rPr>
                    <w:t>进行环保验收，并</w:t>
                  </w:r>
                  <w:r>
                    <w:rPr>
                      <w:u w:val="single"/>
                    </w:rPr>
                    <w:t>办理排污许可证</w:t>
                  </w:r>
                  <w:r>
                    <w:rPr>
                      <w:rFonts w:hint="eastAsia"/>
                      <w:u w:val="single"/>
                    </w:rPr>
                    <w:t>手续</w:t>
                  </w:r>
                  <w:r>
                    <w:rPr>
                      <w:u w:val="single"/>
                    </w:rPr>
                    <w:t>。</w:t>
                  </w:r>
                </w:p>
              </w:tc>
              <w:tc>
                <w:tcPr>
                  <w:tcW w:w="1031" w:type="dxa"/>
                  <w:vAlign w:val="center"/>
                </w:tcPr>
                <w:p w14:paraId="0FF6F180">
                  <w:pPr>
                    <w:rPr>
                      <w:u w:val="single"/>
                    </w:rPr>
                  </w:pPr>
                  <w:r>
                    <w:rPr>
                      <w:u w:val="single"/>
                    </w:rPr>
                    <w:t>符合</w:t>
                  </w:r>
                </w:p>
              </w:tc>
            </w:tr>
            <w:tr w14:paraId="3E6E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3424" w:type="dxa"/>
                  <w:vAlign w:val="center"/>
                </w:tcPr>
                <w:p w14:paraId="31925713">
                  <w:pPr>
                    <w:rPr>
                      <w:u w:val="single"/>
                    </w:rPr>
                  </w:pPr>
                  <w:r>
                    <w:rPr>
                      <w:u w:val="single"/>
                    </w:rPr>
                    <w:t>完善园区环境监测体系。园区应严格落实跟踪评价提出的监测方案，结合园区规划的功能分区、产业布局、重点企业</w:t>
                  </w:r>
                </w:p>
                <w:p w14:paraId="069460FA">
                  <w:pPr>
                    <w:rPr>
                      <w:u w:val="single"/>
                    </w:rPr>
                  </w:pPr>
                  <w:r>
                    <w:rPr>
                      <w:u w:val="single"/>
                    </w:rPr>
                    <w:t>分布、特征污染物的排放种类和状况、环境敏感目标分布等，建立健全环境空气、地表水、地下水、土壤等环境要素的监控体系。</w:t>
                  </w:r>
                </w:p>
              </w:tc>
              <w:tc>
                <w:tcPr>
                  <w:tcW w:w="3003" w:type="dxa"/>
                  <w:vAlign w:val="center"/>
                </w:tcPr>
                <w:p w14:paraId="701FF23B">
                  <w:pPr>
                    <w:rPr>
                      <w:u w:val="single"/>
                    </w:rPr>
                  </w:pPr>
                  <w:r>
                    <w:rPr>
                      <w:u w:val="single"/>
                    </w:rPr>
                    <w:t>项目建成后将依据《排污单位自行监测技术指南 总则》(HJ819-2017)\《排污许可证申请与核发技术规范 总则》、《排污许可证申请与核发技术规范金属铸造工业》（HJ1115-2020）等相关文件将自行监测工作落实到位。</w:t>
                  </w:r>
                </w:p>
              </w:tc>
              <w:tc>
                <w:tcPr>
                  <w:tcW w:w="1031" w:type="dxa"/>
                  <w:vAlign w:val="center"/>
                </w:tcPr>
                <w:p w14:paraId="0E18AE93">
                  <w:pPr>
                    <w:rPr>
                      <w:u w:val="single"/>
                    </w:rPr>
                  </w:pPr>
                  <w:r>
                    <w:rPr>
                      <w:u w:val="single"/>
                    </w:rPr>
                    <w:t>符合</w:t>
                  </w:r>
                </w:p>
              </w:tc>
            </w:tr>
            <w:tr w14:paraId="671B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3424" w:type="dxa"/>
                  <w:vAlign w:val="center"/>
                </w:tcPr>
                <w:p w14:paraId="67EE16C1">
                  <w:pPr>
                    <w:rPr>
                      <w:u w:val="single"/>
                    </w:rPr>
                  </w:pPr>
                  <w:r>
                    <w:rPr>
                      <w:u w:val="single"/>
                    </w:rPr>
                    <w:t>健全园区环境风险防控体系。加强园区重要风险源管控，加强园区危险化学品储运的环境风险管理，严格落实应急响应联动机制，确保区域环境安全。</w:t>
                  </w:r>
                </w:p>
              </w:tc>
              <w:tc>
                <w:tcPr>
                  <w:tcW w:w="3003" w:type="dxa"/>
                  <w:vAlign w:val="center"/>
                </w:tcPr>
                <w:p w14:paraId="79F8C780">
                  <w:pPr>
                    <w:rPr>
                      <w:u w:val="single"/>
                    </w:rPr>
                  </w:pPr>
                  <w:r>
                    <w:rPr>
                      <w:u w:val="single"/>
                    </w:rPr>
                    <w:t>项目投产后将及时编制“突发环境事件应急预案”，建立应急机制、应急体系。环评要求项目在风险单元进行地面硬化防渗、修筑围堰，妥善分区储存</w:t>
                  </w:r>
                  <w:r>
                    <w:rPr>
                      <w:rFonts w:hint="eastAsia"/>
                      <w:u w:val="single"/>
                    </w:rPr>
                    <w:t>机油</w:t>
                  </w:r>
                  <w:r>
                    <w:rPr>
                      <w:u w:val="single"/>
                    </w:rPr>
                    <w:t>、废机油等风险物质</w:t>
                  </w:r>
                  <w:r>
                    <w:rPr>
                      <w:rFonts w:hint="eastAsia"/>
                      <w:u w:val="single"/>
                    </w:rPr>
                    <w:t>。</w:t>
                  </w:r>
                </w:p>
              </w:tc>
              <w:tc>
                <w:tcPr>
                  <w:tcW w:w="1031" w:type="dxa"/>
                  <w:vAlign w:val="center"/>
                </w:tcPr>
                <w:p w14:paraId="1374DBE1">
                  <w:pPr>
                    <w:rPr>
                      <w:u w:val="single"/>
                    </w:rPr>
                  </w:pPr>
                  <w:r>
                    <w:rPr>
                      <w:u w:val="single"/>
                    </w:rPr>
                    <w:t>符合</w:t>
                  </w:r>
                </w:p>
              </w:tc>
            </w:tr>
            <w:tr w14:paraId="276A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3424" w:type="dxa"/>
                  <w:vAlign w:val="center"/>
                </w:tcPr>
                <w:p w14:paraId="3182C93B">
                  <w:pPr>
                    <w:rPr>
                      <w:u w:val="single"/>
                    </w:rPr>
                  </w:pPr>
                  <w:r>
                    <w:rPr>
                      <w:u w:val="single"/>
                    </w:rPr>
                    <w:t>做好园区后续开发过程中生态环境保护和水土保持。尽可能保留自然水体，施工期对土石方开挖、堆存及回填要实施</w:t>
                  </w:r>
                </w:p>
                <w:p w14:paraId="280CE83F">
                  <w:pPr>
                    <w:rPr>
                      <w:u w:val="single"/>
                    </w:rPr>
                  </w:pPr>
                  <w:r>
                    <w:rPr>
                      <w:u w:val="single"/>
                    </w:rPr>
                    <w:t>围挡、护坡等措施，裸露地及时恢复植被，防止后续开发建设中的扬尘污染和水土流失。</w:t>
                  </w:r>
                </w:p>
              </w:tc>
              <w:tc>
                <w:tcPr>
                  <w:tcW w:w="3003" w:type="dxa"/>
                  <w:vAlign w:val="center"/>
                </w:tcPr>
                <w:p w14:paraId="47778C22">
                  <w:pPr>
                    <w:rPr>
                      <w:u w:val="single"/>
                    </w:rPr>
                  </w:pPr>
                  <w:r>
                    <w:rPr>
                      <w:u w:val="single"/>
                    </w:rPr>
                    <w:t>项目施工期不涉及自然水体，同时将严格遵循相关的技术规范，对土石方开挖、堆存及回填实施围挡、护坡等措施，施工结束后立即对裸露地及时恢复植被，严格控制扬尘污染和水土流失。</w:t>
                  </w:r>
                </w:p>
              </w:tc>
              <w:tc>
                <w:tcPr>
                  <w:tcW w:w="1031" w:type="dxa"/>
                  <w:vAlign w:val="center"/>
                </w:tcPr>
                <w:p w14:paraId="530A2E1F">
                  <w:pPr>
                    <w:rPr>
                      <w:u w:val="single"/>
                    </w:rPr>
                  </w:pPr>
                  <w:r>
                    <w:rPr>
                      <w:u w:val="single"/>
                    </w:rPr>
                    <w:t>符合</w:t>
                  </w:r>
                </w:p>
              </w:tc>
            </w:tr>
          </w:tbl>
          <w:p w14:paraId="5D0FF576">
            <w:pPr>
              <w:autoSpaceDE w:val="0"/>
              <w:autoSpaceDN w:val="0"/>
              <w:adjustRightInd w:val="0"/>
              <w:snapToGrid w:val="0"/>
              <w:spacing w:line="360" w:lineRule="auto"/>
              <w:ind w:firstLine="480" w:firstLineChars="200"/>
              <w:rPr>
                <w:u w:val="single"/>
              </w:rPr>
            </w:pPr>
            <w:r>
              <w:rPr>
                <w:color w:val="000000" w:themeColor="text1"/>
                <w:sz w:val="24"/>
                <w:szCs w:val="24"/>
                <w:u w:val="single"/>
                <w14:textFill>
                  <w14:solidFill>
                    <w14:schemeClr w14:val="tx1"/>
                  </w14:solidFill>
                </w14:textFill>
              </w:rPr>
              <w:t>根据《洪江市工业集中区环境影响跟踪评价报告书》，关于双溪产业园区行业准入条件、环境准入条件及负面清单，具体如下：</w:t>
            </w:r>
          </w:p>
          <w:p w14:paraId="0960302D">
            <w:pPr>
              <w:ind w:firstLine="422" w:firstLineChars="200"/>
              <w:jc w:val="center"/>
              <w:rPr>
                <w:rFonts w:hint="eastAsia"/>
                <w:b/>
                <w:bCs/>
                <w:u w:val="single"/>
              </w:rPr>
            </w:pPr>
            <w:r>
              <w:rPr>
                <w:rFonts w:hint="eastAsia"/>
                <w:b/>
                <w:bCs/>
                <w:u w:val="single"/>
              </w:rPr>
              <w:t>表1-</w:t>
            </w:r>
            <w:r>
              <w:rPr>
                <w:rFonts w:hint="eastAsia"/>
                <w:b/>
                <w:bCs/>
                <w:u w:val="single"/>
                <w:lang w:val="en-US" w:eastAsia="zh-CN"/>
              </w:rPr>
              <w:t>4</w:t>
            </w:r>
            <w:r>
              <w:rPr>
                <w:rFonts w:hint="eastAsia"/>
                <w:b/>
                <w:bCs/>
                <w:u w:val="single"/>
              </w:rPr>
              <w:t>项目与园区禁止引进产业情况对比分析</w:t>
            </w:r>
          </w:p>
          <w:tbl>
            <w:tblPr>
              <w:tblStyle w:val="22"/>
              <w:tblW w:w="7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1"/>
              <w:gridCol w:w="2633"/>
              <w:gridCol w:w="1094"/>
            </w:tblGrid>
            <w:tr w14:paraId="3E16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191" w:type="dxa"/>
                  <w:vAlign w:val="center"/>
                </w:tcPr>
                <w:p w14:paraId="47202B21">
                  <w:pPr>
                    <w:jc w:val="center"/>
                    <w:rPr>
                      <w:szCs w:val="21"/>
                      <w:u w:val="single"/>
                    </w:rPr>
                  </w:pPr>
                  <w:r>
                    <w:rPr>
                      <w:szCs w:val="21"/>
                      <w:u w:val="single"/>
                    </w:rPr>
                    <w:t>园区禁止引进相关产业</w:t>
                  </w:r>
                </w:p>
              </w:tc>
              <w:tc>
                <w:tcPr>
                  <w:tcW w:w="2633" w:type="dxa"/>
                  <w:vAlign w:val="center"/>
                </w:tcPr>
                <w:p w14:paraId="6F6E4C34">
                  <w:pPr>
                    <w:jc w:val="center"/>
                    <w:rPr>
                      <w:szCs w:val="21"/>
                      <w:u w:val="single"/>
                    </w:rPr>
                  </w:pPr>
                  <w:r>
                    <w:rPr>
                      <w:szCs w:val="21"/>
                      <w:u w:val="single"/>
                    </w:rPr>
                    <w:t>本项目符合性</w:t>
                  </w:r>
                </w:p>
              </w:tc>
              <w:tc>
                <w:tcPr>
                  <w:tcW w:w="1094" w:type="dxa"/>
                  <w:vAlign w:val="center"/>
                </w:tcPr>
                <w:p w14:paraId="49375FED">
                  <w:pPr>
                    <w:jc w:val="center"/>
                    <w:rPr>
                      <w:szCs w:val="21"/>
                      <w:u w:val="single"/>
                    </w:rPr>
                  </w:pPr>
                  <w:r>
                    <w:rPr>
                      <w:szCs w:val="21"/>
                      <w:u w:val="single"/>
                    </w:rPr>
                    <w:t>分析结果</w:t>
                  </w:r>
                </w:p>
              </w:tc>
            </w:tr>
            <w:tr w14:paraId="1C66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0" w:hRule="atLeast"/>
                <w:jc w:val="center"/>
              </w:trPr>
              <w:tc>
                <w:tcPr>
                  <w:tcW w:w="4191" w:type="dxa"/>
                  <w:vAlign w:val="center"/>
                </w:tcPr>
                <w:p w14:paraId="0000582E">
                  <w:pPr>
                    <w:widowControl/>
                    <w:jc w:val="center"/>
                    <w:rPr>
                      <w:szCs w:val="21"/>
                      <w:u w:val="single"/>
                    </w:rPr>
                  </w:pPr>
                  <w:r>
                    <w:rPr>
                      <w:color w:val="000000"/>
                      <w:kern w:val="0"/>
                      <w:szCs w:val="21"/>
                      <w:u w:val="single"/>
                      <w:lang w:bidi="ar"/>
                    </w:rPr>
                    <w:t>一类工业用地禁止引进二、三类企业，二类工业用地禁止引进三类企业；不符合产业定位的项目；《产业调整指导目录（2011本）》</w:t>
                  </w:r>
                  <w:r>
                    <w:rPr>
                      <w:rFonts w:hint="eastAsia"/>
                      <w:u w:val="single"/>
                    </w:rPr>
                    <w:t>（2011年本已废止，最新版本为20</w:t>
                  </w:r>
                  <w:r>
                    <w:rPr>
                      <w:rFonts w:hint="eastAsia"/>
                      <w:u w:val="single"/>
                      <w:lang w:val="en-US" w:eastAsia="zh-CN"/>
                    </w:rPr>
                    <w:t>24</w:t>
                  </w:r>
                  <w:r>
                    <w:rPr>
                      <w:rFonts w:hint="eastAsia"/>
                      <w:u w:val="single"/>
                    </w:rPr>
                    <w:t>年本）</w:t>
                  </w:r>
                  <w:r>
                    <w:rPr>
                      <w:color w:val="000000"/>
                      <w:kern w:val="0"/>
                      <w:szCs w:val="21"/>
                      <w:u w:val="single"/>
                      <w:lang w:bidi="ar"/>
                    </w:rPr>
                    <w:t>中限制类和淘汰类企业入园、有色金属等选矿项目；禁止铅、锌、铬等重污染冶炼行业，制革工业；电镀工业；使用含汞、砷、镉、铬、铅、氰化物等为原料的项目；日用化工、造纸、炼油、农药工业；水处理设施不完善的企业禁止开工生产；纺织印染工业；致癌、致畸、致突变产品生产项目；电力工业的小火力发电；国家产业政策明令禁止的项目，以及使用高、中硫煤等大量增加SO</w:t>
                  </w:r>
                  <w:r>
                    <w:rPr>
                      <w:color w:val="000000"/>
                      <w:kern w:val="0"/>
                      <w:sz w:val="13"/>
                      <w:szCs w:val="13"/>
                      <w:u w:val="single"/>
                      <w:lang w:bidi="ar"/>
                    </w:rPr>
                    <w:t>2</w:t>
                  </w:r>
                  <w:r>
                    <w:rPr>
                      <w:color w:val="000000"/>
                      <w:kern w:val="0"/>
                      <w:szCs w:val="21"/>
                      <w:u w:val="single"/>
                      <w:lang w:bidi="ar"/>
                    </w:rPr>
                    <w:t>和TSP排放污染严重的工业项目；大量增加COD排放的工业项目</w:t>
                  </w:r>
                </w:p>
              </w:tc>
              <w:tc>
                <w:tcPr>
                  <w:tcW w:w="2633" w:type="dxa"/>
                  <w:vAlign w:val="center"/>
                </w:tcPr>
                <w:p w14:paraId="06690C63">
                  <w:pPr>
                    <w:rPr>
                      <w:u w:val="single"/>
                    </w:rPr>
                  </w:pPr>
                  <w:r>
                    <w:rPr>
                      <w:u w:val="single"/>
                    </w:rPr>
                    <w:t>本项目从事汽车零部件铸造属于二类工业，建设用地属于</w:t>
                  </w:r>
                  <w:r>
                    <w:rPr>
                      <w:rFonts w:hint="eastAsia"/>
                      <w:u w:val="single"/>
                    </w:rPr>
                    <w:t>二</w:t>
                  </w:r>
                  <w:r>
                    <w:rPr>
                      <w:u w:val="single"/>
                    </w:rPr>
                    <w:t>类工业用地，符合用地规划。</w:t>
                  </w:r>
                </w:p>
                <w:p w14:paraId="142D3B39">
                  <w:pPr>
                    <w:rPr>
                      <w:u w:val="single"/>
                    </w:rPr>
                  </w:pPr>
                  <w:r>
                    <w:rPr>
                      <w:u w:val="single"/>
                    </w:rPr>
                    <w:t>依据《产业调整指导目录（20</w:t>
                  </w:r>
                  <w:r>
                    <w:rPr>
                      <w:rFonts w:hint="eastAsia"/>
                      <w:u w:val="single"/>
                      <w:lang w:val="en-US" w:eastAsia="zh-CN"/>
                    </w:rPr>
                    <w:t>24</w:t>
                  </w:r>
                  <w:r>
                    <w:rPr>
                      <w:u w:val="single"/>
                    </w:rPr>
                    <w:t>本）》</w:t>
                  </w:r>
                  <w:r>
                    <w:rPr>
                      <w:rFonts w:hint="eastAsia"/>
                      <w:u w:val="single"/>
                    </w:rPr>
                    <w:t>（20</w:t>
                  </w:r>
                  <w:r>
                    <w:rPr>
                      <w:rFonts w:hint="eastAsia"/>
                      <w:u w:val="single"/>
                      <w:lang w:val="en-US" w:eastAsia="zh-CN"/>
                    </w:rPr>
                    <w:t>11</w:t>
                  </w:r>
                  <w:r>
                    <w:rPr>
                      <w:rFonts w:hint="eastAsia"/>
                      <w:u w:val="single"/>
                    </w:rPr>
                    <w:t>年本已废止）</w:t>
                  </w:r>
                  <w:r>
                    <w:rPr>
                      <w:u w:val="single"/>
                    </w:rPr>
                    <w:t>项目为</w:t>
                  </w:r>
                  <w:r>
                    <w:rPr>
                      <w:rFonts w:hint="eastAsia"/>
                      <w:u w:val="single"/>
                      <w:lang w:val="en-US" w:eastAsia="zh-CN"/>
                    </w:rPr>
                    <w:t>允许</w:t>
                  </w:r>
                  <w:r>
                    <w:rPr>
                      <w:u w:val="single"/>
                    </w:rPr>
                    <w:t>类。</w:t>
                  </w:r>
                </w:p>
                <w:p w14:paraId="2477DC6F">
                  <w:pPr>
                    <w:rPr>
                      <w:u w:val="single"/>
                    </w:rPr>
                  </w:pPr>
                  <w:r>
                    <w:rPr>
                      <w:u w:val="single"/>
                    </w:rPr>
                    <w:t>项目经营汽车零部件铸造，不属于上文列明的产业。</w:t>
                  </w:r>
                </w:p>
                <w:p w14:paraId="5A648280">
                  <w:pPr>
                    <w:rPr>
                      <w:u w:val="single"/>
                    </w:rPr>
                  </w:pPr>
                  <w:r>
                    <w:rPr>
                      <w:u w:val="single"/>
                    </w:rPr>
                    <w:t>项目使用电感炉使用电能，不涉及高、中硫煤的使用。</w:t>
                  </w:r>
                </w:p>
                <w:p w14:paraId="4D16DB0E">
                  <w:pPr>
                    <w:widowControl/>
                    <w:rPr>
                      <w:u w:val="single"/>
                    </w:rPr>
                  </w:pPr>
                  <w:r>
                    <w:rPr>
                      <w:color w:val="000000"/>
                      <w:kern w:val="0"/>
                      <w:szCs w:val="21"/>
                      <w:u w:val="single"/>
                      <w:lang w:bidi="ar"/>
                    </w:rPr>
                    <w:t>项目无生产废水外排，不属于增加COD排放的工业项目。</w:t>
                  </w:r>
                </w:p>
                <w:p w14:paraId="405B5F48">
                  <w:pPr>
                    <w:pStyle w:val="28"/>
                    <w:rPr>
                      <w:rFonts w:hint="default" w:ascii="Times New Roman" w:hAnsi="Times New Roman" w:cs="Times New Roman"/>
                      <w:u w:val="single"/>
                    </w:rPr>
                  </w:pPr>
                </w:p>
              </w:tc>
              <w:tc>
                <w:tcPr>
                  <w:tcW w:w="1094" w:type="dxa"/>
                  <w:vAlign w:val="center"/>
                </w:tcPr>
                <w:p w14:paraId="1E37C969">
                  <w:pPr>
                    <w:jc w:val="center"/>
                    <w:rPr>
                      <w:szCs w:val="21"/>
                      <w:u w:val="single"/>
                    </w:rPr>
                  </w:pPr>
                  <w:r>
                    <w:rPr>
                      <w:szCs w:val="21"/>
                      <w:u w:val="single"/>
                    </w:rPr>
                    <w:t>项目不属于禁止引进产业</w:t>
                  </w:r>
                </w:p>
              </w:tc>
            </w:tr>
          </w:tbl>
          <w:p w14:paraId="61FF89AF">
            <w:pPr>
              <w:bidi w:val="0"/>
              <w:rPr>
                <w:rFonts w:hint="eastAsia"/>
                <w:u w:val="single"/>
              </w:rPr>
            </w:pPr>
          </w:p>
          <w:p w14:paraId="7C320297">
            <w:pPr>
              <w:spacing w:line="360" w:lineRule="auto"/>
              <w:ind w:firstLine="480" w:firstLineChars="200"/>
            </w:pPr>
            <w:r>
              <w:rPr>
                <w:rFonts w:hint="eastAsia"/>
                <w:kern w:val="0"/>
                <w:sz w:val="24"/>
                <w:szCs w:val="24"/>
                <w:u w:val="single"/>
              </w:rPr>
              <w:t>综上所述，本项目的建设符合</w:t>
            </w:r>
            <w:r>
              <w:rPr>
                <w:color w:val="000000" w:themeColor="text1"/>
                <w:sz w:val="24"/>
                <w:szCs w:val="24"/>
                <w:u w:val="single"/>
                <w14:textFill>
                  <w14:solidFill>
                    <w14:schemeClr w14:val="tx1"/>
                  </w14:solidFill>
                </w14:textFill>
              </w:rPr>
              <w:t>《洪江市工业集中区环境影响跟踪评价报告书》</w:t>
            </w:r>
            <w:r>
              <w:rPr>
                <w:rFonts w:hint="eastAsia"/>
                <w:kern w:val="0"/>
                <w:sz w:val="24"/>
                <w:szCs w:val="24"/>
                <w:u w:val="single"/>
              </w:rPr>
              <w:t>环评批复的要求。</w:t>
            </w:r>
          </w:p>
        </w:tc>
      </w:tr>
      <w:tr w14:paraId="6150A8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6" w:type="dxa"/>
            <w:vAlign w:val="center"/>
          </w:tcPr>
          <w:p w14:paraId="7B1F32C4">
            <w:pPr>
              <w:autoSpaceDE w:val="0"/>
              <w:autoSpaceDN w:val="0"/>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其他符合性分析</w:t>
            </w:r>
          </w:p>
        </w:tc>
        <w:tc>
          <w:tcPr>
            <w:tcW w:w="8223" w:type="dxa"/>
            <w:gridSpan w:val="3"/>
            <w:vAlign w:val="center"/>
          </w:tcPr>
          <w:p w14:paraId="01D4F1B2">
            <w:pPr>
              <w:autoSpaceDE w:val="0"/>
              <w:autoSpaceDN w:val="0"/>
              <w:adjustRightInd w:val="0"/>
              <w:snapToGrid w:val="0"/>
              <w:spacing w:line="360" w:lineRule="auto"/>
              <w:ind w:firstLine="241" w:firstLineChars="100"/>
              <w:jc w:val="left"/>
              <w:rPr>
                <w:b/>
                <w:bCs/>
                <w:sz w:val="24"/>
                <w:szCs w:val="24"/>
              </w:rPr>
            </w:pPr>
            <w:r>
              <w:rPr>
                <w:rFonts w:hint="eastAsia"/>
                <w:b/>
                <w:bCs/>
                <w:sz w:val="24"/>
                <w:szCs w:val="24"/>
                <w:lang w:val="en-US" w:eastAsia="zh-CN"/>
              </w:rPr>
              <w:t>1.4</w:t>
            </w:r>
            <w:r>
              <w:rPr>
                <w:b/>
                <w:bCs/>
                <w:sz w:val="24"/>
                <w:szCs w:val="24"/>
              </w:rPr>
              <w:t>产业政策符合性分析</w:t>
            </w:r>
          </w:p>
          <w:p w14:paraId="0ED6D803">
            <w:pPr>
              <w:autoSpaceDE w:val="0"/>
              <w:autoSpaceDN w:val="0"/>
              <w:adjustRightInd w:val="0"/>
              <w:snapToGrid w:val="0"/>
              <w:spacing w:line="360" w:lineRule="auto"/>
              <w:ind w:firstLine="480" w:firstLineChars="200"/>
              <w:rPr>
                <w:sz w:val="24"/>
                <w:szCs w:val="24"/>
                <w:u w:val="single"/>
              </w:rPr>
            </w:pPr>
            <w:r>
              <w:rPr>
                <w:sz w:val="24"/>
                <w:szCs w:val="24"/>
                <w:u w:val="single"/>
              </w:rPr>
              <w:t>本项目使用铸造工艺进行制造汽车零部件制造，对照《产业结构调整指导目录（</w:t>
            </w:r>
            <w:r>
              <w:rPr>
                <w:rFonts w:hint="eastAsia"/>
                <w:sz w:val="24"/>
                <w:szCs w:val="24"/>
                <w:u w:val="single"/>
              </w:rPr>
              <w:t>2024</w:t>
            </w:r>
            <w:r>
              <w:rPr>
                <w:rFonts w:hint="eastAsia"/>
                <w:sz w:val="24"/>
                <w:szCs w:val="24"/>
                <w:u w:val="single"/>
                <w:lang w:eastAsia="zh-CN"/>
              </w:rPr>
              <w:t>）</w:t>
            </w:r>
            <w:r>
              <w:rPr>
                <w:sz w:val="24"/>
                <w:szCs w:val="24"/>
                <w:u w:val="single"/>
              </w:rPr>
              <w:t>》，本项目</w:t>
            </w:r>
            <w:r>
              <w:rPr>
                <w:rFonts w:hint="eastAsia"/>
                <w:sz w:val="24"/>
                <w:szCs w:val="24"/>
                <w:u w:val="single"/>
                <w:lang w:val="en-US" w:eastAsia="zh-CN"/>
              </w:rPr>
              <w:t>不</w:t>
            </w:r>
            <w:r>
              <w:rPr>
                <w:sz w:val="24"/>
                <w:szCs w:val="24"/>
                <w:u w:val="single"/>
              </w:rPr>
              <w:t>属于其中</w:t>
            </w:r>
            <w:r>
              <w:rPr>
                <w:rFonts w:hint="eastAsia"/>
                <w:sz w:val="24"/>
                <w:szCs w:val="24"/>
                <w:u w:val="single"/>
              </w:rPr>
              <w:t>的鼓励类、限制类、淘汰类，属于“允许类”。</w:t>
            </w:r>
            <w:r>
              <w:rPr>
                <w:sz w:val="24"/>
                <w:szCs w:val="24"/>
                <w:u w:val="single"/>
              </w:rPr>
              <w:t>符合</w:t>
            </w:r>
            <w:r>
              <w:rPr>
                <w:rFonts w:hint="eastAsia"/>
                <w:sz w:val="24"/>
                <w:szCs w:val="24"/>
                <w:u w:val="single"/>
              </w:rPr>
              <w:t>国</w:t>
            </w:r>
            <w:r>
              <w:rPr>
                <w:rFonts w:hint="eastAsia"/>
                <w:sz w:val="24"/>
                <w:szCs w:val="24"/>
                <w:u w:val="single"/>
                <w:lang w:val="en-US" w:eastAsia="zh-CN"/>
              </w:rPr>
              <w:t>家</w:t>
            </w:r>
            <w:r>
              <w:rPr>
                <w:sz w:val="24"/>
                <w:szCs w:val="24"/>
                <w:u w:val="single"/>
              </w:rPr>
              <w:t>产业政策。</w:t>
            </w:r>
          </w:p>
          <w:p w14:paraId="4333160C">
            <w:pPr>
              <w:autoSpaceDE w:val="0"/>
              <w:autoSpaceDN w:val="0"/>
              <w:adjustRightInd w:val="0"/>
              <w:snapToGrid w:val="0"/>
              <w:spacing w:line="360" w:lineRule="auto"/>
              <w:ind w:left="420" w:leftChars="200"/>
              <w:jc w:val="left"/>
              <w:rPr>
                <w:b/>
                <w:bCs/>
                <w:sz w:val="24"/>
                <w:szCs w:val="24"/>
              </w:rPr>
            </w:pPr>
            <w:r>
              <w:rPr>
                <w:rFonts w:hint="eastAsia"/>
                <w:b/>
                <w:bCs/>
                <w:sz w:val="24"/>
                <w:szCs w:val="24"/>
                <w:lang w:val="en-US" w:eastAsia="zh-CN"/>
              </w:rPr>
              <w:t>1.5</w:t>
            </w:r>
            <w:r>
              <w:rPr>
                <w:b/>
                <w:bCs/>
                <w:sz w:val="24"/>
                <w:szCs w:val="24"/>
              </w:rPr>
              <w:t>项目与“三线一单”符合性分析</w:t>
            </w:r>
          </w:p>
          <w:p w14:paraId="718A6EF0">
            <w:pPr>
              <w:autoSpaceDE w:val="0"/>
              <w:autoSpaceDN w:val="0"/>
              <w:adjustRightInd w:val="0"/>
              <w:snapToGrid w:val="0"/>
              <w:spacing w:line="360" w:lineRule="auto"/>
              <w:ind w:firstLine="482" w:firstLineChars="200"/>
              <w:jc w:val="left"/>
              <w:rPr>
                <w:b/>
                <w:bCs/>
                <w:sz w:val="24"/>
                <w:szCs w:val="24"/>
              </w:rPr>
            </w:pPr>
            <w:r>
              <w:rPr>
                <w:rFonts w:hint="eastAsia"/>
                <w:b/>
                <w:bCs/>
                <w:sz w:val="24"/>
                <w:szCs w:val="24"/>
                <w:lang w:eastAsia="zh-CN"/>
              </w:rPr>
              <w:t>（</w:t>
            </w:r>
            <w:r>
              <w:rPr>
                <w:rFonts w:hint="eastAsia"/>
                <w:b/>
                <w:bCs/>
                <w:sz w:val="24"/>
                <w:szCs w:val="24"/>
                <w:lang w:val="en-US" w:eastAsia="zh-CN"/>
              </w:rPr>
              <w:t>1）</w:t>
            </w:r>
            <w:r>
              <w:rPr>
                <w:b/>
                <w:bCs/>
                <w:sz w:val="24"/>
                <w:szCs w:val="24"/>
              </w:rPr>
              <w:t>生态保护红线</w:t>
            </w:r>
          </w:p>
          <w:p w14:paraId="1DA24B08">
            <w:pPr>
              <w:autoSpaceDE w:val="0"/>
              <w:autoSpaceDN w:val="0"/>
              <w:adjustRightInd w:val="0"/>
              <w:snapToGrid w:val="0"/>
              <w:spacing w:line="360" w:lineRule="auto"/>
              <w:ind w:firstLine="480" w:firstLineChars="200"/>
              <w:jc w:val="left"/>
              <w:rPr>
                <w:sz w:val="24"/>
                <w:szCs w:val="24"/>
              </w:rPr>
            </w:pPr>
            <w:r>
              <w:rPr>
                <w:sz w:val="24"/>
                <w:szCs w:val="24"/>
              </w:rPr>
              <w:t>本项目位于洪江市工业集中区双溪片区内</w:t>
            </w:r>
            <w:r>
              <w:rPr>
                <w:rFonts w:hint="eastAsia"/>
                <w:sz w:val="24"/>
                <w:szCs w:val="24"/>
              </w:rPr>
              <w:t>的二类工业用地</w:t>
            </w:r>
            <w:r>
              <w:rPr>
                <w:sz w:val="24"/>
                <w:szCs w:val="24"/>
              </w:rPr>
              <w:t>，不涉及生态保护</w:t>
            </w:r>
            <w:r>
              <w:rPr>
                <w:rFonts w:hint="eastAsia"/>
                <w:sz w:val="24"/>
                <w:szCs w:val="24"/>
              </w:rPr>
              <w:t>红</w:t>
            </w:r>
            <w:r>
              <w:rPr>
                <w:sz w:val="24"/>
                <w:szCs w:val="24"/>
              </w:rPr>
              <w:t>线，不涉及自然保护区、风景名胜区、森林公园、地质公园、生态核心区及重要水生生物的自然产卵场、索饵场、越冬场和洄游通道等生态敏感区。</w:t>
            </w:r>
          </w:p>
          <w:p w14:paraId="7216FE4D">
            <w:pPr>
              <w:autoSpaceDE w:val="0"/>
              <w:autoSpaceDN w:val="0"/>
              <w:adjustRightInd w:val="0"/>
              <w:snapToGrid w:val="0"/>
              <w:spacing w:line="360" w:lineRule="auto"/>
              <w:ind w:firstLine="482" w:firstLineChars="200"/>
              <w:jc w:val="left"/>
              <w:rPr>
                <w:b/>
                <w:bCs/>
                <w:sz w:val="24"/>
                <w:szCs w:val="24"/>
              </w:rPr>
            </w:pPr>
            <w:r>
              <w:rPr>
                <w:rFonts w:hint="eastAsia"/>
                <w:b/>
                <w:bCs/>
                <w:sz w:val="24"/>
                <w:szCs w:val="24"/>
                <w:lang w:eastAsia="zh-CN"/>
              </w:rPr>
              <w:t>（</w:t>
            </w:r>
            <w:r>
              <w:rPr>
                <w:rFonts w:hint="eastAsia"/>
                <w:b/>
                <w:bCs/>
                <w:sz w:val="24"/>
                <w:szCs w:val="24"/>
                <w:lang w:val="en-US" w:eastAsia="zh-CN"/>
              </w:rPr>
              <w:t>2）</w:t>
            </w:r>
            <w:r>
              <w:rPr>
                <w:b/>
                <w:bCs/>
                <w:sz w:val="24"/>
                <w:szCs w:val="24"/>
              </w:rPr>
              <w:t>环境质量底线</w:t>
            </w:r>
          </w:p>
          <w:p w14:paraId="5E8802BA">
            <w:pPr>
              <w:autoSpaceDE w:val="0"/>
              <w:autoSpaceDN w:val="0"/>
              <w:adjustRightInd w:val="0"/>
              <w:snapToGrid w:val="0"/>
              <w:spacing w:line="360" w:lineRule="auto"/>
              <w:ind w:firstLine="480" w:firstLineChars="200"/>
              <w:jc w:val="left"/>
              <w:rPr>
                <w:sz w:val="24"/>
                <w:szCs w:val="24"/>
              </w:rPr>
            </w:pPr>
            <w:r>
              <w:rPr>
                <w:sz w:val="24"/>
                <w:szCs w:val="24"/>
              </w:rPr>
              <w:t>本项目所在地大气环境为环境空气质量功能二类地区，根据《</w:t>
            </w:r>
            <w:r>
              <w:rPr>
                <w:rFonts w:hint="eastAsia"/>
                <w:sz w:val="24"/>
                <w:szCs w:val="24"/>
              </w:rPr>
              <w:t>2023年环境空气质量年报</w:t>
            </w:r>
            <w:r>
              <w:rPr>
                <w:sz w:val="24"/>
                <w:szCs w:val="24"/>
              </w:rPr>
              <w:t>》中</w:t>
            </w:r>
            <w:r>
              <w:rPr>
                <w:rFonts w:hint="eastAsia"/>
                <w:sz w:val="24"/>
                <w:szCs w:val="24"/>
              </w:rPr>
              <w:t>关于洪江市</w:t>
            </w:r>
            <w:r>
              <w:rPr>
                <w:sz w:val="24"/>
                <w:szCs w:val="24"/>
              </w:rPr>
              <w:t>监测数据，评价区域内大气环境中SO</w:t>
            </w:r>
            <w:r>
              <w:rPr>
                <w:sz w:val="24"/>
                <w:szCs w:val="24"/>
                <w:vertAlign w:val="subscript"/>
              </w:rPr>
              <w:t>2</w:t>
            </w:r>
            <w:r>
              <w:rPr>
                <w:sz w:val="24"/>
                <w:szCs w:val="24"/>
              </w:rPr>
              <w:t>、NO</w:t>
            </w:r>
            <w:r>
              <w:rPr>
                <w:sz w:val="24"/>
                <w:szCs w:val="24"/>
                <w:vertAlign w:val="subscript"/>
              </w:rPr>
              <w:t>2</w:t>
            </w:r>
            <w:r>
              <w:rPr>
                <w:sz w:val="24"/>
                <w:szCs w:val="24"/>
              </w:rPr>
              <w:t>、O</w:t>
            </w:r>
            <w:r>
              <w:rPr>
                <w:sz w:val="24"/>
                <w:szCs w:val="24"/>
                <w:vertAlign w:val="subscript"/>
              </w:rPr>
              <w:t>3</w:t>
            </w:r>
            <w:r>
              <w:rPr>
                <w:sz w:val="24"/>
                <w:szCs w:val="24"/>
              </w:rPr>
              <w:t>、CO</w:t>
            </w:r>
            <w:r>
              <w:rPr>
                <w:rFonts w:hint="eastAsia"/>
                <w:sz w:val="24"/>
                <w:szCs w:val="24"/>
              </w:rPr>
              <w:t>、</w:t>
            </w:r>
            <w:r>
              <w:rPr>
                <w:sz w:val="24"/>
                <w:szCs w:val="24"/>
              </w:rPr>
              <w:t>PM</w:t>
            </w:r>
            <w:r>
              <w:rPr>
                <w:sz w:val="24"/>
                <w:szCs w:val="24"/>
                <w:vertAlign w:val="subscript"/>
              </w:rPr>
              <w:t>10</w:t>
            </w:r>
            <w:r>
              <w:rPr>
                <w:sz w:val="24"/>
                <w:szCs w:val="24"/>
              </w:rPr>
              <w:t>、PM</w:t>
            </w:r>
            <w:r>
              <w:rPr>
                <w:sz w:val="24"/>
                <w:szCs w:val="24"/>
                <w:vertAlign w:val="subscript"/>
              </w:rPr>
              <w:t>2.5</w:t>
            </w:r>
            <w:r>
              <w:rPr>
                <w:sz w:val="24"/>
                <w:szCs w:val="24"/>
              </w:rPr>
              <w:t>项基本污染物满足《环境空气质量标准》</w:t>
            </w:r>
            <w:r>
              <w:rPr>
                <w:rFonts w:hint="eastAsia"/>
                <w:sz w:val="24"/>
                <w:szCs w:val="24"/>
              </w:rPr>
              <w:t>（</w:t>
            </w:r>
            <w:r>
              <w:rPr>
                <w:sz w:val="24"/>
                <w:szCs w:val="24"/>
              </w:rPr>
              <w:t>GB3095-2012</w:t>
            </w:r>
            <w:r>
              <w:rPr>
                <w:rFonts w:hint="eastAsia"/>
                <w:sz w:val="24"/>
                <w:szCs w:val="24"/>
              </w:rPr>
              <w:t>）</w:t>
            </w:r>
            <w:r>
              <w:rPr>
                <w:sz w:val="24"/>
                <w:szCs w:val="24"/>
              </w:rPr>
              <w:t>中二级标准要求；项目所在区域地表水监测因子均达到《地表水环境质量标准》（GB3838-2002）中Ⅲ类功能区区域地表水环境质量良好；</w:t>
            </w:r>
          </w:p>
          <w:p w14:paraId="798E5025">
            <w:pPr>
              <w:autoSpaceDE w:val="0"/>
              <w:autoSpaceDN w:val="0"/>
              <w:adjustRightInd w:val="0"/>
              <w:snapToGrid w:val="0"/>
              <w:spacing w:line="360" w:lineRule="auto"/>
              <w:ind w:firstLine="480" w:firstLineChars="200"/>
              <w:jc w:val="left"/>
              <w:rPr>
                <w:sz w:val="24"/>
                <w:szCs w:val="24"/>
              </w:rPr>
            </w:pPr>
            <w:r>
              <w:rPr>
                <w:sz w:val="24"/>
                <w:szCs w:val="24"/>
              </w:rPr>
              <w:t>本项目废气、废水、噪声在采取报告中提出的治理措施后，能够达到相应的排放标准，因此对周边环境质量影响较小，本项目固废均得到合理处置，对周边影响较小。综上，本项目的建设运行不会突破项目所在地的环境质量底线，因此项目符合环境质量底线标准。</w:t>
            </w:r>
          </w:p>
          <w:p w14:paraId="6E4F35B1">
            <w:pPr>
              <w:autoSpaceDE w:val="0"/>
              <w:autoSpaceDN w:val="0"/>
              <w:adjustRightInd w:val="0"/>
              <w:snapToGrid w:val="0"/>
              <w:spacing w:line="360" w:lineRule="auto"/>
              <w:ind w:firstLine="482" w:firstLineChars="200"/>
              <w:jc w:val="left"/>
              <w:rPr>
                <w:b/>
                <w:bCs/>
                <w:sz w:val="24"/>
                <w:szCs w:val="24"/>
              </w:rPr>
            </w:pPr>
            <w:r>
              <w:rPr>
                <w:rFonts w:hint="eastAsia"/>
                <w:b/>
                <w:bCs/>
                <w:sz w:val="24"/>
                <w:szCs w:val="24"/>
                <w:lang w:eastAsia="zh-CN"/>
              </w:rPr>
              <w:t>（</w:t>
            </w:r>
            <w:r>
              <w:rPr>
                <w:rFonts w:hint="eastAsia"/>
                <w:b/>
                <w:bCs/>
                <w:sz w:val="24"/>
                <w:szCs w:val="24"/>
                <w:lang w:val="en-US" w:eastAsia="zh-CN"/>
              </w:rPr>
              <w:t>3）</w:t>
            </w:r>
            <w:r>
              <w:rPr>
                <w:b/>
                <w:bCs/>
                <w:sz w:val="24"/>
                <w:szCs w:val="24"/>
              </w:rPr>
              <w:t>资源利用上线</w:t>
            </w:r>
          </w:p>
          <w:p w14:paraId="4ECB022A">
            <w:pPr>
              <w:autoSpaceDE w:val="0"/>
              <w:autoSpaceDN w:val="0"/>
              <w:adjustRightInd w:val="0"/>
              <w:snapToGrid w:val="0"/>
              <w:spacing w:line="360" w:lineRule="auto"/>
              <w:ind w:firstLine="480" w:firstLineChars="200"/>
              <w:jc w:val="left"/>
              <w:rPr>
                <w:sz w:val="24"/>
                <w:szCs w:val="24"/>
              </w:rPr>
            </w:pPr>
            <w:r>
              <w:rPr>
                <w:sz w:val="24"/>
                <w:szCs w:val="24"/>
              </w:rPr>
              <w:t>用水：本项目经营汽车零部件制造，主要用水为生活用水、冷却循环用水</w:t>
            </w:r>
            <w:r>
              <w:rPr>
                <w:rFonts w:hint="eastAsia"/>
                <w:sz w:val="24"/>
                <w:szCs w:val="24"/>
                <w:lang w:eastAsia="zh-CN"/>
              </w:rPr>
              <w:t>。</w:t>
            </w:r>
            <w:r>
              <w:rPr>
                <w:sz w:val="24"/>
                <w:szCs w:val="24"/>
              </w:rPr>
              <w:t>用电：本项目使用电能熔炼，过程不涉及煤炭等高污染、高能耗的设备。</w:t>
            </w:r>
          </w:p>
          <w:p w14:paraId="3A086374">
            <w:pPr>
              <w:autoSpaceDE w:val="0"/>
              <w:autoSpaceDN w:val="0"/>
              <w:adjustRightInd w:val="0"/>
              <w:snapToGrid w:val="0"/>
              <w:spacing w:line="360" w:lineRule="auto"/>
              <w:ind w:firstLine="480" w:firstLineChars="200"/>
              <w:jc w:val="left"/>
              <w:rPr>
                <w:sz w:val="24"/>
                <w:szCs w:val="24"/>
              </w:rPr>
            </w:pPr>
            <w:r>
              <w:rPr>
                <w:sz w:val="24"/>
                <w:szCs w:val="24"/>
              </w:rPr>
              <w:t>综上，本项目用水、用电量不大，不会突破资源利用上线。</w:t>
            </w:r>
          </w:p>
          <w:p w14:paraId="6CE9B3B2">
            <w:pPr>
              <w:autoSpaceDE w:val="0"/>
              <w:autoSpaceDN w:val="0"/>
              <w:adjustRightInd w:val="0"/>
              <w:snapToGrid w:val="0"/>
              <w:spacing w:line="360" w:lineRule="auto"/>
              <w:ind w:firstLine="482" w:firstLineChars="200"/>
              <w:jc w:val="left"/>
              <w:rPr>
                <w:b/>
                <w:bCs/>
                <w:sz w:val="24"/>
                <w:szCs w:val="24"/>
              </w:rPr>
            </w:pPr>
            <w:r>
              <w:rPr>
                <w:rFonts w:hint="eastAsia"/>
                <w:b/>
                <w:bCs/>
                <w:sz w:val="24"/>
                <w:szCs w:val="24"/>
                <w:lang w:eastAsia="zh-CN"/>
              </w:rPr>
              <w:t>（</w:t>
            </w:r>
            <w:r>
              <w:rPr>
                <w:rFonts w:hint="eastAsia"/>
                <w:b/>
                <w:bCs/>
                <w:sz w:val="24"/>
                <w:szCs w:val="24"/>
                <w:lang w:val="en-US" w:eastAsia="zh-CN"/>
              </w:rPr>
              <w:t>4）</w:t>
            </w:r>
            <w:r>
              <w:rPr>
                <w:b/>
                <w:bCs/>
                <w:sz w:val="24"/>
                <w:szCs w:val="24"/>
              </w:rPr>
              <w:t>环境负面准入清单</w:t>
            </w:r>
          </w:p>
          <w:p w14:paraId="4C563930">
            <w:pPr>
              <w:autoSpaceDE w:val="0"/>
              <w:autoSpaceDN w:val="0"/>
              <w:adjustRightInd w:val="0"/>
              <w:snapToGrid w:val="0"/>
              <w:spacing w:line="360" w:lineRule="auto"/>
              <w:ind w:firstLine="480" w:firstLineChars="200"/>
              <w:rPr>
                <w:sz w:val="24"/>
                <w:szCs w:val="24"/>
              </w:rPr>
            </w:pPr>
            <w:r>
              <w:rPr>
                <w:rFonts w:hint="eastAsia"/>
                <w:sz w:val="24"/>
                <w:szCs w:val="24"/>
              </w:rPr>
              <w:t>依据</w:t>
            </w:r>
            <w:r>
              <w:rPr>
                <w:rFonts w:hint="eastAsia"/>
                <w:sz w:val="24"/>
                <w:szCs w:val="24"/>
                <w:u w:val="single"/>
                <w:lang w:eastAsia="zh-CN"/>
              </w:rPr>
              <w:t>《湖南省生态环境</w:t>
            </w:r>
            <w:r>
              <w:rPr>
                <w:rFonts w:hint="eastAsia"/>
                <w:sz w:val="24"/>
                <w:szCs w:val="24"/>
                <w:u w:val="single"/>
                <w:lang w:val="en-US" w:eastAsia="zh-CN"/>
              </w:rPr>
              <w:t>分区管控</w:t>
            </w:r>
            <w:r>
              <w:rPr>
                <w:rFonts w:hint="eastAsia"/>
                <w:sz w:val="24"/>
                <w:szCs w:val="24"/>
                <w:u w:val="single"/>
                <w:lang w:eastAsia="zh-CN"/>
              </w:rPr>
              <w:t>总体管控要求暨省级以上产业园区生态环境准入清单》（</w:t>
            </w:r>
            <w:r>
              <w:rPr>
                <w:rFonts w:hint="eastAsia"/>
                <w:sz w:val="24"/>
                <w:szCs w:val="24"/>
                <w:u w:val="single"/>
                <w:lang w:val="en-US" w:eastAsia="zh-CN"/>
              </w:rPr>
              <w:t>湘环函</w:t>
            </w:r>
            <w:r>
              <w:rPr>
                <w:rFonts w:hint="default"/>
                <w:sz w:val="24"/>
                <w:szCs w:val="24"/>
                <w:u w:val="single"/>
                <w:lang w:val="en-US" w:eastAsia="zh-CN"/>
              </w:rPr>
              <w:t>[202</w:t>
            </w:r>
            <w:r>
              <w:rPr>
                <w:rFonts w:hint="eastAsia"/>
                <w:sz w:val="24"/>
                <w:szCs w:val="24"/>
                <w:u w:val="single"/>
                <w:lang w:val="en-US" w:eastAsia="zh-CN"/>
              </w:rPr>
              <w:t>4</w:t>
            </w:r>
            <w:r>
              <w:rPr>
                <w:rFonts w:hint="default"/>
                <w:sz w:val="24"/>
                <w:szCs w:val="24"/>
                <w:u w:val="single"/>
                <w:lang w:val="en-US" w:eastAsia="zh-CN"/>
              </w:rPr>
              <w:t>]</w:t>
            </w:r>
            <w:r>
              <w:rPr>
                <w:rFonts w:hint="eastAsia"/>
                <w:sz w:val="24"/>
                <w:szCs w:val="24"/>
                <w:u w:val="single"/>
                <w:lang w:val="en-US" w:eastAsia="zh-CN"/>
              </w:rPr>
              <w:t>26</w:t>
            </w:r>
            <w:r>
              <w:rPr>
                <w:rFonts w:hint="default"/>
                <w:sz w:val="24"/>
                <w:szCs w:val="24"/>
                <w:u w:val="single"/>
                <w:lang w:val="en-US" w:eastAsia="zh-CN"/>
              </w:rPr>
              <w:t>号</w:t>
            </w:r>
            <w:r>
              <w:rPr>
                <w:rFonts w:hint="eastAsia"/>
                <w:sz w:val="24"/>
                <w:szCs w:val="24"/>
                <w:u w:val="single"/>
                <w:lang w:val="en-US" w:eastAsia="zh-CN"/>
              </w:rPr>
              <w:t>）</w:t>
            </w:r>
            <w:r>
              <w:rPr>
                <w:rFonts w:hint="eastAsia"/>
                <w:sz w:val="24"/>
                <w:szCs w:val="24"/>
              </w:rPr>
              <w:t>，</w:t>
            </w:r>
            <w:r>
              <w:rPr>
                <w:sz w:val="24"/>
                <w:szCs w:val="24"/>
              </w:rPr>
              <w:t>项目位于洪江</w:t>
            </w:r>
            <w:r>
              <w:rPr>
                <w:rFonts w:hint="eastAsia"/>
                <w:sz w:val="24"/>
                <w:szCs w:val="24"/>
              </w:rPr>
              <w:t>高新技术产业开发区（洪江市）</w:t>
            </w:r>
            <w:r>
              <w:rPr>
                <w:sz w:val="24"/>
                <w:szCs w:val="24"/>
              </w:rPr>
              <w:t>，</w:t>
            </w:r>
            <w:r>
              <w:rPr>
                <w:rFonts w:hint="eastAsia"/>
                <w:sz w:val="24"/>
                <w:szCs w:val="24"/>
              </w:rPr>
              <w:t>环境管控单元编码：</w:t>
            </w:r>
            <w:r>
              <w:rPr>
                <w:sz w:val="24"/>
                <w:szCs w:val="24"/>
              </w:rPr>
              <w:t>ZH43128120005</w:t>
            </w:r>
            <w:r>
              <w:rPr>
                <w:rFonts w:hint="eastAsia"/>
                <w:sz w:val="24"/>
                <w:szCs w:val="24"/>
              </w:rPr>
              <w:t>；单元分类：重点管控单元；</w:t>
            </w:r>
          </w:p>
          <w:p w14:paraId="303877CD">
            <w:pPr>
              <w:autoSpaceDE w:val="0"/>
              <w:autoSpaceDN w:val="0"/>
              <w:adjustRightInd w:val="0"/>
              <w:snapToGrid w:val="0"/>
              <w:spacing w:line="360" w:lineRule="auto"/>
              <w:rPr>
                <w:rFonts w:hint="eastAsia"/>
                <w:sz w:val="24"/>
                <w:szCs w:val="24"/>
                <w:lang w:eastAsia="zh-CN"/>
              </w:rPr>
            </w:pPr>
            <w:r>
              <w:rPr>
                <w:rFonts w:hint="eastAsia"/>
                <w:sz w:val="24"/>
                <w:szCs w:val="24"/>
              </w:rPr>
              <w:t>主导产业：</w:t>
            </w:r>
            <w:r>
              <w:rPr>
                <w:rFonts w:hint="eastAsia"/>
                <w:sz w:val="24"/>
                <w:szCs w:val="24"/>
                <w:lang w:val="en-US" w:eastAsia="zh-CN"/>
              </w:rPr>
              <w:t>建材科技，特色产业：石化物流、电子信息、现代农业</w:t>
            </w:r>
            <w:r>
              <w:rPr>
                <w:rFonts w:hint="eastAsia"/>
                <w:sz w:val="24"/>
                <w:szCs w:val="24"/>
                <w:lang w:eastAsia="zh-CN"/>
              </w:rPr>
              <w:t>。</w:t>
            </w:r>
          </w:p>
          <w:p w14:paraId="2E3539CE">
            <w:pPr>
              <w:autoSpaceDE w:val="0"/>
              <w:autoSpaceDN w:val="0"/>
              <w:adjustRightInd w:val="0"/>
              <w:snapToGrid w:val="0"/>
              <w:spacing w:line="360" w:lineRule="auto"/>
              <w:ind w:firstLine="480" w:firstLineChars="200"/>
              <w:rPr>
                <w:rFonts w:hint="eastAsia" w:eastAsia="宋体"/>
                <w:sz w:val="24"/>
                <w:szCs w:val="24"/>
                <w:lang w:eastAsia="zh-CN"/>
              </w:rPr>
            </w:pPr>
            <w:r>
              <w:rPr>
                <w:rFonts w:hint="eastAsia"/>
                <w:sz w:val="24"/>
                <w:szCs w:val="24"/>
              </w:rPr>
              <w:t>项目与准入清单</w:t>
            </w:r>
            <w:r>
              <w:rPr>
                <w:sz w:val="24"/>
                <w:szCs w:val="24"/>
              </w:rPr>
              <w:t>符合性分析</w:t>
            </w:r>
            <w:r>
              <w:rPr>
                <w:rFonts w:hint="eastAsia"/>
                <w:sz w:val="24"/>
                <w:szCs w:val="24"/>
              </w:rPr>
              <w:t>见下表</w:t>
            </w:r>
            <w:r>
              <w:rPr>
                <w:rFonts w:hint="eastAsia"/>
                <w:sz w:val="24"/>
                <w:szCs w:val="24"/>
                <w:lang w:eastAsia="zh-CN"/>
              </w:rPr>
              <w:t>。</w:t>
            </w:r>
          </w:p>
          <w:p w14:paraId="58A96F85">
            <w:pPr>
              <w:ind w:firstLine="422" w:firstLineChars="200"/>
              <w:jc w:val="center"/>
              <w:rPr>
                <w:rFonts w:hint="eastAsia"/>
                <w:b/>
                <w:bCs/>
                <w:u w:val="single"/>
              </w:rPr>
            </w:pPr>
            <w:r>
              <w:rPr>
                <w:rFonts w:hint="eastAsia"/>
                <w:b/>
                <w:bCs/>
                <w:u w:val="single"/>
              </w:rPr>
              <w:t>表1-</w:t>
            </w:r>
            <w:r>
              <w:rPr>
                <w:rFonts w:hint="eastAsia"/>
                <w:b/>
                <w:bCs/>
                <w:u w:val="single"/>
                <w:lang w:val="en-US" w:eastAsia="zh-CN"/>
              </w:rPr>
              <w:t>5</w:t>
            </w:r>
            <w:r>
              <w:rPr>
                <w:rFonts w:hint="eastAsia"/>
                <w:b/>
                <w:bCs/>
                <w:u w:val="single"/>
                <w:lang w:eastAsia="zh-CN"/>
              </w:rPr>
              <w:t>湖南省生态环境</w:t>
            </w:r>
            <w:r>
              <w:rPr>
                <w:rFonts w:hint="eastAsia"/>
                <w:b/>
                <w:bCs/>
                <w:u w:val="single"/>
                <w:lang w:val="en-US" w:eastAsia="zh-CN"/>
              </w:rPr>
              <w:t>分区管控</w:t>
            </w:r>
            <w:r>
              <w:rPr>
                <w:rFonts w:hint="eastAsia"/>
                <w:b/>
                <w:bCs/>
                <w:u w:val="single"/>
                <w:lang w:eastAsia="zh-CN"/>
              </w:rPr>
              <w:t>总体管控要求暨省级以上产业园区生态环境准入清单》（</w:t>
            </w:r>
            <w:r>
              <w:rPr>
                <w:rFonts w:hint="eastAsia"/>
                <w:b/>
                <w:bCs/>
                <w:u w:val="single"/>
                <w:lang w:val="en-US" w:eastAsia="zh-CN"/>
              </w:rPr>
              <w:t>湘环函</w:t>
            </w:r>
            <w:r>
              <w:rPr>
                <w:rFonts w:hint="default"/>
                <w:b/>
                <w:bCs/>
                <w:u w:val="single"/>
                <w:lang w:val="en-US" w:eastAsia="zh-CN"/>
              </w:rPr>
              <w:t>[202</w:t>
            </w:r>
            <w:r>
              <w:rPr>
                <w:rFonts w:hint="eastAsia"/>
                <w:b/>
                <w:bCs/>
                <w:u w:val="single"/>
                <w:lang w:val="en-US" w:eastAsia="zh-CN"/>
              </w:rPr>
              <w:t>4</w:t>
            </w:r>
            <w:r>
              <w:rPr>
                <w:rFonts w:hint="default"/>
                <w:b/>
                <w:bCs/>
                <w:u w:val="single"/>
                <w:lang w:val="en-US" w:eastAsia="zh-CN"/>
              </w:rPr>
              <w:t>]</w:t>
            </w:r>
            <w:r>
              <w:rPr>
                <w:rFonts w:hint="eastAsia"/>
                <w:b/>
                <w:bCs/>
                <w:u w:val="single"/>
                <w:lang w:val="en-US" w:eastAsia="zh-CN"/>
              </w:rPr>
              <w:t>26</w:t>
            </w:r>
            <w:r>
              <w:rPr>
                <w:rFonts w:hint="default"/>
                <w:b/>
                <w:bCs/>
                <w:u w:val="single"/>
                <w:lang w:val="en-US" w:eastAsia="zh-CN"/>
              </w:rPr>
              <w:t>号</w:t>
            </w:r>
            <w:r>
              <w:rPr>
                <w:rFonts w:hint="eastAsia"/>
                <w:b/>
                <w:bCs/>
                <w:u w:val="single"/>
                <w:lang w:val="en-US" w:eastAsia="zh-CN"/>
              </w:rPr>
              <w:t>）</w:t>
            </w:r>
            <w:r>
              <w:rPr>
                <w:rFonts w:hint="eastAsia"/>
                <w:b/>
                <w:bCs/>
                <w:u w:val="single"/>
              </w:rPr>
              <w:t>符合性分析。</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3088"/>
              <w:gridCol w:w="3037"/>
              <w:gridCol w:w="756"/>
            </w:tblGrid>
            <w:tr w14:paraId="3040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57" w:type="dxa"/>
                  <w:vAlign w:val="center"/>
                </w:tcPr>
                <w:p w14:paraId="06CE1C4B">
                  <w:pPr>
                    <w:rPr>
                      <w:u w:val="single"/>
                    </w:rPr>
                  </w:pPr>
                  <w:r>
                    <w:rPr>
                      <w:u w:val="single"/>
                    </w:rPr>
                    <w:t>管控维度</w:t>
                  </w:r>
                </w:p>
              </w:tc>
              <w:tc>
                <w:tcPr>
                  <w:tcW w:w="3088" w:type="dxa"/>
                  <w:vAlign w:val="center"/>
                </w:tcPr>
                <w:p w14:paraId="50E9DC7C">
                  <w:pPr>
                    <w:jc w:val="center"/>
                    <w:rPr>
                      <w:u w:val="single"/>
                    </w:rPr>
                  </w:pPr>
                  <w:r>
                    <w:rPr>
                      <w:u w:val="single"/>
                    </w:rPr>
                    <w:t>管控要求</w:t>
                  </w:r>
                </w:p>
              </w:tc>
              <w:tc>
                <w:tcPr>
                  <w:tcW w:w="3037" w:type="dxa"/>
                  <w:vAlign w:val="center"/>
                </w:tcPr>
                <w:p w14:paraId="3C8748F7">
                  <w:pPr>
                    <w:jc w:val="center"/>
                    <w:rPr>
                      <w:u w:val="single"/>
                    </w:rPr>
                  </w:pPr>
                  <w:r>
                    <w:rPr>
                      <w:u w:val="single"/>
                    </w:rPr>
                    <w:t>项目情况</w:t>
                  </w:r>
                </w:p>
              </w:tc>
              <w:tc>
                <w:tcPr>
                  <w:tcW w:w="756" w:type="dxa"/>
                  <w:vAlign w:val="center"/>
                </w:tcPr>
                <w:p w14:paraId="7AAEBF74">
                  <w:pPr>
                    <w:jc w:val="center"/>
                    <w:rPr>
                      <w:u w:val="single"/>
                    </w:rPr>
                  </w:pPr>
                  <w:r>
                    <w:rPr>
                      <w:u w:val="single"/>
                    </w:rPr>
                    <w:t>符合性</w:t>
                  </w:r>
                </w:p>
              </w:tc>
            </w:tr>
            <w:tr w14:paraId="7BAF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757" w:type="dxa"/>
                  <w:vMerge w:val="restart"/>
                  <w:vAlign w:val="center"/>
                </w:tcPr>
                <w:p w14:paraId="28D0126E">
                  <w:pPr>
                    <w:widowControl/>
                    <w:jc w:val="left"/>
                    <w:rPr>
                      <w:u w:val="single"/>
                    </w:rPr>
                  </w:pPr>
                  <w:r>
                    <w:rPr>
                      <w:u w:val="single"/>
                    </w:rPr>
                    <w:t>空间布局约束</w:t>
                  </w:r>
                </w:p>
              </w:tc>
              <w:tc>
                <w:tcPr>
                  <w:tcW w:w="3088" w:type="dxa"/>
                  <w:vAlign w:val="center"/>
                </w:tcPr>
                <w:p w14:paraId="70DF87A2">
                  <w:pPr>
                    <w:widowControl/>
                    <w:jc w:val="left"/>
                    <w:rPr>
                      <w:rFonts w:hint="eastAsia"/>
                      <w:u w:val="single"/>
                    </w:rPr>
                  </w:pPr>
                  <w:r>
                    <w:rPr>
                      <w:rFonts w:hint="eastAsia"/>
                      <w:u w:val="single"/>
                      <w:lang w:val="en-US" w:eastAsia="zh-CN"/>
                    </w:rPr>
                    <w:t>（</w:t>
                  </w:r>
                  <w:r>
                    <w:rPr>
                      <w:rFonts w:hint="default"/>
                      <w:u w:val="single"/>
                      <w:lang w:val="en-US" w:eastAsia="zh-CN"/>
                    </w:rPr>
                    <w:t>1.1</w:t>
                  </w:r>
                  <w:r>
                    <w:rPr>
                      <w:rFonts w:hint="eastAsia"/>
                      <w:u w:val="single"/>
                      <w:lang w:val="en-US" w:eastAsia="zh-CN"/>
                    </w:rPr>
                    <w:t>）区块二严格控制引入气型污染企业，对于涉</w:t>
                  </w:r>
                  <w:r>
                    <w:rPr>
                      <w:rFonts w:hint="default"/>
                      <w:u w:val="single"/>
                      <w:lang w:val="en-US" w:eastAsia="zh-CN"/>
                    </w:rPr>
                    <w:t>VOCs</w:t>
                  </w:r>
                  <w:r>
                    <w:rPr>
                      <w:rFonts w:hint="eastAsia"/>
                      <w:u w:val="single"/>
                      <w:lang w:val="en-US" w:eastAsia="zh-CN"/>
                    </w:rPr>
                    <w:t>企业较大以及重金属企业禁止引入，除保留区块一、区块三现有三类工业企业外，禁止新引进三类工业企业。对区块一、区块三现有的水泥产能规模不得新增。</w:t>
                  </w:r>
                </w:p>
              </w:tc>
              <w:tc>
                <w:tcPr>
                  <w:tcW w:w="3037" w:type="dxa"/>
                  <w:vAlign w:val="center"/>
                </w:tcPr>
                <w:p w14:paraId="5484C0EB">
                  <w:pPr>
                    <w:widowControl/>
                    <w:jc w:val="left"/>
                    <w:rPr>
                      <w:u w:val="single"/>
                    </w:rPr>
                  </w:pPr>
                  <w:r>
                    <w:rPr>
                      <w:u w:val="single"/>
                    </w:rPr>
                    <w:t>项目位于双溪片区</w:t>
                  </w:r>
                  <w:r>
                    <w:rPr>
                      <w:rFonts w:hint="eastAsia"/>
                      <w:u w:val="single"/>
                    </w:rPr>
                    <w:t>，</w:t>
                  </w:r>
                  <w:r>
                    <w:rPr>
                      <w:rFonts w:hint="eastAsia"/>
                      <w:u w:val="single"/>
                      <w:lang w:val="en-US" w:eastAsia="zh-CN"/>
                    </w:rPr>
                    <w:t>属于区块三，</w:t>
                  </w:r>
                  <w:r>
                    <w:rPr>
                      <w:rFonts w:hint="eastAsia"/>
                      <w:u w:val="single"/>
                    </w:rPr>
                    <w:t>且不属于三类工业项目</w:t>
                  </w:r>
                  <w:r>
                    <w:rPr>
                      <w:u w:val="single"/>
                    </w:rPr>
                    <w:t>。</w:t>
                  </w:r>
                </w:p>
              </w:tc>
              <w:tc>
                <w:tcPr>
                  <w:tcW w:w="756" w:type="dxa"/>
                  <w:vAlign w:val="center"/>
                </w:tcPr>
                <w:p w14:paraId="77DF2152">
                  <w:pPr>
                    <w:jc w:val="center"/>
                    <w:rPr>
                      <w:u w:val="single"/>
                    </w:rPr>
                  </w:pPr>
                  <w:r>
                    <w:rPr>
                      <w:u w:val="single"/>
                    </w:rPr>
                    <w:t>符合</w:t>
                  </w:r>
                </w:p>
              </w:tc>
            </w:tr>
            <w:tr w14:paraId="5E09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57" w:type="dxa"/>
                  <w:vMerge w:val="continue"/>
                  <w:vAlign w:val="center"/>
                </w:tcPr>
                <w:p w14:paraId="6B348716">
                  <w:pPr>
                    <w:widowControl/>
                    <w:jc w:val="left"/>
                    <w:rPr>
                      <w:u w:val="single"/>
                    </w:rPr>
                  </w:pPr>
                </w:p>
              </w:tc>
              <w:tc>
                <w:tcPr>
                  <w:tcW w:w="3088" w:type="dxa"/>
                  <w:vAlign w:val="center"/>
                </w:tcPr>
                <w:p w14:paraId="4CA99CB1">
                  <w:pPr>
                    <w:widowControl/>
                    <w:jc w:val="left"/>
                    <w:rPr>
                      <w:rFonts w:hint="eastAsia"/>
                      <w:u w:val="single"/>
                    </w:rPr>
                  </w:pPr>
                  <w:r>
                    <w:rPr>
                      <w:rFonts w:hint="eastAsia"/>
                      <w:u w:val="single"/>
                      <w:lang w:val="en-US" w:eastAsia="zh-CN"/>
                    </w:rPr>
                    <w:t>（</w:t>
                  </w:r>
                  <w:r>
                    <w:rPr>
                      <w:rFonts w:hint="default"/>
                      <w:u w:val="single"/>
                      <w:lang w:val="en-US" w:eastAsia="zh-CN"/>
                    </w:rPr>
                    <w:t>1.2</w:t>
                  </w:r>
                  <w:r>
                    <w:rPr>
                      <w:rFonts w:hint="eastAsia"/>
                      <w:u w:val="single"/>
                      <w:lang w:val="en-US" w:eastAsia="zh-CN"/>
                    </w:rPr>
                    <w:t>）对高新区内现有的企业周边用地应严格按照相关准入条件、防护距离的规定做好控规，其内不得规划和建设环境敏感型建筑物</w:t>
                  </w:r>
                </w:p>
              </w:tc>
              <w:tc>
                <w:tcPr>
                  <w:tcW w:w="3037" w:type="dxa"/>
                  <w:vAlign w:val="center"/>
                </w:tcPr>
                <w:p w14:paraId="438899DF">
                  <w:pPr>
                    <w:rPr>
                      <w:u w:val="single"/>
                    </w:rPr>
                  </w:pPr>
                  <w:r>
                    <w:rPr>
                      <w:rFonts w:hint="eastAsia"/>
                      <w:u w:val="single"/>
                      <w:lang w:val="en-US" w:eastAsia="zh-CN"/>
                    </w:rPr>
                    <w:t>本项目周边用地无环境敏感型建筑物</w:t>
                  </w:r>
                </w:p>
              </w:tc>
              <w:tc>
                <w:tcPr>
                  <w:tcW w:w="756" w:type="dxa"/>
                  <w:vAlign w:val="center"/>
                </w:tcPr>
                <w:p w14:paraId="4223A81D">
                  <w:pPr>
                    <w:jc w:val="center"/>
                    <w:rPr>
                      <w:u w:val="single"/>
                    </w:rPr>
                  </w:pPr>
                  <w:r>
                    <w:rPr>
                      <w:u w:val="single"/>
                    </w:rPr>
                    <w:t>符合</w:t>
                  </w:r>
                </w:p>
              </w:tc>
            </w:tr>
            <w:tr w14:paraId="0B04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jc w:val="center"/>
              </w:trPr>
              <w:tc>
                <w:tcPr>
                  <w:tcW w:w="757" w:type="dxa"/>
                  <w:vMerge w:val="restart"/>
                  <w:vAlign w:val="center"/>
                </w:tcPr>
                <w:p w14:paraId="644CA80A">
                  <w:pPr>
                    <w:rPr>
                      <w:u w:val="single"/>
                    </w:rPr>
                  </w:pPr>
                  <w:r>
                    <w:rPr>
                      <w:u w:val="single"/>
                    </w:rPr>
                    <w:t>污染物排放管控</w:t>
                  </w:r>
                </w:p>
              </w:tc>
              <w:tc>
                <w:tcPr>
                  <w:tcW w:w="3088" w:type="dxa"/>
                  <w:vAlign w:val="center"/>
                </w:tcPr>
                <w:p w14:paraId="3108C2A1">
                  <w:pPr>
                    <w:widowControl/>
                    <w:jc w:val="left"/>
                    <w:rPr>
                      <w:rFonts w:hint="eastAsia"/>
                      <w:u w:val="single"/>
                      <w:lang w:val="en-US" w:eastAsia="zh-CN"/>
                    </w:rPr>
                  </w:pPr>
                  <w:r>
                    <w:rPr>
                      <w:rFonts w:hint="eastAsia"/>
                      <w:u w:val="single"/>
                      <w:lang w:val="en-US" w:eastAsia="zh-CN"/>
                    </w:rPr>
                    <w:t>（</w:t>
                  </w:r>
                  <w:r>
                    <w:rPr>
                      <w:rFonts w:hint="default"/>
                      <w:u w:val="single"/>
                      <w:lang w:val="en-US" w:eastAsia="zh-CN"/>
                    </w:rPr>
                    <w:t>2.1</w:t>
                  </w:r>
                  <w:r>
                    <w:rPr>
                      <w:rFonts w:hint="eastAsia"/>
                      <w:u w:val="single"/>
                      <w:lang w:val="en-US" w:eastAsia="zh-CN"/>
                    </w:rPr>
                    <w:t>）废水：高新区排水实施雨污分流，做好区域相应排水管网等基础设施建设。</w:t>
                  </w:r>
                </w:p>
                <w:p w14:paraId="68FD1887">
                  <w:pPr>
                    <w:widowControl/>
                    <w:jc w:val="left"/>
                    <w:rPr>
                      <w:rFonts w:hint="eastAsia"/>
                      <w:u w:val="single"/>
                      <w:lang w:val="en-US" w:eastAsia="zh-CN"/>
                    </w:rPr>
                  </w:pPr>
                  <w:r>
                    <w:rPr>
                      <w:rFonts w:hint="eastAsia"/>
                      <w:u w:val="single"/>
                      <w:lang w:val="en-US" w:eastAsia="zh-CN"/>
                    </w:rPr>
                    <w:t>区块一、区块三：</w:t>
                  </w:r>
                </w:p>
                <w:p w14:paraId="58B265CF">
                  <w:pPr>
                    <w:widowControl/>
                    <w:jc w:val="left"/>
                    <w:rPr>
                      <w:rFonts w:hint="eastAsia"/>
                      <w:u w:val="single"/>
                      <w:lang w:val="en-US" w:eastAsia="zh-CN"/>
                    </w:rPr>
                  </w:pPr>
                  <w:r>
                    <w:rPr>
                      <w:rFonts w:hint="eastAsia"/>
                      <w:u w:val="single"/>
                      <w:lang w:val="en-US" w:eastAsia="zh-CN"/>
                    </w:rPr>
                    <w:t>（</w:t>
                  </w:r>
                  <w:r>
                    <w:rPr>
                      <w:rFonts w:hint="default"/>
                      <w:u w:val="single"/>
                      <w:lang w:val="en-US" w:eastAsia="zh-CN"/>
                    </w:rPr>
                    <w:t>2.1.1</w:t>
                  </w:r>
                  <w:r>
                    <w:rPr>
                      <w:rFonts w:hint="eastAsia"/>
                      <w:u w:val="single"/>
                      <w:lang w:val="en-US" w:eastAsia="zh-CN"/>
                    </w:rPr>
                    <w:t>）与双溪镇共用集中污水处理厂，污水经双溪片区污水处理厂处理达标后排入双溪后汇入㵲水。</w:t>
                  </w:r>
                </w:p>
                <w:p w14:paraId="54386E6F">
                  <w:pPr>
                    <w:widowControl/>
                    <w:jc w:val="left"/>
                    <w:rPr>
                      <w:rFonts w:hint="eastAsia"/>
                      <w:u w:val="single"/>
                      <w:lang w:val="en-US" w:eastAsia="zh-CN"/>
                    </w:rPr>
                  </w:pPr>
                  <w:r>
                    <w:rPr>
                      <w:rFonts w:hint="eastAsia"/>
                      <w:u w:val="single"/>
                      <w:lang w:val="en-US" w:eastAsia="zh-CN"/>
                    </w:rPr>
                    <w:t>（</w:t>
                  </w:r>
                  <w:r>
                    <w:rPr>
                      <w:rFonts w:hint="default"/>
                      <w:u w:val="single"/>
                      <w:lang w:val="en-US" w:eastAsia="zh-CN"/>
                    </w:rPr>
                    <w:t>2.1.2</w:t>
                  </w:r>
                  <w:r>
                    <w:rPr>
                      <w:rFonts w:hint="eastAsia"/>
                      <w:u w:val="single"/>
                      <w:lang w:val="en-US" w:eastAsia="zh-CN"/>
                    </w:rPr>
                    <w:t>）雨水自流汇入排入</w:t>
                  </w:r>
                  <w:r>
                    <w:rPr>
                      <w:rFonts w:hint="default"/>
                      <w:u w:val="single"/>
                      <w:lang w:val="en-US" w:eastAsia="zh-CN"/>
                    </w:rPr>
                    <w:t>G209</w:t>
                  </w:r>
                  <w:r>
                    <w:rPr>
                      <w:rFonts w:hint="eastAsia"/>
                      <w:u w:val="single"/>
                      <w:lang w:val="en-US" w:eastAsia="zh-CN"/>
                    </w:rPr>
                    <w:t>国道两侧雨水沟由双溪公路桥下排入双溪或双溪公路桥下游</w:t>
                  </w:r>
                  <w:r>
                    <w:rPr>
                      <w:rFonts w:hint="default"/>
                      <w:u w:val="single"/>
                      <w:lang w:val="en-US" w:eastAsia="zh-CN"/>
                    </w:rPr>
                    <w:t>0.8km</w:t>
                  </w:r>
                  <w:r>
                    <w:rPr>
                      <w:rFonts w:hint="eastAsia"/>
                      <w:u w:val="single"/>
                      <w:lang w:val="en-US" w:eastAsia="zh-CN"/>
                    </w:rPr>
                    <w:t>处排入双溪，雨水汇入双溪有</w:t>
                  </w:r>
                  <w:r>
                    <w:rPr>
                      <w:rFonts w:hint="default"/>
                      <w:u w:val="single"/>
                      <w:lang w:val="en-US" w:eastAsia="zh-CN"/>
                    </w:rPr>
                    <w:t>2</w:t>
                  </w:r>
                  <w:r>
                    <w:rPr>
                      <w:rFonts w:hint="eastAsia"/>
                      <w:u w:val="single"/>
                      <w:lang w:val="en-US" w:eastAsia="zh-CN"/>
                    </w:rPr>
                    <w:t>处雨水汇入口，雨水进入双溪再排入</w:t>
                  </w:r>
                  <w:r>
                    <w:rPr>
                      <w:rFonts w:hint="default"/>
                      <w:u w:val="single"/>
                      <w:lang w:val="en-US" w:eastAsia="zh-CN"/>
                    </w:rPr>
                    <w:t>㵲</w:t>
                  </w:r>
                  <w:r>
                    <w:rPr>
                      <w:rFonts w:hint="eastAsia"/>
                      <w:u w:val="single"/>
                      <w:lang w:val="en-US" w:eastAsia="zh-CN"/>
                    </w:rPr>
                    <w:t>水。株山片区雨水通过</w:t>
                  </w:r>
                  <w:r>
                    <w:rPr>
                      <w:rFonts w:hint="default"/>
                      <w:u w:val="single"/>
                      <w:lang w:val="en-US" w:eastAsia="zh-CN"/>
                    </w:rPr>
                    <w:t>G209</w:t>
                  </w:r>
                  <w:r>
                    <w:rPr>
                      <w:rFonts w:hint="eastAsia"/>
                      <w:u w:val="single"/>
                      <w:lang w:val="en-US" w:eastAsia="zh-CN"/>
                    </w:rPr>
                    <w:t>国道两侧雨水沟或自然水体汇集至洪江市相思湖排入</w:t>
                  </w:r>
                  <w:r>
                    <w:rPr>
                      <w:rFonts w:hint="default"/>
                      <w:u w:val="single"/>
                      <w:lang w:val="en-US" w:eastAsia="zh-CN"/>
                    </w:rPr>
                    <w:t>㵲</w:t>
                  </w:r>
                  <w:r>
                    <w:rPr>
                      <w:rFonts w:hint="eastAsia"/>
                      <w:u w:val="single"/>
                      <w:lang w:val="en-US" w:eastAsia="zh-CN"/>
                    </w:rPr>
                    <w:t>水。</w:t>
                  </w:r>
                </w:p>
                <w:p w14:paraId="3A941186">
                  <w:pPr>
                    <w:widowControl/>
                    <w:jc w:val="left"/>
                    <w:rPr>
                      <w:rFonts w:hint="eastAsia"/>
                      <w:u w:val="single"/>
                      <w:lang w:val="en-US" w:eastAsia="zh-CN"/>
                    </w:rPr>
                  </w:pPr>
                  <w:r>
                    <w:rPr>
                      <w:rFonts w:hint="eastAsia"/>
                      <w:u w:val="single"/>
                      <w:lang w:val="en-US" w:eastAsia="zh-CN"/>
                    </w:rPr>
                    <w:t>区块二：</w:t>
                  </w:r>
                </w:p>
                <w:p w14:paraId="027343FE">
                  <w:pPr>
                    <w:widowControl/>
                    <w:jc w:val="left"/>
                    <w:rPr>
                      <w:u w:val="single"/>
                    </w:rPr>
                  </w:pPr>
                  <w:r>
                    <w:rPr>
                      <w:rFonts w:hint="eastAsia"/>
                      <w:u w:val="single"/>
                      <w:lang w:val="en-US" w:eastAsia="zh-CN"/>
                    </w:rPr>
                    <w:t>（</w:t>
                  </w:r>
                  <w:r>
                    <w:rPr>
                      <w:rFonts w:hint="default"/>
                      <w:u w:val="single"/>
                      <w:lang w:val="en-US" w:eastAsia="zh-CN"/>
                    </w:rPr>
                    <w:t>2.1.3</w:t>
                  </w:r>
                  <w:r>
                    <w:rPr>
                      <w:rFonts w:hint="eastAsia"/>
                      <w:u w:val="single"/>
                      <w:lang w:val="en-US" w:eastAsia="zh-CN"/>
                    </w:rPr>
                    <w:t>）污水经管网送至洪江市城市污水处理厂处理达标后排入沅江。</w:t>
                  </w:r>
                </w:p>
              </w:tc>
              <w:tc>
                <w:tcPr>
                  <w:tcW w:w="3037" w:type="dxa"/>
                  <w:vAlign w:val="center"/>
                </w:tcPr>
                <w:p w14:paraId="370B902C">
                  <w:pPr>
                    <w:widowControl/>
                    <w:jc w:val="left"/>
                    <w:rPr>
                      <w:rFonts w:hint="eastAsia"/>
                      <w:u w:val="single"/>
                      <w:lang w:val="en-US" w:eastAsia="zh-CN"/>
                    </w:rPr>
                  </w:pPr>
                  <w:r>
                    <w:rPr>
                      <w:u w:val="single"/>
                    </w:rPr>
                    <w:t>（2.1）</w:t>
                  </w:r>
                  <w:r>
                    <w:rPr>
                      <w:rFonts w:hint="eastAsia"/>
                      <w:u w:val="single"/>
                      <w:lang w:val="en-US" w:eastAsia="zh-CN"/>
                    </w:rPr>
                    <w:t>废水</w:t>
                  </w:r>
                </w:p>
                <w:p w14:paraId="6E90FE66">
                  <w:pPr>
                    <w:widowControl/>
                    <w:jc w:val="left"/>
                    <w:rPr>
                      <w:u w:val="single"/>
                    </w:rPr>
                  </w:pPr>
                  <w:r>
                    <w:rPr>
                      <w:u w:val="single"/>
                    </w:rPr>
                    <w:t>园区内各区域已敷设了相应的排水管网等基础设施建设。双溪片区已建设污水处理厂，本项目生活污水排入污水处理厂，污水处理厂处理达标后排入双溪后汇入㵲水</w:t>
                  </w:r>
                  <w:r>
                    <w:rPr>
                      <w:rFonts w:hint="eastAsia"/>
                      <w:u w:val="single"/>
                      <w:lang w:eastAsia="zh-CN"/>
                    </w:rPr>
                    <w:t>。</w:t>
                  </w:r>
                  <w:r>
                    <w:rPr>
                      <w:rFonts w:hint="eastAsia"/>
                      <w:u w:val="single"/>
                      <w:lang w:val="en-US" w:eastAsia="zh-CN"/>
                    </w:rPr>
                    <w:t>雨水自流汇入排入</w:t>
                  </w:r>
                  <w:r>
                    <w:rPr>
                      <w:rFonts w:hint="default"/>
                      <w:u w:val="single"/>
                      <w:lang w:val="en-US" w:eastAsia="zh-CN"/>
                    </w:rPr>
                    <w:t>G209</w:t>
                  </w:r>
                  <w:r>
                    <w:rPr>
                      <w:rFonts w:hint="eastAsia"/>
                      <w:u w:val="single"/>
                      <w:lang w:val="en-US" w:eastAsia="zh-CN"/>
                    </w:rPr>
                    <w:t>国道两侧雨水沟由双溪公路桥下排入双溪。</w:t>
                  </w:r>
                </w:p>
                <w:p w14:paraId="5810A866">
                  <w:pPr>
                    <w:widowControl/>
                    <w:jc w:val="left"/>
                    <w:rPr>
                      <w:u w:val="single"/>
                    </w:rPr>
                  </w:pPr>
                </w:p>
              </w:tc>
              <w:tc>
                <w:tcPr>
                  <w:tcW w:w="756" w:type="dxa"/>
                  <w:vMerge w:val="restart"/>
                  <w:vAlign w:val="center"/>
                </w:tcPr>
                <w:p w14:paraId="139F6945">
                  <w:pPr>
                    <w:jc w:val="center"/>
                    <w:rPr>
                      <w:u w:val="single"/>
                    </w:rPr>
                  </w:pPr>
                  <w:r>
                    <w:rPr>
                      <w:u w:val="single"/>
                    </w:rPr>
                    <w:t>符合</w:t>
                  </w:r>
                </w:p>
              </w:tc>
            </w:tr>
            <w:tr w14:paraId="468F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4" w:hRule="atLeast"/>
                <w:jc w:val="center"/>
              </w:trPr>
              <w:tc>
                <w:tcPr>
                  <w:tcW w:w="757" w:type="dxa"/>
                  <w:vMerge w:val="continue"/>
                  <w:vAlign w:val="center"/>
                </w:tcPr>
                <w:p w14:paraId="0B4DBD99">
                  <w:pPr>
                    <w:widowControl/>
                    <w:jc w:val="left"/>
                    <w:rPr>
                      <w:u w:val="single"/>
                    </w:rPr>
                  </w:pPr>
                </w:p>
              </w:tc>
              <w:tc>
                <w:tcPr>
                  <w:tcW w:w="3088" w:type="dxa"/>
                  <w:vAlign w:val="center"/>
                </w:tcPr>
                <w:p w14:paraId="1FC3BF59">
                  <w:pPr>
                    <w:widowControl/>
                    <w:jc w:val="left"/>
                    <w:rPr>
                      <w:rFonts w:hint="eastAsia"/>
                      <w:u w:val="single"/>
                      <w:lang w:val="en-US" w:eastAsia="zh-CN"/>
                    </w:rPr>
                  </w:pPr>
                  <w:r>
                    <w:rPr>
                      <w:rFonts w:hint="eastAsia"/>
                      <w:u w:val="single"/>
                      <w:lang w:val="en-US" w:eastAsia="zh-CN"/>
                    </w:rPr>
                    <w:t>（</w:t>
                  </w:r>
                  <w:r>
                    <w:rPr>
                      <w:rFonts w:hint="default"/>
                      <w:u w:val="single"/>
                      <w:lang w:val="en-US" w:eastAsia="zh-CN"/>
                    </w:rPr>
                    <w:t>2.2</w:t>
                  </w:r>
                  <w:r>
                    <w:rPr>
                      <w:rFonts w:hint="eastAsia"/>
                      <w:u w:val="single"/>
                      <w:lang w:val="en-US" w:eastAsia="zh-CN"/>
                    </w:rPr>
                    <w:t>）废气</w:t>
                  </w:r>
                </w:p>
                <w:p w14:paraId="5FDE76E4">
                  <w:pPr>
                    <w:widowControl/>
                    <w:jc w:val="left"/>
                    <w:rPr>
                      <w:rFonts w:hint="eastAsia"/>
                      <w:u w:val="single"/>
                      <w:lang w:val="en-US" w:eastAsia="zh-CN"/>
                    </w:rPr>
                  </w:pPr>
                  <w:r>
                    <w:rPr>
                      <w:rFonts w:hint="eastAsia"/>
                      <w:u w:val="single"/>
                      <w:lang w:val="en-US" w:eastAsia="zh-CN"/>
                    </w:rPr>
                    <w:t>（</w:t>
                  </w:r>
                  <w:r>
                    <w:rPr>
                      <w:rFonts w:hint="default"/>
                      <w:u w:val="single"/>
                      <w:lang w:val="en-US" w:eastAsia="zh-CN"/>
                    </w:rPr>
                    <w:t>2.2.1</w:t>
                  </w:r>
                  <w:r>
                    <w:rPr>
                      <w:rFonts w:hint="eastAsia"/>
                      <w:u w:val="single"/>
                      <w:lang w:val="en-US" w:eastAsia="zh-CN"/>
                    </w:rPr>
                    <w:t>）管委会应积极推广清洁能源，进一步减少燃料结构型二氧化硫污染。入园企业各生产装置排放的废气须经处理达标方可外排。</w:t>
                  </w:r>
                </w:p>
                <w:p w14:paraId="0C81DBED">
                  <w:pPr>
                    <w:widowControl/>
                    <w:jc w:val="left"/>
                    <w:rPr>
                      <w:rFonts w:hint="eastAsia"/>
                      <w:u w:val="single"/>
                      <w:lang w:val="en-US" w:eastAsia="zh-CN"/>
                    </w:rPr>
                  </w:pPr>
                  <w:r>
                    <w:rPr>
                      <w:rFonts w:hint="eastAsia"/>
                      <w:u w:val="single"/>
                      <w:lang w:val="en-US" w:eastAsia="zh-CN"/>
                    </w:rPr>
                    <w:t>（</w:t>
                  </w:r>
                  <w:r>
                    <w:rPr>
                      <w:rFonts w:hint="default"/>
                      <w:u w:val="single"/>
                      <w:lang w:val="en-US" w:eastAsia="zh-CN"/>
                    </w:rPr>
                    <w:t>2.2.2</w:t>
                  </w:r>
                  <w:r>
                    <w:rPr>
                      <w:rFonts w:hint="eastAsia"/>
                      <w:u w:val="single"/>
                      <w:lang w:val="en-US" w:eastAsia="zh-CN"/>
                    </w:rPr>
                    <w:t>）高新区内相关行业大气污染物排放应满足《湖南省生态环境厅关于执行污染物特别排放限值（第一批）的公告》中的要求。</w:t>
                  </w:r>
                </w:p>
              </w:tc>
              <w:tc>
                <w:tcPr>
                  <w:tcW w:w="3037" w:type="dxa"/>
                  <w:vAlign w:val="center"/>
                </w:tcPr>
                <w:p w14:paraId="4FA664E5">
                  <w:pPr>
                    <w:widowControl/>
                    <w:jc w:val="left"/>
                    <w:rPr>
                      <w:rFonts w:hint="eastAsia"/>
                      <w:u w:val="single"/>
                      <w:lang w:val="en-US" w:eastAsia="zh-CN"/>
                    </w:rPr>
                  </w:pPr>
                  <w:r>
                    <w:rPr>
                      <w:u w:val="single"/>
                    </w:rPr>
                    <w:t>（2.</w:t>
                  </w:r>
                  <w:r>
                    <w:rPr>
                      <w:rFonts w:hint="eastAsia"/>
                      <w:u w:val="single"/>
                      <w:lang w:val="en-US" w:eastAsia="zh-CN"/>
                    </w:rPr>
                    <w:t>2</w:t>
                  </w:r>
                  <w:r>
                    <w:rPr>
                      <w:u w:val="single"/>
                    </w:rPr>
                    <w:t>）</w:t>
                  </w:r>
                  <w:r>
                    <w:rPr>
                      <w:rFonts w:hint="eastAsia"/>
                      <w:u w:val="single"/>
                      <w:lang w:val="en-US" w:eastAsia="zh-CN"/>
                    </w:rPr>
                    <w:t>废气</w:t>
                  </w:r>
                </w:p>
                <w:p w14:paraId="2B3F57B3">
                  <w:pPr>
                    <w:widowControl/>
                    <w:jc w:val="left"/>
                    <w:rPr>
                      <w:rFonts w:hint="eastAsia"/>
                      <w:u w:val="single"/>
                      <w:lang w:val="en-US" w:eastAsia="zh-CN"/>
                    </w:rPr>
                  </w:pPr>
                  <w:r>
                    <w:rPr>
                      <w:u w:val="single"/>
                    </w:rPr>
                    <w:t>项目使用的设备均采用电能，不涉及使用煤炭的设备，且项目不涉及锅炉，不涉及二氧化硫排放</w:t>
                  </w:r>
                  <w:r>
                    <w:rPr>
                      <w:rFonts w:hint="eastAsia"/>
                      <w:u w:val="single"/>
                      <w:lang w:eastAsia="zh-CN"/>
                    </w:rPr>
                    <w:t>。</w:t>
                  </w:r>
                  <w:r>
                    <w:rPr>
                      <w:u w:val="single"/>
                    </w:rPr>
                    <w:t>项目排放的所有废气均经相应的环保设施治理后排放，均可达到相应的标准限值。</w:t>
                  </w:r>
                </w:p>
              </w:tc>
              <w:tc>
                <w:tcPr>
                  <w:tcW w:w="756" w:type="dxa"/>
                  <w:vMerge w:val="continue"/>
                  <w:vAlign w:val="center"/>
                </w:tcPr>
                <w:p w14:paraId="71928938">
                  <w:pPr>
                    <w:widowControl/>
                    <w:jc w:val="left"/>
                    <w:rPr>
                      <w:rFonts w:hint="eastAsia"/>
                      <w:u w:val="single"/>
                      <w:lang w:val="en-US" w:eastAsia="zh-CN"/>
                    </w:rPr>
                  </w:pPr>
                </w:p>
              </w:tc>
            </w:tr>
            <w:tr w14:paraId="5CF5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757" w:type="dxa"/>
                  <w:vMerge w:val="continue"/>
                  <w:vAlign w:val="center"/>
                </w:tcPr>
                <w:p w14:paraId="28E1EA3D">
                  <w:pPr>
                    <w:widowControl/>
                    <w:jc w:val="left"/>
                    <w:rPr>
                      <w:rFonts w:hint="eastAsia"/>
                      <w:u w:val="single"/>
                      <w:lang w:val="en-US" w:eastAsia="zh-CN"/>
                    </w:rPr>
                  </w:pPr>
                </w:p>
              </w:tc>
              <w:tc>
                <w:tcPr>
                  <w:tcW w:w="3088" w:type="dxa"/>
                  <w:vAlign w:val="center"/>
                </w:tcPr>
                <w:p w14:paraId="06DF8920">
                  <w:pPr>
                    <w:widowControl/>
                    <w:jc w:val="left"/>
                    <w:rPr>
                      <w:rFonts w:hint="eastAsia"/>
                      <w:u w:val="single"/>
                      <w:lang w:val="en-US" w:eastAsia="zh-CN"/>
                    </w:rPr>
                  </w:pPr>
                  <w:r>
                    <w:rPr>
                      <w:rFonts w:hint="eastAsia"/>
                      <w:u w:val="single"/>
                      <w:lang w:val="en-US" w:eastAsia="zh-CN"/>
                    </w:rPr>
                    <w:t>（</w:t>
                  </w:r>
                  <w:r>
                    <w:rPr>
                      <w:rFonts w:hint="default"/>
                      <w:u w:val="single"/>
                      <w:lang w:val="en-US" w:eastAsia="zh-CN"/>
                    </w:rPr>
                    <w:t>2.3</w:t>
                  </w:r>
                  <w:r>
                    <w:rPr>
                      <w:rFonts w:hint="eastAsia"/>
                      <w:u w:val="single"/>
                      <w:lang w:val="en-US" w:eastAsia="zh-CN"/>
                    </w:rPr>
                    <w:t>）固废：做好高新区工业固体废物和生活垃圾的分类收集、转运、综合利用和无害化处理。加强固体废物的资源化进程，提高综合利用率；规范固体废物处理措施，严防二次污染</w:t>
                  </w:r>
                </w:p>
              </w:tc>
              <w:tc>
                <w:tcPr>
                  <w:tcW w:w="3037" w:type="dxa"/>
                  <w:vAlign w:val="center"/>
                </w:tcPr>
                <w:p w14:paraId="5B2F0B20">
                  <w:pPr>
                    <w:widowControl/>
                    <w:jc w:val="left"/>
                    <w:rPr>
                      <w:rFonts w:hint="default"/>
                      <w:u w:val="single"/>
                      <w:lang w:val="en-US" w:eastAsia="zh-CN"/>
                    </w:rPr>
                  </w:pPr>
                  <w:r>
                    <w:rPr>
                      <w:u w:val="single"/>
                    </w:rPr>
                    <w:t>（2.</w:t>
                  </w:r>
                  <w:r>
                    <w:rPr>
                      <w:rFonts w:hint="eastAsia"/>
                      <w:u w:val="single"/>
                      <w:lang w:val="en-US" w:eastAsia="zh-CN"/>
                    </w:rPr>
                    <w:t>3</w:t>
                  </w:r>
                  <w:r>
                    <w:rPr>
                      <w:u w:val="single"/>
                    </w:rPr>
                    <w:t>）</w:t>
                  </w:r>
                  <w:r>
                    <w:rPr>
                      <w:rFonts w:hint="eastAsia"/>
                      <w:u w:val="single"/>
                      <w:lang w:val="en-US" w:eastAsia="zh-CN"/>
                    </w:rPr>
                    <w:t>固废</w:t>
                  </w:r>
                </w:p>
                <w:p w14:paraId="5C1A8BE8">
                  <w:pPr>
                    <w:widowControl/>
                    <w:jc w:val="left"/>
                    <w:rPr>
                      <w:rFonts w:hint="eastAsia"/>
                      <w:u w:val="single"/>
                      <w:lang w:val="en-US" w:eastAsia="zh-CN"/>
                    </w:rPr>
                  </w:pPr>
                  <w:r>
                    <w:rPr>
                      <w:u w:val="single"/>
                    </w:rPr>
                    <w:t>项目一般工业固体废物外售综合利用或回用于生产，危险废物暂存于危废间，定期交由有资质单位处置。</w:t>
                  </w:r>
                </w:p>
              </w:tc>
              <w:tc>
                <w:tcPr>
                  <w:tcW w:w="756" w:type="dxa"/>
                  <w:vMerge w:val="continue"/>
                  <w:vAlign w:val="center"/>
                </w:tcPr>
                <w:p w14:paraId="4609B0B7">
                  <w:pPr>
                    <w:widowControl/>
                    <w:jc w:val="left"/>
                    <w:rPr>
                      <w:rFonts w:hint="eastAsia"/>
                      <w:u w:val="single"/>
                      <w:lang w:val="en-US" w:eastAsia="zh-CN"/>
                    </w:rPr>
                  </w:pPr>
                </w:p>
              </w:tc>
            </w:tr>
            <w:tr w14:paraId="72D9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78" w:hRule="atLeast"/>
                <w:jc w:val="center"/>
              </w:trPr>
              <w:tc>
                <w:tcPr>
                  <w:tcW w:w="757" w:type="dxa"/>
                  <w:vMerge w:val="restart"/>
                  <w:vAlign w:val="center"/>
                </w:tcPr>
                <w:p w14:paraId="7F0943B8">
                  <w:pPr>
                    <w:rPr>
                      <w:u w:val="single"/>
                    </w:rPr>
                  </w:pPr>
                  <w:r>
                    <w:rPr>
                      <w:u w:val="single"/>
                    </w:rPr>
                    <w:t>环境风险防控</w:t>
                  </w:r>
                </w:p>
              </w:tc>
              <w:tc>
                <w:tcPr>
                  <w:tcW w:w="3088" w:type="dxa"/>
                  <w:vAlign w:val="center"/>
                </w:tcPr>
                <w:p w14:paraId="1B4FEB43">
                  <w:pPr>
                    <w:widowControl/>
                    <w:jc w:val="left"/>
                    <w:rPr>
                      <w:rFonts w:hint="eastAsia"/>
                      <w:u w:val="single"/>
                      <w:lang w:val="en-US" w:eastAsia="zh-CN"/>
                    </w:rPr>
                  </w:pPr>
                  <w:r>
                    <w:rPr>
                      <w:rFonts w:hint="eastAsia"/>
                      <w:u w:val="single"/>
                      <w:lang w:val="en-US" w:eastAsia="zh-CN"/>
                    </w:rPr>
                    <w:t>（</w:t>
                  </w:r>
                  <w:r>
                    <w:rPr>
                      <w:rFonts w:hint="default"/>
                      <w:u w:val="single"/>
                      <w:lang w:val="en-US" w:eastAsia="zh-CN"/>
                    </w:rPr>
                    <w:t>3.1</w:t>
                  </w:r>
                  <w:r>
                    <w:rPr>
                      <w:rFonts w:hint="eastAsia"/>
                      <w:u w:val="single"/>
                      <w:lang w:val="en-US" w:eastAsia="zh-CN"/>
                    </w:rPr>
                    <w:t>）高新区应建立健全覆盖各区块的环境风险防控体系，加强区内重要风险源管控。加强高新区危险化学品储运的环境风险管理，严格落实应急响应联动机制，确保区域环境安全。强化高新区环境监督管理，根据洪江高新技术产业开发区（洪江市）突发环境事件应急预案要求，健全环境风险事故防范措施，严防环境风险事故发生。</w:t>
                  </w:r>
                </w:p>
              </w:tc>
              <w:tc>
                <w:tcPr>
                  <w:tcW w:w="3037" w:type="dxa"/>
                  <w:vMerge w:val="restart"/>
                  <w:vAlign w:val="center"/>
                </w:tcPr>
                <w:p w14:paraId="0F9C0F36">
                  <w:pPr>
                    <w:widowControl/>
                    <w:jc w:val="left"/>
                    <w:rPr>
                      <w:rFonts w:hint="eastAsia"/>
                      <w:u w:val="single"/>
                      <w:lang w:val="en-US" w:eastAsia="zh-CN"/>
                    </w:rPr>
                  </w:pPr>
                  <w:r>
                    <w:rPr>
                      <w:rFonts w:hint="eastAsia"/>
                      <w:u w:val="single"/>
                      <w:lang w:val="en-US" w:eastAsia="zh-CN"/>
                    </w:rPr>
                    <w:t>（3.1）、（3.2）环评要求项目建成后需编制“突发环境事件应急预案”，建立相应的应急组织机构，在发生突发环境事件时，做到第一时间响应并处置。同时，项目运营期间严格管理润滑油、废润滑油等风险物质，在储存区域进行地面硬化处理并修筑围堰，严格控制环境风险。项目建设后将严格落实土壤风险风控制度，对可能造成土壤污染的途径严加防范。</w:t>
                  </w:r>
                </w:p>
              </w:tc>
              <w:tc>
                <w:tcPr>
                  <w:tcW w:w="756" w:type="dxa"/>
                  <w:vMerge w:val="restart"/>
                  <w:vAlign w:val="center"/>
                </w:tcPr>
                <w:p w14:paraId="36E93182">
                  <w:pPr>
                    <w:jc w:val="center"/>
                    <w:rPr>
                      <w:u w:val="single"/>
                    </w:rPr>
                  </w:pPr>
                  <w:r>
                    <w:rPr>
                      <w:u w:val="single"/>
                    </w:rPr>
                    <w:t>符合</w:t>
                  </w:r>
                </w:p>
                <w:p w14:paraId="2CDC3B83">
                  <w:pPr>
                    <w:widowControl/>
                    <w:jc w:val="center"/>
                    <w:rPr>
                      <w:u w:val="single"/>
                    </w:rPr>
                  </w:pPr>
                </w:p>
              </w:tc>
            </w:tr>
            <w:tr w14:paraId="23FC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8" w:hRule="atLeast"/>
                <w:jc w:val="center"/>
              </w:trPr>
              <w:tc>
                <w:tcPr>
                  <w:tcW w:w="757" w:type="dxa"/>
                  <w:vMerge w:val="continue"/>
                  <w:vAlign w:val="center"/>
                </w:tcPr>
                <w:p w14:paraId="65020073">
                  <w:pPr>
                    <w:widowControl/>
                    <w:jc w:val="left"/>
                    <w:rPr>
                      <w:u w:val="single"/>
                    </w:rPr>
                  </w:pPr>
                </w:p>
              </w:tc>
              <w:tc>
                <w:tcPr>
                  <w:tcW w:w="3088" w:type="dxa"/>
                  <w:vAlign w:val="center"/>
                </w:tcPr>
                <w:p w14:paraId="13033E40">
                  <w:pPr>
                    <w:widowControl/>
                    <w:jc w:val="left"/>
                    <w:rPr>
                      <w:rFonts w:hint="eastAsia"/>
                      <w:u w:val="single"/>
                      <w:lang w:val="en-US" w:eastAsia="zh-CN"/>
                    </w:rPr>
                  </w:pPr>
                  <w:r>
                    <w:rPr>
                      <w:rFonts w:hint="eastAsia"/>
                      <w:u w:val="single"/>
                      <w:lang w:val="en-US" w:eastAsia="zh-CN"/>
                    </w:rPr>
                    <w:t>（</w:t>
                  </w:r>
                  <w:r>
                    <w:rPr>
                      <w:rFonts w:hint="default"/>
                      <w:u w:val="single"/>
                      <w:lang w:val="en-US" w:eastAsia="zh-CN"/>
                    </w:rPr>
                    <w:t>3.2</w:t>
                  </w:r>
                  <w:r>
                    <w:rPr>
                      <w:rFonts w:hint="eastAsia"/>
                      <w:u w:val="single"/>
                      <w:lang w:val="en-US" w:eastAsia="zh-CN"/>
                    </w:rPr>
                    <w:t>）高新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tc>
              <w:tc>
                <w:tcPr>
                  <w:tcW w:w="3037" w:type="dxa"/>
                  <w:vMerge w:val="continue"/>
                  <w:vAlign w:val="center"/>
                </w:tcPr>
                <w:p w14:paraId="0C02E0DA">
                  <w:pPr>
                    <w:widowControl/>
                    <w:jc w:val="left"/>
                    <w:rPr>
                      <w:rFonts w:hint="eastAsia"/>
                      <w:u w:val="single"/>
                      <w:lang w:val="en-US" w:eastAsia="zh-CN"/>
                    </w:rPr>
                  </w:pPr>
                </w:p>
              </w:tc>
              <w:tc>
                <w:tcPr>
                  <w:tcW w:w="756" w:type="dxa"/>
                  <w:vMerge w:val="continue"/>
                  <w:vAlign w:val="center"/>
                </w:tcPr>
                <w:p w14:paraId="465E9C8D">
                  <w:pPr>
                    <w:widowControl/>
                    <w:jc w:val="left"/>
                    <w:rPr>
                      <w:rFonts w:hint="eastAsia"/>
                      <w:u w:val="single"/>
                      <w:lang w:val="en-US" w:eastAsia="zh-CN"/>
                    </w:rPr>
                  </w:pPr>
                </w:p>
              </w:tc>
            </w:tr>
            <w:tr w14:paraId="2D00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57" w:type="dxa"/>
                  <w:vMerge w:val="continue"/>
                  <w:vAlign w:val="center"/>
                </w:tcPr>
                <w:p w14:paraId="262838D2">
                  <w:pPr>
                    <w:widowControl/>
                    <w:jc w:val="left"/>
                    <w:rPr>
                      <w:rFonts w:hint="eastAsia"/>
                      <w:u w:val="single"/>
                      <w:lang w:val="en-US" w:eastAsia="zh-CN"/>
                    </w:rPr>
                  </w:pPr>
                </w:p>
              </w:tc>
              <w:tc>
                <w:tcPr>
                  <w:tcW w:w="3088" w:type="dxa"/>
                  <w:vAlign w:val="center"/>
                </w:tcPr>
                <w:p w14:paraId="71B5DE75">
                  <w:pPr>
                    <w:widowControl/>
                    <w:jc w:val="left"/>
                    <w:rPr>
                      <w:rFonts w:hint="eastAsia"/>
                      <w:u w:val="single"/>
                      <w:lang w:val="en-US" w:eastAsia="zh-CN"/>
                    </w:rPr>
                  </w:pPr>
                  <w:r>
                    <w:rPr>
                      <w:rFonts w:hint="eastAsia"/>
                      <w:u w:val="single"/>
                      <w:lang w:val="en-US" w:eastAsia="zh-CN"/>
                    </w:rPr>
                    <w:t>（</w:t>
                  </w:r>
                  <w:r>
                    <w:rPr>
                      <w:rFonts w:hint="default"/>
                      <w:u w:val="single"/>
                      <w:lang w:val="en-US" w:eastAsia="zh-CN"/>
                    </w:rPr>
                    <w:t>3.3</w:t>
                  </w:r>
                  <w:r>
                    <w:rPr>
                      <w:rFonts w:hint="eastAsia"/>
                      <w:u w:val="single"/>
                      <w:lang w:val="en-US" w:eastAsia="zh-CN"/>
                    </w:rPr>
                    <w:t>）建设用地土壤风险防控：加强对建设用地土壤环境状况调查、风险评估和污染地块治理与修复活动的监管。</w:t>
                  </w:r>
                </w:p>
              </w:tc>
              <w:tc>
                <w:tcPr>
                  <w:tcW w:w="3037" w:type="dxa"/>
                  <w:vMerge w:val="continue"/>
                  <w:vAlign w:val="center"/>
                </w:tcPr>
                <w:p w14:paraId="05C73B1B">
                  <w:pPr>
                    <w:widowControl/>
                    <w:jc w:val="left"/>
                    <w:rPr>
                      <w:rFonts w:hint="eastAsia"/>
                      <w:u w:val="single"/>
                      <w:lang w:val="en-US" w:eastAsia="zh-CN"/>
                    </w:rPr>
                  </w:pPr>
                </w:p>
              </w:tc>
              <w:tc>
                <w:tcPr>
                  <w:tcW w:w="756" w:type="dxa"/>
                  <w:vMerge w:val="continue"/>
                  <w:vAlign w:val="center"/>
                </w:tcPr>
                <w:p w14:paraId="76649B71">
                  <w:pPr>
                    <w:widowControl/>
                    <w:jc w:val="left"/>
                    <w:rPr>
                      <w:rFonts w:hint="eastAsia"/>
                      <w:u w:val="single"/>
                      <w:lang w:val="en-US" w:eastAsia="zh-CN"/>
                    </w:rPr>
                  </w:pPr>
                </w:p>
              </w:tc>
            </w:tr>
            <w:tr w14:paraId="73C3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0" w:hRule="atLeast"/>
                <w:jc w:val="center"/>
              </w:trPr>
              <w:tc>
                <w:tcPr>
                  <w:tcW w:w="757" w:type="dxa"/>
                  <w:vMerge w:val="restart"/>
                  <w:vAlign w:val="center"/>
                </w:tcPr>
                <w:p w14:paraId="62C67A20">
                  <w:pPr>
                    <w:rPr>
                      <w:u w:val="single"/>
                    </w:rPr>
                  </w:pPr>
                  <w:r>
                    <w:rPr>
                      <w:u w:val="single"/>
                    </w:rPr>
                    <w:t>资源开发效率要求</w:t>
                  </w:r>
                </w:p>
              </w:tc>
              <w:tc>
                <w:tcPr>
                  <w:tcW w:w="3088" w:type="dxa"/>
                  <w:vAlign w:val="center"/>
                </w:tcPr>
                <w:p w14:paraId="3065C6B3">
                  <w:pPr>
                    <w:widowControl/>
                    <w:jc w:val="left"/>
                    <w:rPr>
                      <w:rFonts w:hint="eastAsia"/>
                      <w:u w:val="single"/>
                      <w:lang w:val="en-US" w:eastAsia="zh-CN"/>
                    </w:rPr>
                  </w:pPr>
                  <w:r>
                    <w:rPr>
                      <w:rFonts w:hint="eastAsia"/>
                      <w:u w:val="single"/>
                      <w:lang w:val="en-US" w:eastAsia="zh-CN"/>
                    </w:rPr>
                    <w:t>（</w:t>
                  </w:r>
                  <w:r>
                    <w:rPr>
                      <w:rFonts w:hint="default"/>
                      <w:u w:val="single"/>
                      <w:lang w:val="en-US" w:eastAsia="zh-CN"/>
                    </w:rPr>
                    <w:t>4.1</w:t>
                  </w:r>
                  <w:r>
                    <w:rPr>
                      <w:rFonts w:hint="eastAsia"/>
                      <w:u w:val="single"/>
                      <w:lang w:val="en-US" w:eastAsia="zh-CN"/>
                    </w:rPr>
                    <w:t>）能源：完善能耗双控制度。强化能耗强度降低约束性指标管理，有效增强能源消费总量管理弹性，加强能耗双控政策与碳达峰碳中和目标任务的衔接。到</w:t>
                  </w:r>
                  <w:r>
                    <w:rPr>
                      <w:rFonts w:hint="default"/>
                      <w:u w:val="single"/>
                      <w:lang w:val="en-US" w:eastAsia="zh-CN"/>
                    </w:rPr>
                    <w:t>2025</w:t>
                  </w:r>
                  <w:r>
                    <w:rPr>
                      <w:rFonts w:hint="eastAsia"/>
                      <w:u w:val="single"/>
                      <w:lang w:val="en-US" w:eastAsia="zh-CN"/>
                    </w:rPr>
                    <w:t>年，单位</w:t>
                  </w:r>
                  <w:r>
                    <w:rPr>
                      <w:rFonts w:hint="default"/>
                      <w:u w:val="single"/>
                      <w:lang w:val="en-US" w:eastAsia="zh-CN"/>
                    </w:rPr>
                    <w:t>GDP</w:t>
                  </w:r>
                  <w:r>
                    <w:rPr>
                      <w:rFonts w:hint="eastAsia"/>
                      <w:u w:val="single"/>
                      <w:lang w:val="en-US" w:eastAsia="zh-CN"/>
                    </w:rPr>
                    <w:t>能耗</w:t>
                  </w:r>
                  <w:r>
                    <w:rPr>
                      <w:rFonts w:hint="default"/>
                      <w:u w:val="single"/>
                      <w:lang w:val="en-US" w:eastAsia="zh-CN"/>
                    </w:rPr>
                    <w:t>0.1731</w:t>
                  </w:r>
                  <w:r>
                    <w:rPr>
                      <w:rFonts w:hint="eastAsia"/>
                      <w:u w:val="single"/>
                      <w:lang w:val="en-US" w:eastAsia="zh-CN"/>
                    </w:rPr>
                    <w:t>吨标准煤</w:t>
                  </w:r>
                  <w:r>
                    <w:rPr>
                      <w:rFonts w:hint="default"/>
                      <w:u w:val="single"/>
                      <w:lang w:val="en-US" w:eastAsia="zh-CN"/>
                    </w:rPr>
                    <w:t>/</w:t>
                  </w:r>
                  <w:r>
                    <w:rPr>
                      <w:rFonts w:hint="eastAsia"/>
                      <w:u w:val="single"/>
                      <w:lang w:val="en-US" w:eastAsia="zh-CN"/>
                    </w:rPr>
                    <w:t>万元，单位增加值能耗</w:t>
                  </w:r>
                  <w:r>
                    <w:rPr>
                      <w:rFonts w:hint="default"/>
                      <w:u w:val="single"/>
                      <w:lang w:val="en-US" w:eastAsia="zh-CN"/>
                    </w:rPr>
                    <w:t>0.1820</w:t>
                  </w:r>
                  <w:r>
                    <w:rPr>
                      <w:rFonts w:hint="eastAsia"/>
                      <w:u w:val="single"/>
                      <w:lang w:val="en-US" w:eastAsia="zh-CN"/>
                    </w:rPr>
                    <w:t>吨标准煤</w:t>
                  </w:r>
                  <w:r>
                    <w:rPr>
                      <w:rFonts w:hint="default"/>
                      <w:u w:val="single"/>
                      <w:lang w:val="en-US" w:eastAsia="zh-CN"/>
                    </w:rPr>
                    <w:t>/</w:t>
                  </w:r>
                  <w:r>
                    <w:rPr>
                      <w:rFonts w:hint="eastAsia"/>
                      <w:u w:val="single"/>
                      <w:lang w:val="en-US" w:eastAsia="zh-CN"/>
                    </w:rPr>
                    <w:t>万元。</w:t>
                  </w:r>
                </w:p>
              </w:tc>
              <w:tc>
                <w:tcPr>
                  <w:tcW w:w="3037" w:type="dxa"/>
                  <w:vMerge w:val="restart"/>
                  <w:vAlign w:val="center"/>
                </w:tcPr>
                <w:p w14:paraId="564537AA">
                  <w:pPr>
                    <w:widowControl/>
                    <w:jc w:val="left"/>
                    <w:rPr>
                      <w:rFonts w:hint="eastAsia"/>
                      <w:u w:val="single"/>
                      <w:lang w:val="en-US" w:eastAsia="zh-CN"/>
                    </w:rPr>
                  </w:pPr>
                  <w:r>
                    <w:rPr>
                      <w:rFonts w:hint="eastAsia"/>
                      <w:u w:val="single"/>
                      <w:lang w:val="en-US" w:eastAsia="zh-CN"/>
                    </w:rPr>
                    <w:t>（4.1）能源：本项目所有设备均使用电能，不涉及上述内容。</w:t>
                  </w:r>
                </w:p>
                <w:p w14:paraId="6B4963B1">
                  <w:pPr>
                    <w:widowControl/>
                    <w:jc w:val="left"/>
                    <w:rPr>
                      <w:rFonts w:hint="eastAsia"/>
                      <w:u w:val="single"/>
                      <w:lang w:val="en-US" w:eastAsia="zh-CN"/>
                    </w:rPr>
                  </w:pPr>
                  <w:r>
                    <w:rPr>
                      <w:rFonts w:hint="eastAsia"/>
                      <w:u w:val="single"/>
                      <w:lang w:val="en-US" w:eastAsia="zh-CN"/>
                    </w:rPr>
                    <w:t>（4.2）水资源</w:t>
                  </w:r>
                </w:p>
                <w:p w14:paraId="057E18EA">
                  <w:pPr>
                    <w:widowControl/>
                    <w:jc w:val="left"/>
                    <w:rPr>
                      <w:rFonts w:hint="eastAsia"/>
                      <w:u w:val="single"/>
                      <w:lang w:val="en-US" w:eastAsia="zh-CN"/>
                    </w:rPr>
                  </w:pPr>
                  <w:r>
                    <w:rPr>
                      <w:rFonts w:hint="eastAsia"/>
                      <w:u w:val="single"/>
                      <w:lang w:val="en-US" w:eastAsia="zh-CN"/>
                    </w:rPr>
                    <w:t>本项目用水主要为冷却补充用水、砂处理、生活用水，年用水量不大。</w:t>
                  </w:r>
                </w:p>
                <w:p w14:paraId="0DB80135">
                  <w:pPr>
                    <w:widowControl/>
                    <w:jc w:val="left"/>
                    <w:rPr>
                      <w:rFonts w:hint="eastAsia"/>
                      <w:u w:val="single"/>
                      <w:lang w:val="en-US" w:eastAsia="zh-CN"/>
                    </w:rPr>
                  </w:pPr>
                  <w:r>
                    <w:rPr>
                      <w:rFonts w:hint="eastAsia"/>
                      <w:u w:val="single"/>
                      <w:lang w:val="en-US" w:eastAsia="zh-CN"/>
                    </w:rPr>
                    <w:t>（4.2）土地资源</w:t>
                  </w:r>
                </w:p>
                <w:p w14:paraId="263E1986">
                  <w:pPr>
                    <w:bidi w:val="0"/>
                    <w:rPr>
                      <w:rFonts w:hint="default"/>
                      <w:u w:val="single"/>
                      <w:lang w:val="en-US" w:eastAsia="zh-CN"/>
                    </w:rPr>
                  </w:pPr>
                  <w:r>
                    <w:rPr>
                      <w:rFonts w:hint="eastAsia"/>
                      <w:u w:val="single"/>
                      <w:lang w:val="en-US" w:eastAsia="zh-CN"/>
                    </w:rPr>
                    <w:t>本项目位于园区内，为建设用地，</w:t>
                  </w:r>
                  <w:r>
                    <w:rPr>
                      <w:u w:val="single"/>
                    </w:rPr>
                    <w:t>项目建设符合相关用地规划</w:t>
                  </w:r>
                  <w:r>
                    <w:rPr>
                      <w:rFonts w:hint="eastAsia"/>
                      <w:u w:val="single"/>
                      <w:lang w:val="en-US" w:eastAsia="zh-CN"/>
                    </w:rPr>
                    <w:t>。</w:t>
                  </w:r>
                </w:p>
              </w:tc>
              <w:tc>
                <w:tcPr>
                  <w:tcW w:w="756" w:type="dxa"/>
                  <w:vMerge w:val="restart"/>
                  <w:vAlign w:val="center"/>
                </w:tcPr>
                <w:p w14:paraId="52F119F0">
                  <w:pPr>
                    <w:jc w:val="center"/>
                    <w:rPr>
                      <w:u w:val="single"/>
                    </w:rPr>
                  </w:pPr>
                  <w:r>
                    <w:rPr>
                      <w:u w:val="single"/>
                    </w:rPr>
                    <w:t>符合</w:t>
                  </w:r>
                </w:p>
              </w:tc>
            </w:tr>
            <w:tr w14:paraId="42CB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0" w:hRule="atLeast"/>
                <w:jc w:val="center"/>
              </w:trPr>
              <w:tc>
                <w:tcPr>
                  <w:tcW w:w="757" w:type="dxa"/>
                  <w:vMerge w:val="continue"/>
                  <w:vAlign w:val="center"/>
                </w:tcPr>
                <w:p w14:paraId="422D74EC">
                  <w:pPr>
                    <w:widowControl/>
                    <w:jc w:val="left"/>
                    <w:rPr>
                      <w:u w:val="single"/>
                    </w:rPr>
                  </w:pPr>
                </w:p>
              </w:tc>
              <w:tc>
                <w:tcPr>
                  <w:tcW w:w="3088" w:type="dxa"/>
                  <w:vAlign w:val="center"/>
                </w:tcPr>
                <w:p w14:paraId="57615125">
                  <w:pPr>
                    <w:widowControl/>
                    <w:jc w:val="left"/>
                    <w:rPr>
                      <w:rFonts w:hint="eastAsia"/>
                      <w:u w:val="single"/>
                      <w:lang w:val="en-US" w:eastAsia="zh-CN"/>
                    </w:rPr>
                  </w:pPr>
                  <w:r>
                    <w:rPr>
                      <w:rFonts w:hint="eastAsia"/>
                      <w:u w:val="single"/>
                      <w:lang w:val="en-US" w:eastAsia="zh-CN"/>
                    </w:rPr>
                    <w:t>（</w:t>
                  </w:r>
                  <w:r>
                    <w:rPr>
                      <w:rFonts w:hint="default"/>
                      <w:u w:val="single"/>
                      <w:lang w:val="en-US" w:eastAsia="zh-CN"/>
                    </w:rPr>
                    <w:t>4.2</w:t>
                  </w:r>
                  <w:r>
                    <w:rPr>
                      <w:rFonts w:hint="eastAsia"/>
                      <w:u w:val="single"/>
                      <w:lang w:val="en-US" w:eastAsia="zh-CN"/>
                    </w:rPr>
                    <w:t>）水资源：加强水资源管理，切实合理开发利用和节约保护水资源。到</w:t>
                  </w:r>
                  <w:r>
                    <w:rPr>
                      <w:rFonts w:hint="default"/>
                      <w:u w:val="single"/>
                      <w:lang w:val="en-US" w:eastAsia="zh-CN"/>
                    </w:rPr>
                    <w:t>2025</w:t>
                  </w:r>
                  <w:r>
                    <w:rPr>
                      <w:rFonts w:hint="eastAsia"/>
                      <w:u w:val="single"/>
                      <w:lang w:val="en-US" w:eastAsia="zh-CN"/>
                    </w:rPr>
                    <w:t>年，洪江市高新区水资源开发利用总量控制在</w:t>
                  </w:r>
                  <w:r>
                    <w:rPr>
                      <w:rFonts w:hint="default"/>
                      <w:u w:val="single"/>
                      <w:lang w:val="en-US" w:eastAsia="zh-CN"/>
                    </w:rPr>
                    <w:t>125</w:t>
                  </w:r>
                  <w:r>
                    <w:rPr>
                      <w:rFonts w:hint="eastAsia"/>
                      <w:u w:val="single"/>
                      <w:lang w:val="en-US" w:eastAsia="zh-CN"/>
                    </w:rPr>
                    <w:t>万立方米以下，万元工业增加值用水量控制在</w:t>
                  </w:r>
                  <w:r>
                    <w:rPr>
                      <w:rFonts w:hint="default"/>
                      <w:u w:val="single"/>
                      <w:lang w:val="en-US" w:eastAsia="zh-CN"/>
                    </w:rPr>
                    <w:t>3.72</w:t>
                  </w:r>
                  <w:r>
                    <w:rPr>
                      <w:rFonts w:hint="eastAsia"/>
                      <w:u w:val="single"/>
                      <w:lang w:val="en-US" w:eastAsia="zh-CN"/>
                    </w:rPr>
                    <w:t>立方米</w:t>
                  </w:r>
                  <w:r>
                    <w:rPr>
                      <w:rFonts w:hint="default"/>
                      <w:u w:val="single"/>
                      <w:lang w:val="en-US" w:eastAsia="zh-CN"/>
                    </w:rPr>
                    <w:t>/</w:t>
                  </w:r>
                  <w:r>
                    <w:rPr>
                      <w:rFonts w:hint="eastAsia"/>
                      <w:u w:val="single"/>
                      <w:lang w:val="en-US" w:eastAsia="zh-CN"/>
                    </w:rPr>
                    <w:t>万元以下。</w:t>
                  </w:r>
                </w:p>
              </w:tc>
              <w:tc>
                <w:tcPr>
                  <w:tcW w:w="3037" w:type="dxa"/>
                  <w:vMerge w:val="continue"/>
                  <w:vAlign w:val="center"/>
                </w:tcPr>
                <w:p w14:paraId="3FBC8C75">
                  <w:pPr>
                    <w:widowControl/>
                    <w:jc w:val="left"/>
                    <w:rPr>
                      <w:rFonts w:hint="eastAsia"/>
                      <w:u w:val="single"/>
                      <w:lang w:val="en-US" w:eastAsia="zh-CN"/>
                    </w:rPr>
                  </w:pPr>
                </w:p>
              </w:tc>
              <w:tc>
                <w:tcPr>
                  <w:tcW w:w="756" w:type="dxa"/>
                  <w:vMerge w:val="continue"/>
                  <w:vAlign w:val="center"/>
                </w:tcPr>
                <w:p w14:paraId="2588BDC2">
                  <w:pPr>
                    <w:widowControl/>
                    <w:jc w:val="left"/>
                    <w:rPr>
                      <w:rFonts w:hint="eastAsia"/>
                      <w:u w:val="single"/>
                      <w:lang w:val="en-US" w:eastAsia="zh-CN"/>
                    </w:rPr>
                  </w:pPr>
                </w:p>
              </w:tc>
            </w:tr>
            <w:tr w14:paraId="0AA5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4" w:hRule="atLeast"/>
                <w:jc w:val="center"/>
              </w:trPr>
              <w:tc>
                <w:tcPr>
                  <w:tcW w:w="757" w:type="dxa"/>
                  <w:vMerge w:val="continue"/>
                  <w:vAlign w:val="center"/>
                </w:tcPr>
                <w:p w14:paraId="429BE16C">
                  <w:pPr>
                    <w:widowControl/>
                    <w:jc w:val="left"/>
                    <w:rPr>
                      <w:rFonts w:hint="eastAsia"/>
                      <w:u w:val="single"/>
                      <w:lang w:val="en-US" w:eastAsia="zh-CN"/>
                    </w:rPr>
                  </w:pPr>
                </w:p>
              </w:tc>
              <w:tc>
                <w:tcPr>
                  <w:tcW w:w="3088" w:type="dxa"/>
                  <w:vAlign w:val="center"/>
                </w:tcPr>
                <w:p w14:paraId="0F2ABC6A">
                  <w:pPr>
                    <w:widowControl/>
                    <w:jc w:val="left"/>
                    <w:rPr>
                      <w:rFonts w:hint="eastAsia"/>
                      <w:u w:val="single"/>
                      <w:lang w:val="en-US" w:eastAsia="zh-CN"/>
                    </w:rPr>
                  </w:pPr>
                  <w:r>
                    <w:rPr>
                      <w:rFonts w:hint="eastAsia"/>
                      <w:u w:val="single"/>
                      <w:lang w:val="en-US" w:eastAsia="zh-CN"/>
                    </w:rPr>
                    <w:t>（</w:t>
                  </w:r>
                  <w:r>
                    <w:rPr>
                      <w:rFonts w:hint="default"/>
                      <w:u w:val="single"/>
                      <w:lang w:val="en-US" w:eastAsia="zh-CN"/>
                    </w:rPr>
                    <w:t>4.3</w:t>
                  </w:r>
                  <w:r>
                    <w:rPr>
                      <w:rFonts w:hint="eastAsia"/>
                      <w:u w:val="single"/>
                      <w:lang w:val="en-US" w:eastAsia="zh-CN"/>
                    </w:rPr>
                    <w:t>）土地资源</w:t>
                  </w:r>
                </w:p>
                <w:p w14:paraId="2E7F5D24">
                  <w:pPr>
                    <w:widowControl/>
                    <w:jc w:val="left"/>
                    <w:rPr>
                      <w:rFonts w:hint="eastAsia"/>
                      <w:u w:val="single"/>
                      <w:lang w:val="en-US" w:eastAsia="zh-CN"/>
                    </w:rPr>
                  </w:pPr>
                  <w:r>
                    <w:rPr>
                      <w:rFonts w:hint="eastAsia"/>
                      <w:u w:val="single"/>
                      <w:lang w:val="en-US" w:eastAsia="zh-CN"/>
                    </w:rPr>
                    <w:t>（</w:t>
                  </w:r>
                  <w:r>
                    <w:rPr>
                      <w:rFonts w:hint="default"/>
                      <w:u w:val="single"/>
                      <w:lang w:val="en-US" w:eastAsia="zh-CN"/>
                    </w:rPr>
                    <w:t>4.3.1</w:t>
                  </w:r>
                  <w:r>
                    <w:rPr>
                      <w:rFonts w:hint="eastAsia"/>
                      <w:u w:val="single"/>
                      <w:lang w:val="en-US" w:eastAsia="zh-CN"/>
                    </w:rPr>
                    <w:t>）坚持最严格的节约用地制度，盘活存量建设用地，提升土地产出效益，全面实施节约集约用地战略。</w:t>
                  </w:r>
                </w:p>
                <w:p w14:paraId="680CD4A9">
                  <w:pPr>
                    <w:widowControl/>
                    <w:jc w:val="left"/>
                    <w:rPr>
                      <w:rFonts w:hint="eastAsia"/>
                      <w:u w:val="single"/>
                      <w:lang w:val="en-US" w:eastAsia="zh-CN"/>
                    </w:rPr>
                  </w:pPr>
                  <w:r>
                    <w:rPr>
                      <w:rFonts w:hint="eastAsia"/>
                      <w:u w:val="single"/>
                      <w:lang w:val="en-US" w:eastAsia="zh-CN"/>
                    </w:rPr>
                    <w:t>（</w:t>
                  </w:r>
                  <w:r>
                    <w:rPr>
                      <w:rFonts w:hint="default"/>
                      <w:u w:val="single"/>
                      <w:lang w:val="en-US" w:eastAsia="zh-CN"/>
                    </w:rPr>
                    <w:t>4.3.2</w:t>
                  </w:r>
                  <w:r>
                    <w:rPr>
                      <w:rFonts w:hint="eastAsia"/>
                      <w:u w:val="single"/>
                      <w:lang w:val="en-US" w:eastAsia="zh-CN"/>
                    </w:rPr>
                    <w:t>）在详细规划编制、用地预审与选址、用地报批、土地出让、规划许可、竣工验收等环节，全面推行工业项目建设用地引导指标和工业项目供地负面清单管理，省级大湘西区域高新区工业用地固定资产投入强度达到</w:t>
                  </w:r>
                  <w:r>
                    <w:rPr>
                      <w:rFonts w:hint="default"/>
                      <w:u w:val="single"/>
                      <w:lang w:val="en-US" w:eastAsia="zh-CN"/>
                    </w:rPr>
                    <w:t>220</w:t>
                  </w:r>
                  <w:r>
                    <w:rPr>
                      <w:rFonts w:hint="eastAsia"/>
                      <w:u w:val="single"/>
                      <w:lang w:val="en-US" w:eastAsia="zh-CN"/>
                    </w:rPr>
                    <w:t>万元</w:t>
                  </w:r>
                  <w:r>
                    <w:rPr>
                      <w:rFonts w:hint="default"/>
                      <w:u w:val="single"/>
                      <w:lang w:val="en-US" w:eastAsia="zh-CN"/>
                    </w:rPr>
                    <w:t>/</w:t>
                  </w:r>
                  <w:r>
                    <w:rPr>
                      <w:rFonts w:hint="eastAsia"/>
                      <w:u w:val="single"/>
                      <w:lang w:val="en-US" w:eastAsia="zh-CN"/>
                    </w:rPr>
                    <w:t>亩，工业用地地均税收</w:t>
                  </w:r>
                  <w:r>
                    <w:rPr>
                      <w:rFonts w:hint="default"/>
                      <w:u w:val="single"/>
                      <w:lang w:val="en-US" w:eastAsia="zh-CN"/>
                    </w:rPr>
                    <w:t>13</w:t>
                  </w:r>
                  <w:r>
                    <w:rPr>
                      <w:rFonts w:hint="eastAsia"/>
                      <w:u w:val="single"/>
                      <w:lang w:val="en-US" w:eastAsia="zh-CN"/>
                    </w:rPr>
                    <w:t>万元</w:t>
                  </w:r>
                  <w:r>
                    <w:rPr>
                      <w:rFonts w:hint="default"/>
                      <w:u w:val="single"/>
                      <w:lang w:val="en-US" w:eastAsia="zh-CN"/>
                    </w:rPr>
                    <w:t>/</w:t>
                  </w:r>
                  <w:r>
                    <w:rPr>
                      <w:rFonts w:hint="eastAsia"/>
                      <w:u w:val="single"/>
                      <w:lang w:val="en-US" w:eastAsia="zh-CN"/>
                    </w:rPr>
                    <w:t>亩。</w:t>
                  </w:r>
                </w:p>
              </w:tc>
              <w:tc>
                <w:tcPr>
                  <w:tcW w:w="3037" w:type="dxa"/>
                  <w:vMerge w:val="continue"/>
                  <w:vAlign w:val="center"/>
                </w:tcPr>
                <w:p w14:paraId="7709344D">
                  <w:pPr>
                    <w:widowControl/>
                    <w:jc w:val="left"/>
                    <w:rPr>
                      <w:rFonts w:hint="eastAsia"/>
                      <w:u w:val="single"/>
                      <w:lang w:val="en-US" w:eastAsia="zh-CN"/>
                    </w:rPr>
                  </w:pPr>
                </w:p>
              </w:tc>
              <w:tc>
                <w:tcPr>
                  <w:tcW w:w="756" w:type="dxa"/>
                  <w:vMerge w:val="continue"/>
                  <w:vAlign w:val="center"/>
                </w:tcPr>
                <w:p w14:paraId="62340658">
                  <w:pPr>
                    <w:widowControl/>
                    <w:jc w:val="left"/>
                    <w:rPr>
                      <w:rFonts w:hint="eastAsia"/>
                      <w:u w:val="single"/>
                      <w:lang w:val="en-US" w:eastAsia="zh-CN"/>
                    </w:rPr>
                  </w:pPr>
                </w:p>
              </w:tc>
            </w:tr>
          </w:tbl>
          <w:p w14:paraId="7C502250">
            <w:pPr>
              <w:autoSpaceDE w:val="0"/>
              <w:autoSpaceDN w:val="0"/>
              <w:adjustRightInd w:val="0"/>
              <w:snapToGrid w:val="0"/>
              <w:spacing w:line="360" w:lineRule="auto"/>
              <w:ind w:firstLine="480" w:firstLineChars="200"/>
              <w:jc w:val="left"/>
              <w:rPr>
                <w:rFonts w:hint="eastAsia"/>
                <w:sz w:val="24"/>
                <w:szCs w:val="24"/>
                <w:highlight w:val="none"/>
                <w:u w:val="single"/>
              </w:rPr>
            </w:pPr>
            <w:r>
              <w:rPr>
                <w:rFonts w:hint="eastAsia"/>
                <w:sz w:val="24"/>
                <w:szCs w:val="24"/>
                <w:highlight w:val="none"/>
                <w:u w:val="single"/>
                <w:lang w:val="en-US" w:eastAsia="zh-CN"/>
              </w:rPr>
              <w:t>根据分析，</w:t>
            </w:r>
            <w:r>
              <w:rPr>
                <w:sz w:val="24"/>
                <w:szCs w:val="24"/>
                <w:highlight w:val="none"/>
                <w:u w:val="single"/>
              </w:rPr>
              <w:t>本项目的建设与</w:t>
            </w:r>
            <w:r>
              <w:rPr>
                <w:rFonts w:hint="eastAsia"/>
                <w:sz w:val="24"/>
                <w:szCs w:val="24"/>
                <w:u w:val="single"/>
                <w:lang w:eastAsia="zh-CN"/>
              </w:rPr>
              <w:t>《湖南省生态环境</w:t>
            </w:r>
            <w:r>
              <w:rPr>
                <w:rFonts w:hint="eastAsia"/>
                <w:sz w:val="24"/>
                <w:szCs w:val="24"/>
                <w:u w:val="single"/>
                <w:lang w:val="en-US" w:eastAsia="zh-CN"/>
              </w:rPr>
              <w:t>分区管控</w:t>
            </w:r>
            <w:r>
              <w:rPr>
                <w:rFonts w:hint="eastAsia"/>
                <w:sz w:val="24"/>
                <w:szCs w:val="24"/>
                <w:u w:val="single"/>
                <w:lang w:eastAsia="zh-CN"/>
              </w:rPr>
              <w:t>总体管控要求暨省级以上产业园区生态环境准入清单》（</w:t>
            </w:r>
            <w:r>
              <w:rPr>
                <w:rFonts w:hint="eastAsia"/>
                <w:sz w:val="24"/>
                <w:szCs w:val="24"/>
                <w:u w:val="single"/>
                <w:lang w:val="en-US" w:eastAsia="zh-CN"/>
              </w:rPr>
              <w:t>湘环函</w:t>
            </w:r>
            <w:r>
              <w:rPr>
                <w:rFonts w:hint="default"/>
                <w:sz w:val="24"/>
                <w:szCs w:val="24"/>
                <w:u w:val="single"/>
                <w:lang w:val="en-US" w:eastAsia="zh-CN"/>
              </w:rPr>
              <w:t>[202</w:t>
            </w:r>
            <w:r>
              <w:rPr>
                <w:rFonts w:hint="eastAsia"/>
                <w:sz w:val="24"/>
                <w:szCs w:val="24"/>
                <w:u w:val="single"/>
                <w:lang w:val="en-US" w:eastAsia="zh-CN"/>
              </w:rPr>
              <w:t>4</w:t>
            </w:r>
            <w:r>
              <w:rPr>
                <w:rFonts w:hint="default"/>
                <w:sz w:val="24"/>
                <w:szCs w:val="24"/>
                <w:u w:val="single"/>
                <w:lang w:val="en-US" w:eastAsia="zh-CN"/>
              </w:rPr>
              <w:t>]</w:t>
            </w:r>
            <w:r>
              <w:rPr>
                <w:rFonts w:hint="eastAsia"/>
                <w:sz w:val="24"/>
                <w:szCs w:val="24"/>
                <w:u w:val="single"/>
                <w:lang w:val="en-US" w:eastAsia="zh-CN"/>
              </w:rPr>
              <w:t>26</w:t>
            </w:r>
            <w:r>
              <w:rPr>
                <w:rFonts w:hint="default"/>
                <w:sz w:val="24"/>
                <w:szCs w:val="24"/>
                <w:u w:val="single"/>
                <w:lang w:val="en-US" w:eastAsia="zh-CN"/>
              </w:rPr>
              <w:t>号</w:t>
            </w:r>
            <w:r>
              <w:rPr>
                <w:rFonts w:hint="eastAsia"/>
                <w:sz w:val="24"/>
                <w:szCs w:val="24"/>
                <w:u w:val="single"/>
                <w:lang w:val="en-US" w:eastAsia="zh-CN"/>
              </w:rPr>
              <w:t>）</w:t>
            </w:r>
            <w:r>
              <w:rPr>
                <w:sz w:val="24"/>
                <w:szCs w:val="24"/>
                <w:highlight w:val="none"/>
                <w:u w:val="single"/>
              </w:rPr>
              <w:t>相符合</w:t>
            </w:r>
            <w:r>
              <w:rPr>
                <w:rFonts w:hint="eastAsia"/>
                <w:sz w:val="24"/>
                <w:szCs w:val="24"/>
                <w:highlight w:val="none"/>
                <w:u w:val="single"/>
              </w:rPr>
              <w:t>。</w:t>
            </w:r>
          </w:p>
          <w:p w14:paraId="5D583B58">
            <w:pPr>
              <w:autoSpaceDE w:val="0"/>
              <w:autoSpaceDN w:val="0"/>
              <w:adjustRightInd w:val="0"/>
              <w:snapToGrid w:val="0"/>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u w:val="single"/>
              </w:rPr>
              <w:t>综上，本项目符合“三线一单”控制条件要求</w:t>
            </w:r>
            <w:r>
              <w:rPr>
                <w:rFonts w:ascii="Times New Roman" w:hAnsi="Times New Roman" w:eastAsia="宋体" w:cs="Times New Roman"/>
                <w:sz w:val="24"/>
                <w:szCs w:val="24"/>
                <w:u w:val="single"/>
              </w:rPr>
              <w:t>。</w:t>
            </w:r>
          </w:p>
          <w:p w14:paraId="13AC9FCC">
            <w:pPr>
              <w:autoSpaceDE w:val="0"/>
              <w:autoSpaceDN w:val="0"/>
              <w:adjustRightInd w:val="0"/>
              <w:snapToGrid w:val="0"/>
              <w:spacing w:line="360" w:lineRule="auto"/>
              <w:ind w:firstLine="241" w:firstLineChars="100"/>
              <w:jc w:val="left"/>
              <w:rPr>
                <w:b/>
                <w:bCs/>
                <w:sz w:val="24"/>
                <w:szCs w:val="24"/>
              </w:rPr>
            </w:pPr>
            <w:r>
              <w:rPr>
                <w:rFonts w:hint="eastAsia"/>
                <w:b/>
                <w:bCs/>
                <w:sz w:val="24"/>
                <w:szCs w:val="24"/>
                <w:lang w:val="en-US" w:eastAsia="zh-CN"/>
              </w:rPr>
              <w:t>1.6</w:t>
            </w:r>
            <w:r>
              <w:rPr>
                <w:b/>
                <w:bCs/>
                <w:sz w:val="24"/>
                <w:szCs w:val="24"/>
              </w:rPr>
              <w:t>项目与《铸造企业规范条件》（T/CFA0310021–2019）符合性分析</w:t>
            </w:r>
          </w:p>
          <w:p w14:paraId="721A4927">
            <w:pPr>
              <w:ind w:firstLine="422" w:firstLineChars="200"/>
              <w:jc w:val="center"/>
              <w:rPr>
                <w:rFonts w:hint="eastAsia"/>
                <w:b/>
                <w:bCs/>
                <w:u w:val="single"/>
              </w:rPr>
            </w:pPr>
            <w:r>
              <w:rPr>
                <w:rFonts w:hint="eastAsia"/>
                <w:b/>
                <w:bCs/>
                <w:u w:val="single"/>
              </w:rPr>
              <w:t>表1-</w:t>
            </w:r>
            <w:r>
              <w:rPr>
                <w:rFonts w:hint="eastAsia"/>
                <w:b/>
                <w:bCs/>
                <w:u w:val="single"/>
                <w:lang w:val="en-US" w:eastAsia="zh-CN"/>
              </w:rPr>
              <w:t>6</w:t>
            </w:r>
            <w:r>
              <w:rPr>
                <w:rFonts w:hint="eastAsia"/>
                <w:b/>
                <w:bCs/>
                <w:u w:val="single"/>
              </w:rPr>
              <w:t xml:space="preserve">  与《铸造企业规范条件》符合性分析（列举与本项目相关内容）</w:t>
            </w:r>
          </w:p>
          <w:tbl>
            <w:tblPr>
              <w:tblStyle w:val="22"/>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5"/>
              <w:gridCol w:w="3628"/>
              <w:gridCol w:w="865"/>
            </w:tblGrid>
            <w:tr w14:paraId="5B72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525" w:type="dxa"/>
                  <w:vAlign w:val="center"/>
                </w:tcPr>
                <w:p w14:paraId="6521F129">
                  <w:pPr>
                    <w:rPr>
                      <w:u w:val="single"/>
                    </w:rPr>
                  </w:pPr>
                  <w:r>
                    <w:rPr>
                      <w:u w:val="single"/>
                    </w:rPr>
                    <w:t>规范要求</w:t>
                  </w:r>
                </w:p>
              </w:tc>
              <w:tc>
                <w:tcPr>
                  <w:tcW w:w="3628" w:type="dxa"/>
                  <w:vAlign w:val="center"/>
                </w:tcPr>
                <w:p w14:paraId="1D1A1D2F">
                  <w:pPr>
                    <w:rPr>
                      <w:u w:val="single"/>
                    </w:rPr>
                  </w:pPr>
                  <w:r>
                    <w:rPr>
                      <w:u w:val="single"/>
                    </w:rPr>
                    <w:t>项目情况</w:t>
                  </w:r>
                </w:p>
              </w:tc>
              <w:tc>
                <w:tcPr>
                  <w:tcW w:w="865" w:type="dxa"/>
                  <w:vAlign w:val="center"/>
                </w:tcPr>
                <w:p w14:paraId="3020A24C">
                  <w:pPr>
                    <w:rPr>
                      <w:u w:val="single"/>
                    </w:rPr>
                  </w:pPr>
                  <w:r>
                    <w:rPr>
                      <w:u w:val="single"/>
                    </w:rPr>
                    <w:t>符合性</w:t>
                  </w:r>
                </w:p>
              </w:tc>
            </w:tr>
            <w:tr w14:paraId="247A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3525" w:type="dxa"/>
                  <w:vAlign w:val="center"/>
                </w:tcPr>
                <w:p w14:paraId="1A71D678">
                  <w:pPr>
                    <w:rPr>
                      <w:u w:val="single"/>
                    </w:rPr>
                  </w:pPr>
                  <w:r>
                    <w:rPr>
                      <w:u w:val="single"/>
                    </w:rPr>
                    <w:t>企业的布局及厂址的确定应符合国家相关法律法规、产业政策以及各地方政府装备制造业和铸造行业的总体规划要求。</w:t>
                  </w:r>
                </w:p>
              </w:tc>
              <w:tc>
                <w:tcPr>
                  <w:tcW w:w="3628" w:type="dxa"/>
                  <w:vAlign w:val="center"/>
                </w:tcPr>
                <w:p w14:paraId="19309324">
                  <w:pPr>
                    <w:rPr>
                      <w:u w:val="single"/>
                    </w:rPr>
                  </w:pPr>
                  <w:r>
                    <w:rPr>
                      <w:u w:val="single"/>
                    </w:rPr>
                    <w:t>项目位于洪江市高新区内，符合国家相关法律法规、产业政策以及各地方政府装备制造业和铸造行业的总体规划要求。</w:t>
                  </w:r>
                </w:p>
              </w:tc>
              <w:tc>
                <w:tcPr>
                  <w:tcW w:w="865" w:type="dxa"/>
                  <w:vAlign w:val="center"/>
                </w:tcPr>
                <w:p w14:paraId="6C0DBB54">
                  <w:pPr>
                    <w:rPr>
                      <w:u w:val="single"/>
                    </w:rPr>
                  </w:pPr>
                  <w:r>
                    <w:rPr>
                      <w:u w:val="single"/>
                    </w:rPr>
                    <w:t>符合</w:t>
                  </w:r>
                </w:p>
              </w:tc>
            </w:tr>
            <w:tr w14:paraId="5AF8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525" w:type="dxa"/>
                  <w:vAlign w:val="center"/>
                </w:tcPr>
                <w:p w14:paraId="32FC5E4E">
                  <w:pPr>
                    <w:rPr>
                      <w:u w:val="single"/>
                    </w:rPr>
                  </w:pPr>
                  <w:r>
                    <w:rPr>
                      <w:u w:val="single"/>
                    </w:rPr>
                    <w:t>企业生产场所应依法取得土地使用权并符合土地使用性质。</w:t>
                  </w:r>
                </w:p>
              </w:tc>
              <w:tc>
                <w:tcPr>
                  <w:tcW w:w="3628" w:type="dxa"/>
                  <w:vAlign w:val="center"/>
                </w:tcPr>
                <w:p w14:paraId="062A7BC6">
                  <w:pPr>
                    <w:rPr>
                      <w:u w:val="single"/>
                    </w:rPr>
                  </w:pPr>
                  <w:r>
                    <w:rPr>
                      <w:u w:val="single"/>
                    </w:rPr>
                    <w:t>项目已合法取得土地使用权，项目所处理属Ⅲ类工业用地，符合用地性质要求。</w:t>
                  </w:r>
                </w:p>
              </w:tc>
              <w:tc>
                <w:tcPr>
                  <w:tcW w:w="865" w:type="dxa"/>
                  <w:vAlign w:val="center"/>
                </w:tcPr>
                <w:p w14:paraId="6BECDD03">
                  <w:pPr>
                    <w:rPr>
                      <w:u w:val="single"/>
                    </w:rPr>
                  </w:pPr>
                  <w:r>
                    <w:rPr>
                      <w:u w:val="single"/>
                    </w:rPr>
                    <w:t>符合</w:t>
                  </w:r>
                </w:p>
              </w:tc>
            </w:tr>
            <w:tr w14:paraId="3B1F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3525" w:type="dxa"/>
                  <w:vAlign w:val="center"/>
                </w:tcPr>
                <w:p w14:paraId="5A4AB2FD">
                  <w:pPr>
                    <w:rPr>
                      <w:u w:val="single"/>
                    </w:rPr>
                  </w:pPr>
                  <w:r>
                    <w:rPr>
                      <w:u w:val="single"/>
                    </w:rPr>
                    <w:t xml:space="preserve">环保重点区域新建或改造升级铸造项目建设应严格执行工业和信息化部办公厅、发展改革委办公厅 </w:t>
                  </w:r>
                </w:p>
                <w:p w14:paraId="606949E4">
                  <w:pPr>
                    <w:rPr>
                      <w:u w:val="single"/>
                    </w:rPr>
                  </w:pPr>
                  <w:r>
                    <w:rPr>
                      <w:u w:val="single"/>
                    </w:rPr>
                    <w:t>和生态环境部办公厅联合发布的《关于重点区域严禁新增铸造产能的通知》。</w:t>
                  </w:r>
                </w:p>
              </w:tc>
              <w:tc>
                <w:tcPr>
                  <w:tcW w:w="3628" w:type="dxa"/>
                  <w:vAlign w:val="center"/>
                </w:tcPr>
                <w:p w14:paraId="68F6C826">
                  <w:pPr>
                    <w:rPr>
                      <w:u w:val="single"/>
                    </w:rPr>
                  </w:pPr>
                  <w:r>
                    <w:rPr>
                      <w:u w:val="single"/>
                    </w:rPr>
                    <w:t>依据《关于重点区域严禁新增铸造产能的通知》，重点区域包括北京市、天津市、河北省、山西省、山东省、河南省、上海市、江苏省、浙江省、安徽省等地区，项目位于湖南省怀化市，不在重点区域内。</w:t>
                  </w:r>
                </w:p>
              </w:tc>
              <w:tc>
                <w:tcPr>
                  <w:tcW w:w="865" w:type="dxa"/>
                  <w:vAlign w:val="center"/>
                </w:tcPr>
                <w:p w14:paraId="6B19E296">
                  <w:pPr>
                    <w:rPr>
                      <w:u w:val="single"/>
                    </w:rPr>
                  </w:pPr>
                  <w:r>
                    <w:rPr>
                      <w:u w:val="single"/>
                    </w:rPr>
                    <w:t>符合</w:t>
                  </w:r>
                </w:p>
              </w:tc>
            </w:tr>
            <w:tr w14:paraId="5611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3525" w:type="dxa"/>
                  <w:vAlign w:val="center"/>
                </w:tcPr>
                <w:p w14:paraId="76555D33">
                  <w:pPr>
                    <w:rPr>
                      <w:u w:val="single"/>
                    </w:rPr>
                  </w:pPr>
                  <w:r>
                    <w:rPr>
                      <w:u w:val="single"/>
                    </w:rPr>
                    <w:t>企业应根据生产铸件的材质、品种、批量，合理选择低污染、低排放、低能耗、经济高效的铸造工艺。</w:t>
                  </w:r>
                </w:p>
              </w:tc>
              <w:tc>
                <w:tcPr>
                  <w:tcW w:w="3628" w:type="dxa"/>
                  <w:vMerge w:val="restart"/>
                  <w:vAlign w:val="center"/>
                </w:tcPr>
                <w:p w14:paraId="33B041E3">
                  <w:pPr>
                    <w:jc w:val="center"/>
                    <w:rPr>
                      <w:u w:val="single"/>
                    </w:rPr>
                  </w:pPr>
                  <w:r>
                    <w:rPr>
                      <w:highlight w:val="none"/>
                      <w:u w:val="single"/>
                    </w:rPr>
                    <w:t>项目采用粘土砂处理（湿型砂）；中频电感炉熔炼；覆膜砂制芯（自动机械制芯）；抛丸强化零部件，不涉及氯化铵硬化工艺，不涉及铝合金、锌合金等有色金属熔炼，符合低污染、低排放、低能耗、经济高效的铸造工艺的要求。</w:t>
                  </w:r>
                </w:p>
              </w:tc>
              <w:tc>
                <w:tcPr>
                  <w:tcW w:w="865" w:type="dxa"/>
                  <w:vAlign w:val="center"/>
                </w:tcPr>
                <w:p w14:paraId="5FD5576C">
                  <w:pPr>
                    <w:rPr>
                      <w:u w:val="single"/>
                    </w:rPr>
                  </w:pPr>
                  <w:r>
                    <w:rPr>
                      <w:u w:val="single"/>
                    </w:rPr>
                    <w:t>符合</w:t>
                  </w:r>
                </w:p>
              </w:tc>
            </w:tr>
            <w:tr w14:paraId="08CE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3525" w:type="dxa"/>
                  <w:vAlign w:val="center"/>
                </w:tcPr>
                <w:p w14:paraId="4F8F357D">
                  <w:pPr>
                    <w:rPr>
                      <w:u w:val="single"/>
                    </w:rPr>
                  </w:pPr>
                  <w:r>
                    <w:rPr>
                      <w:u w:val="single"/>
                    </w:rPr>
                    <w:t>企业不应使用国家明令淘汰的生产工艺。不应采用粘土砂干型/芯、油砂制芯、七〇砂制型/芯等落后铸造工艺；粘土砂批量铸件生产企业不应采用手工造型；水玻璃熔模精密铸造企业模壳硬化不应采用氯化铵硬化工艺；铝合金、锌合金等有色金属熔炼不应采用六氯乙烷等有毒有害的精炼剂。</w:t>
                  </w:r>
                </w:p>
              </w:tc>
              <w:tc>
                <w:tcPr>
                  <w:tcW w:w="3628" w:type="dxa"/>
                  <w:vMerge w:val="continue"/>
                  <w:vAlign w:val="center"/>
                </w:tcPr>
                <w:p w14:paraId="7BAD9915">
                  <w:pPr>
                    <w:rPr>
                      <w:u w:val="single"/>
                    </w:rPr>
                  </w:pPr>
                </w:p>
              </w:tc>
              <w:tc>
                <w:tcPr>
                  <w:tcW w:w="865" w:type="dxa"/>
                  <w:vAlign w:val="center"/>
                </w:tcPr>
                <w:p w14:paraId="4149C3EB">
                  <w:pPr>
                    <w:rPr>
                      <w:u w:val="single"/>
                    </w:rPr>
                  </w:pPr>
                  <w:r>
                    <w:rPr>
                      <w:u w:val="single"/>
                    </w:rPr>
                    <w:t>符合</w:t>
                  </w:r>
                </w:p>
              </w:tc>
            </w:tr>
            <w:tr w14:paraId="2D3B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525" w:type="dxa"/>
                  <w:vAlign w:val="center"/>
                </w:tcPr>
                <w:p w14:paraId="16B8A9C2">
                  <w:pPr>
                    <w:rPr>
                      <w:u w:val="single"/>
                    </w:rPr>
                  </w:pPr>
                  <w:r>
                    <w:rPr>
                      <w:u w:val="single"/>
                    </w:rPr>
                    <w:t>采用粘土砂工艺批量生产铸件的现有企业不应采用手工造型。</w:t>
                  </w:r>
                </w:p>
              </w:tc>
              <w:tc>
                <w:tcPr>
                  <w:tcW w:w="3628" w:type="dxa"/>
                  <w:vAlign w:val="center"/>
                </w:tcPr>
                <w:p w14:paraId="44FA2A92">
                  <w:pPr>
                    <w:rPr>
                      <w:u w:val="single"/>
                    </w:rPr>
                  </w:pPr>
                  <w:r>
                    <w:rPr>
                      <w:u w:val="single"/>
                    </w:rPr>
                    <w:t>项目采用自动化机械制芯。</w:t>
                  </w:r>
                </w:p>
              </w:tc>
              <w:tc>
                <w:tcPr>
                  <w:tcW w:w="865" w:type="dxa"/>
                  <w:vAlign w:val="center"/>
                </w:tcPr>
                <w:p w14:paraId="358B2A58">
                  <w:pPr>
                    <w:rPr>
                      <w:u w:val="single"/>
                    </w:rPr>
                  </w:pPr>
                  <w:r>
                    <w:rPr>
                      <w:u w:val="single"/>
                    </w:rPr>
                    <w:t>符合</w:t>
                  </w:r>
                </w:p>
              </w:tc>
            </w:tr>
            <w:tr w14:paraId="780A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3525" w:type="dxa"/>
                  <w:vAlign w:val="center"/>
                </w:tcPr>
                <w:p w14:paraId="79EDF3F0">
                  <w:pPr>
                    <w:rPr>
                      <w:u w:val="single"/>
                    </w:rPr>
                  </w:pPr>
                  <w:r>
                    <w:rPr>
                      <w:u w:val="single"/>
                    </w:rPr>
                    <w:t>新建粘土砂型铸造项目应采用自动化造型；新建熔模精密铸造项目不应采用水玻璃熔模精密铸造工艺。</w:t>
                  </w:r>
                </w:p>
              </w:tc>
              <w:tc>
                <w:tcPr>
                  <w:tcW w:w="3628" w:type="dxa"/>
                  <w:vAlign w:val="center"/>
                </w:tcPr>
                <w:p w14:paraId="3EBBA025">
                  <w:pPr>
                    <w:rPr>
                      <w:u w:val="single"/>
                    </w:rPr>
                  </w:pPr>
                  <w:r>
                    <w:rPr>
                      <w:u w:val="single"/>
                    </w:rPr>
                    <w:t>项目使用粘土砂自动化造型机造型；项目不涉及水玻璃熔模精密铸造工艺。</w:t>
                  </w:r>
                </w:p>
              </w:tc>
              <w:tc>
                <w:tcPr>
                  <w:tcW w:w="865" w:type="dxa"/>
                  <w:vAlign w:val="center"/>
                </w:tcPr>
                <w:p w14:paraId="56C45C1D">
                  <w:pPr>
                    <w:rPr>
                      <w:u w:val="single"/>
                    </w:rPr>
                  </w:pPr>
                  <w:r>
                    <w:rPr>
                      <w:u w:val="single"/>
                    </w:rPr>
                    <w:t>符合</w:t>
                  </w:r>
                </w:p>
              </w:tc>
            </w:tr>
            <w:tr w14:paraId="704A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3525" w:type="dxa"/>
                  <w:vAlign w:val="center"/>
                </w:tcPr>
                <w:p w14:paraId="3F20F867">
                  <w:pPr>
                    <w:rPr>
                      <w:u w:val="single"/>
                    </w:rPr>
                  </w:pPr>
                  <w:r>
                    <w:rPr>
                      <w:u w:val="single"/>
                    </w:rPr>
                    <w:t>企业不应使用国家明令淘汰的生产装备，如：无芯工频感应电炉、0.25吨及以上无磁轭的铝壳中频感应电炉等。</w:t>
                  </w:r>
                </w:p>
              </w:tc>
              <w:tc>
                <w:tcPr>
                  <w:tcW w:w="3628" w:type="dxa"/>
                  <w:vAlign w:val="center"/>
                </w:tcPr>
                <w:p w14:paraId="17E4D263">
                  <w:pPr>
                    <w:rPr>
                      <w:highlight w:val="none"/>
                      <w:u w:val="single"/>
                    </w:rPr>
                  </w:pPr>
                  <w:r>
                    <w:rPr>
                      <w:highlight w:val="none"/>
                      <w:u w:val="single"/>
                    </w:rPr>
                    <w:t>项目使用一拖二中频电感炉方案（</w:t>
                  </w:r>
                  <w:r>
                    <w:rPr>
                      <w:rFonts w:hint="eastAsia"/>
                      <w:highlight w:val="none"/>
                      <w:u w:val="single"/>
                    </w:rPr>
                    <w:t>2</w:t>
                  </w:r>
                  <w:r>
                    <w:rPr>
                      <w:highlight w:val="none"/>
                      <w:u w:val="single"/>
                    </w:rPr>
                    <w:t>台1t中频电感炉，1台中频柜），不属于国家明令淘汰的生产装备。</w:t>
                  </w:r>
                </w:p>
              </w:tc>
              <w:tc>
                <w:tcPr>
                  <w:tcW w:w="865" w:type="dxa"/>
                  <w:vAlign w:val="center"/>
                </w:tcPr>
                <w:p w14:paraId="0C23C8F0">
                  <w:pPr>
                    <w:rPr>
                      <w:highlight w:val="none"/>
                      <w:u w:val="single"/>
                    </w:rPr>
                  </w:pPr>
                  <w:r>
                    <w:rPr>
                      <w:highlight w:val="none"/>
                      <w:u w:val="single"/>
                    </w:rPr>
                    <w:t>符合</w:t>
                  </w:r>
                </w:p>
              </w:tc>
            </w:tr>
            <w:tr w14:paraId="20C4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3525" w:type="dxa"/>
                  <w:vAlign w:val="center"/>
                </w:tcPr>
                <w:p w14:paraId="1DCF16FD">
                  <w:pPr>
                    <w:rPr>
                      <w:u w:val="single"/>
                    </w:rPr>
                  </w:pPr>
                  <w:r>
                    <w:rPr>
                      <w:u w:val="single"/>
                    </w:rPr>
                    <w:t>新建企业不应采用燃油加热熔化炉；非环保重点区域新建铸造企业的冲天炉熔化率应不小于7吨/小时；</w:t>
                  </w:r>
                </w:p>
              </w:tc>
              <w:tc>
                <w:tcPr>
                  <w:tcW w:w="3628" w:type="dxa"/>
                  <w:vAlign w:val="center"/>
                </w:tcPr>
                <w:p w14:paraId="1C966AD3">
                  <w:pPr>
                    <w:rPr>
                      <w:u w:val="single"/>
                    </w:rPr>
                  </w:pPr>
                  <w:r>
                    <w:rPr>
                      <w:u w:val="single"/>
                    </w:rPr>
                    <w:t>项目采用电能热熔化炉，不涉及燃油加热熔化炉和冲天炉。</w:t>
                  </w:r>
                </w:p>
              </w:tc>
              <w:tc>
                <w:tcPr>
                  <w:tcW w:w="865" w:type="dxa"/>
                  <w:vAlign w:val="center"/>
                </w:tcPr>
                <w:p w14:paraId="1382CDA0">
                  <w:pPr>
                    <w:rPr>
                      <w:u w:val="single"/>
                    </w:rPr>
                  </w:pPr>
                  <w:r>
                    <w:rPr>
                      <w:u w:val="single"/>
                    </w:rPr>
                    <w:t>符合</w:t>
                  </w:r>
                </w:p>
              </w:tc>
            </w:tr>
            <w:tr w14:paraId="6790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3525" w:type="dxa"/>
                  <w:vAlign w:val="center"/>
                </w:tcPr>
                <w:p w14:paraId="3383C4AC">
                  <w:pPr>
                    <w:rPr>
                      <w:u w:val="single"/>
                    </w:rPr>
                  </w:pPr>
                  <w:r>
                    <w:rPr>
                      <w:u w:val="single"/>
                    </w:rPr>
                    <w:t>企业应配备与生产能力相匹配的熔炼、保温和精炼设备，如冲天炉、中频感应电炉、电弧炉、精炼炉（AOD、VOD、LF炉等）、电阻炉、燃气炉、保温炉等。</w:t>
                  </w:r>
                </w:p>
              </w:tc>
              <w:tc>
                <w:tcPr>
                  <w:tcW w:w="3628" w:type="dxa"/>
                  <w:vAlign w:val="center"/>
                </w:tcPr>
                <w:p w14:paraId="50AB8719">
                  <w:pPr>
                    <w:rPr>
                      <w:highlight w:val="none"/>
                      <w:u w:val="single"/>
                    </w:rPr>
                  </w:pPr>
                  <w:r>
                    <w:rPr>
                      <w:highlight w:val="none"/>
                      <w:u w:val="single"/>
                    </w:rPr>
                    <w:t>项目年产6000t汽车零部件，使</w:t>
                  </w:r>
                  <w:r>
                    <w:rPr>
                      <w:rFonts w:hint="eastAsia"/>
                      <w:highlight w:val="none"/>
                      <w:u w:val="single"/>
                    </w:rPr>
                    <w:t>2台</w:t>
                  </w:r>
                  <w:r>
                    <w:rPr>
                      <w:highlight w:val="none"/>
                      <w:u w:val="single"/>
                    </w:rPr>
                    <w:t>1t中频电感炉，配备与生产能力相匹配。</w:t>
                  </w:r>
                </w:p>
              </w:tc>
              <w:tc>
                <w:tcPr>
                  <w:tcW w:w="865" w:type="dxa"/>
                  <w:vAlign w:val="center"/>
                </w:tcPr>
                <w:p w14:paraId="1773719C">
                  <w:pPr>
                    <w:rPr>
                      <w:highlight w:val="none"/>
                      <w:u w:val="single"/>
                    </w:rPr>
                  </w:pPr>
                  <w:r>
                    <w:rPr>
                      <w:highlight w:val="none"/>
                      <w:u w:val="single"/>
                    </w:rPr>
                    <w:t>符合</w:t>
                  </w:r>
                </w:p>
              </w:tc>
            </w:tr>
            <w:tr w14:paraId="58D1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3525" w:type="dxa"/>
                  <w:vAlign w:val="center"/>
                </w:tcPr>
                <w:p w14:paraId="43D396B9">
                  <w:pPr>
                    <w:rPr>
                      <w:u w:val="single"/>
                    </w:rPr>
                  </w:pPr>
                  <w:r>
                    <w:rPr>
                      <w:u w:val="single"/>
                    </w:rPr>
                    <w:t>熔炼、保温和精炼设备炉前应配置必要的化学成分分析、金属液温度测量等检测仪器。</w:t>
                  </w:r>
                </w:p>
              </w:tc>
              <w:tc>
                <w:tcPr>
                  <w:tcW w:w="3628" w:type="dxa"/>
                  <w:vAlign w:val="center"/>
                </w:tcPr>
                <w:p w14:paraId="1850248E">
                  <w:pPr>
                    <w:rPr>
                      <w:u w:val="single"/>
                    </w:rPr>
                  </w:pPr>
                  <w:r>
                    <w:rPr>
                      <w:u w:val="single"/>
                    </w:rPr>
                    <w:t>项目将配备必要的化学成分分析、金属液温度测量等检测仪器，用于分析化学成分。</w:t>
                  </w:r>
                </w:p>
              </w:tc>
              <w:tc>
                <w:tcPr>
                  <w:tcW w:w="865" w:type="dxa"/>
                  <w:vAlign w:val="center"/>
                </w:tcPr>
                <w:p w14:paraId="4B6AAB7A">
                  <w:pPr>
                    <w:rPr>
                      <w:u w:val="single"/>
                    </w:rPr>
                  </w:pPr>
                  <w:r>
                    <w:rPr>
                      <w:u w:val="single"/>
                    </w:rPr>
                    <w:t>符合</w:t>
                  </w:r>
                </w:p>
              </w:tc>
            </w:tr>
          </w:tbl>
          <w:p w14:paraId="77F8B41B">
            <w:pPr>
              <w:autoSpaceDE w:val="0"/>
              <w:autoSpaceDN w:val="0"/>
              <w:adjustRightInd w:val="0"/>
              <w:snapToGrid w:val="0"/>
              <w:spacing w:line="360" w:lineRule="auto"/>
              <w:ind w:firstLine="241" w:firstLineChars="100"/>
              <w:jc w:val="left"/>
              <w:rPr>
                <w:b/>
                <w:bCs/>
                <w:sz w:val="24"/>
                <w:szCs w:val="24"/>
              </w:rPr>
            </w:pPr>
            <w:r>
              <w:rPr>
                <w:rFonts w:hint="eastAsia"/>
                <w:b/>
                <w:bCs/>
                <w:sz w:val="24"/>
                <w:szCs w:val="24"/>
                <w:lang w:val="en-US" w:eastAsia="zh-CN"/>
              </w:rPr>
              <w:t>1.7</w:t>
            </w:r>
            <w:r>
              <w:rPr>
                <w:b/>
                <w:bCs/>
                <w:sz w:val="24"/>
                <w:szCs w:val="24"/>
              </w:rPr>
              <w:t>与《挥发性有机物VOCs污染防治技术政策》符合性分析</w:t>
            </w:r>
          </w:p>
          <w:p w14:paraId="5C2B8C09">
            <w:pPr>
              <w:ind w:firstLine="422" w:firstLineChars="200"/>
              <w:jc w:val="center"/>
              <w:rPr>
                <w:rFonts w:hint="eastAsia"/>
                <w:b/>
                <w:bCs/>
                <w:u w:val="single"/>
              </w:rPr>
            </w:pPr>
            <w:r>
              <w:rPr>
                <w:rFonts w:hint="eastAsia"/>
                <w:b/>
                <w:bCs/>
                <w:u w:val="single"/>
              </w:rPr>
              <w:t>表1-</w:t>
            </w:r>
            <w:r>
              <w:rPr>
                <w:rFonts w:hint="eastAsia"/>
                <w:b/>
                <w:bCs/>
                <w:u w:val="single"/>
                <w:lang w:val="en-US" w:eastAsia="zh-CN"/>
              </w:rPr>
              <w:t>7</w:t>
            </w:r>
            <w:r>
              <w:rPr>
                <w:rFonts w:hint="eastAsia"/>
                <w:b/>
                <w:bCs/>
                <w:u w:val="single"/>
              </w:rPr>
              <w:t>与VOCs污染防治技术政策符合性分析</w:t>
            </w:r>
          </w:p>
          <w:tbl>
            <w:tblPr>
              <w:tblStyle w:val="21"/>
              <w:tblW w:w="7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2719"/>
              <w:gridCol w:w="949"/>
            </w:tblGrid>
            <w:tr w14:paraId="3141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930" w:type="dxa"/>
                  <w:vAlign w:val="center"/>
                </w:tcPr>
                <w:p w14:paraId="0E37D0E1">
                  <w:pPr>
                    <w:rPr>
                      <w:szCs w:val="21"/>
                    </w:rPr>
                  </w:pPr>
                  <w:r>
                    <w:rPr>
                      <w:szCs w:val="21"/>
                    </w:rPr>
                    <w:t>技术政策要求</w:t>
                  </w:r>
                </w:p>
              </w:tc>
              <w:tc>
                <w:tcPr>
                  <w:tcW w:w="2719" w:type="dxa"/>
                  <w:vAlign w:val="center"/>
                </w:tcPr>
                <w:p w14:paraId="3ECC08B7">
                  <w:pPr>
                    <w:rPr>
                      <w:szCs w:val="21"/>
                    </w:rPr>
                  </w:pPr>
                  <w:r>
                    <w:rPr>
                      <w:szCs w:val="21"/>
                    </w:rPr>
                    <w:t>本项目情况</w:t>
                  </w:r>
                </w:p>
              </w:tc>
              <w:tc>
                <w:tcPr>
                  <w:tcW w:w="949" w:type="dxa"/>
                  <w:vAlign w:val="center"/>
                </w:tcPr>
                <w:p w14:paraId="47219D96">
                  <w:pPr>
                    <w:rPr>
                      <w:szCs w:val="21"/>
                    </w:rPr>
                  </w:pPr>
                  <w:r>
                    <w:rPr>
                      <w:szCs w:val="21"/>
                    </w:rPr>
                    <w:t>符合性</w:t>
                  </w:r>
                </w:p>
              </w:tc>
            </w:tr>
            <w:tr w14:paraId="20D8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3930" w:type="dxa"/>
                  <w:vAlign w:val="center"/>
                </w:tcPr>
                <w:p w14:paraId="2EA2D917">
                  <w:pPr>
                    <w:rPr>
                      <w:szCs w:val="21"/>
                      <w:u w:val="single"/>
                    </w:rPr>
                  </w:pPr>
                  <w:r>
                    <w:rPr>
                      <w:szCs w:val="21"/>
                      <w:u w:val="single"/>
                    </w:rPr>
                    <w:t>1.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2719" w:type="dxa"/>
                  <w:vAlign w:val="center"/>
                </w:tcPr>
                <w:p w14:paraId="2F60E3CA">
                  <w:pPr>
                    <w:rPr>
                      <w:szCs w:val="21"/>
                      <w:u w:val="single"/>
                    </w:rPr>
                  </w:pPr>
                  <w:r>
                    <w:rPr>
                      <w:szCs w:val="21"/>
                      <w:highlight w:val="none"/>
                      <w:u w:val="single"/>
                    </w:rPr>
                    <w:t>本项目制芯废气及</w:t>
                  </w:r>
                  <w:r>
                    <w:rPr>
                      <w:rFonts w:hint="eastAsia"/>
                      <w:szCs w:val="21"/>
                      <w:highlight w:val="none"/>
                      <w:u w:val="single"/>
                      <w:lang w:eastAsia="zh-CN"/>
                    </w:rPr>
                    <w:t>浇注</w:t>
                  </w:r>
                  <w:r>
                    <w:rPr>
                      <w:szCs w:val="21"/>
                      <w:highlight w:val="none"/>
                      <w:u w:val="single"/>
                    </w:rPr>
                    <w:t>废气采用集气罩收集+</w:t>
                  </w:r>
                  <w:r>
                    <w:rPr>
                      <w:rFonts w:hint="eastAsia"/>
                      <w:szCs w:val="21"/>
                      <w:highlight w:val="none"/>
                      <w:u w:val="single"/>
                    </w:rPr>
                    <w:t>布袋收尘+</w:t>
                  </w:r>
                  <w:r>
                    <w:rPr>
                      <w:szCs w:val="21"/>
                      <w:highlight w:val="none"/>
                      <w:u w:val="single"/>
                    </w:rPr>
                    <w:t>活性炭吸附处理，符合采用吸收技术的政策要求。</w:t>
                  </w:r>
                </w:p>
              </w:tc>
              <w:tc>
                <w:tcPr>
                  <w:tcW w:w="949" w:type="dxa"/>
                  <w:vAlign w:val="center"/>
                </w:tcPr>
                <w:p w14:paraId="0F317AF5">
                  <w:pPr>
                    <w:rPr>
                      <w:szCs w:val="21"/>
                      <w:u w:val="single"/>
                    </w:rPr>
                  </w:pPr>
                  <w:r>
                    <w:rPr>
                      <w:szCs w:val="21"/>
                      <w:u w:val="single"/>
                    </w:rPr>
                    <w:t>符合</w:t>
                  </w:r>
                </w:p>
              </w:tc>
            </w:tr>
            <w:tr w14:paraId="12A1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930" w:type="dxa"/>
                  <w:vAlign w:val="center"/>
                </w:tcPr>
                <w:p w14:paraId="64CB3A89">
                  <w:pPr>
                    <w:rPr>
                      <w:szCs w:val="21"/>
                      <w:u w:val="single"/>
                    </w:rPr>
                  </w:pPr>
                  <w:r>
                    <w:rPr>
                      <w:szCs w:val="21"/>
                      <w:u w:val="single"/>
                    </w:rPr>
                    <w:t>2.对于不能再生的过滤材料、吸附剂及催化剂等净化材料，应按照国家固体废物管理的相关规定处理处置。</w:t>
                  </w:r>
                </w:p>
              </w:tc>
              <w:tc>
                <w:tcPr>
                  <w:tcW w:w="2719" w:type="dxa"/>
                  <w:vAlign w:val="center"/>
                </w:tcPr>
                <w:p w14:paraId="7D25B83A">
                  <w:pPr>
                    <w:rPr>
                      <w:szCs w:val="21"/>
                      <w:u w:val="single"/>
                    </w:rPr>
                  </w:pPr>
                  <w:r>
                    <w:rPr>
                      <w:szCs w:val="21"/>
                      <w:u w:val="single"/>
                    </w:rPr>
                    <w:t>本项目产生废活性炭集中收集，交由有资质单位处理。</w:t>
                  </w:r>
                </w:p>
              </w:tc>
              <w:tc>
                <w:tcPr>
                  <w:tcW w:w="949" w:type="dxa"/>
                  <w:vAlign w:val="center"/>
                </w:tcPr>
                <w:p w14:paraId="7D5FFD8D">
                  <w:pPr>
                    <w:rPr>
                      <w:szCs w:val="21"/>
                      <w:u w:val="single"/>
                    </w:rPr>
                  </w:pPr>
                  <w:r>
                    <w:rPr>
                      <w:szCs w:val="21"/>
                      <w:u w:val="single"/>
                    </w:rPr>
                    <w:t>符合</w:t>
                  </w:r>
                </w:p>
              </w:tc>
            </w:tr>
            <w:tr w14:paraId="3E0E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3930" w:type="dxa"/>
                  <w:vAlign w:val="center"/>
                </w:tcPr>
                <w:p w14:paraId="4BE78255">
                  <w:pPr>
                    <w:rPr>
                      <w:szCs w:val="21"/>
                      <w:u w:val="single"/>
                    </w:rPr>
                  </w:pPr>
                  <w:r>
                    <w:rPr>
                      <w:szCs w:val="21"/>
                      <w:u w:val="single"/>
                    </w:rPr>
                    <w:t>3.企业应建立健全VOCs治理设施的运行维护规程</w:t>
                  </w:r>
                  <w:r>
                    <w:rPr>
                      <w:rFonts w:hint="eastAsia"/>
                      <w:szCs w:val="21"/>
                      <w:u w:val="single"/>
                      <w:lang w:eastAsia="zh-CN"/>
                    </w:rPr>
                    <w:t>和台账</w:t>
                  </w:r>
                  <w:r>
                    <w:rPr>
                      <w:szCs w:val="21"/>
                      <w:u w:val="single"/>
                    </w:rPr>
                    <w:t>等日常管理制度，并根据工艺要求定期对各类设备、电气、自控仪表等进行检修维护，确保设施的稳定运行。</w:t>
                  </w:r>
                </w:p>
              </w:tc>
              <w:tc>
                <w:tcPr>
                  <w:tcW w:w="2719" w:type="dxa"/>
                  <w:vAlign w:val="center"/>
                </w:tcPr>
                <w:p w14:paraId="71763A4C">
                  <w:pPr>
                    <w:rPr>
                      <w:szCs w:val="21"/>
                      <w:u w:val="single"/>
                    </w:rPr>
                  </w:pPr>
                  <w:r>
                    <w:rPr>
                      <w:szCs w:val="21"/>
                      <w:u w:val="single"/>
                    </w:rPr>
                    <w:t>项目运营过程中加强对各类设备、电气、自控仪表等进行检修维护，确保设施的稳定运行。并建立VOCs治理设施的运行维护规程</w:t>
                  </w:r>
                  <w:r>
                    <w:rPr>
                      <w:rFonts w:hint="eastAsia"/>
                      <w:szCs w:val="21"/>
                      <w:u w:val="single"/>
                      <w:lang w:eastAsia="zh-CN"/>
                    </w:rPr>
                    <w:t>和台账</w:t>
                  </w:r>
                  <w:r>
                    <w:rPr>
                      <w:szCs w:val="21"/>
                      <w:u w:val="single"/>
                    </w:rPr>
                    <w:t>记录等制度。</w:t>
                  </w:r>
                </w:p>
              </w:tc>
              <w:tc>
                <w:tcPr>
                  <w:tcW w:w="949" w:type="dxa"/>
                  <w:vAlign w:val="center"/>
                </w:tcPr>
                <w:p w14:paraId="6154E9D8">
                  <w:pPr>
                    <w:rPr>
                      <w:szCs w:val="21"/>
                      <w:u w:val="single"/>
                    </w:rPr>
                  </w:pPr>
                  <w:r>
                    <w:rPr>
                      <w:szCs w:val="21"/>
                      <w:u w:val="single"/>
                    </w:rPr>
                    <w:t>符合</w:t>
                  </w:r>
                </w:p>
              </w:tc>
            </w:tr>
          </w:tbl>
          <w:p w14:paraId="6207BDDB">
            <w:pPr>
              <w:autoSpaceDE w:val="0"/>
              <w:autoSpaceDN w:val="0"/>
              <w:adjustRightInd w:val="0"/>
              <w:snapToGrid w:val="0"/>
              <w:spacing w:line="360" w:lineRule="auto"/>
              <w:ind w:firstLine="241" w:firstLineChars="100"/>
              <w:jc w:val="left"/>
              <w:rPr>
                <w:rFonts w:hint="default"/>
                <w:b/>
                <w:bCs/>
                <w:sz w:val="24"/>
                <w:szCs w:val="24"/>
              </w:rPr>
            </w:pPr>
            <w:r>
              <w:rPr>
                <w:rFonts w:hint="eastAsia"/>
                <w:b/>
                <w:bCs/>
                <w:sz w:val="24"/>
                <w:szCs w:val="24"/>
                <w:lang w:val="en-US" w:eastAsia="zh-CN"/>
              </w:rPr>
              <w:t>1.9</w:t>
            </w:r>
            <w:r>
              <w:rPr>
                <w:b/>
                <w:bCs/>
                <w:sz w:val="24"/>
                <w:szCs w:val="24"/>
              </w:rPr>
              <w:t>与《怀化市“十四五”生态环境保护规划》符合性分析（列举相关）</w:t>
            </w:r>
          </w:p>
          <w:p w14:paraId="7362972F">
            <w:pPr>
              <w:autoSpaceDE w:val="0"/>
              <w:autoSpaceDN w:val="0"/>
              <w:adjustRightInd w:val="0"/>
              <w:snapToGrid w:val="0"/>
              <w:spacing w:line="360" w:lineRule="auto"/>
              <w:ind w:firstLine="480" w:firstLineChars="200"/>
              <w:jc w:val="left"/>
              <w:rPr>
                <w:rFonts w:hint="eastAsia"/>
                <w:sz w:val="24"/>
                <w:szCs w:val="24"/>
                <w:highlight w:val="none"/>
                <w:u w:val="single"/>
                <w:lang w:val="en-US" w:eastAsia="zh-CN"/>
              </w:rPr>
            </w:pPr>
            <w:r>
              <w:rPr>
                <w:rFonts w:hint="eastAsia"/>
                <w:sz w:val="24"/>
                <w:szCs w:val="24"/>
                <w:highlight w:val="none"/>
                <w:u w:val="single"/>
                <w:lang w:val="en-US" w:eastAsia="zh-CN"/>
              </w:rPr>
              <w:t>《怀化市“十四五”生态环境保护规划》在第五章，第二节“深入打好蓝天保卫战”中指出：</w:t>
            </w:r>
          </w:p>
          <w:p w14:paraId="2DC3522A">
            <w:pPr>
              <w:autoSpaceDE w:val="0"/>
              <w:autoSpaceDN w:val="0"/>
              <w:adjustRightInd w:val="0"/>
              <w:snapToGrid w:val="0"/>
              <w:spacing w:line="360" w:lineRule="auto"/>
              <w:ind w:firstLine="480" w:firstLineChars="200"/>
              <w:jc w:val="left"/>
              <w:rPr>
                <w:rFonts w:hint="eastAsia"/>
                <w:sz w:val="24"/>
                <w:szCs w:val="24"/>
                <w:highlight w:val="none"/>
                <w:u w:val="single"/>
                <w:lang w:val="en-US" w:eastAsia="zh-CN"/>
              </w:rPr>
            </w:pPr>
            <w:r>
              <w:rPr>
                <w:rFonts w:hint="eastAsia"/>
                <w:sz w:val="24"/>
                <w:szCs w:val="24"/>
                <w:highlight w:val="none"/>
                <w:u w:val="single"/>
                <w:lang w:val="en-US" w:eastAsia="zh-CN"/>
              </w:rPr>
              <w:t>1、实施PM2.s和臭氧协同治理</w:t>
            </w:r>
          </w:p>
          <w:p w14:paraId="39D43903">
            <w:pPr>
              <w:autoSpaceDE w:val="0"/>
              <w:autoSpaceDN w:val="0"/>
              <w:adjustRightInd w:val="0"/>
              <w:snapToGrid w:val="0"/>
              <w:spacing w:line="360" w:lineRule="auto"/>
              <w:ind w:firstLine="480" w:firstLineChars="200"/>
              <w:jc w:val="left"/>
              <w:rPr>
                <w:rFonts w:hint="default"/>
                <w:sz w:val="24"/>
                <w:szCs w:val="24"/>
                <w:highlight w:val="none"/>
                <w:u w:val="single"/>
                <w:lang w:val="en-US" w:eastAsia="zh-CN"/>
              </w:rPr>
            </w:pPr>
            <w:r>
              <w:rPr>
                <w:rFonts w:hint="eastAsia"/>
                <w:sz w:val="24"/>
                <w:szCs w:val="24"/>
                <w:highlight w:val="none"/>
                <w:u w:val="single"/>
                <w:lang w:val="en-US" w:eastAsia="zh-CN"/>
              </w:rPr>
              <w:t>巩固提升城市空气质量达标成果，推动PM2.5浓度持续下降，遏制臭氧浓度增长趋势。制定加强PM2.5和臭氧协同控制持续改善空气质量行动计划，明确控制目标、路线图和时间表。加强重点区域、重点时段、重点行业PM2.5与夏季臭氧差异化、精细化协同管控。强化PM2.5与臭氧协同控制研究，选取鹤城区、中方县等有代表性区域开展PM2.s与臭氧协同控制试点工作。建立健全大气污染来源解析和污染源清单业务化机制，持续开展区域。</w:t>
            </w:r>
          </w:p>
          <w:p w14:paraId="1A79149F">
            <w:pPr>
              <w:autoSpaceDE w:val="0"/>
              <w:autoSpaceDN w:val="0"/>
              <w:adjustRightInd w:val="0"/>
              <w:snapToGrid w:val="0"/>
              <w:spacing w:line="360" w:lineRule="auto"/>
              <w:ind w:firstLine="480" w:firstLineChars="200"/>
              <w:jc w:val="left"/>
              <w:rPr>
                <w:rFonts w:hint="default"/>
                <w:sz w:val="24"/>
                <w:szCs w:val="24"/>
                <w:highlight w:val="none"/>
                <w:u w:val="single"/>
                <w:lang w:val="en-US" w:eastAsia="zh-CN"/>
              </w:rPr>
            </w:pPr>
            <w:r>
              <w:rPr>
                <w:rFonts w:hint="eastAsia"/>
                <w:sz w:val="24"/>
                <w:szCs w:val="24"/>
                <w:highlight w:val="none"/>
                <w:u w:val="single"/>
                <w:lang w:val="en-US" w:eastAsia="zh-CN"/>
              </w:rPr>
              <w:t>2、强化重点行业VOCs科学治理</w:t>
            </w:r>
          </w:p>
          <w:p w14:paraId="68D15B9C">
            <w:pPr>
              <w:autoSpaceDE w:val="0"/>
              <w:autoSpaceDN w:val="0"/>
              <w:adjustRightInd w:val="0"/>
              <w:snapToGrid w:val="0"/>
              <w:spacing w:line="360" w:lineRule="auto"/>
              <w:ind w:firstLine="480" w:firstLineChars="200"/>
              <w:jc w:val="left"/>
              <w:rPr>
                <w:rFonts w:hint="default"/>
                <w:sz w:val="24"/>
                <w:szCs w:val="24"/>
                <w:highlight w:val="none"/>
                <w:u w:val="single"/>
                <w:lang w:val="en-US" w:eastAsia="zh-CN"/>
              </w:rPr>
            </w:pPr>
            <w:r>
              <w:rPr>
                <w:rFonts w:hint="eastAsia"/>
                <w:sz w:val="24"/>
                <w:szCs w:val="24"/>
                <w:highlight w:val="none"/>
                <w:u w:val="single"/>
                <w:lang w:val="en-US" w:eastAsia="zh-CN"/>
              </w:rPr>
              <w:t>加快推进有机化工、工业涂装、印刷包装、沥青搅拌、汽车维修、橡胶塑料制品等行业企业VOCs综合治理，加强汽修行业VOCs综合治理，全面推进工业涂装、包装印刷、沥青搅拌站等重点涉气企业工况监控设施建设，落实“源头-过程-末端-运维”全过程管控。禁止建设生产VOCs含量限制不符合国家标准的涂料、油墨、胶粘剂、清洗剂等项目，大力推行低VOCs含量原辅材料源头替代和生产工艺设备改进提升，减少源头排放。加强VOCs无组织排放控制，实行重点排放源排放浓度与去除效率双重控制。加强重点企业VOCs排放监测监管，严格执行建设项目新增VOCs排放量区域削减替代规定，新建涉VOCs排放的工业企业要入园区。</w:t>
            </w:r>
          </w:p>
          <w:p w14:paraId="327FC4B6">
            <w:pPr>
              <w:autoSpaceDE w:val="0"/>
              <w:autoSpaceDN w:val="0"/>
              <w:adjustRightInd w:val="0"/>
              <w:snapToGrid w:val="0"/>
              <w:spacing w:line="360" w:lineRule="auto"/>
              <w:ind w:firstLine="480" w:firstLineChars="200"/>
              <w:jc w:val="left"/>
              <w:rPr>
                <w:rFonts w:hint="default"/>
                <w:sz w:val="24"/>
                <w:szCs w:val="24"/>
                <w:highlight w:val="none"/>
                <w:u w:val="single"/>
                <w:lang w:val="en-US" w:eastAsia="zh-CN"/>
              </w:rPr>
            </w:pPr>
            <w:r>
              <w:rPr>
                <w:rFonts w:hint="eastAsia"/>
                <w:sz w:val="24"/>
                <w:szCs w:val="24"/>
                <w:highlight w:val="none"/>
                <w:u w:val="single"/>
                <w:lang w:val="en-US" w:eastAsia="zh-CN"/>
              </w:rPr>
              <w:t>本项目排放的废气中包括颗粒物、VOCs，项目建成后尾气对周围环境有一定的影响，因此环评对建设单位废气治理提出的相应的控制要求（颗粒物经布袋除尘治理，VOCs经活性炭吸附治理），使项目各工序产生的废气均可得到有效的控制，净化后的尾气各污染物浓度均满足相应的标准限值。同时环评要求项目建成后办理排污许可手续，开展自行监测，将相应的管理要求落实到位，尽可能降低环境影响程度。</w:t>
            </w:r>
          </w:p>
          <w:p w14:paraId="713BA81D">
            <w:pPr>
              <w:autoSpaceDE w:val="0"/>
              <w:autoSpaceDN w:val="0"/>
              <w:adjustRightInd w:val="0"/>
              <w:snapToGrid w:val="0"/>
              <w:spacing w:line="360" w:lineRule="auto"/>
              <w:ind w:firstLine="241" w:firstLineChars="100"/>
              <w:jc w:val="left"/>
              <w:rPr>
                <w:b/>
                <w:bCs/>
                <w:sz w:val="24"/>
                <w:szCs w:val="24"/>
              </w:rPr>
            </w:pPr>
            <w:r>
              <w:rPr>
                <w:rFonts w:hint="eastAsia"/>
                <w:b/>
                <w:bCs/>
                <w:sz w:val="24"/>
                <w:szCs w:val="24"/>
                <w:lang w:val="en-US" w:eastAsia="zh-CN"/>
              </w:rPr>
              <w:t>1.10</w:t>
            </w:r>
            <w:r>
              <w:rPr>
                <w:b/>
                <w:bCs/>
                <w:sz w:val="24"/>
                <w:szCs w:val="24"/>
              </w:rPr>
              <w:t>选址合理</w:t>
            </w:r>
            <w:r>
              <w:rPr>
                <w:rFonts w:hint="eastAsia"/>
                <w:b/>
                <w:bCs/>
                <w:sz w:val="24"/>
                <w:szCs w:val="24"/>
                <w:lang w:val="en-US" w:eastAsia="zh-CN"/>
              </w:rPr>
              <w:t>及环境相容</w:t>
            </w:r>
            <w:r>
              <w:rPr>
                <w:b/>
                <w:bCs/>
                <w:sz w:val="24"/>
                <w:szCs w:val="24"/>
              </w:rPr>
              <w:t>性分析</w:t>
            </w:r>
          </w:p>
          <w:p w14:paraId="0CE1D745">
            <w:pPr>
              <w:autoSpaceDE w:val="0"/>
              <w:autoSpaceDN w:val="0"/>
              <w:adjustRightInd w:val="0"/>
              <w:snapToGrid w:val="0"/>
              <w:spacing w:line="360" w:lineRule="auto"/>
              <w:ind w:firstLine="480" w:firstLineChars="200"/>
              <w:rPr>
                <w:rFonts w:hint="eastAsia" w:ascii="宋体" w:hAnsi="宋体" w:eastAsia="宋体" w:cs="宋体"/>
                <w:strike w:val="0"/>
                <w:dstrike w:val="0"/>
                <w:kern w:val="0"/>
                <w:sz w:val="24"/>
                <w:u w:val="single"/>
              </w:rPr>
            </w:pPr>
            <w:r>
              <w:rPr>
                <w:rFonts w:hint="default" w:ascii="Times New Roman" w:hAnsi="Times New Roman" w:eastAsia="宋体" w:cs="Times New Roman"/>
                <w:strike w:val="0"/>
                <w:dstrike w:val="0"/>
                <w:color w:val="auto"/>
                <w:kern w:val="0"/>
                <w:sz w:val="24"/>
                <w:highlight w:val="none"/>
                <w:u w:val="single"/>
              </w:rPr>
              <w:t>本项目建设于洪江市</w:t>
            </w:r>
            <w:r>
              <w:rPr>
                <w:rFonts w:hint="eastAsia" w:cs="Times New Roman"/>
                <w:strike w:val="0"/>
                <w:dstrike w:val="0"/>
                <w:color w:val="auto"/>
                <w:kern w:val="0"/>
                <w:sz w:val="24"/>
                <w:highlight w:val="none"/>
                <w:u w:val="single"/>
                <w:lang w:eastAsia="zh-CN"/>
              </w:rPr>
              <w:t>高新技术产业开发区</w:t>
            </w:r>
            <w:r>
              <w:rPr>
                <w:rFonts w:hint="eastAsia" w:cs="Times New Roman"/>
                <w:strike w:val="0"/>
                <w:dstrike w:val="0"/>
                <w:color w:val="auto"/>
                <w:kern w:val="0"/>
                <w:sz w:val="24"/>
                <w:highlight w:val="none"/>
                <w:u w:val="single"/>
                <w:lang w:val="en-US" w:eastAsia="zh-CN"/>
              </w:rPr>
              <w:t>双溪</w:t>
            </w:r>
            <w:r>
              <w:rPr>
                <w:rFonts w:hint="default" w:ascii="Times New Roman" w:hAnsi="Times New Roman" w:eastAsia="宋体" w:cs="Times New Roman"/>
                <w:strike w:val="0"/>
                <w:dstrike w:val="0"/>
                <w:color w:val="auto"/>
                <w:kern w:val="0"/>
                <w:sz w:val="24"/>
                <w:highlight w:val="none"/>
                <w:u w:val="single"/>
              </w:rPr>
              <w:t>产业园，本项目主要从事汽车零部件铸造，不属于</w:t>
            </w:r>
            <w:r>
              <w:rPr>
                <w:rFonts w:hint="eastAsia" w:cs="Times New Roman"/>
                <w:strike w:val="0"/>
                <w:dstrike w:val="0"/>
                <w:color w:val="auto"/>
                <w:kern w:val="0"/>
                <w:sz w:val="24"/>
                <w:highlight w:val="none"/>
                <w:u w:val="single"/>
                <w:lang w:val="en-US" w:eastAsia="zh-CN"/>
              </w:rPr>
              <w:t>双溪</w:t>
            </w:r>
            <w:r>
              <w:rPr>
                <w:rFonts w:hint="default" w:ascii="Times New Roman" w:hAnsi="Times New Roman" w:eastAsia="宋体" w:cs="Times New Roman"/>
                <w:strike w:val="0"/>
                <w:dstrike w:val="0"/>
                <w:color w:val="auto"/>
                <w:kern w:val="0"/>
                <w:sz w:val="24"/>
                <w:highlight w:val="none"/>
                <w:u w:val="single"/>
              </w:rPr>
              <w:t>产业园禁止项目；根据洪江市工业集中区土地利用规划图（2011-2020），项目用地为</w:t>
            </w:r>
            <w:r>
              <w:rPr>
                <w:rFonts w:hint="eastAsia" w:cs="Times New Roman"/>
                <w:strike w:val="0"/>
                <w:dstrike w:val="0"/>
                <w:color w:val="auto"/>
                <w:kern w:val="0"/>
                <w:sz w:val="24"/>
                <w:highlight w:val="none"/>
                <w:u w:val="single"/>
                <w:lang w:val="en-US" w:eastAsia="zh-CN"/>
              </w:rPr>
              <w:t>II</w:t>
            </w:r>
            <w:r>
              <w:rPr>
                <w:rFonts w:hint="default" w:ascii="Times New Roman" w:hAnsi="Times New Roman" w:eastAsia="宋体" w:cs="Times New Roman"/>
                <w:strike w:val="0"/>
                <w:dstrike w:val="0"/>
                <w:color w:val="auto"/>
                <w:kern w:val="0"/>
                <w:sz w:val="24"/>
                <w:highlight w:val="none"/>
                <w:u w:val="single"/>
              </w:rPr>
              <w:t>工业用地。</w:t>
            </w:r>
            <w:r>
              <w:rPr>
                <w:rFonts w:hint="eastAsia" w:ascii="宋体" w:hAnsi="宋体" w:eastAsia="宋体" w:cs="宋体"/>
                <w:strike w:val="0"/>
                <w:dstrike w:val="0"/>
                <w:kern w:val="0"/>
                <w:sz w:val="24"/>
                <w:u w:val="single"/>
              </w:rPr>
              <w:t>项目区域内的供电、供水、通信等基础设施配套良好，能够满足项目需求。通过现场踏勘与调查，项目周边无自然保护区、风景名胜区、文化遗产保护区、世界文化自然遗产和森林公园、地质公园、湿地公园、生态保护区、饮用水取水口及水源保护区等环境敏感区保护目标。</w:t>
            </w:r>
          </w:p>
          <w:p w14:paraId="2FB73F46">
            <w:pPr>
              <w:autoSpaceDE w:val="0"/>
              <w:autoSpaceDN w:val="0"/>
              <w:adjustRightInd w:val="0"/>
              <w:snapToGrid w:val="0"/>
              <w:spacing w:line="360" w:lineRule="auto"/>
              <w:ind w:firstLine="480" w:firstLineChars="200"/>
              <w:rPr>
                <w:rFonts w:hint="default" w:ascii="宋体" w:hAnsi="宋体" w:eastAsia="宋体" w:cs="宋体"/>
                <w:strike w:val="0"/>
                <w:dstrike w:val="0"/>
                <w:kern w:val="0"/>
                <w:sz w:val="24"/>
                <w:u w:val="single"/>
              </w:rPr>
            </w:pPr>
            <w:r>
              <w:rPr>
                <w:rFonts w:hint="eastAsia"/>
                <w:sz w:val="24"/>
                <w:szCs w:val="24"/>
                <w:highlight w:val="none"/>
                <w:u w:val="single"/>
              </w:rPr>
              <w:t>厂区的四至情况为</w:t>
            </w:r>
            <w:r>
              <w:rPr>
                <w:rFonts w:hint="eastAsia"/>
                <w:sz w:val="24"/>
                <w:szCs w:val="24"/>
                <w:highlight w:val="none"/>
                <w:u w:val="single"/>
                <w:lang w:eastAsia="zh-CN"/>
              </w:rPr>
              <w:t>：</w:t>
            </w:r>
            <w:r>
              <w:rPr>
                <w:rFonts w:hint="eastAsia"/>
                <w:sz w:val="24"/>
                <w:szCs w:val="24"/>
                <w:highlight w:val="none"/>
                <w:u w:val="single"/>
              </w:rPr>
              <w:t>东侧为</w:t>
            </w:r>
            <w:r>
              <w:rPr>
                <w:rFonts w:hint="eastAsia"/>
                <w:sz w:val="24"/>
                <w:szCs w:val="24"/>
                <w:highlight w:val="none"/>
                <w:u w:val="single"/>
                <w:lang w:val="en-US" w:eastAsia="zh-CN"/>
              </w:rPr>
              <w:t>湖南武陵山</w:t>
            </w:r>
            <w:r>
              <w:rPr>
                <w:sz w:val="24"/>
                <w:szCs w:val="24"/>
                <w:highlight w:val="none"/>
                <w:u w:val="single"/>
              </w:rPr>
              <w:t>四维集团</w:t>
            </w:r>
            <w:r>
              <w:rPr>
                <w:rFonts w:hint="eastAsia"/>
                <w:sz w:val="24"/>
                <w:szCs w:val="24"/>
                <w:highlight w:val="none"/>
                <w:u w:val="single"/>
              </w:rPr>
              <w:t>、西侧为</w:t>
            </w:r>
            <w:r>
              <w:rPr>
                <w:rFonts w:hint="eastAsia"/>
                <w:sz w:val="24"/>
                <w:szCs w:val="24"/>
                <w:highlight w:val="none"/>
                <w:u w:val="single"/>
                <w:lang w:val="en-US" w:eastAsia="zh-CN"/>
              </w:rPr>
              <w:t>洪江市四维混凝土预拌站有限公司</w:t>
            </w:r>
            <w:r>
              <w:rPr>
                <w:rFonts w:hint="eastAsia"/>
                <w:sz w:val="24"/>
                <w:szCs w:val="24"/>
                <w:highlight w:val="none"/>
                <w:u w:val="single"/>
                <w:lang w:eastAsia="zh-CN"/>
              </w:rPr>
              <w:t>，</w:t>
            </w:r>
            <w:r>
              <w:rPr>
                <w:rFonts w:hint="eastAsia"/>
                <w:sz w:val="24"/>
                <w:szCs w:val="24"/>
                <w:highlight w:val="none"/>
                <w:u w:val="single"/>
              </w:rPr>
              <w:t>北侧为园区道路，南侧为</w:t>
            </w:r>
            <w:r>
              <w:rPr>
                <w:sz w:val="24"/>
                <w:szCs w:val="24"/>
                <w:highlight w:val="none"/>
                <w:u w:val="single"/>
              </w:rPr>
              <w:t>洪江市慧众能源有限公司</w:t>
            </w:r>
            <w:r>
              <w:rPr>
                <w:rFonts w:hint="eastAsia"/>
                <w:sz w:val="24"/>
                <w:szCs w:val="24"/>
                <w:highlight w:val="none"/>
                <w:u w:val="single"/>
                <w:lang w:eastAsia="zh-CN"/>
              </w:rPr>
              <w:t>（</w:t>
            </w:r>
            <w:r>
              <w:rPr>
                <w:rFonts w:hint="eastAsia"/>
                <w:sz w:val="24"/>
                <w:szCs w:val="24"/>
                <w:highlight w:val="none"/>
                <w:u w:val="single"/>
              </w:rPr>
              <w:t>在建</w:t>
            </w:r>
            <w:r>
              <w:rPr>
                <w:rFonts w:hint="eastAsia"/>
                <w:sz w:val="24"/>
                <w:szCs w:val="24"/>
                <w:highlight w:val="none"/>
                <w:u w:val="single"/>
                <w:lang w:eastAsia="zh-CN"/>
              </w:rPr>
              <w:t>）。</w:t>
            </w:r>
            <w:r>
              <w:rPr>
                <w:rFonts w:hint="default" w:ascii="宋体" w:hAnsi="宋体" w:eastAsia="宋体" w:cs="宋体"/>
                <w:strike w:val="0"/>
                <w:dstrike w:val="0"/>
                <w:kern w:val="0"/>
                <w:sz w:val="24"/>
                <w:u w:val="single"/>
              </w:rPr>
              <w:t>项目运营产生废气、废水、噪声及固体废物污染经采取相应的环保措施后可达标排放对外环境影响较小。</w:t>
            </w:r>
          </w:p>
          <w:p w14:paraId="06CA4BBA">
            <w:pPr>
              <w:autoSpaceDE w:val="0"/>
              <w:autoSpaceDN w:val="0"/>
              <w:adjustRightInd w:val="0"/>
              <w:snapToGrid w:val="0"/>
              <w:spacing w:line="360" w:lineRule="auto"/>
              <w:ind w:firstLine="480" w:firstLineChars="200"/>
              <w:rPr>
                <w:rFonts w:hint="default" w:ascii="Times New Roman" w:hAnsi="Times New Roman" w:cs="Times New Roman"/>
              </w:rPr>
            </w:pPr>
            <w:r>
              <w:rPr>
                <w:rFonts w:hint="eastAsia" w:ascii="宋体" w:hAnsi="宋体" w:eastAsia="宋体" w:cs="宋体"/>
                <w:strike w:val="0"/>
                <w:dstrike w:val="0"/>
                <w:kern w:val="0"/>
                <w:sz w:val="24"/>
                <w:u w:val="single"/>
              </w:rPr>
              <w:t>综上，本项目选址合理</w:t>
            </w:r>
            <w:r>
              <w:rPr>
                <w:rFonts w:hint="eastAsia" w:ascii="宋体" w:hAnsi="宋体" w:eastAsia="宋体" w:cs="宋体"/>
                <w:strike w:val="0"/>
                <w:dstrike w:val="0"/>
                <w:kern w:val="0"/>
                <w:sz w:val="24"/>
                <w:u w:val="single"/>
                <w:lang w:val="en-US" w:eastAsia="zh-CN"/>
              </w:rPr>
              <w:t>可行</w:t>
            </w:r>
            <w:r>
              <w:rPr>
                <w:rFonts w:hint="eastAsia" w:ascii="宋体" w:hAnsi="宋体" w:eastAsia="宋体" w:cs="宋体"/>
                <w:strike w:val="0"/>
                <w:dstrike w:val="0"/>
                <w:kern w:val="0"/>
                <w:sz w:val="24"/>
                <w:u w:val="single"/>
                <w:lang w:eastAsia="zh-CN"/>
              </w:rPr>
              <w:t>，</w:t>
            </w:r>
            <w:r>
              <w:rPr>
                <w:rFonts w:hint="eastAsia" w:ascii="宋体" w:hAnsi="宋体" w:eastAsia="宋体" w:cs="宋体"/>
                <w:strike w:val="0"/>
                <w:dstrike w:val="0"/>
                <w:kern w:val="0"/>
                <w:sz w:val="24"/>
                <w:u w:val="single"/>
                <w:lang w:val="en-US" w:eastAsia="zh-CN"/>
              </w:rPr>
              <w:t>与周边环境相容</w:t>
            </w:r>
            <w:r>
              <w:rPr>
                <w:rFonts w:hint="eastAsia" w:ascii="宋体" w:hAnsi="宋体" w:eastAsia="宋体" w:cs="宋体"/>
                <w:strike w:val="0"/>
                <w:dstrike w:val="0"/>
                <w:kern w:val="0"/>
                <w:sz w:val="24"/>
                <w:u w:val="single"/>
              </w:rPr>
              <w:t>。</w:t>
            </w:r>
          </w:p>
        </w:tc>
      </w:tr>
    </w:tbl>
    <w:p w14:paraId="368EF788">
      <w:p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40B47025">
      <w:pPr>
        <w:pStyle w:val="4"/>
      </w:pPr>
      <w:bookmarkStart w:id="3" w:name="_Toc29058"/>
      <w:bookmarkStart w:id="4" w:name="_Toc84686385"/>
      <w:r>
        <w:rPr>
          <w:rFonts w:hint="eastAsia"/>
        </w:rPr>
        <w:t>二、建设项目工程分析</w:t>
      </w:r>
      <w:bookmarkEnd w:id="3"/>
      <w:bookmarkEnd w:id="4"/>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8015"/>
      </w:tblGrid>
      <w:tr w14:paraId="540F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507" w:type="dxa"/>
            <w:vAlign w:val="center"/>
          </w:tcPr>
          <w:p w14:paraId="5B0E5154">
            <w:pPr>
              <w:pStyle w:val="28"/>
              <w:jc w:val="center"/>
              <w:rPr>
                <w:rFonts w:hint="default" w:ascii="Times New Roman" w:hAnsi="Times New Roman" w:cs="Times New Roman"/>
              </w:rPr>
            </w:pPr>
            <w:r>
              <w:rPr>
                <w:rFonts w:hint="default" w:ascii="Times New Roman" w:hAnsi="Times New Roman" w:eastAsia="宋体" w:cs="Times New Roman"/>
                <w:color w:val="auto"/>
                <w:kern w:val="2"/>
                <w:sz w:val="24"/>
                <w:szCs w:val="24"/>
                <w:lang w:val="en-US" w:eastAsia="zh-CN" w:bidi="ar-SA"/>
              </w:rPr>
              <w:t>建设内容</w:t>
            </w:r>
          </w:p>
        </w:tc>
        <w:tc>
          <w:tcPr>
            <w:tcW w:w="8015" w:type="dxa"/>
          </w:tcPr>
          <w:p w14:paraId="4B8A22F5">
            <w:pPr>
              <w:numPr>
                <w:ilvl w:val="0"/>
                <w:numId w:val="0"/>
              </w:numPr>
              <w:spacing w:line="360" w:lineRule="auto"/>
              <w:ind w:firstLine="482" w:firstLineChars="200"/>
              <w:rPr>
                <w:rFonts w:hint="default"/>
                <w:b/>
                <w:bCs/>
                <w:sz w:val="24"/>
                <w:szCs w:val="24"/>
                <w:lang w:val="en-US" w:eastAsia="zh-CN"/>
              </w:rPr>
            </w:pPr>
            <w:r>
              <w:rPr>
                <w:rFonts w:hint="eastAsia"/>
                <w:b/>
                <w:bCs/>
                <w:sz w:val="24"/>
                <w:szCs w:val="24"/>
                <w:lang w:val="en-US" w:eastAsia="zh-CN"/>
              </w:rPr>
              <w:t>2.1项目由来</w:t>
            </w:r>
          </w:p>
          <w:p w14:paraId="72FE609A">
            <w:pPr>
              <w:spacing w:line="360" w:lineRule="auto"/>
              <w:ind w:firstLine="480" w:firstLineChars="200"/>
              <w:rPr>
                <w:rFonts w:hint="default" w:eastAsia="宋体"/>
                <w:sz w:val="24"/>
                <w:highlight w:val="none"/>
                <w:u w:val="single"/>
                <w:lang w:val="en-US" w:eastAsia="zh-CN"/>
              </w:rPr>
            </w:pPr>
            <w:r>
              <w:rPr>
                <w:rFonts w:hint="eastAsia"/>
                <w:sz w:val="24"/>
                <w:u w:val="single"/>
                <w:lang w:val="en-US" w:eastAsia="zh-CN"/>
              </w:rPr>
              <w:t>2021年9月湖南省洪江市万顺汽车零部件有限责任公司</w:t>
            </w:r>
            <w:r>
              <w:rPr>
                <w:rFonts w:hint="eastAsia"/>
                <w:sz w:val="24"/>
                <w:u w:val="single"/>
              </w:rPr>
              <w:t>为了迎合市场需求及企业自身发展的需要，拟投资</w:t>
            </w:r>
            <w:r>
              <w:rPr>
                <w:sz w:val="24"/>
                <w:u w:val="single"/>
              </w:rPr>
              <w:t>5</w:t>
            </w:r>
            <w:r>
              <w:rPr>
                <w:rFonts w:hint="eastAsia"/>
                <w:sz w:val="24"/>
                <w:u w:val="single"/>
              </w:rPr>
              <w:t>000万元在洪江市</w:t>
            </w:r>
            <w:r>
              <w:rPr>
                <w:rFonts w:hint="eastAsia"/>
                <w:sz w:val="24"/>
                <w:u w:val="single"/>
                <w:lang w:eastAsia="zh-CN"/>
              </w:rPr>
              <w:t>高新技术产业开发区</w:t>
            </w:r>
            <w:r>
              <w:rPr>
                <w:rFonts w:hint="eastAsia"/>
                <w:sz w:val="24"/>
                <w:u w:val="single"/>
                <w:lang w:val="en-US" w:eastAsia="zh-CN"/>
              </w:rPr>
              <w:t>双溪</w:t>
            </w:r>
            <w:r>
              <w:rPr>
                <w:rFonts w:hint="eastAsia" w:ascii="Times New Roman" w:hAnsi="Times New Roman" w:eastAsia="宋体" w:cs="Times New Roman"/>
                <w:sz w:val="24"/>
                <w:u w:val="single"/>
              </w:rPr>
              <w:t>片区</w:t>
            </w:r>
            <w:r>
              <w:rPr>
                <w:rFonts w:hint="eastAsia" w:cs="Times New Roman"/>
                <w:sz w:val="24"/>
                <w:u w:val="single"/>
                <w:lang w:val="en-US" w:eastAsia="zh-CN"/>
              </w:rPr>
              <w:t>湖南武陵山</w:t>
            </w:r>
            <w:r>
              <w:rPr>
                <w:color w:val="000000" w:themeColor="text1"/>
                <w:sz w:val="24"/>
                <w:szCs w:val="24"/>
                <w:u w:val="single"/>
                <w14:textFill>
                  <w14:solidFill>
                    <w14:schemeClr w14:val="tx1"/>
                  </w14:solidFill>
                </w14:textFill>
              </w:rPr>
              <w:t>四维集团</w:t>
            </w:r>
            <w:r>
              <w:rPr>
                <w:rFonts w:hint="eastAsia"/>
                <w:color w:val="000000" w:themeColor="text1"/>
                <w:sz w:val="24"/>
                <w:szCs w:val="24"/>
                <w:u w:val="single"/>
                <w:lang w:val="en-US" w:eastAsia="zh-CN"/>
                <w14:textFill>
                  <w14:solidFill>
                    <w14:schemeClr w14:val="tx1"/>
                  </w14:solidFill>
                </w14:textFill>
              </w:rPr>
              <w:t>北侧100米处空地</w:t>
            </w:r>
            <w:r>
              <w:rPr>
                <w:rFonts w:hint="eastAsia"/>
                <w:sz w:val="24"/>
                <w:u w:val="single"/>
              </w:rPr>
              <w:t>建设“</w:t>
            </w:r>
            <w:r>
              <w:rPr>
                <w:color w:val="000000" w:themeColor="text1"/>
                <w:sz w:val="24"/>
                <w:szCs w:val="24"/>
                <w:u w:val="single"/>
                <w14:textFill>
                  <w14:solidFill>
                    <w14:schemeClr w14:val="tx1"/>
                  </w14:solidFill>
                </w14:textFill>
              </w:rPr>
              <w:t>汽车零部件加工生产线项目</w:t>
            </w:r>
            <w:r>
              <w:rPr>
                <w:rFonts w:hint="eastAsia"/>
                <w:sz w:val="24"/>
                <w:u w:val="single"/>
              </w:rPr>
              <w:t>”</w:t>
            </w:r>
            <w:r>
              <w:rPr>
                <w:sz w:val="24"/>
                <w:szCs w:val="24"/>
                <w:highlight w:val="none"/>
                <w:u w:val="single"/>
                <w:shd w:val="clear" w:color="auto" w:fill="FFFFFF"/>
              </w:rPr>
              <w:t>。</w:t>
            </w:r>
            <w:r>
              <w:rPr>
                <w:rFonts w:hint="eastAsia"/>
                <w:sz w:val="24"/>
                <w:u w:val="single"/>
                <w:lang w:val="en-US" w:eastAsia="zh-CN"/>
              </w:rPr>
              <w:t>洪江市万顺汽车零部件有限责任公司</w:t>
            </w:r>
            <w:r>
              <w:rPr>
                <w:rFonts w:hint="eastAsia"/>
                <w:sz w:val="24"/>
                <w:highlight w:val="none"/>
                <w:u w:val="single"/>
                <w:lang w:val="en-US" w:eastAsia="zh-CN"/>
              </w:rPr>
              <w:t>与洪江市工业园管理委员会于2021年9月18日签订了入园合同，2021年10月11取得</w:t>
            </w:r>
            <w:r>
              <w:rPr>
                <w:rFonts w:hint="eastAsia"/>
                <w:kern w:val="0"/>
                <w:sz w:val="24"/>
                <w:szCs w:val="24"/>
                <w:highlight w:val="none"/>
                <w:u w:val="single"/>
              </w:rPr>
              <w:t>洪江市发展和改革局</w:t>
            </w:r>
            <w:r>
              <w:rPr>
                <w:rFonts w:hint="eastAsia"/>
                <w:kern w:val="0"/>
                <w:sz w:val="24"/>
                <w:szCs w:val="24"/>
                <w:highlight w:val="none"/>
                <w:u w:val="single"/>
                <w:lang w:val="en-US" w:eastAsia="zh-CN"/>
              </w:rPr>
              <w:t>关于</w:t>
            </w:r>
            <w:r>
              <w:rPr>
                <w:color w:val="000000" w:themeColor="text1"/>
                <w:sz w:val="24"/>
                <w:szCs w:val="24"/>
                <w:u w:val="single"/>
                <w14:textFill>
                  <w14:solidFill>
                    <w14:schemeClr w14:val="tx1"/>
                  </w14:solidFill>
                </w14:textFill>
              </w:rPr>
              <w:t>汽车零部件加工生产线项目</w:t>
            </w:r>
            <w:r>
              <w:rPr>
                <w:rFonts w:hint="eastAsia"/>
                <w:kern w:val="0"/>
                <w:sz w:val="24"/>
                <w:szCs w:val="24"/>
                <w:highlight w:val="none"/>
                <w:u w:val="single"/>
                <w:lang w:val="en-US" w:eastAsia="zh-CN"/>
              </w:rPr>
              <w:t>备案证明文件。</w:t>
            </w:r>
            <w:r>
              <w:rPr>
                <w:rFonts w:hint="eastAsia"/>
                <w:sz w:val="24"/>
                <w:szCs w:val="24"/>
                <w:u w:val="single"/>
                <w:lang w:val="en-US" w:eastAsia="zh-CN"/>
              </w:rPr>
              <w:t>2022年7月1日</w:t>
            </w:r>
            <w:r>
              <w:rPr>
                <w:rFonts w:hint="eastAsia"/>
                <w:sz w:val="24"/>
                <w:szCs w:val="24"/>
                <w:u w:val="single"/>
              </w:rPr>
              <w:t>我公司</w:t>
            </w:r>
            <w:r>
              <w:rPr>
                <w:rFonts w:hint="eastAsia"/>
                <w:sz w:val="24"/>
                <w:szCs w:val="24"/>
                <w:u w:val="single"/>
                <w:lang w:eastAsia="zh-CN"/>
              </w:rPr>
              <w:t>（</w:t>
            </w:r>
            <w:r>
              <w:rPr>
                <w:rFonts w:hint="eastAsia"/>
                <w:sz w:val="24"/>
                <w:szCs w:val="24"/>
                <w:u w:val="single"/>
              </w:rPr>
              <w:t>怀化环诚环保科技有限公司</w:t>
            </w:r>
            <w:r>
              <w:rPr>
                <w:rFonts w:hint="eastAsia"/>
                <w:sz w:val="24"/>
                <w:szCs w:val="24"/>
                <w:u w:val="single"/>
                <w:lang w:eastAsia="zh-CN"/>
              </w:rPr>
              <w:t>）</w:t>
            </w:r>
            <w:r>
              <w:rPr>
                <w:rFonts w:hint="eastAsia"/>
                <w:sz w:val="24"/>
                <w:szCs w:val="24"/>
                <w:u w:val="single"/>
              </w:rPr>
              <w:t>承担该项目的环境影响评价工作</w:t>
            </w:r>
            <w:r>
              <w:rPr>
                <w:rFonts w:hint="eastAsia"/>
                <w:sz w:val="24"/>
                <w:szCs w:val="24"/>
                <w:u w:val="single"/>
                <w:lang w:eastAsia="zh-CN"/>
              </w:rPr>
              <w:t>，</w:t>
            </w:r>
            <w:r>
              <w:rPr>
                <w:rFonts w:hint="eastAsia"/>
                <w:sz w:val="24"/>
                <w:szCs w:val="24"/>
                <w:u w:val="single"/>
                <w:lang w:val="en-US" w:eastAsia="zh-CN"/>
              </w:rPr>
              <w:t>同时</w:t>
            </w:r>
            <w:r>
              <w:rPr>
                <w:rFonts w:hint="eastAsia"/>
                <w:sz w:val="24"/>
                <w:u w:val="single"/>
                <w:lang w:val="en-US" w:eastAsia="zh-CN"/>
              </w:rPr>
              <w:t>湖南省洪江市万顺汽车零部件有限责任公司</w:t>
            </w:r>
            <w:r>
              <w:rPr>
                <w:rFonts w:hint="eastAsia"/>
                <w:sz w:val="24"/>
                <w:szCs w:val="24"/>
                <w:u w:val="single"/>
                <w:lang w:val="en-US" w:eastAsia="zh-CN"/>
              </w:rPr>
              <w:t>委托湖南昌旭环保科技有限</w:t>
            </w:r>
            <w:r>
              <w:rPr>
                <w:rFonts w:hint="eastAsia"/>
                <w:sz w:val="24"/>
                <w:szCs w:val="24"/>
                <w:highlight w:val="none"/>
                <w:u w:val="single"/>
                <w:lang w:val="en-US" w:eastAsia="zh-CN"/>
              </w:rPr>
              <w:t>公司对项目</w:t>
            </w:r>
            <w:r>
              <w:rPr>
                <w:rFonts w:hint="eastAsia"/>
                <w:sz w:val="24"/>
                <w:szCs w:val="24"/>
                <w:u w:val="single"/>
                <w:lang w:val="en-US" w:eastAsia="zh-CN"/>
              </w:rPr>
              <w:t>所在地进行了环境质量现状监测，</w:t>
            </w:r>
            <w:r>
              <w:rPr>
                <w:rFonts w:hint="eastAsia"/>
                <w:sz w:val="24"/>
                <w:szCs w:val="24"/>
                <w:u w:val="single"/>
              </w:rPr>
              <w:t>根据《中华人民共和国环境影响评价法》、《建设项目环境影响评价分类管理名录》（2021年版）</w:t>
            </w:r>
            <w:r>
              <w:rPr>
                <w:sz w:val="24"/>
                <w:szCs w:val="24"/>
                <w:u w:val="single"/>
              </w:rPr>
              <w:t>，本项目属于</w:t>
            </w:r>
            <w:r>
              <w:rPr>
                <w:rFonts w:hint="eastAsia"/>
                <w:sz w:val="24"/>
                <w:szCs w:val="24"/>
                <w:u w:val="single"/>
                <w:lang w:eastAsia="zh-CN"/>
              </w:rPr>
              <w:t>“</w:t>
            </w:r>
            <w:r>
              <w:rPr>
                <w:sz w:val="24"/>
                <w:szCs w:val="24"/>
                <w:u w:val="single"/>
              </w:rPr>
              <w:t>三十、金属制品业3368铸造及其他金属制品制造339</w:t>
            </w:r>
            <w:r>
              <w:rPr>
                <w:rFonts w:hint="eastAsia"/>
                <w:sz w:val="24"/>
                <w:szCs w:val="24"/>
                <w:u w:val="single"/>
                <w:lang w:eastAsia="zh-CN"/>
              </w:rPr>
              <w:t>”</w:t>
            </w:r>
            <w:r>
              <w:rPr>
                <w:sz w:val="24"/>
                <w:szCs w:val="24"/>
                <w:u w:val="single"/>
              </w:rPr>
              <w:t>中</w:t>
            </w:r>
            <w:r>
              <w:rPr>
                <w:rFonts w:hint="eastAsia"/>
                <w:sz w:val="24"/>
                <w:szCs w:val="24"/>
                <w:u w:val="single"/>
                <w:lang w:eastAsia="zh-CN"/>
              </w:rPr>
              <w:t>“</w:t>
            </w:r>
            <w:r>
              <w:rPr>
                <w:sz w:val="24"/>
                <w:szCs w:val="24"/>
                <w:u w:val="single"/>
              </w:rPr>
              <w:t>其他</w:t>
            </w:r>
            <w:r>
              <w:rPr>
                <w:rFonts w:hint="eastAsia"/>
                <w:sz w:val="24"/>
                <w:szCs w:val="24"/>
                <w:u w:val="single"/>
                <w:lang w:eastAsia="zh-CN"/>
              </w:rPr>
              <w:t>（</w:t>
            </w:r>
            <w:r>
              <w:rPr>
                <w:sz w:val="24"/>
                <w:szCs w:val="24"/>
                <w:u w:val="single"/>
              </w:rPr>
              <w:t>仅分割、焊接、组装的除外</w:t>
            </w:r>
            <w:r>
              <w:rPr>
                <w:rFonts w:hint="eastAsia"/>
                <w:sz w:val="24"/>
                <w:szCs w:val="24"/>
                <w:u w:val="single"/>
                <w:lang w:eastAsia="zh-CN"/>
              </w:rPr>
              <w:t>）”</w:t>
            </w:r>
            <w:r>
              <w:rPr>
                <w:sz w:val="24"/>
                <w:szCs w:val="24"/>
                <w:u w:val="single"/>
              </w:rPr>
              <w:t>，需编制环境影响报告表。</w:t>
            </w:r>
            <w:r>
              <w:rPr>
                <w:rFonts w:hint="eastAsia"/>
                <w:sz w:val="24"/>
                <w:szCs w:val="24"/>
                <w:u w:val="single"/>
                <w:lang w:val="en-US" w:eastAsia="zh-CN"/>
              </w:rPr>
              <w:t>因用地问题，项目位置需重新选址且未建设，故未向怀化市生态环境局洪江市分局送审。</w:t>
            </w:r>
          </w:p>
          <w:p w14:paraId="73C86AB9">
            <w:pPr>
              <w:spacing w:line="360" w:lineRule="auto"/>
              <w:ind w:firstLine="480" w:firstLineChars="200"/>
              <w:rPr>
                <w:sz w:val="24"/>
                <w:szCs w:val="24"/>
                <w:u w:val="single"/>
              </w:rPr>
            </w:pPr>
            <w:r>
              <w:rPr>
                <w:rFonts w:hint="eastAsia"/>
                <w:sz w:val="24"/>
                <w:u w:val="single"/>
                <w:lang w:val="en-US" w:eastAsia="zh-CN"/>
              </w:rPr>
              <w:t>2023年7月湖南省洪江市万顺汽车零部件有限责任公司“</w:t>
            </w:r>
            <w:r>
              <w:rPr>
                <w:color w:val="000000" w:themeColor="text1"/>
                <w:sz w:val="24"/>
                <w:szCs w:val="24"/>
                <w:u w:val="single"/>
                <w14:textFill>
                  <w14:solidFill>
                    <w14:schemeClr w14:val="tx1"/>
                  </w14:solidFill>
                </w14:textFill>
              </w:rPr>
              <w:t>汽车零部件加工生产线</w:t>
            </w:r>
            <w:r>
              <w:rPr>
                <w:rFonts w:hint="eastAsia"/>
                <w:color w:val="000000" w:themeColor="text1"/>
                <w:sz w:val="24"/>
                <w:szCs w:val="24"/>
                <w:u w:val="single"/>
                <w:lang w:val="en-US" w:eastAsia="zh-CN"/>
                <w14:textFill>
                  <w14:solidFill>
                    <w14:schemeClr w14:val="tx1"/>
                  </w14:solidFill>
                </w14:textFill>
              </w:rPr>
              <w:t>项目</w:t>
            </w:r>
            <w:r>
              <w:rPr>
                <w:rFonts w:hint="eastAsia"/>
                <w:color w:val="000000" w:themeColor="text1"/>
                <w:sz w:val="24"/>
                <w:szCs w:val="24"/>
                <w:u w:val="single"/>
                <w:lang w:eastAsia="zh-CN"/>
                <w14:textFill>
                  <w14:solidFill>
                    <w14:schemeClr w14:val="tx1"/>
                  </w14:solidFill>
                </w14:textFill>
              </w:rPr>
              <w:t>”</w:t>
            </w:r>
            <w:r>
              <w:rPr>
                <w:rFonts w:hint="eastAsia"/>
                <w:color w:val="000000" w:themeColor="text1"/>
                <w:sz w:val="24"/>
                <w:szCs w:val="24"/>
                <w:u w:val="single"/>
                <w:lang w:val="en-US" w:eastAsia="zh-CN"/>
                <w14:textFill>
                  <w14:solidFill>
                    <w14:schemeClr w14:val="tx1"/>
                  </w14:solidFill>
                </w14:textFill>
              </w:rPr>
              <w:t>重新选址于</w:t>
            </w:r>
            <w:r>
              <w:rPr>
                <w:color w:val="000000" w:themeColor="text1"/>
                <w:sz w:val="24"/>
                <w:szCs w:val="24"/>
                <w:u w:val="single"/>
                <w14:textFill>
                  <w14:solidFill>
                    <w14:schemeClr w14:val="tx1"/>
                  </w14:solidFill>
                </w14:textFill>
              </w:rPr>
              <w:t>洪江市高新区双溪产业片区四维集团</w:t>
            </w:r>
            <w:r>
              <w:rPr>
                <w:rFonts w:hint="eastAsia"/>
                <w:color w:val="000000" w:themeColor="text1"/>
                <w:sz w:val="24"/>
                <w:szCs w:val="24"/>
                <w:u w:val="single"/>
                <w:lang w:val="en-US" w:eastAsia="zh-CN"/>
                <w14:textFill>
                  <w14:solidFill>
                    <w14:schemeClr w14:val="tx1"/>
                  </w14:solidFill>
                </w14:textFill>
              </w:rPr>
              <w:t>西侧133米处</w:t>
            </w:r>
            <w:r>
              <w:rPr>
                <w:rFonts w:hint="eastAsia"/>
                <w:color w:val="000000" w:themeColor="text1"/>
                <w:sz w:val="24"/>
                <w:szCs w:val="24"/>
                <w:u w:val="single"/>
                <w:lang w:eastAsia="zh-CN"/>
                <w14:textFill>
                  <w14:solidFill>
                    <w14:schemeClr w14:val="tx1"/>
                  </w14:solidFill>
                </w14:textFill>
              </w:rPr>
              <w:t>，</w:t>
            </w:r>
            <w:r>
              <w:rPr>
                <w:rFonts w:hint="eastAsia"/>
                <w:color w:val="000000" w:themeColor="text1"/>
                <w:sz w:val="24"/>
                <w:szCs w:val="24"/>
                <w:u w:val="single"/>
                <w:lang w:val="en-US" w:eastAsia="zh-CN"/>
                <w14:textFill>
                  <w14:solidFill>
                    <w14:schemeClr w14:val="tx1"/>
                  </w14:solidFill>
                </w14:textFill>
              </w:rPr>
              <w:t>并</w:t>
            </w:r>
            <w:r>
              <w:rPr>
                <w:rFonts w:hint="eastAsia"/>
                <w:sz w:val="24"/>
                <w:highlight w:val="none"/>
                <w:u w:val="single"/>
                <w:lang w:val="en-US" w:eastAsia="zh-CN"/>
              </w:rPr>
              <w:t>于2024年4月28取得土地使用权证，</w:t>
            </w:r>
            <w:r>
              <w:rPr>
                <w:rFonts w:hint="eastAsia"/>
                <w:sz w:val="24"/>
                <w:szCs w:val="24"/>
                <w:u w:val="single"/>
              </w:rPr>
              <w:t>项目于20</w:t>
            </w:r>
            <w:r>
              <w:rPr>
                <w:rFonts w:hint="eastAsia"/>
                <w:sz w:val="24"/>
                <w:szCs w:val="24"/>
                <w:u w:val="single"/>
                <w:lang w:val="en-US" w:eastAsia="zh-CN"/>
              </w:rPr>
              <w:t>24年5月</w:t>
            </w:r>
            <w:r>
              <w:rPr>
                <w:rFonts w:hint="eastAsia"/>
                <w:sz w:val="24"/>
                <w:szCs w:val="24"/>
                <w:u w:val="single"/>
              </w:rPr>
              <w:t>开始建设，20</w:t>
            </w:r>
            <w:r>
              <w:rPr>
                <w:rFonts w:hint="eastAsia"/>
                <w:sz w:val="24"/>
                <w:szCs w:val="24"/>
                <w:u w:val="single"/>
                <w:lang w:val="en-US" w:eastAsia="zh-CN"/>
              </w:rPr>
              <w:t>24</w:t>
            </w:r>
            <w:r>
              <w:rPr>
                <w:rFonts w:hint="eastAsia"/>
                <w:sz w:val="24"/>
                <w:szCs w:val="24"/>
                <w:u w:val="single"/>
              </w:rPr>
              <w:t>年</w:t>
            </w:r>
            <w:r>
              <w:rPr>
                <w:rFonts w:hint="eastAsia"/>
                <w:sz w:val="24"/>
                <w:szCs w:val="24"/>
                <w:u w:val="single"/>
                <w:lang w:val="en-US" w:eastAsia="zh-CN"/>
              </w:rPr>
              <w:t>7</w:t>
            </w:r>
            <w:r>
              <w:rPr>
                <w:rFonts w:hint="eastAsia"/>
                <w:sz w:val="24"/>
                <w:szCs w:val="24"/>
                <w:u w:val="single"/>
              </w:rPr>
              <w:t>月</w:t>
            </w:r>
            <w:r>
              <w:rPr>
                <w:rFonts w:hint="eastAsia"/>
                <w:sz w:val="24"/>
                <w:szCs w:val="24"/>
                <w:u w:val="single"/>
                <w:lang w:val="en-US" w:eastAsia="zh-CN"/>
              </w:rPr>
              <w:t>建设完成</w:t>
            </w:r>
            <w:r>
              <w:rPr>
                <w:rFonts w:hint="eastAsia"/>
                <w:sz w:val="24"/>
                <w:szCs w:val="24"/>
                <w:u w:val="single"/>
              </w:rPr>
              <w:t>，</w:t>
            </w:r>
            <w:r>
              <w:rPr>
                <w:rFonts w:hint="eastAsia"/>
                <w:sz w:val="24"/>
                <w:szCs w:val="24"/>
                <w:u w:val="single"/>
                <w:lang w:val="en-US" w:eastAsia="zh-CN"/>
              </w:rPr>
              <w:t>设备已经入场并配套了环保设施。</w:t>
            </w:r>
            <w:r>
              <w:rPr>
                <w:rFonts w:hint="eastAsia"/>
                <w:sz w:val="24"/>
                <w:szCs w:val="24"/>
                <w:u w:val="single"/>
              </w:rPr>
              <w:t>因未经批准，擅自开工建设，属于未批先建。</w:t>
            </w:r>
            <w:r>
              <w:rPr>
                <w:rFonts w:hint="eastAsia"/>
                <w:sz w:val="24"/>
                <w:szCs w:val="24"/>
                <w:highlight w:val="none"/>
                <w:u w:val="single"/>
              </w:rPr>
              <w:t>怀</w:t>
            </w:r>
            <w:r>
              <w:rPr>
                <w:rFonts w:hint="eastAsia"/>
                <w:color w:val="auto"/>
                <w:sz w:val="24"/>
                <w:szCs w:val="24"/>
                <w:highlight w:val="none"/>
                <w:u w:val="single"/>
              </w:rPr>
              <w:t>化市生态环境局</w:t>
            </w:r>
            <w:r>
              <w:rPr>
                <w:rFonts w:hint="eastAsia"/>
                <w:color w:val="auto"/>
                <w:sz w:val="24"/>
                <w:szCs w:val="24"/>
                <w:highlight w:val="none"/>
                <w:u w:val="single"/>
                <w:lang w:val="en-US" w:eastAsia="zh-CN"/>
              </w:rPr>
              <w:t>洪江市</w:t>
            </w:r>
            <w:r>
              <w:rPr>
                <w:rFonts w:hint="eastAsia"/>
                <w:color w:val="auto"/>
                <w:sz w:val="24"/>
                <w:szCs w:val="24"/>
                <w:highlight w:val="none"/>
                <w:u w:val="single"/>
              </w:rPr>
              <w:t>分局于2024年</w:t>
            </w:r>
            <w:r>
              <w:rPr>
                <w:rFonts w:hint="eastAsia"/>
                <w:color w:val="auto"/>
                <w:sz w:val="24"/>
                <w:szCs w:val="24"/>
                <w:highlight w:val="none"/>
                <w:u w:val="single"/>
                <w:lang w:val="en-US" w:eastAsia="zh-CN"/>
              </w:rPr>
              <w:t>10</w:t>
            </w:r>
            <w:r>
              <w:rPr>
                <w:rFonts w:hint="eastAsia"/>
                <w:color w:val="auto"/>
                <w:sz w:val="24"/>
                <w:szCs w:val="24"/>
                <w:highlight w:val="none"/>
                <w:u w:val="single"/>
              </w:rPr>
              <w:t>月</w:t>
            </w:r>
            <w:r>
              <w:rPr>
                <w:rFonts w:hint="eastAsia"/>
                <w:color w:val="auto"/>
                <w:sz w:val="24"/>
                <w:szCs w:val="24"/>
                <w:highlight w:val="none"/>
                <w:u w:val="single"/>
                <w:lang w:val="en-US" w:eastAsia="zh-CN"/>
              </w:rPr>
              <w:t>17</w:t>
            </w:r>
            <w:r>
              <w:rPr>
                <w:rFonts w:hint="eastAsia"/>
                <w:color w:val="auto"/>
                <w:sz w:val="24"/>
                <w:szCs w:val="24"/>
                <w:highlight w:val="none"/>
                <w:u w:val="single"/>
              </w:rPr>
              <w:t>日对</w:t>
            </w:r>
            <w:r>
              <w:rPr>
                <w:color w:val="auto"/>
                <w:sz w:val="24"/>
                <w:szCs w:val="24"/>
                <w:highlight w:val="none"/>
                <w:u w:val="single"/>
              </w:rPr>
              <w:t>湖南省洪江市万顺汽车零部件有限责任公司</w:t>
            </w:r>
            <w:r>
              <w:rPr>
                <w:rFonts w:hint="eastAsia"/>
                <w:color w:val="auto"/>
                <w:sz w:val="24"/>
                <w:szCs w:val="24"/>
                <w:highlight w:val="none"/>
                <w:u w:val="single"/>
              </w:rPr>
              <w:t>做出了</w:t>
            </w:r>
            <w:r>
              <w:rPr>
                <w:rFonts w:hint="eastAsia"/>
                <w:color w:val="auto"/>
                <w:sz w:val="24"/>
                <w:szCs w:val="24"/>
                <w:highlight w:val="none"/>
                <w:u w:val="single"/>
                <w:lang w:val="en-US" w:eastAsia="zh-CN"/>
              </w:rPr>
              <w:t>不予</w:t>
            </w:r>
            <w:r>
              <w:rPr>
                <w:rFonts w:hint="eastAsia"/>
                <w:color w:val="auto"/>
                <w:sz w:val="24"/>
                <w:szCs w:val="24"/>
                <w:highlight w:val="none"/>
                <w:u w:val="single"/>
              </w:rPr>
              <w:t>处罚决定（见附件</w:t>
            </w:r>
            <w:r>
              <w:rPr>
                <w:rFonts w:hint="eastAsia"/>
                <w:color w:val="auto"/>
                <w:sz w:val="24"/>
                <w:szCs w:val="24"/>
                <w:highlight w:val="none"/>
                <w:u w:val="single"/>
                <w:lang w:val="en-US" w:eastAsia="zh-CN"/>
              </w:rPr>
              <w:t>7</w:t>
            </w:r>
            <w:r>
              <w:rPr>
                <w:rFonts w:hint="eastAsia"/>
                <w:color w:val="auto"/>
                <w:sz w:val="24"/>
                <w:szCs w:val="24"/>
                <w:highlight w:val="none"/>
                <w:u w:val="single"/>
              </w:rPr>
              <w:t>）。</w:t>
            </w:r>
            <w:r>
              <w:rPr>
                <w:rFonts w:hint="eastAsia"/>
                <w:color w:val="auto"/>
                <w:sz w:val="24"/>
                <w:szCs w:val="24"/>
                <w:u w:val="single"/>
                <w:lang w:val="en-US" w:eastAsia="zh-CN"/>
              </w:rPr>
              <w:t>我单位</w:t>
            </w:r>
            <w:r>
              <w:rPr>
                <w:rFonts w:hint="eastAsia"/>
                <w:color w:val="auto"/>
                <w:sz w:val="24"/>
                <w:szCs w:val="24"/>
                <w:u w:val="single"/>
              </w:rPr>
              <w:t>在对建设项目进行全面调查并结</w:t>
            </w:r>
            <w:r>
              <w:rPr>
                <w:rFonts w:hint="eastAsia"/>
                <w:sz w:val="24"/>
                <w:szCs w:val="24"/>
                <w:u w:val="single"/>
              </w:rPr>
              <w:t>合区域环境特征的基础上，按照《建设项目环境影响报告表编制技术指南》（污染影响类）（试行）的要求，编制完成了本</w:t>
            </w:r>
            <w:r>
              <w:rPr>
                <w:rFonts w:hint="eastAsia"/>
                <w:sz w:val="24"/>
                <w:szCs w:val="24"/>
                <w:u w:val="single"/>
                <w:lang w:val="en-US" w:eastAsia="zh-CN"/>
              </w:rPr>
              <w:t>项目</w:t>
            </w:r>
            <w:r>
              <w:rPr>
                <w:rFonts w:hint="eastAsia"/>
                <w:sz w:val="24"/>
                <w:szCs w:val="24"/>
                <w:u w:val="single"/>
              </w:rPr>
              <w:t>环境影响报告表。报告表中项目性质、规模、地点、生产工艺及环境保护措施等内容的真实性、有效性、完整性已经得到建设单位的正式确认</w:t>
            </w:r>
            <w:r>
              <w:rPr>
                <w:sz w:val="24"/>
                <w:szCs w:val="24"/>
                <w:u w:val="single"/>
              </w:rPr>
              <w:t>，现呈报生态环境部门，进行技术评审。</w:t>
            </w:r>
          </w:p>
          <w:p w14:paraId="20B8EA7F">
            <w:pPr>
              <w:numPr>
                <w:ilvl w:val="0"/>
                <w:numId w:val="0"/>
              </w:numPr>
              <w:spacing w:line="360" w:lineRule="auto"/>
              <w:ind w:firstLine="482" w:firstLineChars="200"/>
              <w:rPr>
                <w:rFonts w:hint="default"/>
                <w:b/>
                <w:bCs/>
                <w:sz w:val="24"/>
                <w:szCs w:val="24"/>
                <w:lang w:val="en-US" w:eastAsia="zh-CN"/>
              </w:rPr>
            </w:pPr>
            <w:r>
              <w:rPr>
                <w:rFonts w:hint="eastAsia"/>
                <w:b/>
                <w:bCs/>
                <w:sz w:val="24"/>
                <w:szCs w:val="24"/>
                <w:lang w:val="en-US" w:eastAsia="zh-CN"/>
              </w:rPr>
              <w:t>2.2建设内容及规模</w:t>
            </w:r>
          </w:p>
          <w:p w14:paraId="5AE7A6A0">
            <w:pPr>
              <w:spacing w:line="360" w:lineRule="auto"/>
              <w:ind w:firstLine="480" w:firstLineChars="200"/>
              <w:rPr>
                <w:sz w:val="24"/>
                <w:szCs w:val="24"/>
                <w:u w:val="single"/>
              </w:rPr>
            </w:pPr>
            <w:r>
              <w:rPr>
                <w:sz w:val="24"/>
                <w:szCs w:val="24"/>
                <w:u w:val="single"/>
              </w:rPr>
              <w:t>（1）项目工程概况</w:t>
            </w:r>
          </w:p>
          <w:p w14:paraId="0DC4EC35">
            <w:pPr>
              <w:spacing w:line="360" w:lineRule="auto"/>
              <w:ind w:firstLine="480" w:firstLineChars="200"/>
              <w:rPr>
                <w:sz w:val="24"/>
                <w:szCs w:val="24"/>
                <w:u w:val="single"/>
              </w:rPr>
            </w:pPr>
            <w:r>
              <w:rPr>
                <w:sz w:val="24"/>
                <w:szCs w:val="24"/>
                <w:u w:val="single"/>
              </w:rPr>
              <w:t>项目名称：汽车零部件加工生产线项目。</w:t>
            </w:r>
          </w:p>
          <w:p w14:paraId="0AF2ADF7">
            <w:pPr>
              <w:spacing w:line="360" w:lineRule="auto"/>
              <w:ind w:firstLine="480" w:firstLineChars="200"/>
              <w:rPr>
                <w:sz w:val="24"/>
                <w:szCs w:val="24"/>
                <w:u w:val="single"/>
              </w:rPr>
            </w:pPr>
            <w:r>
              <w:rPr>
                <w:sz w:val="24"/>
                <w:szCs w:val="24"/>
                <w:u w:val="single"/>
              </w:rPr>
              <w:t>建设单位：湖南省洪江市万顺汽车零部件有限责任公司。</w:t>
            </w:r>
          </w:p>
          <w:p w14:paraId="648A7DB3">
            <w:pPr>
              <w:spacing w:line="360" w:lineRule="auto"/>
              <w:ind w:firstLine="480" w:firstLineChars="200"/>
              <w:rPr>
                <w:sz w:val="24"/>
                <w:szCs w:val="24"/>
                <w:u w:val="single"/>
              </w:rPr>
            </w:pPr>
            <w:r>
              <w:rPr>
                <w:sz w:val="24"/>
                <w:szCs w:val="24"/>
                <w:u w:val="single"/>
              </w:rPr>
              <w:t>建设性质：新建</w:t>
            </w:r>
            <w:r>
              <w:rPr>
                <w:rFonts w:hint="eastAsia"/>
                <w:sz w:val="24"/>
                <w:szCs w:val="24"/>
                <w:u w:val="single"/>
                <w:lang w:eastAsia="zh-CN"/>
              </w:rPr>
              <w:t>（</w:t>
            </w:r>
            <w:r>
              <w:rPr>
                <w:rFonts w:hint="eastAsia"/>
                <w:sz w:val="24"/>
                <w:szCs w:val="24"/>
                <w:u w:val="single"/>
                <w:lang w:val="en-US" w:eastAsia="zh-CN"/>
              </w:rPr>
              <w:t>补办）</w:t>
            </w:r>
            <w:r>
              <w:rPr>
                <w:sz w:val="24"/>
                <w:szCs w:val="24"/>
                <w:u w:val="single"/>
              </w:rPr>
              <w:t>。</w:t>
            </w:r>
          </w:p>
          <w:p w14:paraId="4730A304">
            <w:pPr>
              <w:spacing w:line="360" w:lineRule="auto"/>
              <w:ind w:firstLine="480" w:firstLineChars="200"/>
              <w:rPr>
                <w:rFonts w:hint="eastAsia"/>
                <w:sz w:val="24"/>
                <w:szCs w:val="24"/>
                <w:u w:val="single"/>
              </w:rPr>
            </w:pPr>
            <w:r>
              <w:rPr>
                <w:sz w:val="24"/>
                <w:szCs w:val="24"/>
                <w:u w:val="single"/>
              </w:rPr>
              <w:t>建设地点：洪江市高新区双溪产业片区四维集团</w:t>
            </w:r>
            <w:r>
              <w:rPr>
                <w:rFonts w:hint="eastAsia"/>
                <w:sz w:val="24"/>
                <w:szCs w:val="24"/>
                <w:u w:val="single"/>
                <w:lang w:val="en-US" w:eastAsia="zh-CN"/>
              </w:rPr>
              <w:t>西侧133米处</w:t>
            </w:r>
            <w:r>
              <w:rPr>
                <w:sz w:val="24"/>
                <w:szCs w:val="24"/>
                <w:u w:val="single"/>
              </w:rPr>
              <w:t>，</w:t>
            </w:r>
            <w:r>
              <w:rPr>
                <w:color w:val="000000" w:themeColor="text1"/>
                <w:sz w:val="24"/>
                <w:szCs w:val="24"/>
                <w:u w:val="single"/>
                <w14:textFill>
                  <w14:solidFill>
                    <w14:schemeClr w14:val="tx1"/>
                  </w14:solidFill>
                </w14:textFill>
              </w:rPr>
              <w:t>东经</w:t>
            </w:r>
            <w:r>
              <w:rPr>
                <w:color w:val="67757C"/>
                <w:sz w:val="24"/>
                <w:szCs w:val="24"/>
                <w:u w:val="single"/>
                <w:shd w:val="clear" w:color="auto" w:fill="E9ECEF"/>
              </w:rPr>
              <mc:AlternateContent>
                <mc:Choice Requires="wps">
                  <w:drawing>
                    <wp:inline distT="0" distB="0" distL="114300" distR="114300">
                      <wp:extent cx="635" cy="0"/>
                      <wp:effectExtent l="0" t="0" r="0" b="0"/>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OQqc4AAAD/AAAADwAAAAAAAAABACAAAAAiAAAAZHJzL2Rvd25yZXYueG1sUEsB&#10;AhQAFAAAAAgAh07iQDPU2rD/AQAAGAQAAA4AAAAAAAAAAQAgAAAAHQEAAGRycy9lMm9Eb2MueG1s&#10;UEsFBgAAAAAGAAYAWQEAAI4FAAAAAA==&#10;">
                      <v:fill on="f" focussize="0,0"/>
                      <v:stroke color="#000000" joinstyle="miter"/>
                      <v:imagedata o:title=""/>
                      <o:lock v:ext="edit" aspectratio="t"/>
                      <w10:wrap type="none"/>
                      <w10:anchorlock/>
                    </v:rect>
                  </w:pict>
                </mc:Fallback>
              </mc:AlternateContent>
            </w:r>
            <w:r>
              <w:rPr>
                <w:color w:val="67757C"/>
                <w:sz w:val="24"/>
                <w:szCs w:val="24"/>
                <w:u w:val="single"/>
                <w:shd w:val="clear" w:color="auto" w:fill="E9ECEF"/>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Ang9EkAAIAABoEAAAOAAAAAAAAAAEAIAAAAB0BAABkcnMvZTJvRG9jLnht&#10;bFBLBQYAAAAABgAGAFkBAACPBQAAAAA=&#10;">
                      <v:fill on="f" focussize="0,0"/>
                      <v:stroke color="#000000" joinstyle="miter"/>
                      <v:imagedata o:title=""/>
                      <o:lock v:ext="edit" aspectratio="t"/>
                      <w10:wrap type="none"/>
                      <w10:anchorlock/>
                    </v:rect>
                  </w:pict>
                </mc:Fallback>
              </mc:AlternateContent>
            </w:r>
            <w:r>
              <w:rPr>
                <w:color w:val="000000" w:themeColor="text1"/>
                <w:sz w:val="24"/>
                <w:szCs w:val="24"/>
                <w:u w:val="single"/>
                <w14:textFill>
                  <w14:solidFill>
                    <w14:schemeClr w14:val="tx1"/>
                  </w14:solidFill>
                </w14:textFill>
              </w:rPr>
              <w:t>109°52′12.796″  北纬27°15′30.760″</w:t>
            </w:r>
            <w:r>
              <w:rPr>
                <w:sz w:val="24"/>
                <w:szCs w:val="24"/>
                <w:u w:val="single"/>
              </w:rPr>
              <w:t>。</w:t>
            </w:r>
            <w:r>
              <w:rPr>
                <w:rFonts w:hint="eastAsia"/>
                <w:sz w:val="24"/>
                <w:szCs w:val="24"/>
                <w:highlight w:val="none"/>
                <w:u w:val="single"/>
              </w:rPr>
              <w:t>厂区的四至情况为</w:t>
            </w:r>
            <w:r>
              <w:rPr>
                <w:rFonts w:hint="eastAsia"/>
                <w:sz w:val="24"/>
                <w:szCs w:val="24"/>
                <w:highlight w:val="none"/>
                <w:u w:val="single"/>
                <w:lang w:eastAsia="zh-CN"/>
              </w:rPr>
              <w:t>：</w:t>
            </w:r>
            <w:r>
              <w:rPr>
                <w:rFonts w:hint="eastAsia"/>
                <w:sz w:val="24"/>
                <w:szCs w:val="24"/>
                <w:highlight w:val="none"/>
                <w:u w:val="single"/>
              </w:rPr>
              <w:t>东侧为</w:t>
            </w:r>
            <w:r>
              <w:rPr>
                <w:rFonts w:hint="eastAsia"/>
                <w:sz w:val="24"/>
                <w:szCs w:val="24"/>
                <w:highlight w:val="none"/>
                <w:u w:val="single"/>
                <w:lang w:val="en-US" w:eastAsia="zh-CN"/>
              </w:rPr>
              <w:t>湖南武陵山</w:t>
            </w:r>
            <w:r>
              <w:rPr>
                <w:sz w:val="24"/>
                <w:szCs w:val="24"/>
                <w:highlight w:val="none"/>
                <w:u w:val="single"/>
              </w:rPr>
              <w:t>四维集团</w:t>
            </w:r>
            <w:r>
              <w:rPr>
                <w:rFonts w:hint="eastAsia"/>
                <w:sz w:val="24"/>
                <w:szCs w:val="24"/>
                <w:highlight w:val="none"/>
                <w:u w:val="single"/>
              </w:rPr>
              <w:t>、西侧为</w:t>
            </w:r>
            <w:r>
              <w:rPr>
                <w:rFonts w:hint="eastAsia"/>
                <w:sz w:val="24"/>
                <w:szCs w:val="24"/>
                <w:highlight w:val="none"/>
                <w:u w:val="single"/>
                <w:lang w:val="en-US" w:eastAsia="zh-CN"/>
              </w:rPr>
              <w:t>洪江市四维混凝土预拌站有限公司</w:t>
            </w:r>
            <w:r>
              <w:rPr>
                <w:rFonts w:hint="eastAsia"/>
                <w:sz w:val="24"/>
                <w:szCs w:val="24"/>
                <w:highlight w:val="none"/>
                <w:u w:val="single"/>
                <w:lang w:eastAsia="zh-CN"/>
              </w:rPr>
              <w:t>，</w:t>
            </w:r>
            <w:r>
              <w:rPr>
                <w:rFonts w:hint="eastAsia"/>
                <w:sz w:val="24"/>
                <w:szCs w:val="24"/>
                <w:highlight w:val="none"/>
                <w:u w:val="single"/>
              </w:rPr>
              <w:t>北侧为园区道路，南侧为</w:t>
            </w:r>
            <w:r>
              <w:rPr>
                <w:sz w:val="24"/>
                <w:szCs w:val="24"/>
                <w:highlight w:val="none"/>
                <w:u w:val="single"/>
              </w:rPr>
              <w:t>洪江市慧众能源有限公司</w:t>
            </w:r>
            <w:r>
              <w:rPr>
                <w:rFonts w:hint="eastAsia"/>
                <w:sz w:val="24"/>
                <w:szCs w:val="24"/>
                <w:u w:val="single"/>
                <w:lang w:eastAsia="zh-CN"/>
              </w:rPr>
              <w:t>。</w:t>
            </w:r>
            <w:r>
              <w:rPr>
                <w:rFonts w:hint="eastAsia"/>
                <w:sz w:val="24"/>
                <w:szCs w:val="24"/>
                <w:u w:val="single"/>
              </w:rPr>
              <w:t>本项目地理位置图见附图1。</w:t>
            </w:r>
          </w:p>
          <w:p w14:paraId="680C1D03">
            <w:pPr>
              <w:spacing w:line="360" w:lineRule="auto"/>
              <w:ind w:firstLine="480" w:firstLineChars="200"/>
              <w:rPr>
                <w:sz w:val="24"/>
                <w:szCs w:val="24"/>
                <w:u w:val="single"/>
              </w:rPr>
            </w:pPr>
            <w:r>
              <w:rPr>
                <w:sz w:val="24"/>
                <w:szCs w:val="24"/>
                <w:u w:val="single"/>
              </w:rPr>
              <w:t>项目投资额：5000万元。</w:t>
            </w:r>
          </w:p>
          <w:p w14:paraId="0A3A6308">
            <w:pPr>
              <w:spacing w:line="360" w:lineRule="auto"/>
              <w:ind w:firstLine="480" w:firstLineChars="200"/>
              <w:rPr>
                <w:rFonts w:hint="default" w:eastAsia="宋体"/>
                <w:sz w:val="24"/>
                <w:szCs w:val="24"/>
                <w:u w:val="single"/>
                <w:lang w:val="en-US" w:eastAsia="zh-CN"/>
              </w:rPr>
            </w:pPr>
            <w:r>
              <w:rPr>
                <w:sz w:val="24"/>
                <w:szCs w:val="24"/>
                <w:u w:val="single"/>
              </w:rPr>
              <w:t>（2）</w:t>
            </w:r>
            <w:r>
              <w:rPr>
                <w:rFonts w:hint="eastAsia"/>
                <w:sz w:val="24"/>
                <w:szCs w:val="24"/>
                <w:u w:val="single"/>
                <w:lang w:val="en-US" w:eastAsia="zh-CN"/>
              </w:rPr>
              <w:t>建设内容及规模</w:t>
            </w:r>
          </w:p>
          <w:p w14:paraId="28F5760B">
            <w:pPr>
              <w:adjustRightInd w:val="0"/>
              <w:snapToGrid w:val="0"/>
              <w:spacing w:line="360" w:lineRule="auto"/>
              <w:ind w:firstLine="480" w:firstLineChars="200"/>
              <w:jc w:val="left"/>
              <w:rPr>
                <w:u w:val="single"/>
              </w:rPr>
            </w:pPr>
            <w:r>
              <w:rPr>
                <w:sz w:val="24"/>
                <w:szCs w:val="24"/>
                <w:u w:val="single"/>
              </w:rPr>
              <w:t>项目总占地面积</w:t>
            </w:r>
            <w:r>
              <w:rPr>
                <w:rFonts w:hint="eastAsia"/>
                <w:sz w:val="24"/>
                <w:szCs w:val="24"/>
                <w:highlight w:val="none"/>
                <w:u w:val="single"/>
                <w:lang w:val="en-US" w:eastAsia="zh-CN"/>
              </w:rPr>
              <w:t>7931.56</w:t>
            </w:r>
            <w:r>
              <w:rPr>
                <w:sz w:val="24"/>
                <w:szCs w:val="24"/>
                <w:highlight w:val="none"/>
                <w:u w:val="single"/>
              </w:rPr>
              <w:t>m</w:t>
            </w:r>
            <w:r>
              <w:rPr>
                <w:sz w:val="24"/>
                <w:szCs w:val="24"/>
                <w:highlight w:val="none"/>
                <w:u w:val="single"/>
                <w:vertAlign w:val="superscript"/>
              </w:rPr>
              <w:t>2</w:t>
            </w:r>
            <w:r>
              <w:rPr>
                <w:sz w:val="24"/>
                <w:szCs w:val="24"/>
                <w:u w:val="single"/>
              </w:rPr>
              <w:t>，由主体、辅助、公用、环保四大工程组成，具体建设内容见下表2-1：</w:t>
            </w:r>
          </w:p>
          <w:p w14:paraId="539419C7">
            <w:pPr>
              <w:ind w:firstLine="422" w:firstLineChars="200"/>
              <w:jc w:val="center"/>
              <w:rPr>
                <w:rFonts w:hint="default"/>
                <w:b/>
                <w:bCs/>
              </w:rPr>
            </w:pPr>
            <w:r>
              <w:rPr>
                <w:rFonts w:hint="default"/>
                <w:b/>
                <w:bCs/>
              </w:rPr>
              <w:t>表2-1  本项目工程一览表</w:t>
            </w:r>
          </w:p>
          <w:tbl>
            <w:tblPr>
              <w:tblStyle w:val="22"/>
              <w:tblW w:w="7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380"/>
              <w:gridCol w:w="664"/>
              <w:gridCol w:w="3710"/>
              <w:gridCol w:w="1568"/>
              <w:gridCol w:w="885"/>
            </w:tblGrid>
            <w:tr w14:paraId="4079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2" w:type="dxa"/>
                  <w:vAlign w:val="center"/>
                </w:tcPr>
                <w:p w14:paraId="66964BBB">
                  <w:pPr>
                    <w:jc w:val="center"/>
                    <w:rPr>
                      <w:highlight w:val="none"/>
                    </w:rPr>
                  </w:pPr>
                  <w:r>
                    <w:rPr>
                      <w:highlight w:val="none"/>
                    </w:rPr>
                    <w:t>工程类型</w:t>
                  </w:r>
                </w:p>
              </w:tc>
              <w:tc>
                <w:tcPr>
                  <w:tcW w:w="1044" w:type="dxa"/>
                  <w:gridSpan w:val="2"/>
                  <w:vAlign w:val="center"/>
                </w:tcPr>
                <w:p w14:paraId="3060E98E">
                  <w:pPr>
                    <w:jc w:val="center"/>
                    <w:rPr>
                      <w:highlight w:val="none"/>
                    </w:rPr>
                  </w:pPr>
                  <w:r>
                    <w:rPr>
                      <w:highlight w:val="none"/>
                    </w:rPr>
                    <w:t>工程名称</w:t>
                  </w:r>
                </w:p>
              </w:tc>
              <w:tc>
                <w:tcPr>
                  <w:tcW w:w="5278" w:type="dxa"/>
                  <w:gridSpan w:val="2"/>
                  <w:vAlign w:val="center"/>
                </w:tcPr>
                <w:p w14:paraId="592645CD">
                  <w:pPr>
                    <w:jc w:val="center"/>
                    <w:rPr>
                      <w:highlight w:val="none"/>
                    </w:rPr>
                  </w:pPr>
                  <w:r>
                    <w:rPr>
                      <w:highlight w:val="none"/>
                    </w:rPr>
                    <w:t>建设内容</w:t>
                  </w:r>
                </w:p>
              </w:tc>
              <w:tc>
                <w:tcPr>
                  <w:tcW w:w="885" w:type="dxa"/>
                  <w:vAlign w:val="center"/>
                </w:tcPr>
                <w:p w14:paraId="7205724A">
                  <w:pPr>
                    <w:jc w:val="center"/>
                    <w:rPr>
                      <w:highlight w:val="none"/>
                    </w:rPr>
                  </w:pPr>
                  <w:r>
                    <w:rPr>
                      <w:highlight w:val="none"/>
                    </w:rPr>
                    <w:t>备注</w:t>
                  </w:r>
                </w:p>
              </w:tc>
            </w:tr>
            <w:tr w14:paraId="3DB5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642" w:type="dxa"/>
                  <w:vAlign w:val="center"/>
                </w:tcPr>
                <w:p w14:paraId="74E4B0BD">
                  <w:pPr>
                    <w:jc w:val="center"/>
                    <w:rPr>
                      <w:highlight w:val="none"/>
                    </w:rPr>
                  </w:pPr>
                  <w:r>
                    <w:rPr>
                      <w:highlight w:val="none"/>
                    </w:rPr>
                    <w:t>主体工程</w:t>
                  </w:r>
                </w:p>
              </w:tc>
              <w:tc>
                <w:tcPr>
                  <w:tcW w:w="1044" w:type="dxa"/>
                  <w:gridSpan w:val="2"/>
                  <w:vAlign w:val="center"/>
                </w:tcPr>
                <w:p w14:paraId="3C95868B">
                  <w:pPr>
                    <w:jc w:val="center"/>
                    <w:rPr>
                      <w:highlight w:val="none"/>
                    </w:rPr>
                  </w:pPr>
                  <w:r>
                    <w:rPr>
                      <w:highlight w:val="none"/>
                    </w:rPr>
                    <w:t>生产厂房</w:t>
                  </w:r>
                </w:p>
              </w:tc>
              <w:tc>
                <w:tcPr>
                  <w:tcW w:w="5278" w:type="dxa"/>
                  <w:gridSpan w:val="2"/>
                  <w:vAlign w:val="center"/>
                </w:tcPr>
                <w:p w14:paraId="38F1BEC9">
                  <w:pPr>
                    <w:jc w:val="center"/>
                    <w:rPr>
                      <w:highlight w:val="none"/>
                    </w:rPr>
                  </w:pPr>
                  <w:r>
                    <w:rPr>
                      <w:highlight w:val="none"/>
                    </w:rPr>
                    <w:t>生产区域，</w:t>
                  </w:r>
                  <w:r>
                    <w:rPr>
                      <w:rFonts w:hint="eastAsia"/>
                      <w:highlight w:val="none"/>
                      <w:lang w:val="en-US" w:eastAsia="zh-CN"/>
                    </w:rPr>
                    <w:t>钢架</w:t>
                  </w:r>
                  <w:r>
                    <w:rPr>
                      <w:rFonts w:hint="eastAsia"/>
                      <w:highlight w:val="none"/>
                    </w:rPr>
                    <w:t>结构，1条生产线，</w:t>
                  </w:r>
                  <w:r>
                    <w:rPr>
                      <w:rFonts w:hint="eastAsia"/>
                      <w:highlight w:val="none"/>
                      <w:lang w:val="en-US" w:eastAsia="zh-CN"/>
                    </w:rPr>
                    <w:t>分区布设制芯区、造型区</w:t>
                  </w:r>
                  <w:r>
                    <w:rPr>
                      <w:highlight w:val="none"/>
                    </w:rPr>
                    <w:t>、</w:t>
                  </w:r>
                  <w:r>
                    <w:rPr>
                      <w:rFonts w:hint="eastAsia"/>
                      <w:highlight w:val="none"/>
                      <w:lang w:val="en-US" w:eastAsia="zh-CN"/>
                    </w:rPr>
                    <w:t>熔炼区</w:t>
                  </w:r>
                  <w:r>
                    <w:rPr>
                      <w:highlight w:val="none"/>
                    </w:rPr>
                    <w:t>、</w:t>
                  </w:r>
                  <w:r>
                    <w:rPr>
                      <w:rFonts w:hint="eastAsia"/>
                      <w:highlight w:val="none"/>
                      <w:lang w:val="en-US" w:eastAsia="zh-CN"/>
                    </w:rPr>
                    <w:t>浇注区、</w:t>
                  </w:r>
                  <w:r>
                    <w:rPr>
                      <w:highlight w:val="none"/>
                    </w:rPr>
                    <w:t>抛丸</w:t>
                  </w:r>
                  <w:r>
                    <w:rPr>
                      <w:rFonts w:hint="eastAsia"/>
                      <w:highlight w:val="none"/>
                      <w:lang w:val="en-US" w:eastAsia="zh-CN"/>
                    </w:rPr>
                    <w:t>区</w:t>
                  </w:r>
                  <w:r>
                    <w:rPr>
                      <w:rFonts w:hint="eastAsia"/>
                      <w:highlight w:val="none"/>
                      <w:lang w:eastAsia="zh-CN"/>
                    </w:rPr>
                    <w:t>、</w:t>
                  </w:r>
                  <w:r>
                    <w:rPr>
                      <w:rFonts w:hint="eastAsia"/>
                      <w:highlight w:val="none"/>
                      <w:lang w:val="en-US" w:eastAsia="zh-CN"/>
                    </w:rPr>
                    <w:t>原材料区、成品区</w:t>
                  </w:r>
                  <w:r>
                    <w:rPr>
                      <w:highlight w:val="none"/>
                    </w:rPr>
                    <w:t>等</w:t>
                  </w:r>
                  <w:r>
                    <w:rPr>
                      <w:rFonts w:hint="eastAsia"/>
                      <w:highlight w:val="none"/>
                      <w:lang w:val="en-US" w:eastAsia="zh-CN"/>
                    </w:rPr>
                    <w:t>，</w:t>
                  </w:r>
                  <w:r>
                    <w:rPr>
                      <w:highlight w:val="none"/>
                    </w:rPr>
                    <w:t>单层建筑，占地面积</w:t>
                  </w:r>
                  <w:r>
                    <w:rPr>
                      <w:rFonts w:hint="eastAsia"/>
                      <w:highlight w:val="none"/>
                      <w:lang w:val="en-US" w:eastAsia="zh-CN"/>
                    </w:rPr>
                    <w:t>2592</w:t>
                  </w:r>
                  <w:r>
                    <w:rPr>
                      <w:highlight w:val="none"/>
                    </w:rPr>
                    <w:t>m</w:t>
                  </w:r>
                  <w:r>
                    <w:rPr>
                      <w:rFonts w:hint="eastAsia"/>
                      <w:highlight w:val="none"/>
                      <w:vertAlign w:val="superscript"/>
                      <w:lang w:val="en-US" w:eastAsia="zh-CN"/>
                    </w:rPr>
                    <w:t>2</w:t>
                  </w:r>
                  <w:r>
                    <w:rPr>
                      <w:highlight w:val="none"/>
                    </w:rPr>
                    <w:t>。</w:t>
                  </w:r>
                </w:p>
              </w:tc>
              <w:tc>
                <w:tcPr>
                  <w:tcW w:w="885" w:type="dxa"/>
                  <w:vAlign w:val="center"/>
                </w:tcPr>
                <w:p w14:paraId="41B22699">
                  <w:pPr>
                    <w:jc w:val="center"/>
                    <w:rPr>
                      <w:highlight w:val="none"/>
                    </w:rPr>
                  </w:pPr>
                  <w:r>
                    <w:rPr>
                      <w:highlight w:val="none"/>
                    </w:rPr>
                    <w:t>新建</w:t>
                  </w:r>
                </w:p>
              </w:tc>
            </w:tr>
            <w:tr w14:paraId="7BB2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restart"/>
                  <w:vAlign w:val="center"/>
                </w:tcPr>
                <w:p w14:paraId="7848AD0E">
                  <w:pPr>
                    <w:jc w:val="center"/>
                    <w:rPr>
                      <w:highlight w:val="none"/>
                    </w:rPr>
                  </w:pPr>
                  <w:r>
                    <w:rPr>
                      <w:highlight w:val="none"/>
                    </w:rPr>
                    <w:t>辅助工程</w:t>
                  </w:r>
                </w:p>
              </w:tc>
              <w:tc>
                <w:tcPr>
                  <w:tcW w:w="1044" w:type="dxa"/>
                  <w:gridSpan w:val="2"/>
                  <w:vAlign w:val="center"/>
                </w:tcPr>
                <w:p w14:paraId="712BC10F">
                  <w:pPr>
                    <w:jc w:val="center"/>
                    <w:rPr>
                      <w:rFonts w:hint="eastAsia" w:eastAsia="宋体"/>
                      <w:highlight w:val="none"/>
                      <w:lang w:val="en-US" w:eastAsia="zh-CN"/>
                    </w:rPr>
                  </w:pPr>
                  <w:r>
                    <w:rPr>
                      <w:rFonts w:hint="eastAsia"/>
                      <w:highlight w:val="none"/>
                      <w:lang w:val="en-US" w:eastAsia="zh-CN"/>
                    </w:rPr>
                    <w:t>食堂</w:t>
                  </w:r>
                </w:p>
              </w:tc>
              <w:tc>
                <w:tcPr>
                  <w:tcW w:w="5278" w:type="dxa"/>
                  <w:gridSpan w:val="2"/>
                  <w:vAlign w:val="center"/>
                </w:tcPr>
                <w:p w14:paraId="79255F58">
                  <w:pPr>
                    <w:jc w:val="center"/>
                    <w:rPr>
                      <w:highlight w:val="none"/>
                    </w:rPr>
                  </w:pPr>
                  <w:r>
                    <w:rPr>
                      <w:rFonts w:hint="eastAsia"/>
                      <w:highlight w:val="none"/>
                      <w:lang w:val="en-US" w:eastAsia="zh-CN"/>
                    </w:rPr>
                    <w:t>钢架</w:t>
                  </w:r>
                  <w:r>
                    <w:rPr>
                      <w:rFonts w:hint="eastAsia"/>
                      <w:highlight w:val="none"/>
                    </w:rPr>
                    <w:t>结构</w:t>
                  </w:r>
                </w:p>
              </w:tc>
              <w:tc>
                <w:tcPr>
                  <w:tcW w:w="885" w:type="dxa"/>
                  <w:vAlign w:val="center"/>
                </w:tcPr>
                <w:p w14:paraId="1FF586FF">
                  <w:pPr>
                    <w:jc w:val="center"/>
                    <w:rPr>
                      <w:highlight w:val="none"/>
                    </w:rPr>
                  </w:pPr>
                  <w:r>
                    <w:rPr>
                      <w:highlight w:val="none"/>
                    </w:rPr>
                    <w:t>新建</w:t>
                  </w:r>
                </w:p>
              </w:tc>
            </w:tr>
            <w:tr w14:paraId="181D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642" w:type="dxa"/>
                  <w:vMerge w:val="continue"/>
                  <w:vAlign w:val="center"/>
                </w:tcPr>
                <w:p w14:paraId="11A802B2">
                  <w:pPr>
                    <w:jc w:val="center"/>
                    <w:rPr>
                      <w:highlight w:val="none"/>
                    </w:rPr>
                  </w:pPr>
                </w:p>
              </w:tc>
              <w:tc>
                <w:tcPr>
                  <w:tcW w:w="1044" w:type="dxa"/>
                  <w:gridSpan w:val="2"/>
                  <w:vAlign w:val="center"/>
                </w:tcPr>
                <w:p w14:paraId="42E0DF7C">
                  <w:pPr>
                    <w:jc w:val="center"/>
                    <w:rPr>
                      <w:rFonts w:hint="default" w:eastAsia="宋体"/>
                      <w:highlight w:val="none"/>
                      <w:lang w:val="en-US" w:eastAsia="zh-CN"/>
                    </w:rPr>
                  </w:pPr>
                  <w:r>
                    <w:rPr>
                      <w:rFonts w:hint="eastAsia"/>
                      <w:highlight w:val="none"/>
                      <w:lang w:val="en-US" w:eastAsia="zh-CN"/>
                    </w:rPr>
                    <w:t>办公室</w:t>
                  </w:r>
                </w:p>
              </w:tc>
              <w:tc>
                <w:tcPr>
                  <w:tcW w:w="5278" w:type="dxa"/>
                  <w:gridSpan w:val="2"/>
                  <w:vAlign w:val="center"/>
                </w:tcPr>
                <w:p w14:paraId="7BA149DC">
                  <w:pPr>
                    <w:jc w:val="center"/>
                    <w:rPr>
                      <w:highlight w:val="none"/>
                    </w:rPr>
                  </w:pPr>
                  <w:r>
                    <w:rPr>
                      <w:rFonts w:hint="eastAsia"/>
                      <w:highlight w:val="none"/>
                      <w:lang w:val="en-US" w:eastAsia="zh-CN"/>
                    </w:rPr>
                    <w:t>砖混</w:t>
                  </w:r>
                  <w:r>
                    <w:rPr>
                      <w:rFonts w:hint="eastAsia"/>
                      <w:highlight w:val="none"/>
                    </w:rPr>
                    <w:t>结构</w:t>
                  </w:r>
                  <w:r>
                    <w:rPr>
                      <w:highlight w:val="none"/>
                    </w:rPr>
                    <w:t>，</w:t>
                  </w:r>
                  <w:r>
                    <w:rPr>
                      <w:rFonts w:hint="eastAsia"/>
                      <w:highlight w:val="none"/>
                      <w:lang w:val="en-US" w:eastAsia="zh-CN"/>
                    </w:rPr>
                    <w:t>1座</w:t>
                  </w:r>
                  <w:r>
                    <w:rPr>
                      <w:highlight w:val="none"/>
                    </w:rPr>
                    <w:t>4层建筑</w:t>
                  </w:r>
                  <w:r>
                    <w:rPr>
                      <w:rFonts w:hint="eastAsia"/>
                      <w:highlight w:val="none"/>
                      <w:lang w:eastAsia="zh-CN"/>
                    </w:rPr>
                    <w:t>，</w:t>
                  </w:r>
                  <w:r>
                    <w:rPr>
                      <w:highlight w:val="none"/>
                    </w:rPr>
                    <w:t>用于行政办公、业务会谈等，占地面积</w:t>
                  </w:r>
                  <w:r>
                    <w:rPr>
                      <w:rFonts w:hint="eastAsia"/>
                      <w:highlight w:val="none"/>
                      <w:lang w:val="en-US" w:eastAsia="zh-CN"/>
                    </w:rPr>
                    <w:t>336</w:t>
                  </w:r>
                  <w:r>
                    <w:rPr>
                      <w:highlight w:val="none"/>
                    </w:rPr>
                    <w:t>m</w:t>
                  </w:r>
                  <w:r>
                    <w:rPr>
                      <w:rFonts w:hint="eastAsia"/>
                      <w:highlight w:val="none"/>
                      <w:vertAlign w:val="superscript"/>
                      <w:lang w:val="en-US" w:eastAsia="zh-CN"/>
                    </w:rPr>
                    <w:t>2</w:t>
                  </w:r>
                  <w:r>
                    <w:rPr>
                      <w:highlight w:val="none"/>
                    </w:rPr>
                    <w:t>。</w:t>
                  </w:r>
                </w:p>
              </w:tc>
              <w:tc>
                <w:tcPr>
                  <w:tcW w:w="885" w:type="dxa"/>
                  <w:vAlign w:val="center"/>
                </w:tcPr>
                <w:p w14:paraId="238CF0E9">
                  <w:pPr>
                    <w:jc w:val="center"/>
                    <w:rPr>
                      <w:highlight w:val="none"/>
                    </w:rPr>
                  </w:pPr>
                  <w:r>
                    <w:rPr>
                      <w:highlight w:val="none"/>
                    </w:rPr>
                    <w:t>新建</w:t>
                  </w:r>
                </w:p>
              </w:tc>
            </w:tr>
            <w:tr w14:paraId="748E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642" w:type="dxa"/>
                  <w:vMerge w:val="continue"/>
                  <w:vAlign w:val="center"/>
                </w:tcPr>
                <w:p w14:paraId="7A2E4E0B">
                  <w:pPr>
                    <w:jc w:val="center"/>
                  </w:pPr>
                </w:p>
              </w:tc>
              <w:tc>
                <w:tcPr>
                  <w:tcW w:w="1044" w:type="dxa"/>
                  <w:gridSpan w:val="2"/>
                  <w:vAlign w:val="center"/>
                </w:tcPr>
                <w:p w14:paraId="6D95896D">
                  <w:pPr>
                    <w:jc w:val="center"/>
                    <w:rPr>
                      <w:rFonts w:hint="default"/>
                      <w:highlight w:val="none"/>
                      <w:lang w:val="en-US" w:eastAsia="zh-CN"/>
                    </w:rPr>
                  </w:pPr>
                  <w:r>
                    <w:rPr>
                      <w:rFonts w:hint="eastAsia"/>
                      <w:highlight w:val="none"/>
                      <w:lang w:val="en-US" w:eastAsia="zh-CN"/>
                    </w:rPr>
                    <w:t>配电室</w:t>
                  </w:r>
                </w:p>
              </w:tc>
              <w:tc>
                <w:tcPr>
                  <w:tcW w:w="5278" w:type="dxa"/>
                  <w:gridSpan w:val="2"/>
                  <w:vAlign w:val="center"/>
                </w:tcPr>
                <w:p w14:paraId="2E1449FC">
                  <w:pPr>
                    <w:jc w:val="center"/>
                    <w:rPr>
                      <w:rFonts w:hint="default"/>
                      <w:highlight w:val="none"/>
                      <w:lang w:val="en-US" w:eastAsia="zh-CN"/>
                    </w:rPr>
                  </w:pPr>
                  <w:r>
                    <w:rPr>
                      <w:rFonts w:hint="eastAsia"/>
                      <w:highlight w:val="none"/>
                      <w:lang w:val="en-US" w:eastAsia="zh-CN"/>
                    </w:rPr>
                    <w:t>1座，砖混结构，占地面积20</w:t>
                  </w:r>
                  <w:r>
                    <w:rPr>
                      <w:highlight w:val="none"/>
                    </w:rPr>
                    <w:t>m</w:t>
                  </w:r>
                  <w:r>
                    <w:rPr>
                      <w:rFonts w:hint="eastAsia"/>
                      <w:highlight w:val="none"/>
                      <w:vertAlign w:val="superscript"/>
                      <w:lang w:val="en-US" w:eastAsia="zh-CN"/>
                    </w:rPr>
                    <w:t>2</w:t>
                  </w:r>
                </w:p>
              </w:tc>
              <w:tc>
                <w:tcPr>
                  <w:tcW w:w="885" w:type="dxa"/>
                  <w:vAlign w:val="center"/>
                </w:tcPr>
                <w:p w14:paraId="19C63EDB">
                  <w:pPr>
                    <w:jc w:val="center"/>
                    <w:rPr>
                      <w:rFonts w:hint="eastAsia"/>
                      <w:highlight w:val="none"/>
                      <w:lang w:val="en-US" w:eastAsia="zh-CN"/>
                    </w:rPr>
                  </w:pPr>
                  <w:r>
                    <w:rPr>
                      <w:highlight w:val="none"/>
                    </w:rPr>
                    <w:t>新建</w:t>
                  </w:r>
                </w:p>
              </w:tc>
            </w:tr>
            <w:tr w14:paraId="4617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restart"/>
                  <w:vAlign w:val="center"/>
                </w:tcPr>
                <w:p w14:paraId="28983C6C">
                  <w:pPr>
                    <w:jc w:val="center"/>
                    <w:rPr>
                      <w:color w:val="auto"/>
                      <w:highlight w:val="none"/>
                    </w:rPr>
                  </w:pPr>
                  <w:r>
                    <w:rPr>
                      <w:color w:val="auto"/>
                      <w:highlight w:val="none"/>
                    </w:rPr>
                    <w:t>公共工程</w:t>
                  </w:r>
                </w:p>
              </w:tc>
              <w:tc>
                <w:tcPr>
                  <w:tcW w:w="1044" w:type="dxa"/>
                  <w:gridSpan w:val="2"/>
                  <w:vAlign w:val="center"/>
                </w:tcPr>
                <w:p w14:paraId="2C7483A9">
                  <w:pPr>
                    <w:jc w:val="center"/>
                    <w:rPr>
                      <w:color w:val="auto"/>
                      <w:highlight w:val="none"/>
                    </w:rPr>
                  </w:pPr>
                  <w:r>
                    <w:rPr>
                      <w:color w:val="auto"/>
                      <w:highlight w:val="none"/>
                    </w:rPr>
                    <w:t>给水</w:t>
                  </w:r>
                </w:p>
              </w:tc>
              <w:tc>
                <w:tcPr>
                  <w:tcW w:w="6163" w:type="dxa"/>
                  <w:gridSpan w:val="3"/>
                  <w:vAlign w:val="center"/>
                </w:tcPr>
                <w:p w14:paraId="07D5DC94">
                  <w:pPr>
                    <w:jc w:val="center"/>
                    <w:rPr>
                      <w:color w:val="auto"/>
                      <w:highlight w:val="none"/>
                    </w:rPr>
                  </w:pPr>
                  <w:r>
                    <w:rPr>
                      <w:color w:val="auto"/>
                      <w:highlight w:val="none"/>
                    </w:rPr>
                    <w:t>由园区自来水管网供给</w:t>
                  </w:r>
                </w:p>
              </w:tc>
            </w:tr>
            <w:tr w14:paraId="275A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vAlign w:val="center"/>
                </w:tcPr>
                <w:p w14:paraId="0B74F98E">
                  <w:pPr>
                    <w:jc w:val="center"/>
                    <w:rPr>
                      <w:color w:val="auto"/>
                      <w:highlight w:val="none"/>
                    </w:rPr>
                  </w:pPr>
                </w:p>
              </w:tc>
              <w:tc>
                <w:tcPr>
                  <w:tcW w:w="1044" w:type="dxa"/>
                  <w:gridSpan w:val="2"/>
                  <w:vAlign w:val="center"/>
                </w:tcPr>
                <w:p w14:paraId="5BFD7C0B">
                  <w:pPr>
                    <w:jc w:val="center"/>
                    <w:rPr>
                      <w:color w:val="auto"/>
                      <w:highlight w:val="none"/>
                    </w:rPr>
                  </w:pPr>
                  <w:r>
                    <w:rPr>
                      <w:color w:val="auto"/>
                      <w:highlight w:val="none"/>
                    </w:rPr>
                    <w:t>供电</w:t>
                  </w:r>
                </w:p>
              </w:tc>
              <w:tc>
                <w:tcPr>
                  <w:tcW w:w="6163" w:type="dxa"/>
                  <w:gridSpan w:val="3"/>
                  <w:vAlign w:val="center"/>
                </w:tcPr>
                <w:p w14:paraId="56EB6AE4">
                  <w:pPr>
                    <w:jc w:val="center"/>
                    <w:rPr>
                      <w:color w:val="auto"/>
                      <w:highlight w:val="none"/>
                    </w:rPr>
                  </w:pPr>
                  <w:r>
                    <w:rPr>
                      <w:color w:val="auto"/>
                      <w:highlight w:val="none"/>
                    </w:rPr>
                    <w:t>排入园区污水处理厂</w:t>
                  </w:r>
                </w:p>
              </w:tc>
            </w:tr>
            <w:tr w14:paraId="6768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restart"/>
                  <w:vAlign w:val="center"/>
                </w:tcPr>
                <w:p w14:paraId="04663D8E">
                  <w:pPr>
                    <w:jc w:val="center"/>
                    <w:rPr>
                      <w:highlight w:val="none"/>
                    </w:rPr>
                  </w:pPr>
                  <w:r>
                    <w:rPr>
                      <w:highlight w:val="none"/>
                    </w:rPr>
                    <w:t>环保工程</w:t>
                  </w:r>
                </w:p>
              </w:tc>
              <w:tc>
                <w:tcPr>
                  <w:tcW w:w="380" w:type="dxa"/>
                  <w:vMerge w:val="restart"/>
                  <w:vAlign w:val="center"/>
                </w:tcPr>
                <w:p w14:paraId="593EC2DD">
                  <w:pPr>
                    <w:jc w:val="center"/>
                    <w:rPr>
                      <w:highlight w:val="none"/>
                    </w:rPr>
                  </w:pPr>
                  <w:r>
                    <w:rPr>
                      <w:highlight w:val="none"/>
                    </w:rPr>
                    <w:t>废气</w:t>
                  </w:r>
                </w:p>
              </w:tc>
              <w:tc>
                <w:tcPr>
                  <w:tcW w:w="664" w:type="dxa"/>
                  <w:vAlign w:val="center"/>
                </w:tcPr>
                <w:p w14:paraId="27FC34AF">
                  <w:pPr>
                    <w:jc w:val="center"/>
                    <w:rPr>
                      <w:rFonts w:hint="eastAsia" w:eastAsia="宋体"/>
                      <w:highlight w:val="none"/>
                      <w:u w:val="single"/>
                      <w:lang w:eastAsia="zh-CN"/>
                    </w:rPr>
                  </w:pPr>
                  <w:r>
                    <w:rPr>
                      <w:highlight w:val="none"/>
                      <w:u w:val="single"/>
                    </w:rPr>
                    <w:t>熔炼废气</w:t>
                  </w:r>
                </w:p>
              </w:tc>
              <w:tc>
                <w:tcPr>
                  <w:tcW w:w="5278" w:type="dxa"/>
                  <w:gridSpan w:val="2"/>
                  <w:vAlign w:val="center"/>
                </w:tcPr>
                <w:p w14:paraId="6EBB795C">
                  <w:pPr>
                    <w:jc w:val="center"/>
                    <w:rPr>
                      <w:highlight w:val="none"/>
                      <w:u w:val="single"/>
                    </w:rPr>
                  </w:pPr>
                  <w:r>
                    <w:rPr>
                      <w:rFonts w:hint="eastAsia"/>
                      <w:highlight w:val="none"/>
                      <w:u w:val="single"/>
                    </w:rPr>
                    <w:t>电炉上方投料口处</w:t>
                  </w:r>
                  <w:r>
                    <w:rPr>
                      <w:rFonts w:hint="eastAsia"/>
                      <w:highlight w:val="none"/>
                      <w:u w:val="single"/>
                      <w:lang w:val="en-US" w:eastAsia="zh-CN"/>
                    </w:rPr>
                    <w:t>设置</w:t>
                  </w:r>
                  <w:r>
                    <w:rPr>
                      <w:rFonts w:hint="eastAsia"/>
                      <w:highlight w:val="none"/>
                      <w:u w:val="single"/>
                    </w:rPr>
                    <w:t>可移动式封盖，投料时封盖转开，投料完毕后转回炉顶，封盖顶设管道连接引风机</w:t>
                  </w:r>
                  <w:r>
                    <w:rPr>
                      <w:rFonts w:hint="eastAsia"/>
                      <w:highlight w:val="none"/>
                      <w:u w:val="single"/>
                      <w:lang w:eastAsia="zh-CN"/>
                    </w:rPr>
                    <w:t>（</w:t>
                  </w:r>
                  <w:r>
                    <w:rPr>
                      <w:rFonts w:hint="eastAsia"/>
                      <w:highlight w:val="none"/>
                      <w:u w:val="single"/>
                    </w:rPr>
                    <w:t>收集效率</w:t>
                  </w:r>
                  <w:r>
                    <w:rPr>
                      <w:rFonts w:hint="default" w:ascii="Arial" w:hAnsi="Arial" w:cs="Arial"/>
                      <w:highlight w:val="none"/>
                      <w:u w:val="single"/>
                    </w:rPr>
                    <w:t>≥</w:t>
                  </w:r>
                  <w:r>
                    <w:rPr>
                      <w:rFonts w:hint="eastAsia"/>
                      <w:highlight w:val="none"/>
                      <w:u w:val="single"/>
                    </w:rPr>
                    <w:t>9</w:t>
                  </w:r>
                  <w:r>
                    <w:rPr>
                      <w:rFonts w:hint="eastAsia"/>
                      <w:highlight w:val="none"/>
                      <w:u w:val="single"/>
                      <w:lang w:val="en-US" w:eastAsia="zh-CN"/>
                    </w:rPr>
                    <w:t>0</w:t>
                  </w:r>
                  <w:r>
                    <w:rPr>
                      <w:rFonts w:hint="eastAsia"/>
                      <w:highlight w:val="none"/>
                      <w:u w:val="single"/>
                    </w:rPr>
                    <w:t>%</w:t>
                  </w:r>
                  <w:r>
                    <w:rPr>
                      <w:rFonts w:hint="eastAsia"/>
                      <w:highlight w:val="none"/>
                      <w:u w:val="single"/>
                      <w:lang w:eastAsia="zh-CN"/>
                    </w:rPr>
                    <w:t>）</w:t>
                  </w:r>
                  <w:r>
                    <w:rPr>
                      <w:rFonts w:hint="eastAsia"/>
                      <w:highlight w:val="none"/>
                      <w:u w:val="single"/>
                    </w:rPr>
                    <w:t>将颗粒物收集后经</w:t>
                  </w:r>
                  <w:r>
                    <w:rPr>
                      <w:rFonts w:hint="eastAsia"/>
                      <w:highlight w:val="none"/>
                      <w:u w:val="single"/>
                      <w:lang w:val="en-US" w:eastAsia="zh-CN"/>
                    </w:rPr>
                    <w:t>脉冲</w:t>
                  </w:r>
                  <w:r>
                    <w:rPr>
                      <w:rFonts w:hint="eastAsia"/>
                      <w:highlight w:val="none"/>
                      <w:u w:val="single"/>
                    </w:rPr>
                    <w:t>布袋除尘器</w:t>
                  </w:r>
                  <w:r>
                    <w:rPr>
                      <w:rFonts w:hint="eastAsia"/>
                      <w:highlight w:val="none"/>
                      <w:u w:val="single"/>
                      <w:lang w:eastAsia="zh-CN"/>
                    </w:rPr>
                    <w:t>（</w:t>
                  </w:r>
                  <w:r>
                    <w:rPr>
                      <w:rFonts w:hint="eastAsia"/>
                      <w:highlight w:val="none"/>
                      <w:u w:val="single"/>
                      <w:lang w:val="en-US" w:eastAsia="zh-CN"/>
                    </w:rPr>
                    <w:t>TA001）</w:t>
                  </w:r>
                  <w:r>
                    <w:rPr>
                      <w:rFonts w:hint="eastAsia"/>
                      <w:highlight w:val="none"/>
                      <w:u w:val="single"/>
                    </w:rPr>
                    <w:t>处理</w:t>
                  </w:r>
                  <w:r>
                    <w:rPr>
                      <w:rFonts w:hint="eastAsia"/>
                      <w:highlight w:val="none"/>
                      <w:u w:val="single"/>
                      <w:lang w:val="en-US" w:eastAsia="zh-CN"/>
                    </w:rPr>
                    <w:t>后通过</w:t>
                  </w:r>
                  <w:r>
                    <w:rPr>
                      <w:rFonts w:hint="eastAsia"/>
                      <w:highlight w:val="none"/>
                      <w:u w:val="single"/>
                    </w:rPr>
                    <w:t>15m高排气筒</w:t>
                  </w:r>
                  <w:r>
                    <w:rPr>
                      <w:rFonts w:hint="eastAsia"/>
                      <w:highlight w:val="none"/>
                      <w:u w:val="single"/>
                      <w:lang w:eastAsia="zh-CN"/>
                    </w:rPr>
                    <w:t>（</w:t>
                  </w:r>
                  <w:r>
                    <w:rPr>
                      <w:rFonts w:hint="eastAsia"/>
                      <w:highlight w:val="none"/>
                      <w:u w:val="single"/>
                      <w:lang w:val="en-US" w:eastAsia="zh-CN"/>
                    </w:rPr>
                    <w:t>DA001）</w:t>
                  </w:r>
                  <w:r>
                    <w:rPr>
                      <w:rFonts w:hint="eastAsia"/>
                      <w:highlight w:val="none"/>
                      <w:u w:val="single"/>
                    </w:rPr>
                    <w:t>排放。</w:t>
                  </w:r>
                </w:p>
              </w:tc>
              <w:tc>
                <w:tcPr>
                  <w:tcW w:w="885" w:type="dxa"/>
                  <w:vAlign w:val="center"/>
                </w:tcPr>
                <w:p w14:paraId="1FBC6A2C">
                  <w:pPr>
                    <w:jc w:val="center"/>
                    <w:rPr>
                      <w:highlight w:val="none"/>
                      <w:u w:val="single"/>
                    </w:rPr>
                  </w:pPr>
                  <w:r>
                    <w:rPr>
                      <w:highlight w:val="none"/>
                      <w:u w:val="single"/>
                    </w:rPr>
                    <w:t>新建</w:t>
                  </w:r>
                </w:p>
              </w:tc>
            </w:tr>
            <w:tr w14:paraId="6D21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vAlign w:val="center"/>
                </w:tcPr>
                <w:p w14:paraId="2A61DFF2">
                  <w:pPr>
                    <w:jc w:val="center"/>
                    <w:rPr>
                      <w:highlight w:val="yellow"/>
                    </w:rPr>
                  </w:pPr>
                </w:p>
              </w:tc>
              <w:tc>
                <w:tcPr>
                  <w:tcW w:w="380" w:type="dxa"/>
                  <w:vMerge w:val="continue"/>
                  <w:vAlign w:val="center"/>
                </w:tcPr>
                <w:p w14:paraId="7EDD6D99">
                  <w:pPr>
                    <w:jc w:val="center"/>
                    <w:rPr>
                      <w:highlight w:val="yellow"/>
                    </w:rPr>
                  </w:pPr>
                </w:p>
              </w:tc>
              <w:tc>
                <w:tcPr>
                  <w:tcW w:w="664" w:type="dxa"/>
                  <w:vAlign w:val="center"/>
                </w:tcPr>
                <w:p w14:paraId="1A6E253B">
                  <w:pPr>
                    <w:jc w:val="center"/>
                    <w:rPr>
                      <w:highlight w:val="yellow"/>
                      <w:u w:val="single"/>
                    </w:rPr>
                  </w:pPr>
                  <w:r>
                    <w:rPr>
                      <w:rFonts w:hint="eastAsia"/>
                      <w:highlight w:val="none"/>
                      <w:u w:val="single"/>
                      <w:lang w:val="en-US" w:eastAsia="zh-CN"/>
                    </w:rPr>
                    <w:t>浇注</w:t>
                  </w:r>
                  <w:r>
                    <w:rPr>
                      <w:highlight w:val="none"/>
                      <w:u w:val="single"/>
                    </w:rPr>
                    <w:t>废气</w:t>
                  </w:r>
                </w:p>
              </w:tc>
              <w:tc>
                <w:tcPr>
                  <w:tcW w:w="5278" w:type="dxa"/>
                  <w:gridSpan w:val="2"/>
                  <w:vAlign w:val="center"/>
                </w:tcPr>
                <w:p w14:paraId="39D8B072">
                  <w:pPr>
                    <w:jc w:val="center"/>
                    <w:rPr>
                      <w:highlight w:val="yellow"/>
                      <w:u w:val="single"/>
                    </w:rPr>
                  </w:pPr>
                  <w:r>
                    <w:rPr>
                      <w:rFonts w:hint="eastAsia"/>
                      <w:highlight w:val="none"/>
                      <w:u w:val="single"/>
                    </w:rPr>
                    <w:t>项目</w:t>
                  </w:r>
                  <w:r>
                    <w:rPr>
                      <w:rFonts w:hint="eastAsia"/>
                      <w:highlight w:val="none"/>
                      <w:u w:val="single"/>
                      <w:lang w:eastAsia="zh-CN"/>
                    </w:rPr>
                    <w:t>浇注</w:t>
                  </w:r>
                  <w:r>
                    <w:rPr>
                      <w:rFonts w:hint="eastAsia"/>
                      <w:highlight w:val="none"/>
                      <w:u w:val="single"/>
                    </w:rPr>
                    <w:t>工位固定，工位上方设集气罩对废气进行收集，</w:t>
                  </w:r>
                  <w:r>
                    <w:rPr>
                      <w:rFonts w:hint="eastAsia"/>
                      <w:highlight w:val="none"/>
                      <w:u w:val="single"/>
                      <w:lang w:eastAsia="zh-CN"/>
                    </w:rPr>
                    <w:t>浇注</w:t>
                  </w:r>
                  <w:r>
                    <w:rPr>
                      <w:rFonts w:hint="eastAsia"/>
                      <w:highlight w:val="none"/>
                      <w:u w:val="single"/>
                    </w:rPr>
                    <w:t>废气首先引入</w:t>
                  </w:r>
                  <w:r>
                    <w:rPr>
                      <w:rFonts w:hint="eastAsia"/>
                      <w:highlight w:val="none"/>
                      <w:u w:val="single"/>
                      <w:lang w:val="en-US" w:eastAsia="zh-CN"/>
                    </w:rPr>
                    <w:t>脉冲</w:t>
                  </w:r>
                  <w:r>
                    <w:rPr>
                      <w:rFonts w:hint="eastAsia"/>
                      <w:highlight w:val="none"/>
                      <w:u w:val="single"/>
                    </w:rPr>
                    <w:t>布袋除尘器</w:t>
                  </w:r>
                  <w:r>
                    <w:rPr>
                      <w:rFonts w:hint="eastAsia"/>
                      <w:highlight w:val="none"/>
                      <w:u w:val="single"/>
                      <w:lang w:eastAsia="zh-CN"/>
                    </w:rPr>
                    <w:t>（</w:t>
                  </w:r>
                  <w:r>
                    <w:rPr>
                      <w:rFonts w:hint="eastAsia"/>
                      <w:highlight w:val="none"/>
                      <w:u w:val="single"/>
                      <w:lang w:val="en-US" w:eastAsia="zh-CN"/>
                    </w:rPr>
                    <w:t>TA001）</w:t>
                  </w:r>
                  <w:r>
                    <w:rPr>
                      <w:rFonts w:hint="eastAsia"/>
                      <w:highlight w:val="none"/>
                      <w:u w:val="single"/>
                    </w:rPr>
                    <w:t>对颗粒物处理，然后经1套活性炭箱</w:t>
                  </w:r>
                  <w:r>
                    <w:rPr>
                      <w:rFonts w:hint="eastAsia"/>
                      <w:highlight w:val="none"/>
                      <w:u w:val="single"/>
                      <w:lang w:eastAsia="zh-CN"/>
                    </w:rPr>
                    <w:t>（</w:t>
                  </w:r>
                  <w:r>
                    <w:rPr>
                      <w:rFonts w:hint="eastAsia"/>
                      <w:highlight w:val="none"/>
                      <w:u w:val="single"/>
                      <w:lang w:val="en-US" w:eastAsia="zh-CN"/>
                    </w:rPr>
                    <w:t>TA002）</w:t>
                  </w:r>
                  <w:r>
                    <w:rPr>
                      <w:rFonts w:hint="eastAsia"/>
                      <w:highlight w:val="none"/>
                      <w:u w:val="single"/>
                    </w:rPr>
                    <w:t>净化有机废气</w:t>
                  </w:r>
                  <w:r>
                    <w:rPr>
                      <w:rFonts w:hint="eastAsia"/>
                      <w:highlight w:val="none"/>
                      <w:u w:val="single"/>
                      <w:lang w:val="en-US" w:eastAsia="zh-CN"/>
                    </w:rPr>
                    <w:t>后</w:t>
                  </w:r>
                  <w:r>
                    <w:rPr>
                      <w:highlight w:val="none"/>
                      <w:u w:val="single"/>
                    </w:rPr>
                    <w:t>通过15m排气筒（DA00</w:t>
                  </w:r>
                  <w:r>
                    <w:rPr>
                      <w:rFonts w:hint="eastAsia"/>
                      <w:highlight w:val="none"/>
                      <w:u w:val="single"/>
                      <w:lang w:val="en-US" w:eastAsia="zh-CN"/>
                    </w:rPr>
                    <w:t>1</w:t>
                  </w:r>
                  <w:r>
                    <w:rPr>
                      <w:highlight w:val="none"/>
                      <w:u w:val="single"/>
                    </w:rPr>
                    <w:t>）外排</w:t>
                  </w:r>
                </w:p>
              </w:tc>
              <w:tc>
                <w:tcPr>
                  <w:tcW w:w="885" w:type="dxa"/>
                  <w:vAlign w:val="center"/>
                </w:tcPr>
                <w:p w14:paraId="78183329">
                  <w:pPr>
                    <w:jc w:val="center"/>
                    <w:rPr>
                      <w:highlight w:val="yellow"/>
                      <w:u w:val="single"/>
                    </w:rPr>
                  </w:pPr>
                  <w:r>
                    <w:rPr>
                      <w:highlight w:val="none"/>
                      <w:u w:val="single"/>
                    </w:rPr>
                    <w:t>新建</w:t>
                  </w:r>
                </w:p>
              </w:tc>
            </w:tr>
            <w:tr w14:paraId="3CE3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vAlign w:val="center"/>
                </w:tcPr>
                <w:p w14:paraId="2F1CC896">
                  <w:pPr>
                    <w:jc w:val="center"/>
                    <w:rPr>
                      <w:highlight w:val="yellow"/>
                    </w:rPr>
                  </w:pPr>
                </w:p>
              </w:tc>
              <w:tc>
                <w:tcPr>
                  <w:tcW w:w="380" w:type="dxa"/>
                  <w:vMerge w:val="continue"/>
                  <w:vAlign w:val="center"/>
                </w:tcPr>
                <w:p w14:paraId="07F0A0FB">
                  <w:pPr>
                    <w:jc w:val="center"/>
                    <w:rPr>
                      <w:highlight w:val="yellow"/>
                    </w:rPr>
                  </w:pPr>
                </w:p>
              </w:tc>
              <w:tc>
                <w:tcPr>
                  <w:tcW w:w="664" w:type="dxa"/>
                  <w:vAlign w:val="center"/>
                </w:tcPr>
                <w:p w14:paraId="2E61CEF4">
                  <w:pPr>
                    <w:jc w:val="center"/>
                    <w:rPr>
                      <w:rFonts w:hint="default" w:eastAsia="宋体"/>
                      <w:highlight w:val="none"/>
                      <w:u w:val="single"/>
                      <w:lang w:val="en-US" w:eastAsia="zh-CN"/>
                    </w:rPr>
                  </w:pPr>
                  <w:r>
                    <w:rPr>
                      <w:rFonts w:hint="eastAsia"/>
                      <w:highlight w:val="none"/>
                      <w:u w:val="single"/>
                      <w:lang w:val="en-US" w:eastAsia="zh-CN"/>
                    </w:rPr>
                    <w:t>砂处理废气</w:t>
                  </w:r>
                </w:p>
              </w:tc>
              <w:tc>
                <w:tcPr>
                  <w:tcW w:w="5278" w:type="dxa"/>
                  <w:gridSpan w:val="2"/>
                  <w:vAlign w:val="center"/>
                </w:tcPr>
                <w:p w14:paraId="32D7D6ED">
                  <w:pPr>
                    <w:jc w:val="center"/>
                    <w:rPr>
                      <w:rFonts w:hint="default" w:eastAsia="宋体"/>
                      <w:highlight w:val="none"/>
                      <w:u w:val="single"/>
                      <w:lang w:val="en-US" w:eastAsia="zh-CN"/>
                    </w:rPr>
                  </w:pPr>
                  <w:r>
                    <w:rPr>
                      <w:rFonts w:hint="eastAsia" w:ascii="宋体" w:hAnsi="宋体" w:eastAsia="宋体" w:cs="宋体"/>
                      <w:highlight w:val="none"/>
                      <w:u w:val="single"/>
                    </w:rPr>
                    <w:t>①</w:t>
                  </w:r>
                  <w:r>
                    <w:rPr>
                      <w:rFonts w:hint="eastAsia"/>
                      <w:highlight w:val="none"/>
                      <w:u w:val="single"/>
                    </w:rPr>
                    <w:t>混砂机密闭运行且均配有集气管道对颗粒物进行收集</w:t>
                  </w:r>
                  <w:r>
                    <w:rPr>
                      <w:rFonts w:hint="eastAsia"/>
                      <w:highlight w:val="none"/>
                      <w:u w:val="single"/>
                      <w:lang w:eastAsia="zh-CN"/>
                    </w:rPr>
                    <w:t>（</w:t>
                  </w:r>
                  <w:r>
                    <w:rPr>
                      <w:rFonts w:hint="eastAsia"/>
                      <w:highlight w:val="none"/>
                      <w:u w:val="single"/>
                    </w:rPr>
                    <w:t>收集效率</w:t>
                  </w:r>
                  <w:r>
                    <w:rPr>
                      <w:rFonts w:hint="default" w:ascii="Arial" w:hAnsi="Arial" w:cs="Arial"/>
                      <w:highlight w:val="none"/>
                      <w:u w:val="single"/>
                    </w:rPr>
                    <w:t>≥</w:t>
                  </w:r>
                  <w:r>
                    <w:rPr>
                      <w:rFonts w:hint="eastAsia"/>
                      <w:highlight w:val="none"/>
                      <w:u w:val="single"/>
                    </w:rPr>
                    <w:t>98%</w:t>
                  </w:r>
                  <w:r>
                    <w:rPr>
                      <w:rFonts w:hint="eastAsia"/>
                      <w:highlight w:val="none"/>
                      <w:u w:val="single"/>
                      <w:lang w:eastAsia="zh-CN"/>
                    </w:rPr>
                    <w:t>）</w:t>
                  </w:r>
                  <w:r>
                    <w:rPr>
                      <w:rFonts w:hint="eastAsia"/>
                      <w:highlight w:val="none"/>
                      <w:u w:val="single"/>
                    </w:rPr>
                    <w:t>经</w:t>
                  </w:r>
                  <w:r>
                    <w:rPr>
                      <w:rFonts w:hint="eastAsia"/>
                      <w:highlight w:val="none"/>
                      <w:u w:val="single"/>
                      <w:lang w:val="en-US" w:eastAsia="zh-CN"/>
                    </w:rPr>
                    <w:t>脉冲</w:t>
                  </w:r>
                  <w:r>
                    <w:rPr>
                      <w:rFonts w:hint="eastAsia"/>
                      <w:highlight w:val="none"/>
                      <w:u w:val="single"/>
                    </w:rPr>
                    <w:t>布袋除尘器</w:t>
                  </w:r>
                  <w:r>
                    <w:rPr>
                      <w:rFonts w:hint="eastAsia"/>
                      <w:highlight w:val="none"/>
                      <w:u w:val="single"/>
                      <w:lang w:eastAsia="zh-CN"/>
                    </w:rPr>
                    <w:t>（</w:t>
                  </w:r>
                  <w:r>
                    <w:rPr>
                      <w:rFonts w:hint="eastAsia"/>
                      <w:highlight w:val="none"/>
                      <w:u w:val="single"/>
                      <w:lang w:val="en-US" w:eastAsia="zh-CN"/>
                    </w:rPr>
                    <w:t>TA003）</w:t>
                  </w:r>
                  <w:r>
                    <w:rPr>
                      <w:rFonts w:hint="eastAsia"/>
                      <w:highlight w:val="none"/>
                      <w:u w:val="single"/>
                    </w:rPr>
                    <w:t>处理</w:t>
                  </w:r>
                  <w:r>
                    <w:rPr>
                      <w:rFonts w:hint="eastAsia"/>
                      <w:highlight w:val="none"/>
                      <w:u w:val="single"/>
                      <w:lang w:val="en-US" w:eastAsia="zh-CN"/>
                    </w:rPr>
                    <w:t>后通过</w:t>
                  </w:r>
                  <w:r>
                    <w:rPr>
                      <w:rFonts w:hint="eastAsia"/>
                      <w:highlight w:val="none"/>
                      <w:u w:val="single"/>
                    </w:rPr>
                    <w:t>15m高排气筒</w:t>
                  </w:r>
                  <w:r>
                    <w:rPr>
                      <w:rFonts w:hint="eastAsia"/>
                      <w:highlight w:val="none"/>
                      <w:u w:val="single"/>
                      <w:lang w:eastAsia="zh-CN"/>
                    </w:rPr>
                    <w:t>（</w:t>
                  </w:r>
                  <w:r>
                    <w:rPr>
                      <w:rFonts w:hint="eastAsia"/>
                      <w:highlight w:val="none"/>
                      <w:u w:val="single"/>
                      <w:lang w:val="en-US" w:eastAsia="zh-CN"/>
                    </w:rPr>
                    <w:t>DA002）</w:t>
                  </w:r>
                  <w:r>
                    <w:rPr>
                      <w:rFonts w:hint="eastAsia"/>
                      <w:highlight w:val="none"/>
                      <w:u w:val="single"/>
                    </w:rPr>
                    <w:t>排放。②落砂机、磁选机及旧砂回用设备均密闭，落砂进入地仓后经传送带输送到旧砂回用设备，设</w:t>
                  </w:r>
                  <w:r>
                    <w:rPr>
                      <w:rFonts w:hint="eastAsia"/>
                      <w:highlight w:val="none"/>
                      <w:u w:val="single"/>
                      <w:lang w:val="en-US" w:eastAsia="zh-CN"/>
                    </w:rPr>
                    <w:t>集气罩</w:t>
                  </w:r>
                  <w:r>
                    <w:rPr>
                      <w:rFonts w:hint="eastAsia"/>
                      <w:highlight w:val="none"/>
                      <w:u w:val="single"/>
                      <w:lang w:eastAsia="zh-CN"/>
                    </w:rPr>
                    <w:t>（</w:t>
                  </w:r>
                  <w:r>
                    <w:rPr>
                      <w:rFonts w:hint="eastAsia"/>
                      <w:highlight w:val="none"/>
                      <w:u w:val="single"/>
                    </w:rPr>
                    <w:t>收集效率</w:t>
                  </w:r>
                  <w:r>
                    <w:rPr>
                      <w:rFonts w:hint="default" w:ascii="Arial" w:hAnsi="Arial" w:cs="Arial"/>
                      <w:highlight w:val="none"/>
                      <w:u w:val="single"/>
                    </w:rPr>
                    <w:t>≥</w:t>
                  </w:r>
                  <w:r>
                    <w:rPr>
                      <w:rFonts w:hint="eastAsia"/>
                      <w:highlight w:val="none"/>
                      <w:u w:val="single"/>
                      <w:lang w:val="en-US" w:eastAsia="zh-CN"/>
                    </w:rPr>
                    <w:t>90</w:t>
                  </w:r>
                  <w:r>
                    <w:rPr>
                      <w:rFonts w:hint="eastAsia"/>
                      <w:highlight w:val="none"/>
                      <w:u w:val="single"/>
                    </w:rPr>
                    <w:t>%</w:t>
                  </w:r>
                  <w:r>
                    <w:rPr>
                      <w:rFonts w:hint="eastAsia"/>
                      <w:highlight w:val="none"/>
                      <w:u w:val="single"/>
                      <w:lang w:eastAsia="zh-CN"/>
                    </w:rPr>
                    <w:t>）</w:t>
                  </w:r>
                  <w:r>
                    <w:rPr>
                      <w:rFonts w:hint="eastAsia"/>
                      <w:highlight w:val="none"/>
                      <w:u w:val="single"/>
                    </w:rPr>
                    <w:t>经布袋除尘器</w:t>
                  </w:r>
                  <w:r>
                    <w:rPr>
                      <w:rFonts w:hint="eastAsia"/>
                      <w:highlight w:val="none"/>
                      <w:u w:val="single"/>
                      <w:lang w:val="en-US" w:eastAsia="zh-CN"/>
                    </w:rPr>
                    <w:t>（TA004）</w:t>
                  </w:r>
                  <w:r>
                    <w:rPr>
                      <w:rFonts w:hint="eastAsia"/>
                      <w:highlight w:val="none"/>
                      <w:u w:val="single"/>
                    </w:rPr>
                    <w:t>处理</w:t>
                  </w:r>
                  <w:r>
                    <w:rPr>
                      <w:rFonts w:hint="eastAsia"/>
                      <w:highlight w:val="none"/>
                      <w:u w:val="single"/>
                      <w:lang w:val="en-US" w:eastAsia="zh-CN"/>
                    </w:rPr>
                    <w:t>后无组织排放。</w:t>
                  </w:r>
                </w:p>
              </w:tc>
              <w:tc>
                <w:tcPr>
                  <w:tcW w:w="885" w:type="dxa"/>
                  <w:vAlign w:val="center"/>
                </w:tcPr>
                <w:p w14:paraId="587CE85B">
                  <w:pPr>
                    <w:jc w:val="center"/>
                    <w:rPr>
                      <w:highlight w:val="none"/>
                      <w:u w:val="single"/>
                    </w:rPr>
                  </w:pPr>
                  <w:r>
                    <w:rPr>
                      <w:highlight w:val="none"/>
                      <w:u w:val="single"/>
                    </w:rPr>
                    <w:t>新建</w:t>
                  </w:r>
                </w:p>
              </w:tc>
            </w:tr>
            <w:tr w14:paraId="4C7A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vAlign w:val="center"/>
                </w:tcPr>
                <w:p w14:paraId="020B5E91">
                  <w:pPr>
                    <w:jc w:val="center"/>
                    <w:rPr>
                      <w:highlight w:val="yellow"/>
                    </w:rPr>
                  </w:pPr>
                </w:p>
              </w:tc>
              <w:tc>
                <w:tcPr>
                  <w:tcW w:w="380" w:type="dxa"/>
                  <w:vMerge w:val="continue"/>
                  <w:vAlign w:val="center"/>
                </w:tcPr>
                <w:p w14:paraId="37ED1E98">
                  <w:pPr>
                    <w:jc w:val="center"/>
                    <w:rPr>
                      <w:highlight w:val="yellow"/>
                    </w:rPr>
                  </w:pPr>
                </w:p>
              </w:tc>
              <w:tc>
                <w:tcPr>
                  <w:tcW w:w="664" w:type="dxa"/>
                  <w:vAlign w:val="center"/>
                </w:tcPr>
                <w:p w14:paraId="65FE1685">
                  <w:pPr>
                    <w:jc w:val="center"/>
                    <w:rPr>
                      <w:rFonts w:hint="default" w:eastAsia="宋体"/>
                      <w:highlight w:val="none"/>
                      <w:u w:val="single"/>
                      <w:lang w:val="en-US" w:eastAsia="zh-CN"/>
                    </w:rPr>
                  </w:pPr>
                  <w:r>
                    <w:rPr>
                      <w:rFonts w:hint="eastAsia"/>
                      <w:highlight w:val="none"/>
                      <w:u w:val="single"/>
                      <w:lang w:val="en-US" w:eastAsia="zh-CN"/>
                    </w:rPr>
                    <w:t>造型废气</w:t>
                  </w:r>
                </w:p>
              </w:tc>
              <w:tc>
                <w:tcPr>
                  <w:tcW w:w="5278" w:type="dxa"/>
                  <w:gridSpan w:val="2"/>
                  <w:vAlign w:val="center"/>
                </w:tcPr>
                <w:p w14:paraId="0FE47553">
                  <w:pPr>
                    <w:jc w:val="center"/>
                    <w:rPr>
                      <w:highlight w:val="none"/>
                      <w:u w:val="single"/>
                    </w:rPr>
                  </w:pPr>
                  <w:r>
                    <w:rPr>
                      <w:rFonts w:hint="eastAsia"/>
                      <w:highlight w:val="none"/>
                      <w:u w:val="single"/>
                      <w:lang w:val="en-US" w:eastAsia="zh-CN"/>
                    </w:rPr>
                    <w:t>造型机</w:t>
                  </w:r>
                  <w:r>
                    <w:rPr>
                      <w:rFonts w:hint="eastAsia"/>
                      <w:highlight w:val="none"/>
                      <w:u w:val="single"/>
                    </w:rPr>
                    <w:t>密闭通过管道与引风机相连</w:t>
                  </w:r>
                  <w:r>
                    <w:rPr>
                      <w:rFonts w:hint="eastAsia"/>
                      <w:highlight w:val="none"/>
                      <w:u w:val="single"/>
                      <w:lang w:val="en-US" w:eastAsia="zh-CN"/>
                    </w:rPr>
                    <w:t>（</w:t>
                  </w:r>
                  <w:r>
                    <w:rPr>
                      <w:rFonts w:hint="eastAsia"/>
                      <w:highlight w:val="none"/>
                      <w:u w:val="single"/>
                    </w:rPr>
                    <w:t>收集效率</w:t>
                  </w:r>
                  <w:r>
                    <w:rPr>
                      <w:rFonts w:hint="eastAsia"/>
                      <w:highlight w:val="none"/>
                      <w:u w:val="single"/>
                      <w:lang w:val="en-US" w:eastAsia="zh-CN"/>
                    </w:rPr>
                    <w:t>100</w:t>
                  </w:r>
                  <w:r>
                    <w:rPr>
                      <w:rFonts w:hint="eastAsia"/>
                      <w:highlight w:val="none"/>
                      <w:u w:val="single"/>
                    </w:rPr>
                    <w:t>%</w:t>
                  </w:r>
                  <w:r>
                    <w:rPr>
                      <w:rFonts w:hint="eastAsia"/>
                      <w:highlight w:val="none"/>
                      <w:u w:val="single"/>
                      <w:lang w:val="en-US" w:eastAsia="zh-CN"/>
                    </w:rPr>
                    <w:t>）</w:t>
                  </w:r>
                  <w:r>
                    <w:rPr>
                      <w:rFonts w:hint="eastAsia"/>
                      <w:highlight w:val="none"/>
                      <w:u w:val="single"/>
                    </w:rPr>
                    <w:t>，</w:t>
                  </w:r>
                  <w:r>
                    <w:rPr>
                      <w:rFonts w:hint="eastAsia"/>
                      <w:highlight w:val="none"/>
                      <w:u w:val="single"/>
                      <w:lang w:val="en-US" w:eastAsia="zh-CN"/>
                    </w:rPr>
                    <w:t>造型</w:t>
                  </w:r>
                  <w:r>
                    <w:rPr>
                      <w:rFonts w:hint="eastAsia"/>
                      <w:highlight w:val="none"/>
                      <w:u w:val="single"/>
                    </w:rPr>
                    <w:t>废气首先引入</w:t>
                  </w:r>
                  <w:r>
                    <w:rPr>
                      <w:rFonts w:hint="eastAsia"/>
                      <w:highlight w:val="none"/>
                      <w:u w:val="single"/>
                      <w:lang w:val="en-US" w:eastAsia="zh-CN"/>
                    </w:rPr>
                    <w:t>脉冲</w:t>
                  </w:r>
                  <w:r>
                    <w:rPr>
                      <w:rFonts w:hint="eastAsia"/>
                      <w:highlight w:val="none"/>
                      <w:u w:val="single"/>
                    </w:rPr>
                    <w:t>布袋除尘器</w:t>
                  </w:r>
                  <w:r>
                    <w:rPr>
                      <w:rFonts w:hint="eastAsia"/>
                      <w:highlight w:val="none"/>
                      <w:u w:val="single"/>
                      <w:lang w:eastAsia="zh-CN"/>
                    </w:rPr>
                    <w:t>（</w:t>
                  </w:r>
                  <w:r>
                    <w:rPr>
                      <w:rFonts w:hint="eastAsia"/>
                      <w:highlight w:val="none"/>
                      <w:u w:val="single"/>
                      <w:lang w:val="en-US" w:eastAsia="zh-CN"/>
                    </w:rPr>
                    <w:t>TA003）</w:t>
                  </w:r>
                  <w:r>
                    <w:rPr>
                      <w:rFonts w:hint="eastAsia"/>
                      <w:highlight w:val="none"/>
                      <w:u w:val="single"/>
                    </w:rPr>
                    <w:t>对颗粒物处理，然后经1套活性炭箱</w:t>
                  </w:r>
                  <w:r>
                    <w:rPr>
                      <w:rFonts w:hint="eastAsia"/>
                      <w:highlight w:val="none"/>
                      <w:u w:val="single"/>
                      <w:lang w:eastAsia="zh-CN"/>
                    </w:rPr>
                    <w:t>（</w:t>
                  </w:r>
                  <w:r>
                    <w:rPr>
                      <w:rFonts w:hint="eastAsia"/>
                      <w:highlight w:val="none"/>
                      <w:u w:val="single"/>
                      <w:lang w:val="en-US" w:eastAsia="zh-CN"/>
                    </w:rPr>
                    <w:t>TA005）净</w:t>
                  </w:r>
                  <w:r>
                    <w:rPr>
                      <w:rFonts w:hint="eastAsia"/>
                      <w:highlight w:val="none"/>
                      <w:u w:val="single"/>
                    </w:rPr>
                    <w:t>化有机废气</w:t>
                  </w:r>
                  <w:r>
                    <w:rPr>
                      <w:rFonts w:hint="eastAsia"/>
                      <w:highlight w:val="none"/>
                      <w:u w:val="single"/>
                      <w:lang w:val="en-US" w:eastAsia="zh-CN"/>
                    </w:rPr>
                    <w:t>后</w:t>
                  </w:r>
                  <w:r>
                    <w:rPr>
                      <w:highlight w:val="none"/>
                      <w:u w:val="single"/>
                    </w:rPr>
                    <w:t>通过15m排气筒（DA00</w:t>
                  </w:r>
                  <w:r>
                    <w:rPr>
                      <w:rFonts w:hint="eastAsia"/>
                      <w:highlight w:val="none"/>
                      <w:u w:val="single"/>
                      <w:lang w:val="en-US" w:eastAsia="zh-CN"/>
                    </w:rPr>
                    <w:t>2</w:t>
                  </w:r>
                  <w:r>
                    <w:rPr>
                      <w:highlight w:val="none"/>
                      <w:u w:val="single"/>
                    </w:rPr>
                    <w:t>）外排</w:t>
                  </w:r>
                </w:p>
              </w:tc>
              <w:tc>
                <w:tcPr>
                  <w:tcW w:w="885" w:type="dxa"/>
                  <w:vAlign w:val="center"/>
                </w:tcPr>
                <w:p w14:paraId="3DB85C0D">
                  <w:pPr>
                    <w:jc w:val="center"/>
                    <w:rPr>
                      <w:highlight w:val="none"/>
                      <w:u w:val="single"/>
                    </w:rPr>
                  </w:pPr>
                  <w:r>
                    <w:rPr>
                      <w:highlight w:val="none"/>
                      <w:u w:val="single"/>
                    </w:rPr>
                    <w:t>新建</w:t>
                  </w:r>
                </w:p>
              </w:tc>
            </w:tr>
            <w:tr w14:paraId="02CA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vAlign w:val="center"/>
                </w:tcPr>
                <w:p w14:paraId="135E6D6F">
                  <w:pPr>
                    <w:jc w:val="center"/>
                    <w:rPr>
                      <w:highlight w:val="yellow"/>
                    </w:rPr>
                  </w:pPr>
                </w:p>
              </w:tc>
              <w:tc>
                <w:tcPr>
                  <w:tcW w:w="380" w:type="dxa"/>
                  <w:vMerge w:val="continue"/>
                  <w:vAlign w:val="center"/>
                </w:tcPr>
                <w:p w14:paraId="42E08B9B">
                  <w:pPr>
                    <w:jc w:val="center"/>
                    <w:rPr>
                      <w:highlight w:val="yellow"/>
                    </w:rPr>
                  </w:pPr>
                </w:p>
              </w:tc>
              <w:tc>
                <w:tcPr>
                  <w:tcW w:w="664" w:type="dxa"/>
                  <w:vAlign w:val="center"/>
                </w:tcPr>
                <w:p w14:paraId="44100F40">
                  <w:pPr>
                    <w:jc w:val="center"/>
                    <w:rPr>
                      <w:highlight w:val="none"/>
                      <w:u w:val="single"/>
                    </w:rPr>
                  </w:pPr>
                  <w:r>
                    <w:rPr>
                      <w:highlight w:val="none"/>
                      <w:u w:val="single"/>
                    </w:rPr>
                    <w:t>制芯废气</w:t>
                  </w:r>
                </w:p>
              </w:tc>
              <w:tc>
                <w:tcPr>
                  <w:tcW w:w="5278" w:type="dxa"/>
                  <w:gridSpan w:val="2"/>
                  <w:vAlign w:val="center"/>
                </w:tcPr>
                <w:p w14:paraId="6AA57851">
                  <w:pPr>
                    <w:jc w:val="center"/>
                    <w:rPr>
                      <w:highlight w:val="none"/>
                      <w:u w:val="single"/>
                    </w:rPr>
                  </w:pPr>
                  <w:r>
                    <w:rPr>
                      <w:rFonts w:hint="eastAsia"/>
                      <w:highlight w:val="none"/>
                      <w:u w:val="single"/>
                    </w:rPr>
                    <w:t>射芯机上方均设置集气罩收集制砂芯废气</w:t>
                  </w:r>
                  <w:r>
                    <w:rPr>
                      <w:rFonts w:hint="eastAsia"/>
                      <w:highlight w:val="none"/>
                      <w:u w:val="single"/>
                      <w:lang w:val="en-US" w:eastAsia="zh-CN"/>
                    </w:rPr>
                    <w:t>（</w:t>
                  </w:r>
                  <w:r>
                    <w:rPr>
                      <w:rFonts w:hint="eastAsia"/>
                      <w:highlight w:val="none"/>
                      <w:u w:val="single"/>
                    </w:rPr>
                    <w:t>收集效率</w:t>
                  </w:r>
                  <w:r>
                    <w:rPr>
                      <w:rFonts w:hint="default" w:ascii="Arial" w:hAnsi="Arial" w:cs="Arial"/>
                      <w:highlight w:val="none"/>
                      <w:u w:val="single"/>
                    </w:rPr>
                    <w:t>≥</w:t>
                  </w:r>
                  <w:r>
                    <w:rPr>
                      <w:rFonts w:hint="eastAsia"/>
                      <w:highlight w:val="none"/>
                      <w:u w:val="single"/>
                    </w:rPr>
                    <w:t>98%</w:t>
                  </w:r>
                  <w:r>
                    <w:rPr>
                      <w:rFonts w:hint="eastAsia"/>
                      <w:highlight w:val="none"/>
                      <w:u w:val="single"/>
                      <w:lang w:val="en-US" w:eastAsia="zh-CN"/>
                    </w:rPr>
                    <w:t>）</w:t>
                  </w:r>
                  <w:r>
                    <w:rPr>
                      <w:rFonts w:hint="eastAsia"/>
                      <w:highlight w:val="none"/>
                      <w:u w:val="single"/>
                    </w:rPr>
                    <w:t>，制</w:t>
                  </w:r>
                  <w:r>
                    <w:rPr>
                      <w:rFonts w:hint="eastAsia"/>
                      <w:highlight w:val="none"/>
                      <w:u w:val="single"/>
                      <w:lang w:val="en-US" w:eastAsia="zh-CN"/>
                    </w:rPr>
                    <w:t>芯</w:t>
                  </w:r>
                  <w:r>
                    <w:rPr>
                      <w:rFonts w:hint="eastAsia"/>
                      <w:highlight w:val="none"/>
                      <w:u w:val="single"/>
                    </w:rPr>
                    <w:t>废气首先引入</w:t>
                  </w:r>
                  <w:r>
                    <w:rPr>
                      <w:rFonts w:hint="eastAsia"/>
                      <w:highlight w:val="none"/>
                      <w:u w:val="single"/>
                      <w:lang w:val="en-US" w:eastAsia="zh-CN"/>
                    </w:rPr>
                    <w:t>脉冲</w:t>
                  </w:r>
                  <w:r>
                    <w:rPr>
                      <w:rFonts w:hint="eastAsia"/>
                      <w:highlight w:val="none"/>
                      <w:u w:val="single"/>
                    </w:rPr>
                    <w:t>布袋除尘器</w:t>
                  </w:r>
                  <w:r>
                    <w:rPr>
                      <w:rFonts w:hint="eastAsia"/>
                      <w:highlight w:val="none"/>
                      <w:u w:val="single"/>
                      <w:lang w:eastAsia="zh-CN"/>
                    </w:rPr>
                    <w:t>（</w:t>
                  </w:r>
                  <w:r>
                    <w:rPr>
                      <w:rFonts w:hint="eastAsia"/>
                      <w:highlight w:val="none"/>
                      <w:u w:val="single"/>
                      <w:lang w:val="en-US" w:eastAsia="zh-CN"/>
                    </w:rPr>
                    <w:t>TA003）</w:t>
                  </w:r>
                  <w:r>
                    <w:rPr>
                      <w:rFonts w:hint="eastAsia"/>
                      <w:highlight w:val="none"/>
                      <w:u w:val="single"/>
                    </w:rPr>
                    <w:t>对颗粒物处理，然后经1套活性炭箱</w:t>
                  </w:r>
                  <w:r>
                    <w:rPr>
                      <w:rFonts w:hint="eastAsia"/>
                      <w:highlight w:val="none"/>
                      <w:u w:val="single"/>
                      <w:lang w:eastAsia="zh-CN"/>
                    </w:rPr>
                    <w:t>（</w:t>
                  </w:r>
                  <w:r>
                    <w:rPr>
                      <w:rFonts w:hint="eastAsia"/>
                      <w:highlight w:val="none"/>
                      <w:u w:val="single"/>
                      <w:lang w:val="en-US" w:eastAsia="zh-CN"/>
                    </w:rPr>
                    <w:t>TA005）净</w:t>
                  </w:r>
                  <w:r>
                    <w:rPr>
                      <w:rFonts w:hint="eastAsia"/>
                      <w:highlight w:val="none"/>
                      <w:u w:val="single"/>
                    </w:rPr>
                    <w:t>化有机废气</w:t>
                  </w:r>
                  <w:r>
                    <w:rPr>
                      <w:rFonts w:hint="eastAsia"/>
                      <w:highlight w:val="none"/>
                      <w:u w:val="single"/>
                      <w:lang w:val="en-US" w:eastAsia="zh-CN"/>
                    </w:rPr>
                    <w:t>后</w:t>
                  </w:r>
                  <w:r>
                    <w:rPr>
                      <w:highlight w:val="none"/>
                      <w:u w:val="single"/>
                    </w:rPr>
                    <w:t>通过15m排气筒（DA00</w:t>
                  </w:r>
                  <w:r>
                    <w:rPr>
                      <w:rFonts w:hint="eastAsia"/>
                      <w:highlight w:val="none"/>
                      <w:u w:val="single"/>
                      <w:lang w:val="en-US" w:eastAsia="zh-CN"/>
                    </w:rPr>
                    <w:t>2</w:t>
                  </w:r>
                  <w:r>
                    <w:rPr>
                      <w:highlight w:val="none"/>
                      <w:u w:val="single"/>
                    </w:rPr>
                    <w:t>）外排</w:t>
                  </w:r>
                </w:p>
              </w:tc>
              <w:tc>
                <w:tcPr>
                  <w:tcW w:w="885" w:type="dxa"/>
                  <w:vAlign w:val="center"/>
                </w:tcPr>
                <w:p w14:paraId="16DB6CFD">
                  <w:pPr>
                    <w:jc w:val="center"/>
                    <w:rPr>
                      <w:highlight w:val="none"/>
                      <w:u w:val="single"/>
                    </w:rPr>
                  </w:pPr>
                  <w:r>
                    <w:rPr>
                      <w:highlight w:val="none"/>
                      <w:u w:val="single"/>
                    </w:rPr>
                    <w:t>新建</w:t>
                  </w:r>
                </w:p>
              </w:tc>
            </w:tr>
            <w:tr w14:paraId="6C6C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642" w:type="dxa"/>
                  <w:vMerge w:val="continue"/>
                  <w:vAlign w:val="center"/>
                </w:tcPr>
                <w:p w14:paraId="32788BF9">
                  <w:pPr>
                    <w:jc w:val="center"/>
                    <w:rPr>
                      <w:highlight w:val="yellow"/>
                    </w:rPr>
                  </w:pPr>
                </w:p>
              </w:tc>
              <w:tc>
                <w:tcPr>
                  <w:tcW w:w="380" w:type="dxa"/>
                  <w:vMerge w:val="continue"/>
                  <w:vAlign w:val="center"/>
                </w:tcPr>
                <w:p w14:paraId="1A672ADF">
                  <w:pPr>
                    <w:jc w:val="center"/>
                    <w:rPr>
                      <w:highlight w:val="yellow"/>
                    </w:rPr>
                  </w:pPr>
                </w:p>
              </w:tc>
              <w:tc>
                <w:tcPr>
                  <w:tcW w:w="664" w:type="dxa"/>
                  <w:vAlign w:val="center"/>
                </w:tcPr>
                <w:p w14:paraId="0C53DDF7">
                  <w:pPr>
                    <w:jc w:val="center"/>
                    <w:rPr>
                      <w:rFonts w:hint="default" w:eastAsia="宋体"/>
                      <w:highlight w:val="none"/>
                      <w:u w:val="single"/>
                      <w:lang w:val="en-US" w:eastAsia="zh-CN"/>
                    </w:rPr>
                  </w:pPr>
                  <w:r>
                    <w:rPr>
                      <w:rFonts w:hint="eastAsia"/>
                      <w:highlight w:val="none"/>
                      <w:u w:val="single"/>
                      <w:lang w:val="en-US" w:eastAsia="zh-CN"/>
                    </w:rPr>
                    <w:t>抛丸废气</w:t>
                  </w:r>
                </w:p>
              </w:tc>
              <w:tc>
                <w:tcPr>
                  <w:tcW w:w="5278" w:type="dxa"/>
                  <w:gridSpan w:val="2"/>
                  <w:vAlign w:val="center"/>
                </w:tcPr>
                <w:p w14:paraId="4BCAB4CB">
                  <w:pPr>
                    <w:jc w:val="center"/>
                    <w:rPr>
                      <w:rFonts w:hint="default" w:eastAsia="宋体"/>
                      <w:highlight w:val="none"/>
                      <w:u w:val="single"/>
                      <w:lang w:val="en-US" w:eastAsia="zh-CN"/>
                    </w:rPr>
                  </w:pPr>
                  <w:r>
                    <w:rPr>
                      <w:rFonts w:hint="eastAsia"/>
                      <w:highlight w:val="none"/>
                      <w:u w:val="single"/>
                    </w:rPr>
                    <w:t>抛丸工序设备密闭，连接管道收集抛丸产生颗粒物</w:t>
                  </w:r>
                  <w:r>
                    <w:rPr>
                      <w:rFonts w:hint="eastAsia"/>
                      <w:highlight w:val="none"/>
                      <w:u w:val="single"/>
                      <w:lang w:eastAsia="zh-CN"/>
                    </w:rPr>
                    <w:t>（</w:t>
                  </w:r>
                  <w:r>
                    <w:rPr>
                      <w:rFonts w:hint="eastAsia"/>
                      <w:highlight w:val="none"/>
                      <w:u w:val="single"/>
                    </w:rPr>
                    <w:t>收集效率100%</w:t>
                  </w:r>
                  <w:r>
                    <w:rPr>
                      <w:rFonts w:hint="eastAsia"/>
                      <w:highlight w:val="none"/>
                      <w:u w:val="single"/>
                      <w:lang w:eastAsia="zh-CN"/>
                    </w:rPr>
                    <w:t>），</w:t>
                  </w:r>
                  <w:r>
                    <w:rPr>
                      <w:rFonts w:hint="eastAsia"/>
                      <w:highlight w:val="none"/>
                      <w:u w:val="single"/>
                      <w:lang w:val="en-US" w:eastAsia="zh-CN"/>
                    </w:rPr>
                    <w:t>经设备自带</w:t>
                  </w:r>
                  <w:r>
                    <w:rPr>
                      <w:rFonts w:hint="eastAsia"/>
                      <w:highlight w:val="none"/>
                      <w:u w:val="single"/>
                    </w:rPr>
                    <w:t>除尘器</w:t>
                  </w:r>
                  <w:r>
                    <w:rPr>
                      <w:rFonts w:hint="eastAsia"/>
                      <w:highlight w:val="none"/>
                      <w:u w:val="single"/>
                      <w:lang w:eastAsia="zh-CN"/>
                    </w:rPr>
                    <w:t>（</w:t>
                  </w:r>
                  <w:r>
                    <w:rPr>
                      <w:rFonts w:hint="eastAsia"/>
                      <w:highlight w:val="none"/>
                      <w:u w:val="single"/>
                      <w:lang w:val="en-US" w:eastAsia="zh-CN"/>
                    </w:rPr>
                    <w:t>TA006）</w:t>
                  </w:r>
                  <w:r>
                    <w:rPr>
                      <w:rFonts w:hint="eastAsia"/>
                      <w:highlight w:val="none"/>
                      <w:u w:val="single"/>
                    </w:rPr>
                    <w:t>对颗粒物处理</w:t>
                  </w:r>
                  <w:r>
                    <w:rPr>
                      <w:rFonts w:hint="eastAsia"/>
                      <w:highlight w:val="none"/>
                      <w:u w:val="single"/>
                      <w:lang w:val="en-US" w:eastAsia="zh-CN"/>
                    </w:rPr>
                    <w:t>后无组织排放</w:t>
                  </w:r>
                </w:p>
              </w:tc>
              <w:tc>
                <w:tcPr>
                  <w:tcW w:w="885" w:type="dxa"/>
                  <w:vAlign w:val="center"/>
                </w:tcPr>
                <w:p w14:paraId="251DC64C">
                  <w:pPr>
                    <w:jc w:val="center"/>
                    <w:rPr>
                      <w:highlight w:val="none"/>
                      <w:u w:val="single"/>
                    </w:rPr>
                  </w:pPr>
                  <w:r>
                    <w:rPr>
                      <w:highlight w:val="none"/>
                      <w:u w:val="single"/>
                    </w:rPr>
                    <w:t>新建</w:t>
                  </w:r>
                </w:p>
              </w:tc>
            </w:tr>
            <w:tr w14:paraId="0F0B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642" w:type="dxa"/>
                  <w:vMerge w:val="continue"/>
                  <w:vAlign w:val="center"/>
                </w:tcPr>
                <w:p w14:paraId="57027487">
                  <w:pPr>
                    <w:jc w:val="center"/>
                    <w:rPr>
                      <w:highlight w:val="yellow"/>
                    </w:rPr>
                  </w:pPr>
                </w:p>
              </w:tc>
              <w:tc>
                <w:tcPr>
                  <w:tcW w:w="380" w:type="dxa"/>
                  <w:vAlign w:val="center"/>
                </w:tcPr>
                <w:p w14:paraId="3D0FBDE6">
                  <w:pPr>
                    <w:jc w:val="center"/>
                    <w:rPr>
                      <w:rFonts w:hint="eastAsia"/>
                      <w:highlight w:val="none"/>
                      <w:lang w:val="en-US" w:eastAsia="zh-CN"/>
                    </w:rPr>
                  </w:pPr>
                  <w:r>
                    <w:rPr>
                      <w:rFonts w:hint="eastAsia"/>
                      <w:highlight w:val="none"/>
                      <w:lang w:val="en-US" w:eastAsia="zh-CN"/>
                    </w:rPr>
                    <w:t>废水</w:t>
                  </w:r>
                </w:p>
              </w:tc>
              <w:tc>
                <w:tcPr>
                  <w:tcW w:w="664" w:type="dxa"/>
                  <w:vAlign w:val="center"/>
                </w:tcPr>
                <w:p w14:paraId="6047C49B">
                  <w:pPr>
                    <w:jc w:val="center"/>
                    <w:rPr>
                      <w:rFonts w:hint="eastAsia"/>
                      <w:highlight w:val="none"/>
                      <w:u w:val="single"/>
                      <w:lang w:val="en-US" w:eastAsia="zh-CN"/>
                    </w:rPr>
                  </w:pPr>
                  <w:r>
                    <w:rPr>
                      <w:rFonts w:hint="eastAsia"/>
                      <w:highlight w:val="none"/>
                      <w:u w:val="single"/>
                      <w:lang w:val="en-US" w:eastAsia="zh-CN"/>
                    </w:rPr>
                    <w:t>生活污水</w:t>
                  </w:r>
                </w:p>
              </w:tc>
              <w:tc>
                <w:tcPr>
                  <w:tcW w:w="5278" w:type="dxa"/>
                  <w:gridSpan w:val="2"/>
                  <w:vAlign w:val="center"/>
                </w:tcPr>
                <w:p w14:paraId="1A254993">
                  <w:pPr>
                    <w:jc w:val="center"/>
                    <w:rPr>
                      <w:rFonts w:hint="eastAsia"/>
                      <w:highlight w:val="none"/>
                      <w:u w:val="single"/>
                      <w:lang w:val="en-US" w:eastAsia="zh-CN"/>
                    </w:rPr>
                  </w:pPr>
                  <w:r>
                    <w:rPr>
                      <w:rFonts w:hint="eastAsia"/>
                      <w:highlight w:val="none"/>
                      <w:u w:val="single"/>
                      <w:lang w:val="en-US" w:eastAsia="zh-CN"/>
                    </w:rPr>
                    <w:t>经化粪池预处理后</w:t>
                  </w:r>
                  <w:r>
                    <w:rPr>
                      <w:rFonts w:hint="default"/>
                      <w:highlight w:val="none"/>
                      <w:u w:val="single"/>
                      <w:lang w:val="en-US" w:eastAsia="zh-CN"/>
                    </w:rPr>
                    <w:t>排入</w:t>
                  </w:r>
                  <w:r>
                    <w:rPr>
                      <w:rFonts w:hint="eastAsia"/>
                      <w:highlight w:val="none"/>
                      <w:u w:val="single"/>
                      <w:lang w:val="en-US" w:eastAsia="zh-CN"/>
                    </w:rPr>
                    <w:t>洪江市工业集中区双溪片区</w:t>
                  </w:r>
                  <w:r>
                    <w:rPr>
                      <w:rFonts w:hint="default"/>
                      <w:highlight w:val="none"/>
                      <w:u w:val="single"/>
                      <w:lang w:val="en-US" w:eastAsia="zh-CN"/>
                    </w:rPr>
                    <w:t>污水处理厂</w:t>
                  </w:r>
                  <w:r>
                    <w:rPr>
                      <w:rFonts w:hint="eastAsia"/>
                      <w:highlight w:val="none"/>
                      <w:u w:val="single"/>
                      <w:lang w:val="en-US" w:eastAsia="zh-CN"/>
                    </w:rPr>
                    <w:t>进一步处理后排入双溪</w:t>
                  </w:r>
                  <w:r>
                    <w:rPr>
                      <w:rFonts w:hint="default"/>
                      <w:highlight w:val="none"/>
                      <w:u w:val="single"/>
                      <w:lang w:val="en-US" w:eastAsia="zh-CN"/>
                    </w:rPr>
                    <w:t>。</w:t>
                  </w:r>
                </w:p>
              </w:tc>
              <w:tc>
                <w:tcPr>
                  <w:tcW w:w="885" w:type="dxa"/>
                  <w:vAlign w:val="center"/>
                </w:tcPr>
                <w:p w14:paraId="7CD5A61F">
                  <w:pPr>
                    <w:jc w:val="center"/>
                    <w:rPr>
                      <w:rFonts w:hint="eastAsia"/>
                      <w:highlight w:val="none"/>
                      <w:u w:val="single"/>
                      <w:lang w:val="en-US" w:eastAsia="zh-CN"/>
                    </w:rPr>
                  </w:pPr>
                  <w:r>
                    <w:rPr>
                      <w:highlight w:val="none"/>
                      <w:u w:val="single"/>
                    </w:rPr>
                    <w:t>新建</w:t>
                  </w:r>
                  <w:r>
                    <w:rPr>
                      <w:rFonts w:hint="eastAsia"/>
                      <w:highlight w:val="none"/>
                      <w:u w:val="single"/>
                      <w:lang w:val="en-US" w:eastAsia="zh-CN"/>
                    </w:rPr>
                    <w:t>/</w:t>
                  </w:r>
                </w:p>
              </w:tc>
            </w:tr>
            <w:tr w14:paraId="232E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vAlign w:val="center"/>
                </w:tcPr>
                <w:p w14:paraId="1AB8C3A8">
                  <w:pPr>
                    <w:jc w:val="center"/>
                    <w:rPr>
                      <w:highlight w:val="yellow"/>
                    </w:rPr>
                  </w:pPr>
                </w:p>
              </w:tc>
              <w:tc>
                <w:tcPr>
                  <w:tcW w:w="380" w:type="dxa"/>
                  <w:vAlign w:val="center"/>
                </w:tcPr>
                <w:p w14:paraId="00BA86C0">
                  <w:pPr>
                    <w:jc w:val="center"/>
                    <w:rPr>
                      <w:rFonts w:hint="eastAsia"/>
                      <w:highlight w:val="none"/>
                    </w:rPr>
                  </w:pPr>
                  <w:r>
                    <w:rPr>
                      <w:rFonts w:hint="eastAsia"/>
                      <w:highlight w:val="none"/>
                    </w:rPr>
                    <w:t>噪声</w:t>
                  </w:r>
                </w:p>
              </w:tc>
              <w:tc>
                <w:tcPr>
                  <w:tcW w:w="664" w:type="dxa"/>
                  <w:vAlign w:val="center"/>
                </w:tcPr>
                <w:p w14:paraId="6CCC313C">
                  <w:pPr>
                    <w:jc w:val="center"/>
                    <w:rPr>
                      <w:rFonts w:hint="default"/>
                      <w:highlight w:val="none"/>
                      <w:u w:val="single"/>
                      <w:lang w:val="en-US" w:eastAsia="zh-CN"/>
                    </w:rPr>
                  </w:pPr>
                  <w:r>
                    <w:rPr>
                      <w:rFonts w:hint="eastAsia"/>
                      <w:highlight w:val="none"/>
                      <w:u w:val="single"/>
                      <w:lang w:val="en-US" w:eastAsia="zh-CN"/>
                    </w:rPr>
                    <w:t>设备噪声</w:t>
                  </w:r>
                </w:p>
              </w:tc>
              <w:tc>
                <w:tcPr>
                  <w:tcW w:w="6163" w:type="dxa"/>
                  <w:gridSpan w:val="3"/>
                  <w:vAlign w:val="center"/>
                </w:tcPr>
                <w:p w14:paraId="00BA622E">
                  <w:pPr>
                    <w:jc w:val="center"/>
                    <w:rPr>
                      <w:rFonts w:hint="eastAsia"/>
                      <w:highlight w:val="none"/>
                      <w:u w:val="single"/>
                    </w:rPr>
                  </w:pPr>
                  <w:r>
                    <w:rPr>
                      <w:rFonts w:hint="eastAsia"/>
                      <w:highlight w:val="none"/>
                      <w:u w:val="single"/>
                    </w:rPr>
                    <w:t>采购先进的低噪声设备，通过减震隔声等措施减小噪声源强</w:t>
                  </w:r>
                </w:p>
              </w:tc>
            </w:tr>
            <w:tr w14:paraId="0BBF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642" w:type="dxa"/>
                  <w:vMerge w:val="continue"/>
                  <w:vAlign w:val="center"/>
                </w:tcPr>
                <w:p w14:paraId="3BD102B1">
                  <w:pPr>
                    <w:jc w:val="center"/>
                    <w:rPr>
                      <w:highlight w:val="yellow"/>
                    </w:rPr>
                  </w:pPr>
                </w:p>
              </w:tc>
              <w:tc>
                <w:tcPr>
                  <w:tcW w:w="380" w:type="dxa"/>
                  <w:vMerge w:val="restart"/>
                  <w:vAlign w:val="center"/>
                </w:tcPr>
                <w:p w14:paraId="4CC38E38">
                  <w:pPr>
                    <w:jc w:val="center"/>
                    <w:rPr>
                      <w:highlight w:val="none"/>
                    </w:rPr>
                  </w:pPr>
                  <w:r>
                    <w:rPr>
                      <w:highlight w:val="none"/>
                    </w:rPr>
                    <w:t>固废</w:t>
                  </w:r>
                </w:p>
              </w:tc>
              <w:tc>
                <w:tcPr>
                  <w:tcW w:w="664" w:type="dxa"/>
                  <w:vAlign w:val="center"/>
                </w:tcPr>
                <w:p w14:paraId="1D1D752F">
                  <w:pPr>
                    <w:jc w:val="center"/>
                    <w:rPr>
                      <w:highlight w:val="none"/>
                      <w:u w:val="single"/>
                    </w:rPr>
                  </w:pPr>
                  <w:r>
                    <w:rPr>
                      <w:highlight w:val="none"/>
                      <w:u w:val="single"/>
                    </w:rPr>
                    <w:t>生活垃圾</w:t>
                  </w:r>
                </w:p>
              </w:tc>
              <w:tc>
                <w:tcPr>
                  <w:tcW w:w="6163" w:type="dxa"/>
                  <w:gridSpan w:val="3"/>
                  <w:vAlign w:val="center"/>
                </w:tcPr>
                <w:p w14:paraId="1DEE4CAC">
                  <w:pPr>
                    <w:jc w:val="center"/>
                    <w:rPr>
                      <w:highlight w:val="none"/>
                      <w:u w:val="single"/>
                    </w:rPr>
                  </w:pPr>
                  <w:r>
                    <w:rPr>
                      <w:highlight w:val="none"/>
                      <w:u w:val="single"/>
                    </w:rPr>
                    <w:t>交由当地环卫部门处置</w:t>
                  </w:r>
                </w:p>
              </w:tc>
            </w:tr>
            <w:tr w14:paraId="72CF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42" w:type="dxa"/>
                  <w:vMerge w:val="continue"/>
                  <w:vAlign w:val="center"/>
                </w:tcPr>
                <w:p w14:paraId="676558E6">
                  <w:pPr>
                    <w:jc w:val="center"/>
                    <w:rPr>
                      <w:highlight w:val="yellow"/>
                    </w:rPr>
                  </w:pPr>
                </w:p>
              </w:tc>
              <w:tc>
                <w:tcPr>
                  <w:tcW w:w="380" w:type="dxa"/>
                  <w:vMerge w:val="continue"/>
                  <w:vAlign w:val="center"/>
                </w:tcPr>
                <w:p w14:paraId="54433839">
                  <w:pPr>
                    <w:jc w:val="center"/>
                    <w:rPr>
                      <w:highlight w:val="none"/>
                    </w:rPr>
                  </w:pPr>
                </w:p>
              </w:tc>
              <w:tc>
                <w:tcPr>
                  <w:tcW w:w="664" w:type="dxa"/>
                  <w:vMerge w:val="restart"/>
                  <w:vAlign w:val="center"/>
                </w:tcPr>
                <w:p w14:paraId="72AD271F">
                  <w:pPr>
                    <w:jc w:val="center"/>
                    <w:rPr>
                      <w:highlight w:val="none"/>
                      <w:u w:val="single"/>
                    </w:rPr>
                  </w:pPr>
                  <w:r>
                    <w:rPr>
                      <w:highlight w:val="none"/>
                      <w:u w:val="single"/>
                    </w:rPr>
                    <w:t>一般工业固废</w:t>
                  </w:r>
                </w:p>
              </w:tc>
              <w:tc>
                <w:tcPr>
                  <w:tcW w:w="3710" w:type="dxa"/>
                  <w:vAlign w:val="center"/>
                </w:tcPr>
                <w:p w14:paraId="2FD0873F">
                  <w:pPr>
                    <w:jc w:val="center"/>
                    <w:rPr>
                      <w:highlight w:val="none"/>
                      <w:u w:val="single"/>
                    </w:rPr>
                  </w:pPr>
                  <w:r>
                    <w:rPr>
                      <w:highlight w:val="none"/>
                      <w:u w:val="single"/>
                    </w:rPr>
                    <w:t>炉渣</w:t>
                  </w:r>
                </w:p>
              </w:tc>
              <w:tc>
                <w:tcPr>
                  <w:tcW w:w="2453" w:type="dxa"/>
                  <w:gridSpan w:val="2"/>
                  <w:vMerge w:val="restart"/>
                  <w:vAlign w:val="center"/>
                </w:tcPr>
                <w:p w14:paraId="0D2430A5">
                  <w:pPr>
                    <w:jc w:val="center"/>
                    <w:rPr>
                      <w:highlight w:val="none"/>
                      <w:u w:val="single"/>
                    </w:rPr>
                  </w:pPr>
                  <w:r>
                    <w:rPr>
                      <w:highlight w:val="none"/>
                      <w:u w:val="single"/>
                    </w:rPr>
                    <w:t>收集后外售综合利用</w:t>
                  </w:r>
                </w:p>
              </w:tc>
            </w:tr>
            <w:tr w14:paraId="6443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2" w:type="dxa"/>
                  <w:vMerge w:val="continue"/>
                  <w:vAlign w:val="center"/>
                </w:tcPr>
                <w:p w14:paraId="284F4F2B">
                  <w:pPr>
                    <w:jc w:val="center"/>
                    <w:rPr>
                      <w:highlight w:val="yellow"/>
                    </w:rPr>
                  </w:pPr>
                </w:p>
              </w:tc>
              <w:tc>
                <w:tcPr>
                  <w:tcW w:w="380" w:type="dxa"/>
                  <w:vMerge w:val="continue"/>
                  <w:vAlign w:val="center"/>
                </w:tcPr>
                <w:p w14:paraId="3815D416">
                  <w:pPr>
                    <w:jc w:val="center"/>
                    <w:rPr>
                      <w:highlight w:val="none"/>
                    </w:rPr>
                  </w:pPr>
                </w:p>
              </w:tc>
              <w:tc>
                <w:tcPr>
                  <w:tcW w:w="664" w:type="dxa"/>
                  <w:vMerge w:val="continue"/>
                  <w:vAlign w:val="center"/>
                </w:tcPr>
                <w:p w14:paraId="4173E4E9">
                  <w:pPr>
                    <w:jc w:val="center"/>
                    <w:rPr>
                      <w:highlight w:val="none"/>
                      <w:u w:val="single"/>
                    </w:rPr>
                  </w:pPr>
                </w:p>
              </w:tc>
              <w:tc>
                <w:tcPr>
                  <w:tcW w:w="3710" w:type="dxa"/>
                  <w:vAlign w:val="center"/>
                </w:tcPr>
                <w:p w14:paraId="59EDAC39">
                  <w:pPr>
                    <w:jc w:val="center"/>
                    <w:rPr>
                      <w:highlight w:val="none"/>
                      <w:u w:val="single"/>
                    </w:rPr>
                  </w:pPr>
                  <w:r>
                    <w:rPr>
                      <w:highlight w:val="none"/>
                      <w:u w:val="single"/>
                    </w:rPr>
                    <w:t>布袋收尘灰</w:t>
                  </w:r>
                </w:p>
              </w:tc>
              <w:tc>
                <w:tcPr>
                  <w:tcW w:w="2453" w:type="dxa"/>
                  <w:gridSpan w:val="2"/>
                  <w:vMerge w:val="continue"/>
                  <w:vAlign w:val="center"/>
                </w:tcPr>
                <w:p w14:paraId="30E4ED33">
                  <w:pPr>
                    <w:jc w:val="center"/>
                    <w:rPr>
                      <w:highlight w:val="none"/>
                      <w:u w:val="single"/>
                    </w:rPr>
                  </w:pPr>
                </w:p>
              </w:tc>
            </w:tr>
            <w:tr w14:paraId="4047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42" w:type="dxa"/>
                  <w:vMerge w:val="continue"/>
                  <w:vAlign w:val="center"/>
                </w:tcPr>
                <w:p w14:paraId="264331AF">
                  <w:pPr>
                    <w:jc w:val="center"/>
                    <w:rPr>
                      <w:highlight w:val="yellow"/>
                    </w:rPr>
                  </w:pPr>
                </w:p>
              </w:tc>
              <w:tc>
                <w:tcPr>
                  <w:tcW w:w="380" w:type="dxa"/>
                  <w:vMerge w:val="continue"/>
                  <w:vAlign w:val="center"/>
                </w:tcPr>
                <w:p w14:paraId="33BFF51A">
                  <w:pPr>
                    <w:jc w:val="center"/>
                    <w:rPr>
                      <w:highlight w:val="none"/>
                    </w:rPr>
                  </w:pPr>
                </w:p>
              </w:tc>
              <w:tc>
                <w:tcPr>
                  <w:tcW w:w="664" w:type="dxa"/>
                  <w:vMerge w:val="continue"/>
                  <w:vAlign w:val="center"/>
                </w:tcPr>
                <w:p w14:paraId="56275248">
                  <w:pPr>
                    <w:jc w:val="center"/>
                    <w:rPr>
                      <w:highlight w:val="none"/>
                      <w:u w:val="single"/>
                    </w:rPr>
                  </w:pPr>
                </w:p>
              </w:tc>
              <w:tc>
                <w:tcPr>
                  <w:tcW w:w="3710" w:type="dxa"/>
                  <w:vAlign w:val="center"/>
                </w:tcPr>
                <w:p w14:paraId="5F6856CE">
                  <w:pPr>
                    <w:jc w:val="center"/>
                    <w:rPr>
                      <w:highlight w:val="none"/>
                      <w:u w:val="single"/>
                    </w:rPr>
                  </w:pPr>
                  <w:r>
                    <w:rPr>
                      <w:highlight w:val="none"/>
                      <w:u w:val="single"/>
                    </w:rPr>
                    <w:t>冒口</w:t>
                  </w:r>
                </w:p>
              </w:tc>
              <w:tc>
                <w:tcPr>
                  <w:tcW w:w="2453" w:type="dxa"/>
                  <w:gridSpan w:val="2"/>
                  <w:vMerge w:val="restart"/>
                  <w:vAlign w:val="center"/>
                </w:tcPr>
                <w:p w14:paraId="0D23D2BE">
                  <w:pPr>
                    <w:jc w:val="center"/>
                    <w:rPr>
                      <w:highlight w:val="none"/>
                      <w:u w:val="single"/>
                    </w:rPr>
                  </w:pPr>
                  <w:r>
                    <w:rPr>
                      <w:rFonts w:hint="eastAsia"/>
                      <w:highlight w:val="none"/>
                      <w:u w:val="single"/>
                      <w:lang w:val="en-US" w:eastAsia="zh-CN"/>
                    </w:rPr>
                    <w:t>暂存一般固体废物暂存间10</w:t>
                  </w:r>
                  <w:r>
                    <w:rPr>
                      <w:highlight w:val="none"/>
                      <w:u w:val="single"/>
                    </w:rPr>
                    <w:t>m</w:t>
                  </w:r>
                  <w:r>
                    <w:rPr>
                      <w:rFonts w:hint="eastAsia"/>
                      <w:highlight w:val="none"/>
                      <w:u w:val="single"/>
                      <w:vertAlign w:val="superscript"/>
                      <w:lang w:val="en-US" w:eastAsia="zh-CN"/>
                    </w:rPr>
                    <w:t>2</w:t>
                  </w:r>
                  <w:r>
                    <w:rPr>
                      <w:rFonts w:hint="eastAsia"/>
                      <w:highlight w:val="none"/>
                      <w:u w:val="single"/>
                      <w:lang w:val="en-US" w:eastAsia="zh-CN"/>
                    </w:rPr>
                    <w:t>，</w:t>
                  </w:r>
                  <w:r>
                    <w:rPr>
                      <w:highlight w:val="none"/>
                      <w:u w:val="single"/>
                    </w:rPr>
                    <w:t>投入电感炉，回</w:t>
                  </w:r>
                  <w:r>
                    <w:rPr>
                      <w:rFonts w:hint="eastAsia"/>
                      <w:highlight w:val="none"/>
                      <w:u w:val="single"/>
                      <w:lang w:eastAsia="zh-CN"/>
                    </w:rPr>
                    <w:t>用作</w:t>
                  </w:r>
                  <w:r>
                    <w:rPr>
                      <w:highlight w:val="none"/>
                      <w:u w:val="single"/>
                    </w:rPr>
                    <w:t>原料</w:t>
                  </w:r>
                </w:p>
              </w:tc>
            </w:tr>
            <w:tr w14:paraId="3450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642" w:type="dxa"/>
                  <w:vMerge w:val="continue"/>
                  <w:vAlign w:val="center"/>
                </w:tcPr>
                <w:p w14:paraId="75E2CDA2">
                  <w:pPr>
                    <w:jc w:val="center"/>
                    <w:rPr>
                      <w:highlight w:val="yellow"/>
                    </w:rPr>
                  </w:pPr>
                </w:p>
              </w:tc>
              <w:tc>
                <w:tcPr>
                  <w:tcW w:w="380" w:type="dxa"/>
                  <w:vMerge w:val="continue"/>
                  <w:vAlign w:val="center"/>
                </w:tcPr>
                <w:p w14:paraId="44E839AE">
                  <w:pPr>
                    <w:jc w:val="center"/>
                    <w:rPr>
                      <w:highlight w:val="none"/>
                    </w:rPr>
                  </w:pPr>
                </w:p>
              </w:tc>
              <w:tc>
                <w:tcPr>
                  <w:tcW w:w="664" w:type="dxa"/>
                  <w:vMerge w:val="continue"/>
                  <w:vAlign w:val="center"/>
                </w:tcPr>
                <w:p w14:paraId="70F59906">
                  <w:pPr>
                    <w:jc w:val="center"/>
                    <w:rPr>
                      <w:highlight w:val="none"/>
                      <w:u w:val="single"/>
                    </w:rPr>
                  </w:pPr>
                </w:p>
              </w:tc>
              <w:tc>
                <w:tcPr>
                  <w:tcW w:w="3710" w:type="dxa"/>
                  <w:vAlign w:val="center"/>
                </w:tcPr>
                <w:p w14:paraId="539098AB">
                  <w:pPr>
                    <w:jc w:val="center"/>
                    <w:rPr>
                      <w:rFonts w:hint="eastAsia" w:eastAsia="宋体"/>
                      <w:highlight w:val="none"/>
                      <w:u w:val="single"/>
                      <w:lang w:val="en-US" w:eastAsia="zh-CN"/>
                    </w:rPr>
                  </w:pPr>
                  <w:r>
                    <w:rPr>
                      <w:highlight w:val="none"/>
                      <w:u w:val="single"/>
                    </w:rPr>
                    <w:t>不合格</w:t>
                  </w:r>
                  <w:r>
                    <w:rPr>
                      <w:rFonts w:hint="eastAsia"/>
                      <w:highlight w:val="none"/>
                      <w:u w:val="single"/>
                      <w:lang w:val="en-US" w:eastAsia="zh-CN"/>
                    </w:rPr>
                    <w:t>铸件</w:t>
                  </w:r>
                </w:p>
              </w:tc>
              <w:tc>
                <w:tcPr>
                  <w:tcW w:w="2453" w:type="dxa"/>
                  <w:gridSpan w:val="2"/>
                  <w:vMerge w:val="continue"/>
                  <w:vAlign w:val="center"/>
                </w:tcPr>
                <w:p w14:paraId="3F277478">
                  <w:pPr>
                    <w:jc w:val="center"/>
                    <w:rPr>
                      <w:highlight w:val="none"/>
                      <w:u w:val="single"/>
                    </w:rPr>
                  </w:pPr>
                </w:p>
              </w:tc>
            </w:tr>
            <w:tr w14:paraId="60EC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42" w:type="dxa"/>
                  <w:vMerge w:val="continue"/>
                  <w:vAlign w:val="center"/>
                </w:tcPr>
                <w:p w14:paraId="15254583">
                  <w:pPr>
                    <w:jc w:val="center"/>
                    <w:rPr>
                      <w:highlight w:val="yellow"/>
                    </w:rPr>
                  </w:pPr>
                </w:p>
              </w:tc>
              <w:tc>
                <w:tcPr>
                  <w:tcW w:w="380" w:type="dxa"/>
                  <w:vMerge w:val="continue"/>
                  <w:vAlign w:val="center"/>
                </w:tcPr>
                <w:p w14:paraId="26EB913B">
                  <w:pPr>
                    <w:jc w:val="center"/>
                    <w:rPr>
                      <w:highlight w:val="none"/>
                    </w:rPr>
                  </w:pPr>
                </w:p>
              </w:tc>
              <w:tc>
                <w:tcPr>
                  <w:tcW w:w="664" w:type="dxa"/>
                  <w:vMerge w:val="restart"/>
                  <w:vAlign w:val="center"/>
                </w:tcPr>
                <w:p w14:paraId="2929918D">
                  <w:pPr>
                    <w:jc w:val="center"/>
                    <w:rPr>
                      <w:highlight w:val="none"/>
                      <w:u w:val="single"/>
                    </w:rPr>
                  </w:pPr>
                  <w:r>
                    <w:rPr>
                      <w:highlight w:val="none"/>
                      <w:u w:val="single"/>
                    </w:rPr>
                    <w:t>危险废物</w:t>
                  </w:r>
                </w:p>
              </w:tc>
              <w:tc>
                <w:tcPr>
                  <w:tcW w:w="3710" w:type="dxa"/>
                  <w:vAlign w:val="center"/>
                </w:tcPr>
                <w:p w14:paraId="66FC1770">
                  <w:pPr>
                    <w:jc w:val="center"/>
                    <w:rPr>
                      <w:rFonts w:hint="eastAsia" w:eastAsia="宋体"/>
                      <w:highlight w:val="none"/>
                      <w:u w:val="single"/>
                      <w:lang w:val="en-US" w:eastAsia="zh-CN"/>
                    </w:rPr>
                  </w:pPr>
                  <w:r>
                    <w:rPr>
                      <w:highlight w:val="none"/>
                      <w:u w:val="single"/>
                    </w:rPr>
                    <w:t>废</w:t>
                  </w:r>
                  <w:r>
                    <w:rPr>
                      <w:rFonts w:hint="eastAsia"/>
                      <w:highlight w:val="none"/>
                      <w:u w:val="single"/>
                      <w:lang w:val="en-US" w:eastAsia="zh-CN"/>
                    </w:rPr>
                    <w:t>润滑油</w:t>
                  </w:r>
                </w:p>
              </w:tc>
              <w:tc>
                <w:tcPr>
                  <w:tcW w:w="2453" w:type="dxa"/>
                  <w:gridSpan w:val="2"/>
                  <w:vMerge w:val="restart"/>
                  <w:vAlign w:val="center"/>
                </w:tcPr>
                <w:p w14:paraId="309F5E97">
                  <w:pPr>
                    <w:jc w:val="center"/>
                    <w:rPr>
                      <w:highlight w:val="none"/>
                      <w:u w:val="single"/>
                    </w:rPr>
                  </w:pPr>
                  <w:r>
                    <w:rPr>
                      <w:highlight w:val="none"/>
                      <w:u w:val="single"/>
                    </w:rPr>
                    <w:t>暂存于</w:t>
                  </w:r>
                  <w:r>
                    <w:rPr>
                      <w:rFonts w:hint="eastAsia"/>
                      <w:highlight w:val="none"/>
                      <w:u w:val="single"/>
                      <w:lang w:val="en-US" w:eastAsia="zh-CN"/>
                    </w:rPr>
                    <w:t>危险废物暂存</w:t>
                  </w:r>
                  <w:r>
                    <w:rPr>
                      <w:highlight w:val="none"/>
                      <w:u w:val="single"/>
                    </w:rPr>
                    <w:t>间</w:t>
                  </w:r>
                  <w:r>
                    <w:rPr>
                      <w:rFonts w:hint="eastAsia"/>
                      <w:highlight w:val="none"/>
                      <w:u w:val="single"/>
                      <w:lang w:val="en-US" w:eastAsia="zh-CN"/>
                    </w:rPr>
                    <w:t>10</w:t>
                  </w:r>
                  <w:r>
                    <w:rPr>
                      <w:highlight w:val="none"/>
                      <w:u w:val="single"/>
                    </w:rPr>
                    <w:t>m</w:t>
                  </w:r>
                  <w:r>
                    <w:rPr>
                      <w:rFonts w:hint="eastAsia"/>
                      <w:highlight w:val="none"/>
                      <w:u w:val="single"/>
                      <w:vertAlign w:val="superscript"/>
                      <w:lang w:val="en-US" w:eastAsia="zh-CN"/>
                    </w:rPr>
                    <w:t>2</w:t>
                  </w:r>
                  <w:r>
                    <w:rPr>
                      <w:highlight w:val="none"/>
                      <w:u w:val="single"/>
                    </w:rPr>
                    <w:t>，定期交由有资质单位处置</w:t>
                  </w:r>
                </w:p>
              </w:tc>
            </w:tr>
            <w:tr w14:paraId="1710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42" w:type="dxa"/>
                  <w:vMerge w:val="continue"/>
                  <w:vAlign w:val="center"/>
                </w:tcPr>
                <w:p w14:paraId="24926899">
                  <w:pPr>
                    <w:jc w:val="center"/>
                  </w:pPr>
                </w:p>
              </w:tc>
              <w:tc>
                <w:tcPr>
                  <w:tcW w:w="380" w:type="dxa"/>
                  <w:vMerge w:val="continue"/>
                  <w:vAlign w:val="center"/>
                </w:tcPr>
                <w:p w14:paraId="3816F218">
                  <w:pPr>
                    <w:jc w:val="center"/>
                  </w:pPr>
                </w:p>
              </w:tc>
              <w:tc>
                <w:tcPr>
                  <w:tcW w:w="664" w:type="dxa"/>
                  <w:vMerge w:val="continue"/>
                  <w:vAlign w:val="center"/>
                </w:tcPr>
                <w:p w14:paraId="0F5C17F7">
                  <w:pPr>
                    <w:jc w:val="center"/>
                  </w:pPr>
                </w:p>
              </w:tc>
              <w:tc>
                <w:tcPr>
                  <w:tcW w:w="3710" w:type="dxa"/>
                  <w:vAlign w:val="center"/>
                </w:tcPr>
                <w:p w14:paraId="3BFE6F42">
                  <w:pPr>
                    <w:jc w:val="center"/>
                    <w:rPr>
                      <w:rFonts w:hint="default"/>
                      <w:highlight w:val="none"/>
                      <w:u w:val="single"/>
                      <w:lang w:val="en-US"/>
                    </w:rPr>
                  </w:pPr>
                  <w:r>
                    <w:rPr>
                      <w:highlight w:val="none"/>
                      <w:u w:val="single"/>
                    </w:rPr>
                    <w:t>废</w:t>
                  </w:r>
                  <w:r>
                    <w:rPr>
                      <w:rFonts w:hint="eastAsia"/>
                      <w:highlight w:val="none"/>
                      <w:u w:val="single"/>
                      <w:lang w:val="en-US" w:eastAsia="zh-CN"/>
                    </w:rPr>
                    <w:t>润滑油桶</w:t>
                  </w:r>
                </w:p>
              </w:tc>
              <w:tc>
                <w:tcPr>
                  <w:tcW w:w="2453" w:type="dxa"/>
                  <w:gridSpan w:val="2"/>
                  <w:vMerge w:val="continue"/>
                  <w:vAlign w:val="center"/>
                </w:tcPr>
                <w:p w14:paraId="5CC5571C">
                  <w:pPr>
                    <w:jc w:val="center"/>
                  </w:pPr>
                </w:p>
              </w:tc>
            </w:tr>
            <w:tr w14:paraId="6CA2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2" w:type="dxa"/>
                  <w:vMerge w:val="continue"/>
                  <w:vAlign w:val="center"/>
                </w:tcPr>
                <w:p w14:paraId="12702E5D">
                  <w:pPr>
                    <w:jc w:val="center"/>
                  </w:pPr>
                </w:p>
              </w:tc>
              <w:tc>
                <w:tcPr>
                  <w:tcW w:w="380" w:type="dxa"/>
                  <w:vMerge w:val="continue"/>
                  <w:vAlign w:val="center"/>
                </w:tcPr>
                <w:p w14:paraId="1CC44A92">
                  <w:pPr>
                    <w:jc w:val="center"/>
                  </w:pPr>
                </w:p>
              </w:tc>
              <w:tc>
                <w:tcPr>
                  <w:tcW w:w="664" w:type="dxa"/>
                  <w:vMerge w:val="continue"/>
                  <w:vAlign w:val="center"/>
                </w:tcPr>
                <w:p w14:paraId="1756B118">
                  <w:pPr>
                    <w:jc w:val="center"/>
                  </w:pPr>
                </w:p>
              </w:tc>
              <w:tc>
                <w:tcPr>
                  <w:tcW w:w="3710" w:type="dxa"/>
                  <w:vAlign w:val="center"/>
                </w:tcPr>
                <w:p w14:paraId="612390AA">
                  <w:pPr>
                    <w:jc w:val="center"/>
                    <w:rPr>
                      <w:highlight w:val="none"/>
                      <w:u w:val="single"/>
                    </w:rPr>
                  </w:pPr>
                  <w:r>
                    <w:rPr>
                      <w:highlight w:val="none"/>
                      <w:u w:val="single"/>
                    </w:rPr>
                    <w:t>废活性炭</w:t>
                  </w:r>
                </w:p>
              </w:tc>
              <w:tc>
                <w:tcPr>
                  <w:tcW w:w="2453" w:type="dxa"/>
                  <w:gridSpan w:val="2"/>
                  <w:vMerge w:val="continue"/>
                  <w:vAlign w:val="center"/>
                </w:tcPr>
                <w:p w14:paraId="5B454274">
                  <w:pPr>
                    <w:jc w:val="center"/>
                  </w:pPr>
                </w:p>
              </w:tc>
            </w:tr>
          </w:tbl>
          <w:p w14:paraId="57644EA0">
            <w:pPr>
              <w:numPr>
                <w:ilvl w:val="0"/>
                <w:numId w:val="0"/>
              </w:numPr>
              <w:spacing w:line="360" w:lineRule="auto"/>
              <w:ind w:firstLine="482" w:firstLineChars="200"/>
              <w:rPr>
                <w:rFonts w:hint="eastAsia"/>
                <w:b/>
                <w:bCs/>
                <w:sz w:val="24"/>
                <w:szCs w:val="24"/>
                <w:lang w:val="en-US" w:eastAsia="zh-CN"/>
              </w:rPr>
            </w:pPr>
            <w:r>
              <w:rPr>
                <w:rFonts w:hint="eastAsia"/>
                <w:b/>
                <w:bCs/>
                <w:sz w:val="24"/>
                <w:szCs w:val="24"/>
                <w:lang w:val="en-US" w:eastAsia="zh-CN"/>
              </w:rPr>
              <w:t>2.3主要产品及产能</w:t>
            </w:r>
          </w:p>
          <w:p w14:paraId="503E3BA8">
            <w:pPr>
              <w:spacing w:line="360" w:lineRule="auto"/>
              <w:ind w:firstLine="480" w:firstLineChars="200"/>
              <w:textAlignment w:val="center"/>
              <w:rPr>
                <w:sz w:val="24"/>
                <w:szCs w:val="24"/>
              </w:rPr>
            </w:pPr>
            <w:r>
              <w:rPr>
                <w:sz w:val="24"/>
                <w:szCs w:val="24"/>
              </w:rPr>
              <w:t>本项目主要采用铸造工艺制造汽车零部件（汽车制动盘、皮带轮、风叶轮等），主要产品及产能见表2-2：</w:t>
            </w:r>
          </w:p>
          <w:p w14:paraId="20ACEA98">
            <w:pPr>
              <w:ind w:firstLine="422" w:firstLineChars="200"/>
              <w:jc w:val="center"/>
              <w:rPr>
                <w:rFonts w:hint="default"/>
                <w:b/>
                <w:bCs/>
              </w:rPr>
            </w:pPr>
            <w:r>
              <w:rPr>
                <w:rFonts w:hint="default"/>
                <w:b/>
                <w:bCs/>
              </w:rPr>
              <w:t>表2-2 产品及产量一览表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3004"/>
              <w:gridCol w:w="1887"/>
              <w:gridCol w:w="1979"/>
            </w:tblGrid>
            <w:tr w14:paraId="40EF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14:paraId="50EC64E7">
                  <w:pPr>
                    <w:jc w:val="center"/>
                    <w:textAlignment w:val="center"/>
                  </w:pPr>
                  <w:r>
                    <w:t>序号</w:t>
                  </w:r>
                </w:p>
              </w:tc>
              <w:tc>
                <w:tcPr>
                  <w:tcW w:w="3004" w:type="dxa"/>
                  <w:vAlign w:val="center"/>
                </w:tcPr>
                <w:p w14:paraId="57630106">
                  <w:pPr>
                    <w:jc w:val="center"/>
                    <w:textAlignment w:val="center"/>
                  </w:pPr>
                  <w:r>
                    <w:t>产品名称</w:t>
                  </w:r>
                </w:p>
              </w:tc>
              <w:tc>
                <w:tcPr>
                  <w:tcW w:w="1887" w:type="dxa"/>
                  <w:vAlign w:val="center"/>
                </w:tcPr>
                <w:p w14:paraId="1E55DBCF">
                  <w:pPr>
                    <w:jc w:val="center"/>
                    <w:textAlignment w:val="center"/>
                  </w:pPr>
                  <w:r>
                    <w:t>数量</w:t>
                  </w:r>
                </w:p>
              </w:tc>
              <w:tc>
                <w:tcPr>
                  <w:tcW w:w="1979" w:type="dxa"/>
                  <w:vAlign w:val="center"/>
                </w:tcPr>
                <w:p w14:paraId="7EEB6B18">
                  <w:pPr>
                    <w:jc w:val="center"/>
                    <w:textAlignment w:val="center"/>
                  </w:pPr>
                  <w:r>
                    <w:t>单位</w:t>
                  </w:r>
                </w:p>
              </w:tc>
            </w:tr>
            <w:tr w14:paraId="4103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14:paraId="74C75594">
                  <w:pPr>
                    <w:jc w:val="center"/>
                    <w:textAlignment w:val="center"/>
                  </w:pPr>
                  <w:r>
                    <w:t>1</w:t>
                  </w:r>
                </w:p>
              </w:tc>
              <w:tc>
                <w:tcPr>
                  <w:tcW w:w="3004" w:type="dxa"/>
                  <w:vAlign w:val="center"/>
                </w:tcPr>
                <w:p w14:paraId="24D43D7C">
                  <w:pPr>
                    <w:jc w:val="center"/>
                    <w:textAlignment w:val="center"/>
                  </w:pPr>
                  <w:r>
                    <w:t>汽车制动盘、皮带轮、风叶轮等铸造零部件</w:t>
                  </w:r>
                </w:p>
              </w:tc>
              <w:tc>
                <w:tcPr>
                  <w:tcW w:w="1887" w:type="dxa"/>
                  <w:vAlign w:val="center"/>
                </w:tcPr>
                <w:p w14:paraId="19F5DC17">
                  <w:pPr>
                    <w:jc w:val="center"/>
                    <w:textAlignment w:val="center"/>
                  </w:pPr>
                  <w:r>
                    <w:t>6000</w:t>
                  </w:r>
                </w:p>
              </w:tc>
              <w:tc>
                <w:tcPr>
                  <w:tcW w:w="1979" w:type="dxa"/>
                  <w:vAlign w:val="center"/>
                </w:tcPr>
                <w:p w14:paraId="5ED814F5">
                  <w:pPr>
                    <w:jc w:val="center"/>
                    <w:textAlignment w:val="center"/>
                  </w:pPr>
                  <w:r>
                    <w:t>t/a</w:t>
                  </w:r>
                </w:p>
              </w:tc>
            </w:tr>
          </w:tbl>
          <w:p w14:paraId="392D640C">
            <w:pPr>
              <w:numPr>
                <w:ilvl w:val="0"/>
                <w:numId w:val="0"/>
              </w:numPr>
              <w:spacing w:line="360" w:lineRule="auto"/>
              <w:ind w:firstLine="482" w:firstLineChars="200"/>
              <w:rPr>
                <w:rFonts w:hint="eastAsia"/>
                <w:b/>
                <w:bCs/>
                <w:sz w:val="24"/>
                <w:szCs w:val="24"/>
                <w:lang w:val="en-US" w:eastAsia="zh-CN"/>
              </w:rPr>
            </w:pPr>
            <w:r>
              <w:rPr>
                <w:rFonts w:hint="eastAsia"/>
                <w:b/>
                <w:bCs/>
                <w:sz w:val="24"/>
                <w:szCs w:val="24"/>
                <w:lang w:val="en-US" w:eastAsia="zh-CN"/>
              </w:rPr>
              <w:t>2.4主要生产设备</w:t>
            </w:r>
          </w:p>
          <w:p w14:paraId="137CBB68">
            <w:pPr>
              <w:spacing w:line="360" w:lineRule="auto"/>
              <w:ind w:firstLine="480" w:firstLineChars="200"/>
              <w:textAlignment w:val="center"/>
              <w:rPr>
                <w:sz w:val="24"/>
                <w:szCs w:val="24"/>
              </w:rPr>
            </w:pPr>
            <w:r>
              <w:rPr>
                <w:sz w:val="24"/>
                <w:szCs w:val="24"/>
              </w:rPr>
              <w:t>本项目主要生产设备见下表2-3。</w:t>
            </w:r>
          </w:p>
          <w:p w14:paraId="1745D598">
            <w:pPr>
              <w:ind w:firstLine="422" w:firstLineChars="200"/>
              <w:jc w:val="center"/>
              <w:rPr>
                <w:rFonts w:hint="default"/>
                <w:b/>
                <w:bCs/>
                <w:u w:val="single"/>
              </w:rPr>
            </w:pPr>
            <w:r>
              <w:rPr>
                <w:rFonts w:hint="default"/>
                <w:b/>
                <w:bCs/>
                <w:u w:val="single"/>
              </w:rPr>
              <w:t>表2-3  主要生产设备一览表</w:t>
            </w:r>
          </w:p>
          <w:tbl>
            <w:tblPr>
              <w:tblStyle w:val="22"/>
              <w:tblW w:w="7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062"/>
              <w:gridCol w:w="574"/>
              <w:gridCol w:w="592"/>
              <w:gridCol w:w="2522"/>
              <w:gridCol w:w="2522"/>
            </w:tblGrid>
            <w:tr w14:paraId="51A3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47" w:type="dxa"/>
                  <w:gridSpan w:val="2"/>
                  <w:vAlign w:val="center"/>
                </w:tcPr>
                <w:p w14:paraId="7A7B5AC2">
                  <w:pPr>
                    <w:jc w:val="center"/>
                    <w:rPr>
                      <w:u w:val="single"/>
                    </w:rPr>
                  </w:pPr>
                  <w:r>
                    <w:rPr>
                      <w:rFonts w:hint="eastAsia"/>
                      <w:u w:val="single"/>
                    </w:rPr>
                    <w:t>工艺、</w:t>
                  </w:r>
                  <w:r>
                    <w:rPr>
                      <w:u w:val="single"/>
                    </w:rPr>
                    <w:t>设备名称</w:t>
                  </w:r>
                </w:p>
              </w:tc>
              <w:tc>
                <w:tcPr>
                  <w:tcW w:w="574" w:type="dxa"/>
                  <w:vAlign w:val="center"/>
                </w:tcPr>
                <w:p w14:paraId="19DF3986">
                  <w:pPr>
                    <w:jc w:val="center"/>
                    <w:rPr>
                      <w:u w:val="single"/>
                    </w:rPr>
                  </w:pPr>
                  <w:r>
                    <w:rPr>
                      <w:u w:val="single"/>
                    </w:rPr>
                    <w:t>数量</w:t>
                  </w:r>
                </w:p>
              </w:tc>
              <w:tc>
                <w:tcPr>
                  <w:tcW w:w="592" w:type="dxa"/>
                  <w:vAlign w:val="center"/>
                </w:tcPr>
                <w:p w14:paraId="073B5C5B">
                  <w:pPr>
                    <w:jc w:val="center"/>
                    <w:rPr>
                      <w:u w:val="single"/>
                    </w:rPr>
                  </w:pPr>
                  <w:r>
                    <w:rPr>
                      <w:u w:val="single"/>
                    </w:rPr>
                    <w:t>单位</w:t>
                  </w:r>
                </w:p>
              </w:tc>
              <w:tc>
                <w:tcPr>
                  <w:tcW w:w="2522" w:type="dxa"/>
                  <w:vAlign w:val="center"/>
                </w:tcPr>
                <w:p w14:paraId="67DB94AB">
                  <w:pPr>
                    <w:jc w:val="center"/>
                    <w:rPr>
                      <w:rFonts w:hint="eastAsia" w:eastAsia="宋体"/>
                      <w:u w:val="single"/>
                      <w:lang w:val="en-US" w:eastAsia="zh-CN"/>
                    </w:rPr>
                  </w:pPr>
                  <w:r>
                    <w:rPr>
                      <w:rFonts w:hint="eastAsia"/>
                      <w:u w:val="single"/>
                      <w:lang w:val="en-US" w:eastAsia="zh-CN"/>
                    </w:rPr>
                    <w:t>型号</w:t>
                  </w:r>
                </w:p>
              </w:tc>
              <w:tc>
                <w:tcPr>
                  <w:tcW w:w="2522" w:type="dxa"/>
                  <w:vAlign w:val="center"/>
                </w:tcPr>
                <w:p w14:paraId="31DB29BD">
                  <w:pPr>
                    <w:jc w:val="center"/>
                    <w:rPr>
                      <w:u w:val="single"/>
                    </w:rPr>
                  </w:pPr>
                  <w:r>
                    <w:rPr>
                      <w:u w:val="single"/>
                    </w:rPr>
                    <w:t>备注</w:t>
                  </w:r>
                </w:p>
              </w:tc>
            </w:tr>
            <w:tr w14:paraId="4D8E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85" w:type="dxa"/>
                  <w:vMerge w:val="restart"/>
                  <w:vAlign w:val="center"/>
                </w:tcPr>
                <w:p w14:paraId="6C9357BB">
                  <w:pPr>
                    <w:jc w:val="center"/>
                    <w:textAlignment w:val="center"/>
                    <w:rPr>
                      <w:u w:val="single"/>
                    </w:rPr>
                  </w:pPr>
                  <w:r>
                    <w:rPr>
                      <w:rFonts w:hint="eastAsia"/>
                      <w:u w:val="single"/>
                    </w:rPr>
                    <w:t>熔炼</w:t>
                  </w:r>
                </w:p>
              </w:tc>
              <w:tc>
                <w:tcPr>
                  <w:tcW w:w="1062" w:type="dxa"/>
                  <w:vAlign w:val="center"/>
                </w:tcPr>
                <w:p w14:paraId="363972B4">
                  <w:pPr>
                    <w:jc w:val="center"/>
                    <w:textAlignment w:val="center"/>
                    <w:rPr>
                      <w:u w:val="single"/>
                    </w:rPr>
                  </w:pPr>
                  <w:r>
                    <w:rPr>
                      <w:u w:val="single"/>
                    </w:rPr>
                    <w:t>中频电感炉</w:t>
                  </w:r>
                </w:p>
              </w:tc>
              <w:tc>
                <w:tcPr>
                  <w:tcW w:w="574" w:type="dxa"/>
                  <w:vAlign w:val="center"/>
                </w:tcPr>
                <w:p w14:paraId="7B989F05">
                  <w:pPr>
                    <w:jc w:val="center"/>
                    <w:textAlignment w:val="center"/>
                    <w:rPr>
                      <w:u w:val="single"/>
                    </w:rPr>
                  </w:pPr>
                  <w:r>
                    <w:rPr>
                      <w:u w:val="single"/>
                    </w:rPr>
                    <w:t>2</w:t>
                  </w:r>
                </w:p>
              </w:tc>
              <w:tc>
                <w:tcPr>
                  <w:tcW w:w="592" w:type="dxa"/>
                  <w:vAlign w:val="center"/>
                </w:tcPr>
                <w:p w14:paraId="608A07DC">
                  <w:pPr>
                    <w:jc w:val="center"/>
                    <w:textAlignment w:val="center"/>
                    <w:rPr>
                      <w:u w:val="single"/>
                    </w:rPr>
                  </w:pPr>
                  <w:r>
                    <w:rPr>
                      <w:u w:val="single"/>
                    </w:rPr>
                    <w:t>台</w:t>
                  </w:r>
                </w:p>
              </w:tc>
              <w:tc>
                <w:tcPr>
                  <w:tcW w:w="2522" w:type="dxa"/>
                  <w:vAlign w:val="center"/>
                </w:tcPr>
                <w:p w14:paraId="34D6A6C1">
                  <w:pPr>
                    <w:jc w:val="center"/>
                    <w:textAlignment w:val="center"/>
                    <w:rPr>
                      <w:rFonts w:hint="default" w:eastAsia="宋体"/>
                      <w:u w:val="single"/>
                      <w:lang w:val="en-US" w:eastAsia="zh-CN"/>
                    </w:rPr>
                  </w:pPr>
                  <w:r>
                    <w:rPr>
                      <w:rFonts w:hint="eastAsia"/>
                      <w:u w:val="single"/>
                      <w:lang w:val="en-US" w:eastAsia="zh-CN"/>
                    </w:rPr>
                    <w:t>KCCL—600kw—0.757</w:t>
                  </w:r>
                </w:p>
              </w:tc>
              <w:tc>
                <w:tcPr>
                  <w:tcW w:w="2522" w:type="dxa"/>
                  <w:vMerge w:val="restart"/>
                  <w:vAlign w:val="center"/>
                </w:tcPr>
                <w:p w14:paraId="206598A5">
                  <w:pPr>
                    <w:jc w:val="center"/>
                    <w:textAlignment w:val="center"/>
                    <w:rPr>
                      <w:u w:val="single"/>
                    </w:rPr>
                  </w:pPr>
                  <w:r>
                    <w:rPr>
                      <w:u w:val="single"/>
                    </w:rPr>
                    <w:t>外购，用于熔炼</w:t>
                  </w:r>
                  <w:r>
                    <w:rPr>
                      <w:rFonts w:hint="eastAsia"/>
                      <w:u w:val="single"/>
                    </w:rPr>
                    <w:t>生铁、废钢</w:t>
                  </w:r>
                  <w:r>
                    <w:rPr>
                      <w:u w:val="single"/>
                    </w:rPr>
                    <w:t>，使用1台中频电感柜带动2台中频炉</w:t>
                  </w:r>
                </w:p>
              </w:tc>
            </w:tr>
            <w:tr w14:paraId="6D53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85" w:type="dxa"/>
                  <w:vMerge w:val="continue"/>
                  <w:vAlign w:val="center"/>
                </w:tcPr>
                <w:p w14:paraId="5B6A3D63">
                  <w:pPr>
                    <w:jc w:val="center"/>
                    <w:textAlignment w:val="center"/>
                    <w:rPr>
                      <w:u w:val="single"/>
                    </w:rPr>
                  </w:pPr>
                </w:p>
              </w:tc>
              <w:tc>
                <w:tcPr>
                  <w:tcW w:w="1062" w:type="dxa"/>
                  <w:vAlign w:val="center"/>
                </w:tcPr>
                <w:p w14:paraId="3822982D">
                  <w:pPr>
                    <w:jc w:val="center"/>
                    <w:textAlignment w:val="center"/>
                    <w:rPr>
                      <w:u w:val="single"/>
                    </w:rPr>
                  </w:pPr>
                  <w:r>
                    <w:rPr>
                      <w:u w:val="single"/>
                    </w:rPr>
                    <w:t>中频电感柜</w:t>
                  </w:r>
                </w:p>
              </w:tc>
              <w:tc>
                <w:tcPr>
                  <w:tcW w:w="574" w:type="dxa"/>
                  <w:vAlign w:val="center"/>
                </w:tcPr>
                <w:p w14:paraId="438BE7B2">
                  <w:pPr>
                    <w:jc w:val="center"/>
                    <w:textAlignment w:val="center"/>
                    <w:rPr>
                      <w:u w:val="single"/>
                    </w:rPr>
                  </w:pPr>
                  <w:r>
                    <w:rPr>
                      <w:u w:val="single"/>
                    </w:rPr>
                    <w:t>1</w:t>
                  </w:r>
                </w:p>
              </w:tc>
              <w:tc>
                <w:tcPr>
                  <w:tcW w:w="592" w:type="dxa"/>
                  <w:vAlign w:val="center"/>
                </w:tcPr>
                <w:p w14:paraId="00387597">
                  <w:pPr>
                    <w:jc w:val="center"/>
                    <w:textAlignment w:val="center"/>
                    <w:rPr>
                      <w:u w:val="single"/>
                    </w:rPr>
                  </w:pPr>
                  <w:r>
                    <w:rPr>
                      <w:u w:val="single"/>
                    </w:rPr>
                    <w:t>台</w:t>
                  </w:r>
                </w:p>
              </w:tc>
              <w:tc>
                <w:tcPr>
                  <w:tcW w:w="2522" w:type="dxa"/>
                  <w:vAlign w:val="center"/>
                </w:tcPr>
                <w:p w14:paraId="688543B6">
                  <w:pPr>
                    <w:jc w:val="center"/>
                    <w:textAlignment w:val="center"/>
                    <w:rPr>
                      <w:rFonts w:hint="default"/>
                      <w:u w:val="single"/>
                      <w:lang w:val="en-US"/>
                    </w:rPr>
                  </w:pPr>
                  <w:r>
                    <w:rPr>
                      <w:rFonts w:hint="eastAsia"/>
                      <w:u w:val="single"/>
                      <w:lang w:val="en-US" w:eastAsia="zh-CN"/>
                    </w:rPr>
                    <w:t>KCCL—800kw—19</w:t>
                  </w:r>
                </w:p>
              </w:tc>
              <w:tc>
                <w:tcPr>
                  <w:tcW w:w="2522" w:type="dxa"/>
                  <w:vMerge w:val="continue"/>
                  <w:vAlign w:val="center"/>
                </w:tcPr>
                <w:p w14:paraId="0E624142">
                  <w:pPr>
                    <w:jc w:val="center"/>
                    <w:textAlignment w:val="center"/>
                    <w:rPr>
                      <w:u w:val="single"/>
                    </w:rPr>
                  </w:pPr>
                </w:p>
              </w:tc>
            </w:tr>
            <w:tr w14:paraId="5FF8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jc w:val="center"/>
              </w:trPr>
              <w:tc>
                <w:tcPr>
                  <w:tcW w:w="485" w:type="dxa"/>
                  <w:vAlign w:val="center"/>
                </w:tcPr>
                <w:p w14:paraId="6B0269CC">
                  <w:pPr>
                    <w:jc w:val="center"/>
                    <w:textAlignment w:val="center"/>
                    <w:rPr>
                      <w:u w:val="single"/>
                    </w:rPr>
                  </w:pPr>
                  <w:r>
                    <w:rPr>
                      <w:rFonts w:hint="eastAsia"/>
                      <w:u w:val="single"/>
                    </w:rPr>
                    <w:t>造型</w:t>
                  </w:r>
                </w:p>
              </w:tc>
              <w:tc>
                <w:tcPr>
                  <w:tcW w:w="1062" w:type="dxa"/>
                  <w:vAlign w:val="center"/>
                </w:tcPr>
                <w:p w14:paraId="32D3D2F6">
                  <w:pPr>
                    <w:jc w:val="center"/>
                    <w:textAlignment w:val="center"/>
                    <w:rPr>
                      <w:u w:val="single"/>
                    </w:rPr>
                  </w:pPr>
                  <w:r>
                    <w:rPr>
                      <w:u w:val="single"/>
                    </w:rPr>
                    <w:t>造型机</w:t>
                  </w:r>
                </w:p>
              </w:tc>
              <w:tc>
                <w:tcPr>
                  <w:tcW w:w="574" w:type="dxa"/>
                  <w:vAlign w:val="center"/>
                </w:tcPr>
                <w:p w14:paraId="4354C922">
                  <w:pPr>
                    <w:jc w:val="center"/>
                    <w:textAlignment w:val="center"/>
                    <w:rPr>
                      <w:u w:val="single"/>
                    </w:rPr>
                  </w:pPr>
                  <w:r>
                    <w:rPr>
                      <w:u w:val="single"/>
                    </w:rPr>
                    <w:t>1</w:t>
                  </w:r>
                </w:p>
              </w:tc>
              <w:tc>
                <w:tcPr>
                  <w:tcW w:w="592" w:type="dxa"/>
                  <w:vAlign w:val="center"/>
                </w:tcPr>
                <w:p w14:paraId="0E67C581">
                  <w:pPr>
                    <w:jc w:val="center"/>
                    <w:textAlignment w:val="center"/>
                    <w:rPr>
                      <w:u w:val="single"/>
                    </w:rPr>
                  </w:pPr>
                  <w:r>
                    <w:rPr>
                      <w:u w:val="single"/>
                    </w:rPr>
                    <w:t>台</w:t>
                  </w:r>
                </w:p>
              </w:tc>
              <w:tc>
                <w:tcPr>
                  <w:tcW w:w="2522" w:type="dxa"/>
                  <w:vAlign w:val="center"/>
                </w:tcPr>
                <w:p w14:paraId="75B2E311">
                  <w:pPr>
                    <w:jc w:val="center"/>
                    <w:textAlignment w:val="center"/>
                    <w:rPr>
                      <w:rFonts w:hint="default" w:eastAsia="宋体"/>
                      <w:u w:val="single"/>
                      <w:lang w:val="en-US" w:eastAsia="zh-CN"/>
                    </w:rPr>
                  </w:pPr>
                  <w:r>
                    <w:rPr>
                      <w:rFonts w:hint="eastAsia"/>
                      <w:u w:val="single"/>
                      <w:lang w:val="en-US" w:eastAsia="zh-CN"/>
                    </w:rPr>
                    <w:t>SX18</w:t>
                  </w:r>
                </w:p>
              </w:tc>
              <w:tc>
                <w:tcPr>
                  <w:tcW w:w="2522" w:type="dxa"/>
                  <w:vAlign w:val="center"/>
                </w:tcPr>
                <w:p w14:paraId="73A34C6E">
                  <w:pPr>
                    <w:jc w:val="center"/>
                    <w:textAlignment w:val="center"/>
                    <w:rPr>
                      <w:u w:val="single"/>
                    </w:rPr>
                  </w:pPr>
                  <w:r>
                    <w:rPr>
                      <w:u w:val="single"/>
                    </w:rPr>
                    <w:t>外购，对处理后的沙土造型</w:t>
                  </w:r>
                </w:p>
              </w:tc>
            </w:tr>
            <w:tr w14:paraId="0880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85" w:type="dxa"/>
                  <w:vAlign w:val="center"/>
                </w:tcPr>
                <w:p w14:paraId="0ACAB106">
                  <w:pPr>
                    <w:jc w:val="center"/>
                    <w:textAlignment w:val="center"/>
                    <w:rPr>
                      <w:u w:val="single"/>
                    </w:rPr>
                  </w:pPr>
                  <w:r>
                    <w:rPr>
                      <w:u w:val="single"/>
                    </w:rPr>
                    <w:t>制芯</w:t>
                  </w:r>
                </w:p>
              </w:tc>
              <w:tc>
                <w:tcPr>
                  <w:tcW w:w="1062" w:type="dxa"/>
                  <w:vAlign w:val="center"/>
                </w:tcPr>
                <w:p w14:paraId="02F08F46">
                  <w:pPr>
                    <w:jc w:val="center"/>
                    <w:textAlignment w:val="center"/>
                    <w:rPr>
                      <w:u w:val="single"/>
                    </w:rPr>
                  </w:pPr>
                  <w:r>
                    <w:rPr>
                      <w:rFonts w:hint="eastAsia"/>
                      <w:u w:val="single"/>
                    </w:rPr>
                    <w:t>射</w:t>
                  </w:r>
                  <w:r>
                    <w:rPr>
                      <w:u w:val="single"/>
                    </w:rPr>
                    <w:t>芯机</w:t>
                  </w:r>
                </w:p>
              </w:tc>
              <w:tc>
                <w:tcPr>
                  <w:tcW w:w="574" w:type="dxa"/>
                  <w:vAlign w:val="center"/>
                </w:tcPr>
                <w:p w14:paraId="1DB922AC">
                  <w:pPr>
                    <w:jc w:val="center"/>
                    <w:textAlignment w:val="center"/>
                    <w:rPr>
                      <w:rFonts w:hint="eastAsia" w:eastAsia="宋体"/>
                      <w:u w:val="single"/>
                      <w:lang w:eastAsia="zh-CN"/>
                    </w:rPr>
                  </w:pPr>
                  <w:r>
                    <w:rPr>
                      <w:rFonts w:hint="eastAsia"/>
                      <w:u w:val="single"/>
                      <w:lang w:val="en-US" w:eastAsia="zh-CN"/>
                    </w:rPr>
                    <w:t>8</w:t>
                  </w:r>
                </w:p>
              </w:tc>
              <w:tc>
                <w:tcPr>
                  <w:tcW w:w="592" w:type="dxa"/>
                  <w:vAlign w:val="center"/>
                </w:tcPr>
                <w:p w14:paraId="5D9B9953">
                  <w:pPr>
                    <w:jc w:val="center"/>
                    <w:textAlignment w:val="center"/>
                    <w:rPr>
                      <w:u w:val="single"/>
                    </w:rPr>
                  </w:pPr>
                  <w:r>
                    <w:rPr>
                      <w:u w:val="single"/>
                    </w:rPr>
                    <w:t>台</w:t>
                  </w:r>
                </w:p>
              </w:tc>
              <w:tc>
                <w:tcPr>
                  <w:tcW w:w="2522" w:type="dxa"/>
                  <w:vAlign w:val="center"/>
                </w:tcPr>
                <w:p w14:paraId="412E8223">
                  <w:pPr>
                    <w:jc w:val="center"/>
                    <w:textAlignment w:val="center"/>
                    <w:rPr>
                      <w:rFonts w:hint="default" w:eastAsia="宋体"/>
                      <w:u w:val="single"/>
                      <w:lang w:val="en-US" w:eastAsia="zh-CN"/>
                    </w:rPr>
                  </w:pPr>
                  <w:r>
                    <w:rPr>
                      <w:rFonts w:hint="eastAsia"/>
                      <w:u w:val="single"/>
                      <w:lang w:val="en-US" w:eastAsia="zh-CN"/>
                    </w:rPr>
                    <w:t>957系列</w:t>
                  </w:r>
                </w:p>
              </w:tc>
              <w:tc>
                <w:tcPr>
                  <w:tcW w:w="2522" w:type="dxa"/>
                  <w:vAlign w:val="center"/>
                </w:tcPr>
                <w:p w14:paraId="156CD29F">
                  <w:pPr>
                    <w:jc w:val="center"/>
                    <w:textAlignment w:val="center"/>
                    <w:rPr>
                      <w:u w:val="single"/>
                    </w:rPr>
                  </w:pPr>
                  <w:r>
                    <w:rPr>
                      <w:u w:val="single"/>
                    </w:rPr>
                    <w:t>外购，使用覆膜砂制芯</w:t>
                  </w:r>
                </w:p>
              </w:tc>
            </w:tr>
            <w:tr w14:paraId="3966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85" w:type="dxa"/>
                  <w:vAlign w:val="center"/>
                </w:tcPr>
                <w:p w14:paraId="6E9C5EC9">
                  <w:pPr>
                    <w:jc w:val="center"/>
                    <w:textAlignment w:val="center"/>
                    <w:rPr>
                      <w:u w:val="single"/>
                    </w:rPr>
                  </w:pPr>
                  <w:r>
                    <w:rPr>
                      <w:u w:val="single"/>
                    </w:rPr>
                    <w:t>抛丸</w:t>
                  </w:r>
                </w:p>
              </w:tc>
              <w:tc>
                <w:tcPr>
                  <w:tcW w:w="1062" w:type="dxa"/>
                  <w:vAlign w:val="center"/>
                </w:tcPr>
                <w:p w14:paraId="443D1D61">
                  <w:pPr>
                    <w:jc w:val="center"/>
                    <w:textAlignment w:val="center"/>
                    <w:rPr>
                      <w:u w:val="single"/>
                    </w:rPr>
                  </w:pPr>
                  <w:r>
                    <w:rPr>
                      <w:u w:val="single"/>
                    </w:rPr>
                    <w:t>抛丸机</w:t>
                  </w:r>
                </w:p>
              </w:tc>
              <w:tc>
                <w:tcPr>
                  <w:tcW w:w="574" w:type="dxa"/>
                  <w:vAlign w:val="center"/>
                </w:tcPr>
                <w:p w14:paraId="1CF7FF2F">
                  <w:pPr>
                    <w:jc w:val="center"/>
                    <w:textAlignment w:val="center"/>
                    <w:rPr>
                      <w:u w:val="single"/>
                    </w:rPr>
                  </w:pPr>
                  <w:r>
                    <w:rPr>
                      <w:u w:val="single"/>
                    </w:rPr>
                    <w:t>1</w:t>
                  </w:r>
                </w:p>
              </w:tc>
              <w:tc>
                <w:tcPr>
                  <w:tcW w:w="592" w:type="dxa"/>
                  <w:vAlign w:val="center"/>
                </w:tcPr>
                <w:p w14:paraId="18C0F2FF">
                  <w:pPr>
                    <w:jc w:val="center"/>
                    <w:textAlignment w:val="center"/>
                    <w:rPr>
                      <w:u w:val="single"/>
                    </w:rPr>
                  </w:pPr>
                  <w:r>
                    <w:rPr>
                      <w:u w:val="single"/>
                    </w:rPr>
                    <w:t>台</w:t>
                  </w:r>
                </w:p>
              </w:tc>
              <w:tc>
                <w:tcPr>
                  <w:tcW w:w="2522" w:type="dxa"/>
                  <w:vAlign w:val="center"/>
                </w:tcPr>
                <w:p w14:paraId="60419D54">
                  <w:pPr>
                    <w:jc w:val="center"/>
                    <w:textAlignment w:val="center"/>
                    <w:rPr>
                      <w:rFonts w:hint="default" w:eastAsia="宋体"/>
                      <w:u w:val="single"/>
                      <w:lang w:val="en-US" w:eastAsia="zh-CN"/>
                    </w:rPr>
                  </w:pPr>
                  <w:r>
                    <w:rPr>
                      <w:rFonts w:hint="eastAsia"/>
                      <w:u w:val="single"/>
                      <w:lang w:val="en-US" w:eastAsia="zh-CN"/>
                    </w:rPr>
                    <w:t>Q378</w:t>
                  </w:r>
                </w:p>
              </w:tc>
              <w:tc>
                <w:tcPr>
                  <w:tcW w:w="2522" w:type="dxa"/>
                  <w:vAlign w:val="center"/>
                </w:tcPr>
                <w:p w14:paraId="12B6C4AA">
                  <w:pPr>
                    <w:jc w:val="center"/>
                    <w:textAlignment w:val="center"/>
                    <w:rPr>
                      <w:u w:val="single"/>
                    </w:rPr>
                  </w:pPr>
                  <w:r>
                    <w:rPr>
                      <w:u w:val="single"/>
                    </w:rPr>
                    <w:t>外购，对半成品部件抛丸强化处理</w:t>
                  </w:r>
                </w:p>
              </w:tc>
            </w:tr>
            <w:tr w14:paraId="1AA1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85" w:type="dxa"/>
                  <w:vMerge w:val="restart"/>
                  <w:vAlign w:val="center"/>
                </w:tcPr>
                <w:p w14:paraId="60C54507">
                  <w:pPr>
                    <w:jc w:val="center"/>
                    <w:textAlignment w:val="center"/>
                    <w:rPr>
                      <w:u w:val="single"/>
                    </w:rPr>
                  </w:pPr>
                  <w:r>
                    <w:rPr>
                      <w:rFonts w:hint="eastAsia"/>
                      <w:u w:val="single"/>
                    </w:rPr>
                    <w:t>砂处理</w:t>
                  </w:r>
                </w:p>
              </w:tc>
              <w:tc>
                <w:tcPr>
                  <w:tcW w:w="1062" w:type="dxa"/>
                  <w:vAlign w:val="center"/>
                </w:tcPr>
                <w:p w14:paraId="70903496">
                  <w:pPr>
                    <w:jc w:val="center"/>
                    <w:textAlignment w:val="center"/>
                    <w:rPr>
                      <w:u w:val="single"/>
                    </w:rPr>
                  </w:pPr>
                  <w:r>
                    <w:rPr>
                      <w:u w:val="single"/>
                    </w:rPr>
                    <w:t>震动落砂机</w:t>
                  </w:r>
                </w:p>
              </w:tc>
              <w:tc>
                <w:tcPr>
                  <w:tcW w:w="574" w:type="dxa"/>
                  <w:vAlign w:val="center"/>
                </w:tcPr>
                <w:p w14:paraId="79FCAB3D">
                  <w:pPr>
                    <w:jc w:val="center"/>
                    <w:textAlignment w:val="center"/>
                    <w:rPr>
                      <w:u w:val="single"/>
                    </w:rPr>
                  </w:pPr>
                  <w:r>
                    <w:rPr>
                      <w:u w:val="single"/>
                    </w:rPr>
                    <w:t>1</w:t>
                  </w:r>
                </w:p>
              </w:tc>
              <w:tc>
                <w:tcPr>
                  <w:tcW w:w="592" w:type="dxa"/>
                  <w:vAlign w:val="center"/>
                </w:tcPr>
                <w:p w14:paraId="2B8F4819">
                  <w:pPr>
                    <w:jc w:val="center"/>
                    <w:textAlignment w:val="center"/>
                    <w:rPr>
                      <w:u w:val="single"/>
                    </w:rPr>
                  </w:pPr>
                  <w:r>
                    <w:rPr>
                      <w:u w:val="single"/>
                    </w:rPr>
                    <w:t>台</w:t>
                  </w:r>
                </w:p>
              </w:tc>
              <w:tc>
                <w:tcPr>
                  <w:tcW w:w="2522" w:type="dxa"/>
                  <w:vAlign w:val="center"/>
                </w:tcPr>
                <w:p w14:paraId="011ECEA1">
                  <w:pPr>
                    <w:jc w:val="center"/>
                    <w:textAlignment w:val="center"/>
                    <w:rPr>
                      <w:rFonts w:hint="default" w:eastAsia="宋体"/>
                      <w:u w:val="single"/>
                      <w:lang w:val="en-US" w:eastAsia="zh-CN"/>
                    </w:rPr>
                  </w:pPr>
                  <w:r>
                    <w:rPr>
                      <w:rFonts w:hint="eastAsia"/>
                      <w:u w:val="single"/>
                      <w:lang w:val="en-US" w:eastAsia="zh-CN"/>
                    </w:rPr>
                    <w:t>L251F</w:t>
                  </w:r>
                </w:p>
              </w:tc>
              <w:tc>
                <w:tcPr>
                  <w:tcW w:w="2522" w:type="dxa"/>
                  <w:vMerge w:val="restart"/>
                  <w:vAlign w:val="center"/>
                </w:tcPr>
                <w:p w14:paraId="1854DE12">
                  <w:pPr>
                    <w:jc w:val="center"/>
                    <w:textAlignment w:val="center"/>
                    <w:rPr>
                      <w:u w:val="single"/>
                    </w:rPr>
                  </w:pPr>
                  <w:r>
                    <w:rPr>
                      <w:u w:val="single"/>
                    </w:rPr>
                    <w:t>外购，用于砂处理</w:t>
                  </w:r>
                </w:p>
              </w:tc>
            </w:tr>
            <w:tr w14:paraId="4006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85" w:type="dxa"/>
                  <w:vMerge w:val="continue"/>
                  <w:vAlign w:val="center"/>
                </w:tcPr>
                <w:p w14:paraId="67954C5C">
                  <w:pPr>
                    <w:jc w:val="center"/>
                    <w:textAlignment w:val="center"/>
                    <w:rPr>
                      <w:u w:val="single"/>
                    </w:rPr>
                  </w:pPr>
                </w:p>
              </w:tc>
              <w:tc>
                <w:tcPr>
                  <w:tcW w:w="1062" w:type="dxa"/>
                  <w:vAlign w:val="center"/>
                </w:tcPr>
                <w:p w14:paraId="4E229814">
                  <w:pPr>
                    <w:jc w:val="center"/>
                    <w:textAlignment w:val="center"/>
                    <w:rPr>
                      <w:u w:val="single"/>
                    </w:rPr>
                  </w:pPr>
                  <w:r>
                    <w:rPr>
                      <w:u w:val="single"/>
                    </w:rPr>
                    <w:t>磁选机</w:t>
                  </w:r>
                </w:p>
              </w:tc>
              <w:tc>
                <w:tcPr>
                  <w:tcW w:w="574" w:type="dxa"/>
                  <w:vAlign w:val="center"/>
                </w:tcPr>
                <w:p w14:paraId="3E1BE9B0">
                  <w:pPr>
                    <w:jc w:val="center"/>
                    <w:textAlignment w:val="center"/>
                    <w:rPr>
                      <w:u w:val="single"/>
                    </w:rPr>
                  </w:pPr>
                  <w:r>
                    <w:rPr>
                      <w:u w:val="single"/>
                    </w:rPr>
                    <w:t>1</w:t>
                  </w:r>
                </w:p>
              </w:tc>
              <w:tc>
                <w:tcPr>
                  <w:tcW w:w="592" w:type="dxa"/>
                  <w:vAlign w:val="center"/>
                </w:tcPr>
                <w:p w14:paraId="073F9A4D">
                  <w:pPr>
                    <w:jc w:val="center"/>
                    <w:textAlignment w:val="center"/>
                    <w:rPr>
                      <w:u w:val="single"/>
                    </w:rPr>
                  </w:pPr>
                  <w:r>
                    <w:rPr>
                      <w:u w:val="single"/>
                    </w:rPr>
                    <w:t>台</w:t>
                  </w:r>
                </w:p>
              </w:tc>
              <w:tc>
                <w:tcPr>
                  <w:tcW w:w="2522" w:type="dxa"/>
                  <w:vAlign w:val="center"/>
                </w:tcPr>
                <w:p w14:paraId="261E2A1A">
                  <w:pPr>
                    <w:jc w:val="center"/>
                    <w:textAlignment w:val="center"/>
                    <w:rPr>
                      <w:rFonts w:hint="default" w:eastAsia="宋体"/>
                      <w:u w:val="single"/>
                      <w:lang w:val="en-US" w:eastAsia="zh-CN"/>
                    </w:rPr>
                  </w:pPr>
                  <w:r>
                    <w:rPr>
                      <w:rFonts w:hint="eastAsia"/>
                      <w:u w:val="single"/>
                      <w:lang w:val="en-US" w:eastAsia="zh-CN"/>
                    </w:rPr>
                    <w:t>S995</w:t>
                  </w:r>
                </w:p>
              </w:tc>
              <w:tc>
                <w:tcPr>
                  <w:tcW w:w="2522" w:type="dxa"/>
                  <w:vMerge w:val="continue"/>
                  <w:vAlign w:val="center"/>
                </w:tcPr>
                <w:p w14:paraId="29A58470">
                  <w:pPr>
                    <w:jc w:val="center"/>
                    <w:textAlignment w:val="center"/>
                    <w:rPr>
                      <w:u w:val="single"/>
                    </w:rPr>
                  </w:pPr>
                </w:p>
              </w:tc>
            </w:tr>
            <w:tr w14:paraId="5412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85" w:type="dxa"/>
                  <w:vMerge w:val="continue"/>
                  <w:vAlign w:val="center"/>
                </w:tcPr>
                <w:p w14:paraId="35929B4E">
                  <w:pPr>
                    <w:jc w:val="center"/>
                    <w:textAlignment w:val="center"/>
                    <w:rPr>
                      <w:u w:val="single"/>
                    </w:rPr>
                  </w:pPr>
                </w:p>
              </w:tc>
              <w:tc>
                <w:tcPr>
                  <w:tcW w:w="1062" w:type="dxa"/>
                  <w:vAlign w:val="center"/>
                </w:tcPr>
                <w:p w14:paraId="5751A569">
                  <w:pPr>
                    <w:jc w:val="center"/>
                    <w:textAlignment w:val="center"/>
                    <w:rPr>
                      <w:u w:val="single"/>
                    </w:rPr>
                  </w:pPr>
                  <w:r>
                    <w:rPr>
                      <w:u w:val="single"/>
                    </w:rPr>
                    <w:t>分选机</w:t>
                  </w:r>
                </w:p>
              </w:tc>
              <w:tc>
                <w:tcPr>
                  <w:tcW w:w="574" w:type="dxa"/>
                  <w:vAlign w:val="center"/>
                </w:tcPr>
                <w:p w14:paraId="524F9BEB">
                  <w:pPr>
                    <w:jc w:val="center"/>
                    <w:textAlignment w:val="center"/>
                    <w:rPr>
                      <w:u w:val="single"/>
                    </w:rPr>
                  </w:pPr>
                  <w:r>
                    <w:rPr>
                      <w:u w:val="single"/>
                    </w:rPr>
                    <w:t>1</w:t>
                  </w:r>
                </w:p>
              </w:tc>
              <w:tc>
                <w:tcPr>
                  <w:tcW w:w="592" w:type="dxa"/>
                  <w:vAlign w:val="center"/>
                </w:tcPr>
                <w:p w14:paraId="19CA5A68">
                  <w:pPr>
                    <w:jc w:val="center"/>
                    <w:textAlignment w:val="center"/>
                    <w:rPr>
                      <w:u w:val="single"/>
                    </w:rPr>
                  </w:pPr>
                  <w:r>
                    <w:rPr>
                      <w:u w:val="single"/>
                    </w:rPr>
                    <w:t>台</w:t>
                  </w:r>
                </w:p>
              </w:tc>
              <w:tc>
                <w:tcPr>
                  <w:tcW w:w="2522" w:type="dxa"/>
                  <w:vAlign w:val="center"/>
                </w:tcPr>
                <w:p w14:paraId="104B6DA2">
                  <w:pPr>
                    <w:jc w:val="center"/>
                    <w:textAlignment w:val="center"/>
                    <w:rPr>
                      <w:rFonts w:hint="default" w:eastAsia="宋体"/>
                      <w:u w:val="single"/>
                      <w:lang w:val="en-US" w:eastAsia="zh-CN"/>
                    </w:rPr>
                  </w:pPr>
                  <w:r>
                    <w:rPr>
                      <w:rFonts w:hint="eastAsia"/>
                      <w:u w:val="single"/>
                      <w:lang w:val="en-US" w:eastAsia="zh-CN"/>
                    </w:rPr>
                    <w:t>S4310</w:t>
                  </w:r>
                </w:p>
              </w:tc>
              <w:tc>
                <w:tcPr>
                  <w:tcW w:w="2522" w:type="dxa"/>
                  <w:vMerge w:val="continue"/>
                  <w:vAlign w:val="center"/>
                </w:tcPr>
                <w:p w14:paraId="3D6FECCC">
                  <w:pPr>
                    <w:jc w:val="center"/>
                    <w:textAlignment w:val="center"/>
                    <w:rPr>
                      <w:u w:val="single"/>
                    </w:rPr>
                  </w:pPr>
                </w:p>
              </w:tc>
            </w:tr>
            <w:tr w14:paraId="291A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85" w:type="dxa"/>
                  <w:vMerge w:val="continue"/>
                  <w:vAlign w:val="center"/>
                </w:tcPr>
                <w:p w14:paraId="4EF57544">
                  <w:pPr>
                    <w:jc w:val="center"/>
                    <w:textAlignment w:val="center"/>
                    <w:rPr>
                      <w:u w:val="single"/>
                    </w:rPr>
                  </w:pPr>
                </w:p>
              </w:tc>
              <w:tc>
                <w:tcPr>
                  <w:tcW w:w="1062" w:type="dxa"/>
                  <w:vAlign w:val="center"/>
                </w:tcPr>
                <w:p w14:paraId="4EB99691">
                  <w:pPr>
                    <w:jc w:val="center"/>
                    <w:textAlignment w:val="center"/>
                    <w:rPr>
                      <w:u w:val="single"/>
                    </w:rPr>
                  </w:pPr>
                  <w:r>
                    <w:rPr>
                      <w:u w:val="single"/>
                    </w:rPr>
                    <w:t>落砂机</w:t>
                  </w:r>
                </w:p>
              </w:tc>
              <w:tc>
                <w:tcPr>
                  <w:tcW w:w="574" w:type="dxa"/>
                  <w:vAlign w:val="center"/>
                </w:tcPr>
                <w:p w14:paraId="4F8901DC">
                  <w:pPr>
                    <w:jc w:val="center"/>
                    <w:textAlignment w:val="center"/>
                    <w:rPr>
                      <w:u w:val="single"/>
                    </w:rPr>
                  </w:pPr>
                  <w:r>
                    <w:rPr>
                      <w:u w:val="single"/>
                    </w:rPr>
                    <w:t>1</w:t>
                  </w:r>
                </w:p>
              </w:tc>
              <w:tc>
                <w:tcPr>
                  <w:tcW w:w="592" w:type="dxa"/>
                  <w:vAlign w:val="center"/>
                </w:tcPr>
                <w:p w14:paraId="1AA041C4">
                  <w:pPr>
                    <w:jc w:val="center"/>
                    <w:textAlignment w:val="center"/>
                    <w:rPr>
                      <w:u w:val="single"/>
                    </w:rPr>
                  </w:pPr>
                  <w:r>
                    <w:rPr>
                      <w:u w:val="single"/>
                    </w:rPr>
                    <w:t>台</w:t>
                  </w:r>
                </w:p>
              </w:tc>
              <w:tc>
                <w:tcPr>
                  <w:tcW w:w="2522" w:type="dxa"/>
                  <w:vAlign w:val="center"/>
                </w:tcPr>
                <w:p w14:paraId="7B7B8A8F">
                  <w:pPr>
                    <w:jc w:val="center"/>
                    <w:textAlignment w:val="center"/>
                    <w:rPr>
                      <w:rFonts w:hint="default" w:eastAsia="宋体"/>
                      <w:u w:val="single"/>
                      <w:lang w:val="en-US" w:eastAsia="zh-CN"/>
                    </w:rPr>
                  </w:pPr>
                  <w:r>
                    <w:rPr>
                      <w:rFonts w:hint="eastAsia"/>
                      <w:u w:val="single"/>
                      <w:lang w:val="en-US" w:eastAsia="zh-CN"/>
                    </w:rPr>
                    <w:t>S37</w:t>
                  </w:r>
                </w:p>
              </w:tc>
              <w:tc>
                <w:tcPr>
                  <w:tcW w:w="2522" w:type="dxa"/>
                  <w:vMerge w:val="continue"/>
                  <w:vAlign w:val="center"/>
                </w:tcPr>
                <w:p w14:paraId="54AC5BD8">
                  <w:pPr>
                    <w:jc w:val="center"/>
                    <w:textAlignment w:val="center"/>
                    <w:rPr>
                      <w:u w:val="single"/>
                    </w:rPr>
                  </w:pPr>
                </w:p>
              </w:tc>
            </w:tr>
            <w:tr w14:paraId="6B9E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85" w:type="dxa"/>
                  <w:vMerge w:val="continue"/>
                  <w:vAlign w:val="center"/>
                </w:tcPr>
                <w:p w14:paraId="058AF17E">
                  <w:pPr>
                    <w:jc w:val="center"/>
                    <w:textAlignment w:val="center"/>
                    <w:rPr>
                      <w:u w:val="single"/>
                    </w:rPr>
                  </w:pPr>
                </w:p>
              </w:tc>
              <w:tc>
                <w:tcPr>
                  <w:tcW w:w="1062" w:type="dxa"/>
                  <w:vAlign w:val="center"/>
                </w:tcPr>
                <w:p w14:paraId="74C669CE">
                  <w:pPr>
                    <w:jc w:val="center"/>
                    <w:textAlignment w:val="center"/>
                    <w:rPr>
                      <w:u w:val="single"/>
                    </w:rPr>
                  </w:pPr>
                  <w:r>
                    <w:rPr>
                      <w:u w:val="single"/>
                    </w:rPr>
                    <w:t>混砂机</w:t>
                  </w:r>
                </w:p>
              </w:tc>
              <w:tc>
                <w:tcPr>
                  <w:tcW w:w="574" w:type="dxa"/>
                  <w:vAlign w:val="center"/>
                </w:tcPr>
                <w:p w14:paraId="3935F522">
                  <w:pPr>
                    <w:jc w:val="center"/>
                    <w:textAlignment w:val="center"/>
                    <w:rPr>
                      <w:u w:val="single"/>
                    </w:rPr>
                  </w:pPr>
                  <w:r>
                    <w:rPr>
                      <w:u w:val="single"/>
                    </w:rPr>
                    <w:t>1</w:t>
                  </w:r>
                </w:p>
              </w:tc>
              <w:tc>
                <w:tcPr>
                  <w:tcW w:w="592" w:type="dxa"/>
                  <w:vAlign w:val="center"/>
                </w:tcPr>
                <w:p w14:paraId="1EB79428">
                  <w:pPr>
                    <w:jc w:val="center"/>
                    <w:textAlignment w:val="center"/>
                    <w:rPr>
                      <w:u w:val="single"/>
                    </w:rPr>
                  </w:pPr>
                  <w:r>
                    <w:rPr>
                      <w:u w:val="single"/>
                    </w:rPr>
                    <w:t>台</w:t>
                  </w:r>
                </w:p>
              </w:tc>
              <w:tc>
                <w:tcPr>
                  <w:tcW w:w="2522" w:type="dxa"/>
                  <w:vAlign w:val="center"/>
                </w:tcPr>
                <w:p w14:paraId="3E1C7E36">
                  <w:pPr>
                    <w:jc w:val="center"/>
                    <w:textAlignment w:val="center"/>
                    <w:rPr>
                      <w:rFonts w:hint="default" w:eastAsia="宋体"/>
                      <w:u w:val="single"/>
                      <w:lang w:val="en-US" w:eastAsia="zh-CN"/>
                    </w:rPr>
                  </w:pPr>
                  <w:r>
                    <w:rPr>
                      <w:rFonts w:hint="eastAsia"/>
                      <w:u w:val="single"/>
                      <w:lang w:val="en-US" w:eastAsia="zh-CN"/>
                    </w:rPr>
                    <w:t>LMF160</w:t>
                  </w:r>
                </w:p>
              </w:tc>
              <w:tc>
                <w:tcPr>
                  <w:tcW w:w="2522" w:type="dxa"/>
                  <w:vMerge w:val="continue"/>
                  <w:vAlign w:val="center"/>
                </w:tcPr>
                <w:p w14:paraId="47C6D7F1">
                  <w:pPr>
                    <w:jc w:val="center"/>
                    <w:textAlignment w:val="center"/>
                    <w:rPr>
                      <w:u w:val="single"/>
                    </w:rPr>
                  </w:pPr>
                </w:p>
              </w:tc>
            </w:tr>
            <w:tr w14:paraId="5051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85" w:type="dxa"/>
                  <w:vMerge w:val="restart"/>
                  <w:vAlign w:val="center"/>
                </w:tcPr>
                <w:p w14:paraId="61B20D38">
                  <w:pPr>
                    <w:jc w:val="center"/>
                    <w:textAlignment w:val="center"/>
                    <w:rPr>
                      <w:u w:val="single"/>
                    </w:rPr>
                  </w:pPr>
                  <w:r>
                    <w:rPr>
                      <w:rFonts w:hint="eastAsia"/>
                      <w:u w:val="single"/>
                    </w:rPr>
                    <w:t>环保设备</w:t>
                  </w:r>
                </w:p>
              </w:tc>
              <w:tc>
                <w:tcPr>
                  <w:tcW w:w="1062" w:type="dxa"/>
                  <w:vAlign w:val="center"/>
                </w:tcPr>
                <w:p w14:paraId="526C5625">
                  <w:pPr>
                    <w:jc w:val="center"/>
                    <w:textAlignment w:val="center"/>
                    <w:rPr>
                      <w:u w:val="single"/>
                    </w:rPr>
                  </w:pPr>
                  <w:r>
                    <w:rPr>
                      <w:rFonts w:hint="eastAsia"/>
                      <w:u w:val="single"/>
                      <w:lang w:val="en-US" w:eastAsia="zh-CN"/>
                    </w:rPr>
                    <w:t>脉冲</w:t>
                  </w:r>
                  <w:r>
                    <w:rPr>
                      <w:rFonts w:hint="eastAsia"/>
                      <w:u w:val="single"/>
                    </w:rPr>
                    <w:t>布袋除尘器</w:t>
                  </w:r>
                </w:p>
              </w:tc>
              <w:tc>
                <w:tcPr>
                  <w:tcW w:w="574" w:type="dxa"/>
                  <w:vAlign w:val="center"/>
                </w:tcPr>
                <w:p w14:paraId="77792C52">
                  <w:pPr>
                    <w:jc w:val="center"/>
                    <w:textAlignment w:val="center"/>
                    <w:rPr>
                      <w:rFonts w:hint="eastAsia" w:eastAsia="宋体"/>
                      <w:u w:val="single"/>
                      <w:lang w:eastAsia="zh-CN"/>
                    </w:rPr>
                  </w:pPr>
                  <w:r>
                    <w:rPr>
                      <w:rFonts w:hint="eastAsia"/>
                      <w:u w:val="single"/>
                      <w:lang w:val="en-US" w:eastAsia="zh-CN"/>
                    </w:rPr>
                    <w:t>4</w:t>
                  </w:r>
                </w:p>
              </w:tc>
              <w:tc>
                <w:tcPr>
                  <w:tcW w:w="592" w:type="dxa"/>
                  <w:vAlign w:val="center"/>
                </w:tcPr>
                <w:p w14:paraId="41B1FDCE">
                  <w:pPr>
                    <w:jc w:val="center"/>
                    <w:textAlignment w:val="center"/>
                    <w:rPr>
                      <w:u w:val="single"/>
                    </w:rPr>
                  </w:pPr>
                  <w:r>
                    <w:rPr>
                      <w:rFonts w:hint="eastAsia"/>
                      <w:u w:val="single"/>
                    </w:rPr>
                    <w:t>台</w:t>
                  </w:r>
                </w:p>
              </w:tc>
              <w:tc>
                <w:tcPr>
                  <w:tcW w:w="2522" w:type="dxa"/>
                  <w:vAlign w:val="center"/>
                </w:tcPr>
                <w:p w14:paraId="1B596F2B">
                  <w:pPr>
                    <w:jc w:val="center"/>
                    <w:textAlignment w:val="center"/>
                    <w:rPr>
                      <w:rFonts w:hint="default"/>
                      <w:u w:val="single"/>
                      <w:lang w:val="en-US"/>
                    </w:rPr>
                  </w:pPr>
                  <w:r>
                    <w:rPr>
                      <w:rFonts w:hint="eastAsia"/>
                      <w:u w:val="single"/>
                      <w:lang w:val="en-US" w:eastAsia="zh-CN"/>
                    </w:rPr>
                    <w:t>LMF160、LMF80、Q378、DMC-180</w:t>
                  </w:r>
                </w:p>
              </w:tc>
              <w:tc>
                <w:tcPr>
                  <w:tcW w:w="2522" w:type="dxa"/>
                  <w:vAlign w:val="center"/>
                </w:tcPr>
                <w:p w14:paraId="2A59BDB7">
                  <w:pPr>
                    <w:jc w:val="center"/>
                    <w:textAlignment w:val="center"/>
                    <w:rPr>
                      <w:u w:val="single"/>
                    </w:rPr>
                  </w:pPr>
                  <w:r>
                    <w:rPr>
                      <w:u w:val="single"/>
                    </w:rPr>
                    <w:t>外购，</w:t>
                  </w:r>
                  <w:r>
                    <w:rPr>
                      <w:rFonts w:hint="eastAsia"/>
                      <w:u w:val="single"/>
                    </w:rPr>
                    <w:t>用于治理颗粒物</w:t>
                  </w:r>
                </w:p>
              </w:tc>
            </w:tr>
            <w:tr w14:paraId="0C53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85" w:type="dxa"/>
                  <w:vMerge w:val="continue"/>
                  <w:vAlign w:val="center"/>
                </w:tcPr>
                <w:p w14:paraId="34AE03BA">
                  <w:pPr>
                    <w:jc w:val="center"/>
                    <w:textAlignment w:val="center"/>
                    <w:rPr>
                      <w:u w:val="single"/>
                    </w:rPr>
                  </w:pPr>
                </w:p>
              </w:tc>
              <w:tc>
                <w:tcPr>
                  <w:tcW w:w="1062" w:type="dxa"/>
                  <w:vAlign w:val="center"/>
                </w:tcPr>
                <w:p w14:paraId="55E79684">
                  <w:pPr>
                    <w:jc w:val="center"/>
                    <w:textAlignment w:val="center"/>
                    <w:rPr>
                      <w:u w:val="single"/>
                    </w:rPr>
                  </w:pPr>
                  <w:r>
                    <w:rPr>
                      <w:rFonts w:hint="eastAsia"/>
                      <w:u w:val="single"/>
                    </w:rPr>
                    <w:t>活性炭吸附箱</w:t>
                  </w:r>
                </w:p>
              </w:tc>
              <w:tc>
                <w:tcPr>
                  <w:tcW w:w="574" w:type="dxa"/>
                  <w:vAlign w:val="center"/>
                </w:tcPr>
                <w:p w14:paraId="1E1C77D4">
                  <w:pPr>
                    <w:jc w:val="center"/>
                    <w:textAlignment w:val="center"/>
                    <w:rPr>
                      <w:rFonts w:hint="eastAsia" w:eastAsia="宋体"/>
                      <w:u w:val="single"/>
                      <w:lang w:eastAsia="zh-CN"/>
                    </w:rPr>
                  </w:pPr>
                  <w:r>
                    <w:rPr>
                      <w:rFonts w:hint="eastAsia"/>
                      <w:u w:val="single"/>
                      <w:lang w:val="en-US" w:eastAsia="zh-CN"/>
                    </w:rPr>
                    <w:t>2</w:t>
                  </w:r>
                </w:p>
              </w:tc>
              <w:tc>
                <w:tcPr>
                  <w:tcW w:w="592" w:type="dxa"/>
                  <w:vAlign w:val="center"/>
                </w:tcPr>
                <w:p w14:paraId="56ABA338">
                  <w:pPr>
                    <w:jc w:val="center"/>
                    <w:textAlignment w:val="center"/>
                    <w:rPr>
                      <w:u w:val="single"/>
                    </w:rPr>
                  </w:pPr>
                  <w:r>
                    <w:rPr>
                      <w:rFonts w:hint="eastAsia"/>
                      <w:u w:val="single"/>
                    </w:rPr>
                    <w:t>套</w:t>
                  </w:r>
                </w:p>
              </w:tc>
              <w:tc>
                <w:tcPr>
                  <w:tcW w:w="2522" w:type="dxa"/>
                  <w:vAlign w:val="center"/>
                </w:tcPr>
                <w:p w14:paraId="4C26B79A">
                  <w:pPr>
                    <w:jc w:val="center"/>
                    <w:textAlignment w:val="center"/>
                    <w:rPr>
                      <w:u w:val="single"/>
                    </w:rPr>
                  </w:pPr>
                </w:p>
              </w:tc>
              <w:tc>
                <w:tcPr>
                  <w:tcW w:w="2522" w:type="dxa"/>
                  <w:vAlign w:val="center"/>
                </w:tcPr>
                <w:p w14:paraId="08596CAC">
                  <w:pPr>
                    <w:jc w:val="center"/>
                    <w:textAlignment w:val="center"/>
                    <w:rPr>
                      <w:u w:val="single"/>
                    </w:rPr>
                  </w:pPr>
                  <w:r>
                    <w:rPr>
                      <w:u w:val="single"/>
                    </w:rPr>
                    <w:t>外购，</w:t>
                  </w:r>
                  <w:r>
                    <w:rPr>
                      <w:rFonts w:hint="eastAsia"/>
                      <w:u w:val="single"/>
                    </w:rPr>
                    <w:t>用于治理VOCs</w:t>
                  </w:r>
                </w:p>
              </w:tc>
            </w:tr>
          </w:tbl>
          <w:p w14:paraId="4B6ED222">
            <w:pPr>
              <w:numPr>
                <w:ilvl w:val="0"/>
                <w:numId w:val="0"/>
              </w:numPr>
              <w:spacing w:line="360" w:lineRule="auto"/>
              <w:ind w:firstLine="482" w:firstLineChars="200"/>
              <w:rPr>
                <w:rFonts w:hint="eastAsia"/>
                <w:b/>
                <w:bCs/>
                <w:sz w:val="24"/>
                <w:szCs w:val="24"/>
                <w:lang w:val="en-US" w:eastAsia="zh-CN"/>
              </w:rPr>
            </w:pPr>
            <w:r>
              <w:rPr>
                <w:rFonts w:hint="eastAsia"/>
                <w:b/>
                <w:bCs/>
                <w:sz w:val="24"/>
                <w:szCs w:val="24"/>
                <w:lang w:val="en-US" w:eastAsia="zh-CN"/>
              </w:rPr>
              <w:t>2.5主要原辅材料</w:t>
            </w:r>
          </w:p>
          <w:p w14:paraId="562B8CC6">
            <w:pPr>
              <w:spacing w:line="360" w:lineRule="auto"/>
              <w:ind w:firstLine="480" w:firstLineChars="200"/>
              <w:textAlignment w:val="center"/>
              <w:rPr>
                <w:sz w:val="24"/>
                <w:szCs w:val="24"/>
              </w:rPr>
            </w:pPr>
            <w:r>
              <w:rPr>
                <w:sz w:val="24"/>
                <w:szCs w:val="24"/>
              </w:rPr>
              <w:t>项目原辅材料及用量见表2-4，主要原辅材料性质见表2-5。</w:t>
            </w:r>
          </w:p>
          <w:p w14:paraId="4D50E525">
            <w:pPr>
              <w:ind w:firstLine="422" w:firstLineChars="200"/>
              <w:jc w:val="center"/>
              <w:rPr>
                <w:rFonts w:hint="default" w:ascii="Times New Roman" w:hAnsi="Times New Roman" w:eastAsia="宋体" w:cs="Times New Roman"/>
                <w:b/>
                <w:bCs/>
              </w:rPr>
            </w:pPr>
            <w:r>
              <w:rPr>
                <w:rFonts w:hint="default" w:ascii="Times New Roman" w:hAnsi="Times New Roman" w:eastAsia="宋体" w:cs="Times New Roman"/>
                <w:b/>
                <w:bCs/>
              </w:rPr>
              <w:t>表2-4  原辅材料用量</w:t>
            </w:r>
          </w:p>
          <w:tbl>
            <w:tblPr>
              <w:tblStyle w:val="22"/>
              <w:tblW w:w="7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17"/>
              <w:gridCol w:w="1051"/>
              <w:gridCol w:w="655"/>
              <w:gridCol w:w="1268"/>
              <w:gridCol w:w="2729"/>
            </w:tblGrid>
            <w:tr w14:paraId="2592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17" w:type="dxa"/>
                  <w:vAlign w:val="center"/>
                </w:tcPr>
                <w:p w14:paraId="05AB8E41">
                  <w:pPr>
                    <w:jc w:val="center"/>
                    <w:rPr>
                      <w:b/>
                      <w:bCs/>
                    </w:rPr>
                  </w:pPr>
                  <w:r>
                    <w:rPr>
                      <w:b/>
                      <w:bCs/>
                    </w:rPr>
                    <w:t>工艺</w:t>
                  </w:r>
                </w:p>
              </w:tc>
              <w:tc>
                <w:tcPr>
                  <w:tcW w:w="1117" w:type="dxa"/>
                  <w:vAlign w:val="center"/>
                </w:tcPr>
                <w:p w14:paraId="7DB5FBAE">
                  <w:pPr>
                    <w:jc w:val="center"/>
                    <w:rPr>
                      <w:b/>
                      <w:bCs/>
                    </w:rPr>
                  </w:pPr>
                  <w:r>
                    <w:rPr>
                      <w:b/>
                      <w:bCs/>
                    </w:rPr>
                    <w:t>原料名称</w:t>
                  </w:r>
                </w:p>
              </w:tc>
              <w:tc>
                <w:tcPr>
                  <w:tcW w:w="1051" w:type="dxa"/>
                  <w:vAlign w:val="center"/>
                </w:tcPr>
                <w:p w14:paraId="53955A53">
                  <w:pPr>
                    <w:jc w:val="center"/>
                    <w:rPr>
                      <w:b/>
                      <w:bCs/>
                    </w:rPr>
                  </w:pPr>
                  <w:r>
                    <w:rPr>
                      <w:b/>
                      <w:bCs/>
                    </w:rPr>
                    <w:t>年用量（t）</w:t>
                  </w:r>
                </w:p>
              </w:tc>
              <w:tc>
                <w:tcPr>
                  <w:tcW w:w="655" w:type="dxa"/>
                  <w:vAlign w:val="center"/>
                </w:tcPr>
                <w:p w14:paraId="06F8268A">
                  <w:pPr>
                    <w:jc w:val="center"/>
                    <w:rPr>
                      <w:rFonts w:hint="default" w:eastAsia="宋体"/>
                      <w:b/>
                      <w:bCs/>
                      <w:lang w:val="en-US" w:eastAsia="zh-CN"/>
                    </w:rPr>
                  </w:pPr>
                  <w:r>
                    <w:rPr>
                      <w:rFonts w:hint="eastAsia"/>
                      <w:b/>
                      <w:bCs/>
                      <w:lang w:val="en-US" w:eastAsia="zh-CN"/>
                    </w:rPr>
                    <w:t>最大储存量</w:t>
                  </w:r>
                  <w:r>
                    <w:rPr>
                      <w:b/>
                      <w:bCs/>
                    </w:rPr>
                    <w:t>（t）</w:t>
                  </w:r>
                </w:p>
              </w:tc>
              <w:tc>
                <w:tcPr>
                  <w:tcW w:w="1268" w:type="dxa"/>
                  <w:vAlign w:val="center"/>
                </w:tcPr>
                <w:p w14:paraId="18BC95C1">
                  <w:pPr>
                    <w:keepNext w:val="0"/>
                    <w:keepLines w:val="0"/>
                    <w:widowControl/>
                    <w:suppressLineNumbers w:val="0"/>
                    <w:jc w:val="center"/>
                    <w:rPr>
                      <w:rFonts w:hint="eastAsia"/>
                      <w:b/>
                      <w:bCs/>
                      <w:lang w:val="en-US" w:eastAsia="zh-CN"/>
                    </w:rPr>
                  </w:pPr>
                  <w:r>
                    <w:rPr>
                      <w:rFonts w:hint="eastAsia" w:ascii="宋体" w:hAnsi="宋体" w:eastAsia="宋体" w:cs="宋体"/>
                      <w:b/>
                      <w:bCs/>
                      <w:color w:val="000000"/>
                      <w:kern w:val="0"/>
                      <w:sz w:val="20"/>
                      <w:szCs w:val="20"/>
                      <w:lang w:val="en-US" w:eastAsia="zh-CN" w:bidi="ar"/>
                    </w:rPr>
                    <w:t>暂存位置及</w:t>
                  </w:r>
                  <w:r>
                    <w:rPr>
                      <w:rFonts w:hint="eastAsia" w:ascii="宋体" w:hAnsi="宋体" w:cs="宋体"/>
                      <w:b/>
                      <w:bCs/>
                      <w:color w:val="000000"/>
                      <w:kern w:val="0"/>
                      <w:sz w:val="20"/>
                      <w:szCs w:val="20"/>
                      <w:lang w:val="en-US" w:eastAsia="zh-CN" w:bidi="ar"/>
                    </w:rPr>
                    <w:t>形态</w:t>
                  </w:r>
                  <w:r>
                    <w:rPr>
                      <w:rFonts w:hint="eastAsia" w:ascii="宋体" w:hAnsi="宋体" w:eastAsia="宋体" w:cs="宋体"/>
                      <w:b/>
                      <w:bCs/>
                      <w:color w:val="000000"/>
                      <w:kern w:val="0"/>
                      <w:sz w:val="20"/>
                      <w:szCs w:val="20"/>
                      <w:lang w:val="en-US" w:eastAsia="zh-CN" w:bidi="ar"/>
                    </w:rPr>
                    <w:t>包装</w:t>
                  </w:r>
                </w:p>
              </w:tc>
              <w:tc>
                <w:tcPr>
                  <w:tcW w:w="2729" w:type="dxa"/>
                  <w:vAlign w:val="center"/>
                </w:tcPr>
                <w:p w14:paraId="1C7E6C1D">
                  <w:pPr>
                    <w:jc w:val="center"/>
                    <w:rPr>
                      <w:rFonts w:hint="default" w:eastAsia="宋体"/>
                      <w:b/>
                      <w:bCs/>
                      <w:lang w:val="en-US" w:eastAsia="zh-CN"/>
                    </w:rPr>
                  </w:pPr>
                  <w:r>
                    <w:rPr>
                      <w:rFonts w:hint="eastAsia" w:eastAsia="宋体"/>
                      <w:b/>
                      <w:bCs/>
                      <w:lang w:val="en-US" w:eastAsia="zh-CN"/>
                    </w:rPr>
                    <w:t>备注</w:t>
                  </w:r>
                </w:p>
              </w:tc>
            </w:tr>
            <w:tr w14:paraId="371B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17" w:type="dxa"/>
                  <w:vMerge w:val="restart"/>
                  <w:vAlign w:val="center"/>
                </w:tcPr>
                <w:p w14:paraId="68AED9C7">
                  <w:pPr>
                    <w:jc w:val="center"/>
                  </w:pPr>
                  <w:r>
                    <w:t>熔炼</w:t>
                  </w:r>
                </w:p>
              </w:tc>
              <w:tc>
                <w:tcPr>
                  <w:tcW w:w="1117" w:type="dxa"/>
                  <w:vAlign w:val="center"/>
                </w:tcPr>
                <w:p w14:paraId="437C78DC">
                  <w:pPr>
                    <w:jc w:val="center"/>
                  </w:pPr>
                  <w:r>
                    <w:t>生铁、废钢</w:t>
                  </w:r>
                </w:p>
              </w:tc>
              <w:tc>
                <w:tcPr>
                  <w:tcW w:w="1051" w:type="dxa"/>
                  <w:vAlign w:val="center"/>
                </w:tcPr>
                <w:p w14:paraId="7588CDC6">
                  <w:pPr>
                    <w:jc w:val="center"/>
                    <w:rPr>
                      <w:u w:val="single"/>
                    </w:rPr>
                  </w:pPr>
                  <w:r>
                    <w:rPr>
                      <w:u w:val="single"/>
                    </w:rPr>
                    <w:t>61</w:t>
                  </w:r>
                  <w:r>
                    <w:rPr>
                      <w:rFonts w:hint="eastAsia"/>
                      <w:u w:val="single"/>
                    </w:rPr>
                    <w:t>00</w:t>
                  </w:r>
                </w:p>
              </w:tc>
              <w:tc>
                <w:tcPr>
                  <w:tcW w:w="655" w:type="dxa"/>
                  <w:vAlign w:val="center"/>
                </w:tcPr>
                <w:p w14:paraId="0C6DE1D8">
                  <w:pPr>
                    <w:jc w:val="center"/>
                    <w:rPr>
                      <w:rFonts w:hint="default" w:eastAsia="宋体"/>
                      <w:u w:val="single"/>
                      <w:lang w:val="en-US" w:eastAsia="zh-CN"/>
                    </w:rPr>
                  </w:pPr>
                  <w:r>
                    <w:rPr>
                      <w:rFonts w:hint="eastAsia"/>
                      <w:u w:val="single"/>
                      <w:lang w:val="en-US" w:eastAsia="zh-CN"/>
                    </w:rPr>
                    <w:t>20</w:t>
                  </w:r>
                </w:p>
              </w:tc>
              <w:tc>
                <w:tcPr>
                  <w:tcW w:w="1268" w:type="dxa"/>
                  <w:vAlign w:val="center"/>
                </w:tcPr>
                <w:p w14:paraId="007AC821">
                  <w:pPr>
                    <w:jc w:val="both"/>
                    <w:rPr>
                      <w:rFonts w:hint="default" w:eastAsia="宋体"/>
                      <w:u w:val="single"/>
                      <w:lang w:val="en-US" w:eastAsia="zh-CN"/>
                    </w:rPr>
                  </w:pPr>
                  <w:r>
                    <w:rPr>
                      <w:rFonts w:hint="eastAsia"/>
                      <w:u w:val="single"/>
                      <w:lang w:val="en-US" w:eastAsia="zh-CN"/>
                    </w:rPr>
                    <w:t>熔炼区旁暂存池，固态</w:t>
                  </w:r>
                </w:p>
              </w:tc>
              <w:tc>
                <w:tcPr>
                  <w:tcW w:w="2729" w:type="dxa"/>
                  <w:vAlign w:val="center"/>
                </w:tcPr>
                <w:p w14:paraId="47C3B813">
                  <w:pPr>
                    <w:jc w:val="center"/>
                  </w:pPr>
                  <w:r>
                    <w:rPr>
                      <w:rFonts w:hint="eastAsia"/>
                    </w:rPr>
                    <w:t>外购，表面无油污、切削液等危险废物，也不掺有塑料等其他杂质，主</w:t>
                  </w:r>
                  <w:r>
                    <w:rPr>
                      <w:rFonts w:hint="eastAsia"/>
                      <w:highlight w:val="none"/>
                    </w:rPr>
                    <w:t>要来自</w:t>
                  </w:r>
                  <w:r>
                    <w:rPr>
                      <w:rFonts w:hint="eastAsia"/>
                      <w:highlight w:val="none"/>
                      <w:lang w:val="en-US" w:eastAsia="zh-CN"/>
                    </w:rPr>
                    <w:t>怀化龙迅环保科技</w:t>
                  </w:r>
                  <w:r>
                    <w:rPr>
                      <w:rFonts w:hint="eastAsia"/>
                      <w:highlight w:val="none"/>
                    </w:rPr>
                    <w:t>有限公司</w:t>
                  </w:r>
                </w:p>
              </w:tc>
            </w:tr>
            <w:tr w14:paraId="315C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17" w:type="dxa"/>
                  <w:vMerge w:val="continue"/>
                  <w:vAlign w:val="center"/>
                </w:tcPr>
                <w:p w14:paraId="1893E087">
                  <w:pPr>
                    <w:jc w:val="center"/>
                  </w:pPr>
                </w:p>
              </w:tc>
              <w:tc>
                <w:tcPr>
                  <w:tcW w:w="1117" w:type="dxa"/>
                  <w:vAlign w:val="center"/>
                </w:tcPr>
                <w:p w14:paraId="050F9088">
                  <w:pPr>
                    <w:jc w:val="center"/>
                  </w:pPr>
                  <w:r>
                    <w:t>球化剂</w:t>
                  </w:r>
                </w:p>
              </w:tc>
              <w:tc>
                <w:tcPr>
                  <w:tcW w:w="1051" w:type="dxa"/>
                  <w:vAlign w:val="center"/>
                </w:tcPr>
                <w:p w14:paraId="2B7D4AD3">
                  <w:pPr>
                    <w:jc w:val="center"/>
                    <w:rPr>
                      <w:u w:val="single"/>
                    </w:rPr>
                  </w:pPr>
                  <w:r>
                    <w:rPr>
                      <w:rFonts w:hint="eastAsia"/>
                      <w:u w:val="single"/>
                    </w:rPr>
                    <w:t>40</w:t>
                  </w:r>
                </w:p>
              </w:tc>
              <w:tc>
                <w:tcPr>
                  <w:tcW w:w="655" w:type="dxa"/>
                  <w:vAlign w:val="center"/>
                </w:tcPr>
                <w:p w14:paraId="34B518DC">
                  <w:pPr>
                    <w:jc w:val="center"/>
                    <w:rPr>
                      <w:rFonts w:hint="eastAsia" w:eastAsia="宋体"/>
                      <w:u w:val="single"/>
                      <w:lang w:val="en-US" w:eastAsia="zh-CN"/>
                    </w:rPr>
                  </w:pPr>
                  <w:r>
                    <w:rPr>
                      <w:rFonts w:hint="eastAsia"/>
                      <w:u w:val="single"/>
                      <w:lang w:val="en-US" w:eastAsia="zh-CN"/>
                    </w:rPr>
                    <w:t>2</w:t>
                  </w:r>
                </w:p>
              </w:tc>
              <w:tc>
                <w:tcPr>
                  <w:tcW w:w="1268" w:type="dxa"/>
                  <w:vAlign w:val="center"/>
                </w:tcPr>
                <w:p w14:paraId="1A46B649">
                  <w:pPr>
                    <w:jc w:val="center"/>
                    <w:rPr>
                      <w:rFonts w:hint="default"/>
                      <w:u w:val="single"/>
                      <w:lang w:val="en-US"/>
                    </w:rPr>
                  </w:pPr>
                  <w:r>
                    <w:rPr>
                      <w:rFonts w:hint="eastAsia"/>
                      <w:u w:val="single"/>
                      <w:lang w:val="en-US" w:eastAsia="zh-CN"/>
                    </w:rPr>
                    <w:t>原料区，固态，袋装</w:t>
                  </w:r>
                </w:p>
              </w:tc>
              <w:tc>
                <w:tcPr>
                  <w:tcW w:w="2729" w:type="dxa"/>
                  <w:vAlign w:val="center"/>
                </w:tcPr>
                <w:p w14:paraId="642814DE">
                  <w:pPr>
                    <w:jc w:val="center"/>
                  </w:pPr>
                  <w:r>
                    <w:rPr>
                      <w:rFonts w:hint="eastAsia"/>
                    </w:rPr>
                    <w:t>外购</w:t>
                  </w:r>
                </w:p>
              </w:tc>
            </w:tr>
            <w:tr w14:paraId="6E39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817" w:type="dxa"/>
                  <w:vMerge w:val="continue"/>
                  <w:vAlign w:val="center"/>
                </w:tcPr>
                <w:p w14:paraId="13EF99FE">
                  <w:pPr>
                    <w:jc w:val="center"/>
                  </w:pPr>
                </w:p>
              </w:tc>
              <w:tc>
                <w:tcPr>
                  <w:tcW w:w="1117" w:type="dxa"/>
                  <w:vAlign w:val="center"/>
                </w:tcPr>
                <w:p w14:paraId="759D3577">
                  <w:pPr>
                    <w:jc w:val="center"/>
                  </w:pPr>
                  <w:r>
                    <w:t>孕育剂</w:t>
                  </w:r>
                </w:p>
              </w:tc>
              <w:tc>
                <w:tcPr>
                  <w:tcW w:w="1051" w:type="dxa"/>
                  <w:vAlign w:val="center"/>
                </w:tcPr>
                <w:p w14:paraId="5DCF3EA3">
                  <w:pPr>
                    <w:jc w:val="center"/>
                    <w:rPr>
                      <w:u w:val="single"/>
                    </w:rPr>
                  </w:pPr>
                  <w:r>
                    <w:rPr>
                      <w:u w:val="single"/>
                    </w:rPr>
                    <w:t>1</w:t>
                  </w:r>
                  <w:r>
                    <w:rPr>
                      <w:rFonts w:hint="eastAsia"/>
                      <w:u w:val="single"/>
                    </w:rPr>
                    <w:t>0</w:t>
                  </w:r>
                </w:p>
              </w:tc>
              <w:tc>
                <w:tcPr>
                  <w:tcW w:w="655" w:type="dxa"/>
                  <w:vAlign w:val="center"/>
                </w:tcPr>
                <w:p w14:paraId="4115E351">
                  <w:pPr>
                    <w:jc w:val="center"/>
                    <w:rPr>
                      <w:rFonts w:hint="default" w:eastAsia="宋体"/>
                      <w:u w:val="single"/>
                      <w:lang w:val="en-US" w:eastAsia="zh-CN"/>
                    </w:rPr>
                  </w:pPr>
                  <w:r>
                    <w:rPr>
                      <w:rFonts w:hint="eastAsia"/>
                      <w:u w:val="single"/>
                      <w:lang w:val="en-US" w:eastAsia="zh-CN"/>
                    </w:rPr>
                    <w:t>2</w:t>
                  </w:r>
                </w:p>
              </w:tc>
              <w:tc>
                <w:tcPr>
                  <w:tcW w:w="1268" w:type="dxa"/>
                  <w:vAlign w:val="center"/>
                </w:tcPr>
                <w:p w14:paraId="71C21A57">
                  <w:pPr>
                    <w:jc w:val="center"/>
                    <w:rPr>
                      <w:u w:val="single"/>
                    </w:rPr>
                  </w:pPr>
                  <w:r>
                    <w:rPr>
                      <w:rFonts w:hint="eastAsia"/>
                      <w:u w:val="single"/>
                      <w:lang w:val="en-US" w:eastAsia="zh-CN"/>
                    </w:rPr>
                    <w:t>原料区，固态，袋装</w:t>
                  </w:r>
                </w:p>
              </w:tc>
              <w:tc>
                <w:tcPr>
                  <w:tcW w:w="2729" w:type="dxa"/>
                  <w:vAlign w:val="center"/>
                </w:tcPr>
                <w:p w14:paraId="49A39CD1">
                  <w:pPr>
                    <w:jc w:val="center"/>
                  </w:pPr>
                  <w:r>
                    <w:t>外购</w:t>
                  </w:r>
                </w:p>
              </w:tc>
            </w:tr>
            <w:tr w14:paraId="13F9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817" w:type="dxa"/>
                  <w:vMerge w:val="continue"/>
                  <w:vAlign w:val="center"/>
                </w:tcPr>
                <w:p w14:paraId="3EFD4CB2">
                  <w:pPr>
                    <w:jc w:val="center"/>
                  </w:pPr>
                </w:p>
              </w:tc>
              <w:tc>
                <w:tcPr>
                  <w:tcW w:w="1117" w:type="dxa"/>
                  <w:vAlign w:val="center"/>
                </w:tcPr>
                <w:p w14:paraId="510E3E01">
                  <w:pPr>
                    <w:jc w:val="center"/>
                    <w:rPr>
                      <w:rFonts w:hint="eastAsia" w:eastAsia="宋体"/>
                      <w:lang w:val="en-US" w:eastAsia="zh-CN"/>
                    </w:rPr>
                  </w:pPr>
                  <w:r>
                    <w:rPr>
                      <w:rFonts w:hint="eastAsia"/>
                      <w:highlight w:val="none"/>
                      <w:lang w:val="en-US" w:eastAsia="zh-CN"/>
                    </w:rPr>
                    <w:t>蒸馏水</w:t>
                  </w:r>
                </w:p>
              </w:tc>
              <w:tc>
                <w:tcPr>
                  <w:tcW w:w="1051" w:type="dxa"/>
                  <w:vAlign w:val="center"/>
                </w:tcPr>
                <w:p w14:paraId="2CDD5B10">
                  <w:pPr>
                    <w:jc w:val="center"/>
                    <w:rPr>
                      <w:rFonts w:hint="default" w:eastAsia="宋体"/>
                      <w:u w:val="single"/>
                      <w:lang w:val="en-US" w:eastAsia="zh-CN"/>
                    </w:rPr>
                  </w:pPr>
                  <w:r>
                    <w:rPr>
                      <w:rFonts w:hint="eastAsia"/>
                      <w:u w:val="single"/>
                      <w:lang w:val="en-US" w:eastAsia="zh-CN"/>
                    </w:rPr>
                    <w:t>2</w:t>
                  </w:r>
                </w:p>
              </w:tc>
              <w:tc>
                <w:tcPr>
                  <w:tcW w:w="655" w:type="dxa"/>
                  <w:vAlign w:val="center"/>
                </w:tcPr>
                <w:p w14:paraId="017191E7">
                  <w:pPr>
                    <w:jc w:val="center"/>
                    <w:rPr>
                      <w:rFonts w:hint="default" w:eastAsia="宋体"/>
                      <w:u w:val="single"/>
                      <w:lang w:val="en-US" w:eastAsia="zh-CN"/>
                    </w:rPr>
                  </w:pPr>
                  <w:r>
                    <w:rPr>
                      <w:rFonts w:hint="eastAsia"/>
                      <w:u w:val="single"/>
                      <w:lang w:val="en-US" w:eastAsia="zh-CN"/>
                    </w:rPr>
                    <w:t>0.35</w:t>
                  </w:r>
                </w:p>
              </w:tc>
              <w:tc>
                <w:tcPr>
                  <w:tcW w:w="1268" w:type="dxa"/>
                  <w:vAlign w:val="center"/>
                </w:tcPr>
                <w:p w14:paraId="3F5C707E">
                  <w:pPr>
                    <w:jc w:val="center"/>
                    <w:rPr>
                      <w:rFonts w:hint="default" w:eastAsia="宋体"/>
                      <w:u w:val="single"/>
                      <w:lang w:val="en-US" w:eastAsia="zh-CN"/>
                    </w:rPr>
                  </w:pPr>
                  <w:r>
                    <w:rPr>
                      <w:rFonts w:hint="eastAsia"/>
                      <w:u w:val="single"/>
                      <w:lang w:val="en-US" w:eastAsia="zh-CN"/>
                    </w:rPr>
                    <w:t>液态，桶装</w:t>
                  </w:r>
                </w:p>
              </w:tc>
              <w:tc>
                <w:tcPr>
                  <w:tcW w:w="2729" w:type="dxa"/>
                  <w:vAlign w:val="center"/>
                </w:tcPr>
                <w:p w14:paraId="27C84637">
                  <w:pPr>
                    <w:jc w:val="center"/>
                    <w:rPr>
                      <w:rFonts w:hint="default" w:eastAsia="宋体"/>
                      <w:lang w:val="en-US" w:eastAsia="zh-CN"/>
                    </w:rPr>
                  </w:pPr>
                  <w:r>
                    <w:t>外购</w:t>
                  </w:r>
                  <w:r>
                    <w:rPr>
                      <w:rFonts w:hint="eastAsia"/>
                      <w:lang w:eastAsia="zh-CN"/>
                    </w:rPr>
                    <w:t>，</w:t>
                  </w:r>
                  <w:r>
                    <w:rPr>
                      <w:rFonts w:hint="eastAsia"/>
                      <w:lang w:val="en-US" w:eastAsia="zh-CN"/>
                    </w:rPr>
                    <w:t>用于设备冷却</w:t>
                  </w:r>
                </w:p>
              </w:tc>
            </w:tr>
            <w:tr w14:paraId="5C81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17" w:type="dxa"/>
                  <w:vAlign w:val="center"/>
                </w:tcPr>
                <w:p w14:paraId="2D74F8D6">
                  <w:pPr>
                    <w:jc w:val="center"/>
                  </w:pPr>
                  <w:r>
                    <w:t>制芯</w:t>
                  </w:r>
                </w:p>
              </w:tc>
              <w:tc>
                <w:tcPr>
                  <w:tcW w:w="1117" w:type="dxa"/>
                  <w:vAlign w:val="center"/>
                </w:tcPr>
                <w:p w14:paraId="5680BF32">
                  <w:pPr>
                    <w:jc w:val="center"/>
                  </w:pPr>
                  <w:r>
                    <w:t>覆膜砂</w:t>
                  </w:r>
                </w:p>
              </w:tc>
              <w:tc>
                <w:tcPr>
                  <w:tcW w:w="1051" w:type="dxa"/>
                  <w:vAlign w:val="center"/>
                </w:tcPr>
                <w:p w14:paraId="5E163B62">
                  <w:pPr>
                    <w:jc w:val="center"/>
                    <w:rPr>
                      <w:u w:val="single"/>
                    </w:rPr>
                  </w:pPr>
                  <w:r>
                    <w:rPr>
                      <w:rFonts w:hint="eastAsia"/>
                      <w:u w:val="single"/>
                    </w:rPr>
                    <w:t>50</w:t>
                  </w:r>
                </w:p>
              </w:tc>
              <w:tc>
                <w:tcPr>
                  <w:tcW w:w="655" w:type="dxa"/>
                  <w:vAlign w:val="center"/>
                </w:tcPr>
                <w:p w14:paraId="6355BA48">
                  <w:pPr>
                    <w:jc w:val="center"/>
                    <w:rPr>
                      <w:rFonts w:hint="default" w:eastAsia="宋体"/>
                      <w:u w:val="single"/>
                      <w:lang w:val="en-US" w:eastAsia="zh-CN"/>
                    </w:rPr>
                  </w:pPr>
                  <w:r>
                    <w:rPr>
                      <w:rFonts w:hint="eastAsia"/>
                      <w:u w:val="single"/>
                      <w:lang w:val="en-US" w:eastAsia="zh-CN"/>
                    </w:rPr>
                    <w:t>10</w:t>
                  </w:r>
                </w:p>
              </w:tc>
              <w:tc>
                <w:tcPr>
                  <w:tcW w:w="1268" w:type="dxa"/>
                  <w:vAlign w:val="center"/>
                </w:tcPr>
                <w:p w14:paraId="2CC5FAE1">
                  <w:pPr>
                    <w:jc w:val="center"/>
                    <w:rPr>
                      <w:rFonts w:hint="default" w:eastAsia="宋体"/>
                      <w:u w:val="single"/>
                      <w:lang w:val="en-US" w:eastAsia="zh-CN"/>
                    </w:rPr>
                  </w:pPr>
                  <w:r>
                    <w:rPr>
                      <w:rFonts w:hint="eastAsia"/>
                      <w:u w:val="single"/>
                      <w:lang w:val="en-US" w:eastAsia="zh-CN"/>
                    </w:rPr>
                    <w:t>原料区，粉状，袋装</w:t>
                  </w:r>
                </w:p>
              </w:tc>
              <w:tc>
                <w:tcPr>
                  <w:tcW w:w="2729" w:type="dxa"/>
                  <w:vAlign w:val="center"/>
                </w:tcPr>
                <w:p w14:paraId="2306D62C">
                  <w:pPr>
                    <w:jc w:val="center"/>
                  </w:pPr>
                  <w:r>
                    <w:t>外购</w:t>
                  </w:r>
                </w:p>
              </w:tc>
            </w:tr>
            <w:tr w14:paraId="7804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Merge w:val="restart"/>
                  <w:vAlign w:val="center"/>
                </w:tcPr>
                <w:p w14:paraId="4E1DA100">
                  <w:pPr>
                    <w:jc w:val="center"/>
                  </w:pPr>
                  <w:r>
                    <w:t>砂处理</w:t>
                  </w:r>
                </w:p>
              </w:tc>
              <w:tc>
                <w:tcPr>
                  <w:tcW w:w="1117" w:type="dxa"/>
                  <w:vAlign w:val="center"/>
                </w:tcPr>
                <w:p w14:paraId="5086662C">
                  <w:pPr>
                    <w:jc w:val="center"/>
                  </w:pPr>
                  <w:r>
                    <w:t>石英砂</w:t>
                  </w:r>
                </w:p>
              </w:tc>
              <w:tc>
                <w:tcPr>
                  <w:tcW w:w="1051" w:type="dxa"/>
                  <w:vAlign w:val="center"/>
                </w:tcPr>
                <w:p w14:paraId="4C82814A">
                  <w:pPr>
                    <w:jc w:val="center"/>
                    <w:rPr>
                      <w:rFonts w:hint="default" w:eastAsia="宋体"/>
                      <w:u w:val="single"/>
                      <w:lang w:val="en-US" w:eastAsia="zh-CN"/>
                    </w:rPr>
                  </w:pPr>
                  <w:r>
                    <w:rPr>
                      <w:rFonts w:hint="eastAsia"/>
                      <w:u w:val="single"/>
                    </w:rPr>
                    <w:t>10</w:t>
                  </w:r>
                  <w:r>
                    <w:rPr>
                      <w:rFonts w:hint="eastAsia"/>
                      <w:u w:val="single"/>
                      <w:lang w:val="en-US" w:eastAsia="zh-CN"/>
                    </w:rPr>
                    <w:t>0（年补充量）</w:t>
                  </w:r>
                </w:p>
              </w:tc>
              <w:tc>
                <w:tcPr>
                  <w:tcW w:w="655" w:type="dxa"/>
                  <w:vAlign w:val="center"/>
                </w:tcPr>
                <w:p w14:paraId="6F470216">
                  <w:pPr>
                    <w:jc w:val="center"/>
                    <w:rPr>
                      <w:rFonts w:hint="default" w:eastAsia="宋体"/>
                      <w:u w:val="single"/>
                      <w:lang w:val="en-US" w:eastAsia="zh-CN"/>
                    </w:rPr>
                  </w:pPr>
                  <w:r>
                    <w:rPr>
                      <w:rFonts w:hint="eastAsia"/>
                      <w:u w:val="single"/>
                      <w:lang w:val="en-US" w:eastAsia="zh-CN"/>
                    </w:rPr>
                    <w:t>10</w:t>
                  </w:r>
                </w:p>
              </w:tc>
              <w:tc>
                <w:tcPr>
                  <w:tcW w:w="1268" w:type="dxa"/>
                  <w:vAlign w:val="center"/>
                </w:tcPr>
                <w:p w14:paraId="6C59B020">
                  <w:pPr>
                    <w:jc w:val="center"/>
                    <w:rPr>
                      <w:u w:val="single"/>
                    </w:rPr>
                  </w:pPr>
                  <w:r>
                    <w:rPr>
                      <w:rFonts w:hint="eastAsia"/>
                      <w:u w:val="single"/>
                      <w:lang w:val="en-US" w:eastAsia="zh-CN"/>
                    </w:rPr>
                    <w:t>原料区，粉状，袋装</w:t>
                  </w:r>
                </w:p>
              </w:tc>
              <w:tc>
                <w:tcPr>
                  <w:tcW w:w="2729" w:type="dxa"/>
                  <w:vAlign w:val="center"/>
                </w:tcPr>
                <w:p w14:paraId="3EB5B324">
                  <w:pPr>
                    <w:jc w:val="center"/>
                  </w:pPr>
                  <w:r>
                    <w:t>外购</w:t>
                  </w:r>
                </w:p>
              </w:tc>
            </w:tr>
            <w:tr w14:paraId="5A5C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17" w:type="dxa"/>
                  <w:vMerge w:val="continue"/>
                  <w:vAlign w:val="center"/>
                </w:tcPr>
                <w:p w14:paraId="599A2EC4">
                  <w:pPr>
                    <w:jc w:val="center"/>
                  </w:pPr>
                </w:p>
              </w:tc>
              <w:tc>
                <w:tcPr>
                  <w:tcW w:w="1117" w:type="dxa"/>
                  <w:vAlign w:val="center"/>
                </w:tcPr>
                <w:p w14:paraId="15AA1625">
                  <w:pPr>
                    <w:jc w:val="center"/>
                  </w:pPr>
                  <w:r>
                    <w:t>膨润土</w:t>
                  </w:r>
                </w:p>
              </w:tc>
              <w:tc>
                <w:tcPr>
                  <w:tcW w:w="1051" w:type="dxa"/>
                  <w:vAlign w:val="center"/>
                </w:tcPr>
                <w:p w14:paraId="5CE1FD6D">
                  <w:pPr>
                    <w:jc w:val="center"/>
                    <w:rPr>
                      <w:u w:val="single"/>
                    </w:rPr>
                  </w:pPr>
                  <w:r>
                    <w:rPr>
                      <w:rFonts w:hint="eastAsia"/>
                      <w:u w:val="single"/>
                    </w:rPr>
                    <w:t>10</w:t>
                  </w:r>
                  <w:r>
                    <w:rPr>
                      <w:rFonts w:hint="eastAsia"/>
                      <w:u w:val="single"/>
                      <w:lang w:val="en-US" w:eastAsia="zh-CN"/>
                    </w:rPr>
                    <w:t>（年补充量）</w:t>
                  </w:r>
                </w:p>
              </w:tc>
              <w:tc>
                <w:tcPr>
                  <w:tcW w:w="655" w:type="dxa"/>
                  <w:vAlign w:val="center"/>
                </w:tcPr>
                <w:p w14:paraId="7714BEF8">
                  <w:pPr>
                    <w:jc w:val="center"/>
                    <w:rPr>
                      <w:rFonts w:hint="default" w:eastAsia="宋体"/>
                      <w:u w:val="single"/>
                      <w:lang w:val="en-US" w:eastAsia="zh-CN"/>
                    </w:rPr>
                  </w:pPr>
                  <w:r>
                    <w:rPr>
                      <w:rFonts w:hint="eastAsia"/>
                      <w:u w:val="single"/>
                      <w:lang w:val="en-US" w:eastAsia="zh-CN"/>
                    </w:rPr>
                    <w:t>0.2</w:t>
                  </w:r>
                </w:p>
              </w:tc>
              <w:tc>
                <w:tcPr>
                  <w:tcW w:w="1268" w:type="dxa"/>
                  <w:vAlign w:val="center"/>
                </w:tcPr>
                <w:p w14:paraId="73B12AF4">
                  <w:pPr>
                    <w:jc w:val="center"/>
                    <w:rPr>
                      <w:u w:val="single"/>
                    </w:rPr>
                  </w:pPr>
                  <w:r>
                    <w:rPr>
                      <w:rFonts w:hint="eastAsia"/>
                      <w:u w:val="single"/>
                      <w:lang w:val="en-US" w:eastAsia="zh-CN"/>
                    </w:rPr>
                    <w:t>原料区，粉状，袋装</w:t>
                  </w:r>
                </w:p>
              </w:tc>
              <w:tc>
                <w:tcPr>
                  <w:tcW w:w="2729" w:type="dxa"/>
                  <w:vAlign w:val="center"/>
                </w:tcPr>
                <w:p w14:paraId="683D4387">
                  <w:pPr>
                    <w:jc w:val="center"/>
                  </w:pPr>
                  <w:r>
                    <w:t>外购</w:t>
                  </w:r>
                </w:p>
              </w:tc>
            </w:tr>
            <w:tr w14:paraId="1E4A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17" w:type="dxa"/>
                  <w:vMerge w:val="continue"/>
                  <w:vAlign w:val="center"/>
                </w:tcPr>
                <w:p w14:paraId="16FAD8BA">
                  <w:pPr>
                    <w:jc w:val="center"/>
                  </w:pPr>
                </w:p>
              </w:tc>
              <w:tc>
                <w:tcPr>
                  <w:tcW w:w="1117" w:type="dxa"/>
                  <w:vAlign w:val="center"/>
                </w:tcPr>
                <w:p w14:paraId="16CBE32F">
                  <w:pPr>
                    <w:jc w:val="center"/>
                  </w:pPr>
                  <w:r>
                    <w:t>煤粉</w:t>
                  </w:r>
                </w:p>
              </w:tc>
              <w:tc>
                <w:tcPr>
                  <w:tcW w:w="1051" w:type="dxa"/>
                  <w:vAlign w:val="center"/>
                </w:tcPr>
                <w:p w14:paraId="6FE9C9A5">
                  <w:pPr>
                    <w:jc w:val="center"/>
                    <w:rPr>
                      <w:u w:val="single"/>
                    </w:rPr>
                  </w:pPr>
                  <w:r>
                    <w:rPr>
                      <w:rFonts w:hint="eastAsia"/>
                      <w:u w:val="single"/>
                    </w:rPr>
                    <w:t>10</w:t>
                  </w:r>
                  <w:r>
                    <w:rPr>
                      <w:rFonts w:hint="eastAsia"/>
                      <w:u w:val="single"/>
                      <w:lang w:val="en-US" w:eastAsia="zh-CN"/>
                    </w:rPr>
                    <w:t>（年补充量）</w:t>
                  </w:r>
                </w:p>
              </w:tc>
              <w:tc>
                <w:tcPr>
                  <w:tcW w:w="655" w:type="dxa"/>
                  <w:vAlign w:val="center"/>
                </w:tcPr>
                <w:p w14:paraId="3BD5A858">
                  <w:pPr>
                    <w:jc w:val="center"/>
                    <w:rPr>
                      <w:rFonts w:hint="default" w:eastAsia="宋体"/>
                      <w:u w:val="single"/>
                      <w:lang w:val="en-US" w:eastAsia="zh-CN"/>
                    </w:rPr>
                  </w:pPr>
                  <w:r>
                    <w:rPr>
                      <w:rFonts w:hint="eastAsia"/>
                      <w:u w:val="single"/>
                      <w:lang w:val="en-US" w:eastAsia="zh-CN"/>
                    </w:rPr>
                    <w:t>0.2</w:t>
                  </w:r>
                </w:p>
              </w:tc>
              <w:tc>
                <w:tcPr>
                  <w:tcW w:w="1268" w:type="dxa"/>
                  <w:vAlign w:val="center"/>
                </w:tcPr>
                <w:p w14:paraId="72435742">
                  <w:pPr>
                    <w:jc w:val="center"/>
                    <w:rPr>
                      <w:u w:val="single"/>
                    </w:rPr>
                  </w:pPr>
                  <w:r>
                    <w:rPr>
                      <w:rFonts w:hint="eastAsia"/>
                      <w:u w:val="single"/>
                      <w:lang w:val="en-US" w:eastAsia="zh-CN"/>
                    </w:rPr>
                    <w:t>原料区，粉状，袋装</w:t>
                  </w:r>
                </w:p>
              </w:tc>
              <w:tc>
                <w:tcPr>
                  <w:tcW w:w="2729" w:type="dxa"/>
                  <w:vAlign w:val="center"/>
                </w:tcPr>
                <w:p w14:paraId="31003425">
                  <w:pPr>
                    <w:jc w:val="center"/>
                  </w:pPr>
                  <w:r>
                    <w:t>外购</w:t>
                  </w:r>
                </w:p>
              </w:tc>
            </w:tr>
            <w:tr w14:paraId="6D8A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17" w:type="dxa"/>
                  <w:vMerge w:val="restart"/>
                  <w:vAlign w:val="center"/>
                </w:tcPr>
                <w:p w14:paraId="790F48C8">
                  <w:pPr>
                    <w:jc w:val="center"/>
                  </w:pPr>
                  <w:r>
                    <w:rPr>
                      <w:rFonts w:hint="eastAsia"/>
                    </w:rPr>
                    <w:t>设备维护</w:t>
                  </w:r>
                </w:p>
              </w:tc>
              <w:tc>
                <w:tcPr>
                  <w:tcW w:w="1117" w:type="dxa"/>
                  <w:vAlign w:val="center"/>
                </w:tcPr>
                <w:p w14:paraId="74F8D46D">
                  <w:pPr>
                    <w:jc w:val="center"/>
                    <w:rPr>
                      <w:rFonts w:hint="eastAsia" w:eastAsia="宋体"/>
                      <w:lang w:val="en-US" w:eastAsia="zh-CN"/>
                    </w:rPr>
                  </w:pPr>
                  <w:r>
                    <w:rPr>
                      <w:rFonts w:hint="eastAsia"/>
                      <w:lang w:val="en-US" w:eastAsia="zh-CN"/>
                    </w:rPr>
                    <w:t>润滑油</w:t>
                  </w:r>
                </w:p>
              </w:tc>
              <w:tc>
                <w:tcPr>
                  <w:tcW w:w="1051" w:type="dxa"/>
                  <w:vAlign w:val="center"/>
                </w:tcPr>
                <w:p w14:paraId="427291B0">
                  <w:pPr>
                    <w:jc w:val="center"/>
                    <w:rPr>
                      <w:rFonts w:hint="default" w:eastAsia="宋体"/>
                      <w:u w:val="single"/>
                      <w:lang w:val="en-US" w:eastAsia="zh-CN"/>
                    </w:rPr>
                  </w:pPr>
                  <w:r>
                    <w:rPr>
                      <w:rFonts w:hint="eastAsia"/>
                      <w:u w:val="single"/>
                      <w:lang w:val="en-US" w:eastAsia="zh-CN"/>
                    </w:rPr>
                    <w:t>0.75</w:t>
                  </w:r>
                </w:p>
              </w:tc>
              <w:tc>
                <w:tcPr>
                  <w:tcW w:w="655" w:type="dxa"/>
                  <w:vAlign w:val="center"/>
                </w:tcPr>
                <w:p w14:paraId="58182966">
                  <w:pPr>
                    <w:jc w:val="center"/>
                    <w:rPr>
                      <w:rFonts w:hint="default" w:eastAsia="宋体"/>
                      <w:u w:val="single"/>
                      <w:lang w:val="en-US" w:eastAsia="zh-CN"/>
                    </w:rPr>
                  </w:pPr>
                  <w:r>
                    <w:rPr>
                      <w:rFonts w:hint="eastAsia"/>
                      <w:u w:val="single"/>
                      <w:lang w:val="en-US" w:eastAsia="zh-CN"/>
                    </w:rPr>
                    <w:t>0.075</w:t>
                  </w:r>
                </w:p>
              </w:tc>
              <w:tc>
                <w:tcPr>
                  <w:tcW w:w="1268" w:type="dxa"/>
                  <w:vAlign w:val="center"/>
                </w:tcPr>
                <w:p w14:paraId="5721170F">
                  <w:pPr>
                    <w:jc w:val="center"/>
                    <w:rPr>
                      <w:rFonts w:hint="default" w:eastAsia="宋体"/>
                      <w:u w:val="single"/>
                      <w:lang w:val="en-US" w:eastAsia="zh-CN"/>
                    </w:rPr>
                  </w:pPr>
                  <w:r>
                    <w:rPr>
                      <w:rFonts w:hint="eastAsia"/>
                      <w:u w:val="single"/>
                      <w:lang w:val="en-US" w:eastAsia="zh-CN"/>
                    </w:rPr>
                    <w:t>设备，液态，桶装</w:t>
                  </w:r>
                </w:p>
              </w:tc>
              <w:tc>
                <w:tcPr>
                  <w:tcW w:w="2729" w:type="dxa"/>
                  <w:vAlign w:val="center"/>
                </w:tcPr>
                <w:p w14:paraId="4980C89C">
                  <w:pPr>
                    <w:jc w:val="center"/>
                  </w:pPr>
                  <w:r>
                    <w:t>外购</w:t>
                  </w:r>
                </w:p>
              </w:tc>
            </w:tr>
            <w:tr w14:paraId="49E6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17" w:type="dxa"/>
                  <w:vMerge w:val="continue"/>
                  <w:vAlign w:val="center"/>
                </w:tcPr>
                <w:p w14:paraId="11FDEFE2">
                  <w:pPr>
                    <w:jc w:val="center"/>
                  </w:pPr>
                </w:p>
              </w:tc>
              <w:tc>
                <w:tcPr>
                  <w:tcW w:w="1117" w:type="dxa"/>
                  <w:vAlign w:val="center"/>
                </w:tcPr>
                <w:p w14:paraId="62A8E0E1">
                  <w:pPr>
                    <w:jc w:val="center"/>
                  </w:pPr>
                  <w:r>
                    <w:rPr>
                      <w:rFonts w:hint="eastAsia"/>
                    </w:rPr>
                    <w:t>活性炭</w:t>
                  </w:r>
                </w:p>
              </w:tc>
              <w:tc>
                <w:tcPr>
                  <w:tcW w:w="1051" w:type="dxa"/>
                  <w:vAlign w:val="center"/>
                </w:tcPr>
                <w:p w14:paraId="5325991D">
                  <w:pPr>
                    <w:jc w:val="center"/>
                    <w:rPr>
                      <w:rFonts w:hint="default" w:eastAsia="宋体"/>
                      <w:color w:val="auto"/>
                      <w:highlight w:val="none"/>
                      <w:u w:val="single"/>
                      <w:lang w:val="en-US" w:eastAsia="zh-CN"/>
                    </w:rPr>
                  </w:pPr>
                  <w:r>
                    <w:rPr>
                      <w:rFonts w:hint="eastAsia"/>
                      <w:color w:val="auto"/>
                      <w:highlight w:val="none"/>
                      <w:u w:val="single"/>
                      <w:lang w:val="en-US" w:eastAsia="zh-CN"/>
                    </w:rPr>
                    <w:t>4.49</w:t>
                  </w:r>
                </w:p>
              </w:tc>
              <w:tc>
                <w:tcPr>
                  <w:tcW w:w="655" w:type="dxa"/>
                  <w:vAlign w:val="center"/>
                </w:tcPr>
                <w:p w14:paraId="733C9224">
                  <w:pPr>
                    <w:jc w:val="center"/>
                    <w:rPr>
                      <w:rFonts w:hint="default" w:eastAsia="宋体"/>
                      <w:color w:val="auto"/>
                      <w:highlight w:val="none"/>
                      <w:u w:val="single"/>
                      <w:lang w:val="en-US" w:eastAsia="zh-CN"/>
                    </w:rPr>
                  </w:pPr>
                  <w:r>
                    <w:rPr>
                      <w:rFonts w:hint="eastAsia"/>
                      <w:color w:val="auto"/>
                      <w:highlight w:val="none"/>
                      <w:u w:val="single"/>
                      <w:lang w:val="en-US" w:eastAsia="zh-CN"/>
                    </w:rPr>
                    <w:t>/</w:t>
                  </w:r>
                </w:p>
              </w:tc>
              <w:tc>
                <w:tcPr>
                  <w:tcW w:w="1268" w:type="dxa"/>
                  <w:vAlign w:val="center"/>
                </w:tcPr>
                <w:p w14:paraId="5D29333B">
                  <w:pPr>
                    <w:jc w:val="center"/>
                    <w:rPr>
                      <w:rFonts w:hint="default" w:eastAsia="宋体"/>
                      <w:highlight w:val="yellow"/>
                      <w:u w:val="single"/>
                      <w:lang w:val="en-US" w:eastAsia="zh-CN"/>
                    </w:rPr>
                  </w:pPr>
                  <w:r>
                    <w:rPr>
                      <w:rFonts w:hint="eastAsia"/>
                      <w:highlight w:val="none"/>
                      <w:u w:val="single"/>
                      <w:lang w:val="en-US" w:eastAsia="zh-CN"/>
                    </w:rPr>
                    <w:t>原料区，固态，袋装</w:t>
                  </w:r>
                </w:p>
              </w:tc>
              <w:tc>
                <w:tcPr>
                  <w:tcW w:w="2729" w:type="dxa"/>
                  <w:vAlign w:val="center"/>
                </w:tcPr>
                <w:p w14:paraId="47347973">
                  <w:pPr>
                    <w:jc w:val="center"/>
                  </w:pPr>
                  <w:r>
                    <w:t>外购</w:t>
                  </w:r>
                </w:p>
              </w:tc>
            </w:tr>
            <w:tr w14:paraId="7117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17" w:type="dxa"/>
                  <w:vMerge w:val="restart"/>
                  <w:vAlign w:val="center"/>
                </w:tcPr>
                <w:p w14:paraId="607FA711">
                  <w:pPr>
                    <w:jc w:val="center"/>
                  </w:pPr>
                  <w:r>
                    <w:t>资源消耗</w:t>
                  </w:r>
                </w:p>
              </w:tc>
              <w:tc>
                <w:tcPr>
                  <w:tcW w:w="1117" w:type="dxa"/>
                  <w:vAlign w:val="center"/>
                </w:tcPr>
                <w:p w14:paraId="0A010E5C">
                  <w:pPr>
                    <w:jc w:val="center"/>
                    <w:rPr>
                      <w:highlight w:val="none"/>
                      <w:u w:val="none"/>
                    </w:rPr>
                  </w:pPr>
                  <w:r>
                    <w:rPr>
                      <w:highlight w:val="none"/>
                      <w:u w:val="none"/>
                    </w:rPr>
                    <w:t>水</w:t>
                  </w:r>
                </w:p>
              </w:tc>
              <w:tc>
                <w:tcPr>
                  <w:tcW w:w="1051" w:type="dxa"/>
                  <w:vAlign w:val="center"/>
                </w:tcPr>
                <w:p w14:paraId="6E188A94">
                  <w:pPr>
                    <w:jc w:val="center"/>
                    <w:rPr>
                      <w:rFonts w:hint="default" w:eastAsia="宋体"/>
                      <w:highlight w:val="none"/>
                      <w:u w:val="none"/>
                      <w:lang w:val="en-US" w:eastAsia="zh-CN"/>
                    </w:rPr>
                  </w:pPr>
                  <w:r>
                    <w:rPr>
                      <w:rFonts w:hint="eastAsia"/>
                      <w:highlight w:val="none"/>
                      <w:u w:val="none"/>
                      <w:lang w:val="en-US" w:eastAsia="zh-CN"/>
                    </w:rPr>
                    <w:t>1180</w:t>
                  </w:r>
                </w:p>
              </w:tc>
              <w:tc>
                <w:tcPr>
                  <w:tcW w:w="655" w:type="dxa"/>
                  <w:vAlign w:val="center"/>
                </w:tcPr>
                <w:p w14:paraId="0D57363F">
                  <w:pPr>
                    <w:jc w:val="center"/>
                    <w:rPr>
                      <w:rFonts w:hint="default" w:eastAsia="宋体"/>
                      <w:u w:val="none"/>
                      <w:lang w:val="en-US" w:eastAsia="zh-CN"/>
                    </w:rPr>
                  </w:pPr>
                  <w:r>
                    <w:rPr>
                      <w:rFonts w:hint="eastAsia"/>
                      <w:u w:val="none"/>
                      <w:lang w:val="en-US" w:eastAsia="zh-CN"/>
                    </w:rPr>
                    <w:t>/</w:t>
                  </w:r>
                </w:p>
              </w:tc>
              <w:tc>
                <w:tcPr>
                  <w:tcW w:w="1268" w:type="dxa"/>
                  <w:vAlign w:val="center"/>
                </w:tcPr>
                <w:p w14:paraId="01F34B56">
                  <w:pPr>
                    <w:jc w:val="center"/>
                    <w:rPr>
                      <w:u w:val="none"/>
                    </w:rPr>
                  </w:pPr>
                  <w:r>
                    <w:rPr>
                      <w:rFonts w:hint="eastAsia"/>
                      <w:u w:val="none"/>
                      <w:lang w:val="en-US" w:eastAsia="zh-CN"/>
                    </w:rPr>
                    <w:t>/</w:t>
                  </w:r>
                </w:p>
              </w:tc>
              <w:tc>
                <w:tcPr>
                  <w:tcW w:w="2729" w:type="dxa"/>
                  <w:vAlign w:val="center"/>
                </w:tcPr>
                <w:p w14:paraId="16547215">
                  <w:pPr>
                    <w:jc w:val="center"/>
                  </w:pPr>
                  <w:r>
                    <w:t>园区自来水管网供给</w:t>
                  </w:r>
                </w:p>
              </w:tc>
            </w:tr>
            <w:tr w14:paraId="3CF2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17" w:type="dxa"/>
                  <w:vMerge w:val="continue"/>
                  <w:vAlign w:val="center"/>
                </w:tcPr>
                <w:p w14:paraId="750A2EFB">
                  <w:pPr>
                    <w:jc w:val="center"/>
                  </w:pPr>
                </w:p>
              </w:tc>
              <w:tc>
                <w:tcPr>
                  <w:tcW w:w="1117" w:type="dxa"/>
                  <w:vAlign w:val="center"/>
                </w:tcPr>
                <w:p w14:paraId="5EF776D1">
                  <w:pPr>
                    <w:jc w:val="center"/>
                    <w:rPr>
                      <w:highlight w:val="none"/>
                      <w:u w:val="none"/>
                    </w:rPr>
                  </w:pPr>
                  <w:r>
                    <w:rPr>
                      <w:highlight w:val="none"/>
                      <w:u w:val="none"/>
                    </w:rPr>
                    <w:t>电</w:t>
                  </w:r>
                </w:p>
              </w:tc>
              <w:tc>
                <w:tcPr>
                  <w:tcW w:w="1051" w:type="dxa"/>
                  <w:vAlign w:val="center"/>
                </w:tcPr>
                <w:p w14:paraId="52B22B9F">
                  <w:pPr>
                    <w:jc w:val="center"/>
                    <w:rPr>
                      <w:highlight w:val="none"/>
                      <w:u w:val="none"/>
                    </w:rPr>
                  </w:pPr>
                  <w:r>
                    <w:rPr>
                      <w:highlight w:val="none"/>
                      <w:u w:val="none"/>
                    </w:rPr>
                    <w:t>500</w:t>
                  </w:r>
                </w:p>
              </w:tc>
              <w:tc>
                <w:tcPr>
                  <w:tcW w:w="655" w:type="dxa"/>
                  <w:vAlign w:val="center"/>
                </w:tcPr>
                <w:p w14:paraId="4FE3A32A">
                  <w:pPr>
                    <w:jc w:val="center"/>
                    <w:rPr>
                      <w:u w:val="none"/>
                    </w:rPr>
                  </w:pPr>
                  <w:r>
                    <w:rPr>
                      <w:rFonts w:hint="eastAsia"/>
                      <w:u w:val="none"/>
                      <w:lang w:val="en-US" w:eastAsia="zh-CN"/>
                    </w:rPr>
                    <w:t>/</w:t>
                  </w:r>
                </w:p>
              </w:tc>
              <w:tc>
                <w:tcPr>
                  <w:tcW w:w="1268" w:type="dxa"/>
                  <w:vAlign w:val="center"/>
                </w:tcPr>
                <w:p w14:paraId="6D50957D">
                  <w:pPr>
                    <w:jc w:val="center"/>
                    <w:rPr>
                      <w:u w:val="none"/>
                    </w:rPr>
                  </w:pPr>
                  <w:r>
                    <w:rPr>
                      <w:rFonts w:hint="eastAsia"/>
                      <w:u w:val="none"/>
                      <w:lang w:val="en-US" w:eastAsia="zh-CN"/>
                    </w:rPr>
                    <w:t>/</w:t>
                  </w:r>
                </w:p>
              </w:tc>
              <w:tc>
                <w:tcPr>
                  <w:tcW w:w="2729" w:type="dxa"/>
                  <w:vAlign w:val="center"/>
                </w:tcPr>
                <w:p w14:paraId="03DF49AA">
                  <w:pPr>
                    <w:jc w:val="center"/>
                  </w:pPr>
                  <w:r>
                    <w:t>园区电网供给</w:t>
                  </w:r>
                </w:p>
              </w:tc>
            </w:tr>
          </w:tbl>
          <w:p w14:paraId="33F417CB">
            <w:pPr>
              <w:ind w:firstLine="422" w:firstLineChars="200"/>
              <w:jc w:val="center"/>
              <w:rPr>
                <w:rFonts w:hint="default" w:ascii="Times New Roman" w:hAnsi="Times New Roman" w:eastAsia="宋体" w:cs="Times New Roman"/>
                <w:b/>
                <w:bCs/>
              </w:rPr>
            </w:pPr>
            <w:r>
              <w:rPr>
                <w:rFonts w:hint="default" w:ascii="Times New Roman" w:hAnsi="Times New Roman" w:eastAsia="宋体" w:cs="Times New Roman"/>
                <w:b/>
                <w:bCs/>
              </w:rPr>
              <w:t>表2-5  主要原辅材料性质</w:t>
            </w:r>
          </w:p>
          <w:tbl>
            <w:tblPr>
              <w:tblStyle w:val="22"/>
              <w:tblW w:w="7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6530"/>
            </w:tblGrid>
            <w:tr w14:paraId="2D91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14:paraId="3AC04E21">
                  <w:pPr>
                    <w:jc w:val="center"/>
                    <w:textAlignment w:val="center"/>
                  </w:pPr>
                  <w:r>
                    <w:t>材料名称</w:t>
                  </w:r>
                </w:p>
              </w:tc>
              <w:tc>
                <w:tcPr>
                  <w:tcW w:w="6530" w:type="dxa"/>
                  <w:vAlign w:val="center"/>
                </w:tcPr>
                <w:p w14:paraId="121CDE74">
                  <w:pPr>
                    <w:jc w:val="center"/>
                    <w:textAlignment w:val="center"/>
                  </w:pPr>
                  <w:r>
                    <w:t>材料性质</w:t>
                  </w:r>
                </w:p>
              </w:tc>
            </w:tr>
            <w:tr w14:paraId="72A4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14:paraId="69F14D43">
                  <w:pPr>
                    <w:jc w:val="center"/>
                    <w:textAlignment w:val="center"/>
                  </w:pPr>
                  <w:r>
                    <w:t>覆膜砂</w:t>
                  </w:r>
                </w:p>
              </w:tc>
              <w:tc>
                <w:tcPr>
                  <w:tcW w:w="6530" w:type="dxa"/>
                  <w:vAlign w:val="center"/>
                </w:tcPr>
                <w:p w14:paraId="79A4E6A7">
                  <w:pPr>
                    <w:jc w:val="center"/>
                    <w:textAlignment w:val="center"/>
                    <w:rPr>
                      <w:rFonts w:hint="eastAsia" w:eastAsia="宋体"/>
                      <w:lang w:eastAsia="zh-CN"/>
                    </w:rPr>
                  </w:pPr>
                  <w:r>
                    <w:t>覆膜砂主要由硅砂或者特殊砂占95%</w:t>
                  </w:r>
                  <w:r>
                    <w:rPr>
                      <w:rFonts w:hint="eastAsia"/>
                      <w:lang w:eastAsia="zh-CN"/>
                    </w:rPr>
                    <w:t>～</w:t>
                  </w:r>
                  <w:r>
                    <w:t>99%，树脂占1%</w:t>
                  </w:r>
                  <w:r>
                    <w:rPr>
                      <w:rFonts w:hint="eastAsia"/>
                      <w:lang w:eastAsia="zh-CN"/>
                    </w:rPr>
                    <w:t>～</w:t>
                  </w:r>
                  <w:r>
                    <w:t>5%，乌洛托品占10%</w:t>
                  </w:r>
                  <w:r>
                    <w:rPr>
                      <w:rFonts w:hint="eastAsia"/>
                      <w:lang w:eastAsia="zh-CN"/>
                    </w:rPr>
                    <w:t>～</w:t>
                  </w:r>
                  <w:r>
                    <w:t>20%，微量的硬脂酸钙以及少量的添加剂组成。</w:t>
                  </w:r>
                  <w:r>
                    <w:rPr>
                      <w:rFonts w:hint="eastAsia"/>
                      <w:color w:val="auto"/>
                      <w:highlight w:val="none"/>
                    </w:rPr>
                    <w:t>乌洛托品是固化剂，用于加速树脂的固化过程。化学式：C</w:t>
                  </w:r>
                  <w:r>
                    <w:rPr>
                      <w:rFonts w:hint="eastAsia"/>
                      <w:color w:val="auto"/>
                      <w:highlight w:val="none"/>
                      <w:vertAlign w:val="subscript"/>
                    </w:rPr>
                    <w:t>6</w:t>
                  </w:r>
                  <w:r>
                    <w:rPr>
                      <w:rFonts w:hint="eastAsia"/>
                      <w:color w:val="auto"/>
                      <w:highlight w:val="none"/>
                    </w:rPr>
                    <w:t>H</w:t>
                  </w:r>
                  <w:r>
                    <w:rPr>
                      <w:rFonts w:hint="eastAsia"/>
                      <w:color w:val="auto"/>
                      <w:highlight w:val="none"/>
                      <w:vertAlign w:val="subscript"/>
                    </w:rPr>
                    <w:t>12</w:t>
                  </w:r>
                  <w:r>
                    <w:rPr>
                      <w:rFonts w:hint="eastAsia"/>
                      <w:color w:val="auto"/>
                      <w:highlight w:val="none"/>
                    </w:rPr>
                    <w:t>N</w:t>
                  </w:r>
                  <w:r>
                    <w:rPr>
                      <w:rFonts w:hint="eastAsia"/>
                      <w:color w:val="auto"/>
                      <w:highlight w:val="none"/>
                      <w:vertAlign w:val="subscript"/>
                    </w:rPr>
                    <w:t>4</w:t>
                  </w:r>
                  <w:r>
                    <w:rPr>
                      <w:rFonts w:hint="eastAsia"/>
                      <w:color w:val="auto"/>
                      <w:highlight w:val="none"/>
                    </w:rPr>
                    <w:t>（别称：六亚甲基四胺或六次甲基四胺）为白色吸湿性结晶粉末或无色有光泽的菱形结晶体</w:t>
                  </w:r>
                  <w:r>
                    <w:rPr>
                      <w:rFonts w:hint="eastAsia"/>
                      <w:color w:val="auto"/>
                      <w:highlight w:val="none"/>
                      <w:lang w:eastAsia="zh-CN"/>
                    </w:rPr>
                    <w:t>；树脂一般是热塑性酚醛类树脂，起到粘合作用，负责将砂粒粘合在一起</w:t>
                  </w:r>
                </w:p>
              </w:tc>
            </w:tr>
            <w:tr w14:paraId="6036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14:paraId="6A8CC8A2">
                  <w:pPr>
                    <w:jc w:val="center"/>
                    <w:textAlignment w:val="center"/>
                  </w:pPr>
                  <w:r>
                    <w:t>球化剂</w:t>
                  </w:r>
                </w:p>
              </w:tc>
              <w:tc>
                <w:tcPr>
                  <w:tcW w:w="6530" w:type="dxa"/>
                  <w:vAlign w:val="center"/>
                </w:tcPr>
                <w:p w14:paraId="054B6B15">
                  <w:pPr>
                    <w:jc w:val="center"/>
                    <w:textAlignment w:val="center"/>
                  </w:pPr>
                  <w:r>
                    <w:t>可促进球墨铸铁中石墨结晶成球形的添加剂，主要由镁、稀土、硅、钙、钡、铁等元素构成。通常为灰黑色固体，</w:t>
                  </w:r>
                  <w:r>
                    <w:rPr>
                      <w:rFonts w:hint="eastAsia"/>
                      <w:lang w:eastAsia="zh-CN"/>
                    </w:rPr>
                    <w:t>浇注</w:t>
                  </w:r>
                  <w:r>
                    <w:t>厚度不超过100mm。</w:t>
                  </w:r>
                </w:p>
              </w:tc>
            </w:tr>
            <w:tr w14:paraId="4888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14:paraId="45D91AD3">
                  <w:pPr>
                    <w:jc w:val="center"/>
                    <w:textAlignment w:val="center"/>
                  </w:pPr>
                  <w:r>
                    <w:t>孕育剂</w:t>
                  </w:r>
                </w:p>
              </w:tc>
              <w:tc>
                <w:tcPr>
                  <w:tcW w:w="6530" w:type="dxa"/>
                  <w:vAlign w:val="center"/>
                </w:tcPr>
                <w:p w14:paraId="3388BA21">
                  <w:pPr>
                    <w:jc w:val="center"/>
                    <w:textAlignment w:val="center"/>
                  </w:pPr>
                  <w:r>
                    <w:t>可促进石墨球化，减小晶间偏析，处理对于球墨铸铁材料的强韧性具有决定性作用</w:t>
                  </w:r>
                  <w:r>
                    <w:rPr>
                      <w:rFonts w:hint="eastAsia"/>
                    </w:rPr>
                    <w:t>，通常使用75铁硅，灰黑色固体，铝含量的上限值分别为0.5％、1.0％、1.5%和2.0％，含钙量的上限值为1.0％。</w:t>
                  </w:r>
                </w:p>
              </w:tc>
            </w:tr>
            <w:tr w14:paraId="4F83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9" w:type="dxa"/>
                  <w:vAlign w:val="center"/>
                </w:tcPr>
                <w:p w14:paraId="47A32626">
                  <w:pPr>
                    <w:jc w:val="center"/>
                    <w:textAlignment w:val="center"/>
                  </w:pPr>
                  <w:r>
                    <w:rPr>
                      <w:rFonts w:hint="eastAsia"/>
                    </w:rPr>
                    <w:t>膨润土</w:t>
                  </w:r>
                </w:p>
              </w:tc>
              <w:tc>
                <w:tcPr>
                  <w:tcW w:w="6530" w:type="dxa"/>
                  <w:vAlign w:val="center"/>
                </w:tcPr>
                <w:p w14:paraId="18C5FB3B">
                  <w:pPr>
                    <w:jc w:val="center"/>
                    <w:textAlignment w:val="center"/>
                  </w:pPr>
                  <w:r>
                    <w:rPr>
                      <w:rFonts w:hint="eastAsia"/>
                    </w:rPr>
                    <w:t>膨润土</w:t>
                  </w:r>
                  <w:r>
                    <w:t>颜色一般为白色</w:t>
                  </w:r>
                  <w:r>
                    <w:rPr>
                      <w:rFonts w:hint="eastAsia"/>
                    </w:rPr>
                    <w:t>，是</w:t>
                  </w:r>
                  <w:r>
                    <w:t>以蒙脱石</w:t>
                  </w:r>
                  <w:r>
                    <w:rPr>
                      <w:rFonts w:hint="eastAsia"/>
                      <w:lang w:eastAsia="zh-CN"/>
                    </w:rPr>
                    <w:t>（</w:t>
                  </w:r>
                  <w:r>
                    <w:t>也称微晶高岭石、胶岭石</w:t>
                  </w:r>
                  <w:r>
                    <w:rPr>
                      <w:rFonts w:hint="eastAsia"/>
                      <w:lang w:eastAsia="zh-CN"/>
                    </w:rPr>
                    <w:t>）</w:t>
                  </w:r>
                  <w:r>
                    <w:t>为主要成分的粘土岩一蒙脱石粘土岩</w:t>
                  </w:r>
                  <w:r>
                    <w:rPr>
                      <w:rFonts w:hint="eastAsia"/>
                      <w:lang w:eastAsia="zh-CN"/>
                    </w:rPr>
                    <w:t>，</w:t>
                  </w:r>
                  <w:r>
                    <w:t>常含少量伊利石、高岭石及沸石、长石、方解石等。蒙脱石为少量碱及碱土金属的含水铝硅酸盐矿物。</w:t>
                  </w:r>
                  <w:r>
                    <w:rPr>
                      <w:rFonts w:hint="eastAsia"/>
                    </w:rPr>
                    <w:t>主要化学成分：二氧化硅</w:t>
                  </w:r>
                  <w:r>
                    <w:rPr>
                      <w:rFonts w:hint="eastAsia"/>
                      <w:lang w:eastAsia="zh-CN"/>
                    </w:rPr>
                    <w:t>（</w:t>
                  </w:r>
                  <w:r>
                    <w:rPr>
                      <w:rFonts w:hint="eastAsia"/>
                    </w:rPr>
                    <w:t>Si</w:t>
                  </w:r>
                  <w:r>
                    <w:rPr>
                      <w:rFonts w:hint="eastAsia"/>
                      <w:lang w:val="en-US" w:eastAsia="zh-CN"/>
                    </w:rPr>
                    <w:t>O</w:t>
                  </w:r>
                  <w:r>
                    <w:rPr>
                      <w:rFonts w:hint="eastAsia"/>
                      <w:vertAlign w:val="subscript"/>
                    </w:rPr>
                    <w:t>2</w:t>
                  </w:r>
                  <w:r>
                    <w:rPr>
                      <w:rFonts w:hint="eastAsia"/>
                      <w:lang w:eastAsia="zh-CN"/>
                    </w:rPr>
                    <w:t>），</w:t>
                  </w:r>
                  <w:r>
                    <w:rPr>
                      <w:rFonts w:hint="eastAsia"/>
                    </w:rPr>
                    <w:t>三氧化二铝</w:t>
                  </w:r>
                  <w:r>
                    <w:rPr>
                      <w:rFonts w:hint="eastAsia"/>
                      <w:lang w:eastAsia="zh-CN"/>
                    </w:rPr>
                    <w:t>（</w:t>
                  </w:r>
                  <w:r>
                    <w:rPr>
                      <w:rFonts w:hint="eastAsia"/>
                    </w:rPr>
                    <w:t>A1</w:t>
                  </w:r>
                  <w:r>
                    <w:rPr>
                      <w:rFonts w:hint="eastAsia"/>
                      <w:vertAlign w:val="subscript"/>
                    </w:rPr>
                    <w:t>2</w:t>
                  </w:r>
                  <w:r>
                    <w:rPr>
                      <w:rFonts w:hint="eastAsia"/>
                      <w:lang w:val="en-US" w:eastAsia="zh-CN"/>
                    </w:rPr>
                    <w:t>O</w:t>
                  </w:r>
                  <w:r>
                    <w:rPr>
                      <w:rFonts w:hint="eastAsia"/>
                      <w:vertAlign w:val="subscript"/>
                    </w:rPr>
                    <w:t>3</w:t>
                  </w:r>
                  <w:r>
                    <w:rPr>
                      <w:rFonts w:hint="eastAsia"/>
                      <w:lang w:eastAsia="zh-CN"/>
                    </w:rPr>
                    <w:t>）</w:t>
                  </w:r>
                  <w:r>
                    <w:rPr>
                      <w:rFonts w:hint="eastAsia"/>
                    </w:rPr>
                    <w:t>和水。氧化铁和氧化镁含量有时也较高。</w:t>
                  </w:r>
                </w:p>
              </w:tc>
            </w:tr>
            <w:tr w14:paraId="6C7F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14:paraId="438CBA49">
                  <w:pPr>
                    <w:jc w:val="center"/>
                    <w:textAlignment w:val="center"/>
                  </w:pPr>
                  <w:r>
                    <w:rPr>
                      <w:rFonts w:hint="eastAsia"/>
                    </w:rPr>
                    <w:t>煤粉</w:t>
                  </w:r>
                </w:p>
              </w:tc>
              <w:tc>
                <w:tcPr>
                  <w:tcW w:w="6530" w:type="dxa"/>
                  <w:vAlign w:val="center"/>
                </w:tcPr>
                <w:p w14:paraId="07687690">
                  <w:pPr>
                    <w:jc w:val="center"/>
                    <w:textAlignment w:val="center"/>
                  </w:pPr>
                  <w:r>
                    <w:t>煤粉是指粒度小于0.5毫米的煤，是铸铁型砂中最常采用的附加物。</w:t>
                  </w:r>
                  <w:r>
                    <w:fldChar w:fldCharType="begin"/>
                  </w:r>
                  <w:r>
                    <w:instrText xml:space="preserve"> HYPERLINK "https://baike.baidu.com/item/%E9%93%B8%E9%93%81/1994472" \t "https://baike.baidu.com/item/%E7%85%A4%E7%B2%89/_blank" </w:instrText>
                  </w:r>
                  <w:r>
                    <w:fldChar w:fldCharType="separate"/>
                  </w:r>
                  <w:r>
                    <w:t>铸铁</w:t>
                  </w:r>
                  <w:r>
                    <w:fldChar w:fldCharType="end"/>
                  </w:r>
                  <w:r>
                    <w:t>用湿</w:t>
                  </w:r>
                  <w:r>
                    <w:fldChar w:fldCharType="begin"/>
                  </w:r>
                  <w:r>
                    <w:instrText xml:space="preserve"> HYPERLINK "https://baike.baidu.com/item/%E5%9E%8B%E7%A0%82/1901571" \t "https://baike.baidu.com/item/%E7%85%A4%E7%B2%89/_blank" </w:instrText>
                  </w:r>
                  <w:r>
                    <w:fldChar w:fldCharType="separate"/>
                  </w:r>
                  <w:r>
                    <w:t>型砂</w:t>
                  </w:r>
                  <w:r>
                    <w:fldChar w:fldCharType="end"/>
                  </w:r>
                  <w:r>
                    <w:t>中加入煤粉，可以防止铸件表面粘砂缺陷，改善铸件的</w:t>
                  </w:r>
                  <w:r>
                    <w:fldChar w:fldCharType="begin"/>
                  </w:r>
                  <w:r>
                    <w:instrText xml:space="preserve"> HYPERLINK "https://baike.baidu.com/item/%E8%A1%A8%E9%9D%A2%E5%85%89%E6%B4%81%E5%BA%A6/3829007" \t "https://baike.baidu.com/item/%E7%85%A4%E7%B2%89/_blank" </w:instrText>
                  </w:r>
                  <w:r>
                    <w:fldChar w:fldCharType="separate"/>
                  </w:r>
                  <w:r>
                    <w:t>表面光洁度</w:t>
                  </w:r>
                  <w:r>
                    <w:fldChar w:fldCharType="end"/>
                  </w:r>
                  <w:r>
                    <w:t>，并能减少夹砂缺陷，改善型砂的溃散功能，对于湿型球铁件，</w:t>
                  </w:r>
                  <w:r>
                    <w:rPr>
                      <w:rFonts w:hint="eastAsia"/>
                      <w:lang w:eastAsia="zh-CN"/>
                    </w:rPr>
                    <w:t>还能有效地防止</w:t>
                  </w:r>
                  <w:r>
                    <w:t>产生</w:t>
                  </w:r>
                  <w:r>
                    <w:fldChar w:fldCharType="begin"/>
                  </w:r>
                  <w:r>
                    <w:instrText xml:space="preserve"> HYPERLINK "https://baike.baidu.com/item/%E7%9A%AE%E4%B8%8B%E6%B0%94%E5%AD%94/12729849" \t "https://baike.baidu.com/item/%E7%85%A4%E7%B2%89/_blank" </w:instrText>
                  </w:r>
                  <w:r>
                    <w:fldChar w:fldCharType="separate"/>
                  </w:r>
                  <w:r>
                    <w:t>皮下气孔</w:t>
                  </w:r>
                  <w:r>
                    <w:fldChar w:fldCharType="end"/>
                  </w:r>
                  <w:r>
                    <w:t>，可用圆形</w:t>
                  </w:r>
                  <w:r>
                    <w:fldChar w:fldCharType="begin"/>
                  </w:r>
                  <w:r>
                    <w:instrText xml:space="preserve"> HYPERLINK "https://baike.baidu.com/item/%E6%B6%A1%E6%B5%81/620414" \t "https://baike.baidu.com/item/%E7%85%A4%E7%B2%89/_blank" </w:instrText>
                  </w:r>
                  <w:r>
                    <w:fldChar w:fldCharType="separate"/>
                  </w:r>
                  <w:r>
                    <w:t>涡流</w:t>
                  </w:r>
                  <w:r>
                    <w:fldChar w:fldCharType="end"/>
                  </w:r>
                  <w:r>
                    <w:fldChar w:fldCharType="begin"/>
                  </w:r>
                  <w:r>
                    <w:instrText xml:space="preserve"> HYPERLINK "https://baike.baidu.com/item/%E7%87%83%E7%83%A7%E5%99%A8/9052252" \t "https://baike.baidu.com/item/%E7%85%A4%E7%B2%89/_blank" </w:instrText>
                  </w:r>
                  <w:r>
                    <w:fldChar w:fldCharType="separate"/>
                  </w:r>
                  <w:r>
                    <w:t>燃烧器</w:t>
                  </w:r>
                  <w:r>
                    <w:fldChar w:fldCharType="end"/>
                  </w:r>
                  <w:r>
                    <w:t>，空气不用预热。</w:t>
                  </w:r>
                </w:p>
              </w:tc>
            </w:tr>
            <w:tr w14:paraId="1A9A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14:paraId="11F31E0E">
                  <w:pPr>
                    <w:jc w:val="center"/>
                    <w:textAlignment w:val="center"/>
                  </w:pPr>
                  <w:r>
                    <w:t>石英砂</w:t>
                  </w:r>
                </w:p>
              </w:tc>
              <w:tc>
                <w:tcPr>
                  <w:tcW w:w="6530" w:type="dxa"/>
                  <w:vAlign w:val="center"/>
                </w:tcPr>
                <w:p w14:paraId="18E2B9ED">
                  <w:pPr>
                    <w:jc w:val="center"/>
                    <w:textAlignment w:val="center"/>
                  </w:pPr>
                  <w:r>
                    <w:t>石英砂是一种坚硬、耐磨、化学性能稳定的</w:t>
                  </w:r>
                  <w:r>
                    <w:fldChar w:fldCharType="begin"/>
                  </w:r>
                  <w:r>
                    <w:instrText xml:space="preserve"> HYPERLINK "https://baike.baidu.com/item/%E7%A1%85%E9%85%B8%E7%9B%90%E7%9F%BF%E7%89%A9" \t "https://baike.baidu.com/item/%E7%9F%B3%E8%8B%B1%E7%A0%82/_blank" </w:instrText>
                  </w:r>
                  <w:r>
                    <w:fldChar w:fldCharType="separate"/>
                  </w:r>
                  <w:r>
                    <w:t>硅酸盐矿物</w:t>
                  </w:r>
                  <w:r>
                    <w:fldChar w:fldCharType="end"/>
                  </w:r>
                  <w:r>
                    <w:t>，其主要</w:t>
                  </w:r>
                  <w:r>
                    <w:fldChar w:fldCharType="begin"/>
                  </w:r>
                  <w:r>
                    <w:instrText xml:space="preserve"> HYPERLINK "https://baike.baidu.com/item/%E7%9F%BF%E7%89%A9%E6%88%90%E5%88%86" \t "https://baike.baidu.com/item/%E7%9F%B3%E8%8B%B1%E7%A0%82/_blank" </w:instrText>
                  </w:r>
                  <w:r>
                    <w:fldChar w:fldCharType="separate"/>
                  </w:r>
                  <w:r>
                    <w:t>矿物成分</w:t>
                  </w:r>
                  <w:r>
                    <w:fldChar w:fldCharType="end"/>
                  </w:r>
                  <w:r>
                    <w:t>是SiO2，石英砂的颜色为</w:t>
                  </w:r>
                  <w:r>
                    <w:fldChar w:fldCharType="begin"/>
                  </w:r>
                  <w:r>
                    <w:instrText xml:space="preserve"> HYPERLINK "https://baike.baidu.com/item/%E4%B9%B3%E7%99%BD" \t "https://baike.baidu.com/item/%E7%9F%B3%E8%8B%B1%E7%A0%82/_blank" </w:instrText>
                  </w:r>
                  <w:r>
                    <w:fldChar w:fldCharType="separate"/>
                  </w:r>
                  <w:r>
                    <w:t>乳白</w:t>
                  </w:r>
                  <w:r>
                    <w:fldChar w:fldCharType="end"/>
                  </w:r>
                  <w:r>
                    <w:t>色</w:t>
                  </w:r>
                  <w:r>
                    <w:rPr>
                      <w:rFonts w:hint="eastAsia"/>
                      <w:lang w:eastAsia="zh-CN"/>
                    </w:rPr>
                    <w:t>或</w:t>
                  </w:r>
                  <w:r>
                    <w:t>无色半透明状，硬度7，性脆无</w:t>
                  </w:r>
                  <w:r>
                    <w:fldChar w:fldCharType="begin"/>
                  </w:r>
                  <w:r>
                    <w:instrText xml:space="preserve"> HYPERLINK "https://baike.baidu.com/item/%E8%A7%A3%E7%90%86" \t "https://baike.baidu.com/item/%E7%9F%B3%E8%8B%B1%E7%A0%82/_blank" </w:instrText>
                  </w:r>
                  <w:r>
                    <w:fldChar w:fldCharType="separate"/>
                  </w:r>
                  <w:r>
                    <w:t>解理</w:t>
                  </w:r>
                  <w:r>
                    <w:fldChar w:fldCharType="end"/>
                  </w:r>
                  <w:r>
                    <w:t>，</w:t>
                  </w:r>
                  <w:r>
                    <w:fldChar w:fldCharType="begin"/>
                  </w:r>
                  <w:r>
                    <w:instrText xml:space="preserve"> HYPERLINK "https://baike.baidu.com/item/%E8%B4%9D%E5%A3%B3%E7%8A%B6%E6%96%AD%E5%8F%A3/9037622" \t "https://baike.baidu.com/item/%E7%9F%B3%E8%8B%B1%E7%A0%82/_blank" </w:instrText>
                  </w:r>
                  <w:r>
                    <w:fldChar w:fldCharType="separate"/>
                  </w:r>
                  <w:r>
                    <w:t>贝壳状断口</w:t>
                  </w:r>
                  <w:r>
                    <w:fldChar w:fldCharType="end"/>
                  </w:r>
                  <w:r>
                    <w:t>，</w:t>
                  </w:r>
                  <w:r>
                    <w:fldChar w:fldCharType="begin"/>
                  </w:r>
                  <w:r>
                    <w:instrText xml:space="preserve"> HYPERLINK "https://baike.baidu.com/item/%E6%B2%B9%E8%84%82%E5%85%89%E6%B3%BD" \t "https://baike.baidu.com/item/%E7%9F%B3%E8%8B%B1%E7%A0%82/_blank" </w:instrText>
                  </w:r>
                  <w:r>
                    <w:fldChar w:fldCharType="separate"/>
                  </w:r>
                  <w:r>
                    <w:t>油脂光泽</w:t>
                  </w:r>
                  <w:r>
                    <w:fldChar w:fldCharType="end"/>
                  </w:r>
                  <w:r>
                    <w:t>，密度为2.65，</w:t>
                  </w:r>
                  <w:r>
                    <w:fldChar w:fldCharType="begin"/>
                  </w:r>
                  <w:r>
                    <w:instrText xml:space="preserve"> HYPERLINK "https://baike.baidu.com/item/%E5%A0%86%E7%A7%AF%E5%AF%86%E5%BA%A6" \t "https://baike.baidu.com/item/%E7%9F%B3%E8%8B%B1%E7%A0%82/_blank" </w:instrText>
                  </w:r>
                  <w:r>
                    <w:fldChar w:fldCharType="separate"/>
                  </w:r>
                  <w:r>
                    <w:t>堆积密度</w:t>
                  </w:r>
                  <w:r>
                    <w:fldChar w:fldCharType="end"/>
                  </w:r>
                  <w:r>
                    <w:t>（1-20目为1.6~1.8），20-200目为1.5，其化学、热学和</w:t>
                  </w:r>
                  <w:r>
                    <w:fldChar w:fldCharType="begin"/>
                  </w:r>
                  <w:r>
                    <w:instrText xml:space="preserve"> HYPERLINK "https://baike.baidu.com/item/%E6%9C%BA%E6%A2%B0%E6%80%A7%E8%83%BD" \t "https://baike.baidu.com/item/%E7%9F%B3%E8%8B%B1%E7%A0%82/_blank" </w:instrText>
                  </w:r>
                  <w:r>
                    <w:fldChar w:fldCharType="separate"/>
                  </w:r>
                  <w:r>
                    <w:t>机械性能</w:t>
                  </w:r>
                  <w:r>
                    <w:fldChar w:fldCharType="end"/>
                  </w:r>
                  <w:r>
                    <w:t>具有明显的异向性，不溶于酸，微溶于KOH溶液，熔点1750℃。</w:t>
                  </w:r>
                </w:p>
              </w:tc>
            </w:tr>
          </w:tbl>
          <w:p w14:paraId="21D3664D">
            <w:pPr>
              <w:numPr>
                <w:ilvl w:val="0"/>
                <w:numId w:val="0"/>
              </w:numPr>
              <w:spacing w:line="360" w:lineRule="auto"/>
              <w:ind w:firstLine="482" w:firstLineChars="200"/>
              <w:rPr>
                <w:rFonts w:hint="default"/>
                <w:b/>
                <w:bCs/>
                <w:sz w:val="24"/>
                <w:szCs w:val="24"/>
                <w:lang w:val="en-US"/>
              </w:rPr>
            </w:pPr>
            <w:r>
              <w:rPr>
                <w:rFonts w:hint="eastAsia" w:ascii="Times New Roman" w:hAnsi="Times New Roman" w:eastAsia="宋体" w:cs="Times New Roman"/>
                <w:b/>
                <w:bCs/>
                <w:sz w:val="24"/>
                <w:szCs w:val="24"/>
                <w:lang w:val="en-US" w:eastAsia="zh-CN"/>
              </w:rPr>
              <w:t>2.6公用工程</w:t>
            </w:r>
          </w:p>
          <w:p w14:paraId="6C0FF9F4">
            <w:pPr>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（1）给水</w:t>
            </w:r>
          </w:p>
          <w:p w14:paraId="1062487A">
            <w:pPr>
              <w:spacing w:line="360" w:lineRule="auto"/>
              <w:ind w:firstLine="480" w:firstLineChars="200"/>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项目用水水源由市政自来水管网供给，其水量、水质均可满足本项目生产、生活的正常供水要求。项目用水主要有砂处理用水</w:t>
            </w:r>
            <w:r>
              <w:rPr>
                <w:rFonts w:hint="eastAsia" w:cs="Times New Roman"/>
                <w:color w:val="auto"/>
                <w:sz w:val="24"/>
                <w:highlight w:val="none"/>
                <w:u w:val="single"/>
                <w:lang w:val="en-US" w:eastAsia="zh-CN"/>
              </w:rPr>
              <w:t>和</w:t>
            </w:r>
            <w:r>
              <w:rPr>
                <w:rFonts w:hint="eastAsia" w:ascii="Times New Roman" w:hAnsi="Times New Roman" w:eastAsia="宋体" w:cs="Times New Roman"/>
                <w:color w:val="auto"/>
                <w:sz w:val="24"/>
                <w:highlight w:val="none"/>
                <w:u w:val="single"/>
                <w:lang w:val="en-US" w:eastAsia="zh-CN"/>
              </w:rPr>
              <w:t>生活用水。</w:t>
            </w:r>
          </w:p>
          <w:p w14:paraId="029C5796">
            <w:pPr>
              <w:spacing w:line="360" w:lineRule="auto"/>
              <w:ind w:firstLine="480" w:firstLineChars="200"/>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①生活用水：项目劳动定员20名，为员工提供食宿。参照《湖南省用水定额》（DB43/T1388-2020）表31公共事业及公共建筑物用水定额中办公楼用水定额，</w:t>
            </w:r>
            <w:r>
              <w:rPr>
                <w:rFonts w:hint="default" w:ascii="Times New Roman" w:hAnsi="Times New Roman" w:eastAsia="宋体" w:cs="Times New Roman"/>
                <w:color w:val="auto"/>
                <w:sz w:val="24"/>
                <w:highlight w:val="none"/>
                <w:u w:val="single"/>
                <w:lang w:val="en-US" w:eastAsia="zh-CN"/>
              </w:rPr>
              <w:t>厂内员工的日用水量按</w:t>
            </w:r>
            <w:r>
              <w:rPr>
                <w:rFonts w:hint="eastAsia" w:ascii="Times New Roman" w:hAnsi="Times New Roman" w:eastAsia="宋体" w:cs="Times New Roman"/>
                <w:color w:val="auto"/>
                <w:sz w:val="24"/>
                <w:highlight w:val="none"/>
                <w:u w:val="single"/>
                <w:lang w:val="en-US" w:eastAsia="zh-CN"/>
              </w:rPr>
              <w:t>38</w:t>
            </w:r>
            <w:r>
              <w:rPr>
                <w:rFonts w:hint="default" w:ascii="Times New Roman" w:hAnsi="Times New Roman" w:eastAsia="宋体" w:cs="Times New Roman"/>
                <w:color w:val="auto"/>
                <w:sz w:val="24"/>
                <w:highlight w:val="none"/>
                <w:u w:val="single"/>
                <w:lang w:val="en-US" w:eastAsia="zh-CN"/>
              </w:rPr>
              <w:t>m</w:t>
            </w:r>
            <w:r>
              <w:rPr>
                <w:rFonts w:hint="default" w:ascii="Times New Roman" w:hAnsi="Times New Roman" w:eastAsia="宋体" w:cs="Times New Roman"/>
                <w:color w:val="auto"/>
                <w:sz w:val="24"/>
                <w:highlight w:val="none"/>
                <w:u w:val="single"/>
                <w:vertAlign w:val="superscript"/>
                <w:lang w:val="en-US" w:eastAsia="zh-CN"/>
              </w:rPr>
              <w:t>3</w:t>
            </w:r>
            <w:r>
              <w:rPr>
                <w:rFonts w:hint="default" w:ascii="Times New Roman" w:hAnsi="Times New Roman" w:eastAsia="宋体" w:cs="Times New Roman"/>
                <w:color w:val="auto"/>
                <w:sz w:val="24"/>
                <w:highlight w:val="none"/>
                <w:u w:val="single"/>
                <w:lang w:val="en-US" w:eastAsia="zh-CN"/>
              </w:rPr>
              <w:t>/人</w:t>
            </w:r>
            <w:r>
              <w:rPr>
                <w:rFonts w:hint="eastAsia" w:ascii="Times New Roman" w:hAnsi="Times New Roman" w:eastAsia="宋体" w:cs="Times New Roman"/>
                <w:color w:val="auto"/>
                <w:sz w:val="24"/>
                <w:highlight w:val="none"/>
                <w:u w:val="single"/>
                <w:lang w:val="en-US" w:eastAsia="zh-CN"/>
              </w:rPr>
              <w:t>.a</w:t>
            </w:r>
            <w:r>
              <w:rPr>
                <w:rFonts w:hint="default" w:ascii="Times New Roman" w:hAnsi="Times New Roman" w:eastAsia="宋体" w:cs="Times New Roman"/>
                <w:color w:val="auto"/>
                <w:sz w:val="24"/>
                <w:highlight w:val="none"/>
                <w:u w:val="single"/>
                <w:lang w:val="en-US" w:eastAsia="zh-CN"/>
              </w:rPr>
              <w:t>计</w:t>
            </w:r>
            <w:r>
              <w:rPr>
                <w:rFonts w:hint="eastAsia" w:ascii="Times New Roman" w:hAnsi="Times New Roman" w:eastAsia="宋体" w:cs="Times New Roman"/>
                <w:color w:val="auto"/>
                <w:sz w:val="24"/>
                <w:highlight w:val="none"/>
                <w:u w:val="single"/>
                <w:lang w:val="en-US" w:eastAsia="zh-CN"/>
              </w:rPr>
              <w:t>，年工作天数312天，</w:t>
            </w:r>
            <w:r>
              <w:rPr>
                <w:rFonts w:hint="default" w:ascii="Times New Roman" w:hAnsi="Times New Roman" w:eastAsia="宋体" w:cs="Times New Roman"/>
                <w:color w:val="auto"/>
                <w:sz w:val="24"/>
                <w:highlight w:val="none"/>
                <w:u w:val="single"/>
                <w:lang w:val="en-US" w:eastAsia="zh-CN"/>
              </w:rPr>
              <w:t>则</w:t>
            </w:r>
            <w:r>
              <w:rPr>
                <w:rFonts w:hint="eastAsia" w:ascii="Times New Roman" w:hAnsi="Times New Roman" w:eastAsia="宋体" w:cs="Times New Roman"/>
                <w:color w:val="auto"/>
                <w:sz w:val="24"/>
                <w:highlight w:val="none"/>
                <w:u w:val="single"/>
                <w:lang w:val="en-US" w:eastAsia="zh-CN"/>
              </w:rPr>
              <w:t>生活用水年用水为</w:t>
            </w:r>
            <w:r>
              <w:rPr>
                <w:rFonts w:hint="eastAsia" w:cs="Times New Roman"/>
                <w:color w:val="auto"/>
                <w:sz w:val="24"/>
                <w:highlight w:val="none"/>
                <w:u w:val="single"/>
                <w:lang w:val="en-US" w:eastAsia="zh-CN"/>
              </w:rPr>
              <w:t>760</w:t>
            </w:r>
            <w:r>
              <w:rPr>
                <w:rFonts w:hint="default" w:ascii="Times New Roman" w:hAnsi="Times New Roman" w:eastAsia="宋体" w:cs="Times New Roman"/>
                <w:color w:val="auto"/>
                <w:sz w:val="24"/>
                <w:highlight w:val="none"/>
                <w:u w:val="single"/>
                <w:lang w:val="en-US" w:eastAsia="zh-CN"/>
              </w:rPr>
              <w:t>m</w:t>
            </w:r>
            <w:r>
              <w:rPr>
                <w:rFonts w:hint="default" w:ascii="Times New Roman" w:hAnsi="Times New Roman" w:eastAsia="宋体" w:cs="Times New Roman"/>
                <w:color w:val="auto"/>
                <w:sz w:val="24"/>
                <w:highlight w:val="none"/>
                <w:u w:val="single"/>
                <w:vertAlign w:val="superscript"/>
                <w:lang w:val="en-US" w:eastAsia="zh-CN"/>
              </w:rPr>
              <w:t>3</w:t>
            </w:r>
            <w:r>
              <w:rPr>
                <w:rFonts w:hint="default" w:ascii="Times New Roman" w:hAnsi="Times New Roman" w:eastAsia="宋体" w:cs="Times New Roman"/>
                <w:color w:val="auto"/>
                <w:sz w:val="24"/>
                <w:highlight w:val="none"/>
                <w:u w:val="single"/>
                <w:lang w:val="en-US" w:eastAsia="zh-CN"/>
              </w:rPr>
              <w:t>/a</w:t>
            </w:r>
            <w:r>
              <w:rPr>
                <w:rFonts w:hint="eastAsia" w:ascii="Times New Roman" w:hAnsi="Times New Roman" w:eastAsia="宋体" w:cs="Times New Roman"/>
                <w:color w:val="auto"/>
                <w:sz w:val="24"/>
                <w:highlight w:val="none"/>
                <w:u w:val="single"/>
                <w:lang w:val="en-US" w:eastAsia="zh-CN"/>
              </w:rPr>
              <w:t>，日用</w:t>
            </w:r>
            <w:r>
              <w:rPr>
                <w:rFonts w:hint="default" w:ascii="Times New Roman" w:hAnsi="Times New Roman" w:eastAsia="宋体" w:cs="Times New Roman"/>
                <w:color w:val="auto"/>
                <w:sz w:val="24"/>
                <w:highlight w:val="none"/>
                <w:u w:val="single"/>
                <w:lang w:val="en-US" w:eastAsia="zh-CN"/>
              </w:rPr>
              <w:t>水量为</w:t>
            </w:r>
            <w:r>
              <w:rPr>
                <w:rFonts w:hint="eastAsia" w:cs="Times New Roman"/>
                <w:color w:val="auto"/>
                <w:sz w:val="24"/>
                <w:highlight w:val="none"/>
                <w:u w:val="single"/>
                <w:lang w:val="en-US" w:eastAsia="zh-CN"/>
              </w:rPr>
              <w:t>2.44</w:t>
            </w:r>
            <w:r>
              <w:rPr>
                <w:rFonts w:hint="default" w:ascii="Times New Roman" w:hAnsi="Times New Roman" w:eastAsia="宋体" w:cs="Times New Roman"/>
                <w:color w:val="auto"/>
                <w:sz w:val="24"/>
                <w:highlight w:val="none"/>
                <w:u w:val="single"/>
                <w:lang w:val="en-US" w:eastAsia="zh-CN"/>
              </w:rPr>
              <w:t>m</w:t>
            </w:r>
            <w:r>
              <w:rPr>
                <w:rFonts w:hint="default" w:ascii="Times New Roman" w:hAnsi="Times New Roman" w:eastAsia="宋体" w:cs="Times New Roman"/>
                <w:color w:val="auto"/>
                <w:sz w:val="24"/>
                <w:highlight w:val="none"/>
                <w:u w:val="single"/>
                <w:vertAlign w:val="superscript"/>
                <w:lang w:val="en-US" w:eastAsia="zh-CN"/>
              </w:rPr>
              <w:t>3</w:t>
            </w:r>
            <w:r>
              <w:rPr>
                <w:rFonts w:hint="default" w:ascii="Times New Roman" w:hAnsi="Times New Roman" w:eastAsia="宋体" w:cs="Times New Roman"/>
                <w:color w:val="auto"/>
                <w:sz w:val="24"/>
                <w:highlight w:val="none"/>
                <w:u w:val="single"/>
                <w:lang w:val="en-US" w:eastAsia="zh-CN"/>
              </w:rPr>
              <w:t>/d。</w:t>
            </w:r>
            <w:r>
              <w:rPr>
                <w:rFonts w:hint="eastAsia" w:ascii="Times New Roman" w:hAnsi="Times New Roman" w:eastAsia="宋体" w:cs="Times New Roman"/>
                <w:color w:val="auto"/>
                <w:sz w:val="24"/>
                <w:highlight w:val="none"/>
                <w:u w:val="single"/>
                <w:lang w:val="en-US" w:eastAsia="zh-CN"/>
              </w:rPr>
              <w:t>产生的污水以用水量的80%计，生活污水量为1.</w:t>
            </w:r>
            <w:r>
              <w:rPr>
                <w:rFonts w:hint="eastAsia" w:cs="Times New Roman"/>
                <w:color w:val="auto"/>
                <w:sz w:val="24"/>
                <w:highlight w:val="none"/>
                <w:u w:val="single"/>
                <w:lang w:val="en-US" w:eastAsia="zh-CN"/>
              </w:rPr>
              <w:t>95</w:t>
            </w:r>
            <w:r>
              <w:rPr>
                <w:rFonts w:hint="eastAsia" w:ascii="Times New Roman" w:hAnsi="Times New Roman" w:eastAsia="宋体" w:cs="Times New Roman"/>
                <w:color w:val="auto"/>
                <w:sz w:val="24"/>
                <w:highlight w:val="none"/>
                <w:u w:val="single"/>
                <w:lang w:val="en-US" w:eastAsia="zh-CN"/>
              </w:rPr>
              <w:t>t/d、</w:t>
            </w:r>
            <w:r>
              <w:rPr>
                <w:rFonts w:hint="eastAsia" w:cs="Times New Roman"/>
                <w:color w:val="auto"/>
                <w:sz w:val="24"/>
                <w:highlight w:val="none"/>
                <w:u w:val="single"/>
                <w:lang w:val="en-US" w:eastAsia="zh-CN"/>
              </w:rPr>
              <w:t>608</w:t>
            </w:r>
            <w:r>
              <w:rPr>
                <w:rFonts w:hint="eastAsia" w:ascii="Times New Roman" w:hAnsi="Times New Roman" w:eastAsia="宋体" w:cs="Times New Roman"/>
                <w:color w:val="auto"/>
                <w:sz w:val="24"/>
                <w:highlight w:val="none"/>
                <w:u w:val="single"/>
                <w:lang w:val="en-US" w:eastAsia="zh-CN"/>
              </w:rPr>
              <w:t>t/a。</w:t>
            </w:r>
          </w:p>
          <w:p w14:paraId="26DAF061">
            <w:pPr>
              <w:autoSpaceDE w:val="0"/>
              <w:autoSpaceDN w:val="0"/>
              <w:adjustRightInd w:val="0"/>
              <w:spacing w:line="360" w:lineRule="auto"/>
              <w:ind w:firstLine="480" w:firstLineChars="200"/>
              <w:rPr>
                <w:rFonts w:hint="default" w:ascii="Times New Roman" w:hAnsi="Times New Roman" w:cs="Times New Roman"/>
                <w:u w:val="single"/>
              </w:rPr>
            </w:pPr>
            <w:r>
              <w:rPr>
                <w:rFonts w:hint="eastAsia" w:ascii="宋体" w:hAnsi="宋体" w:cs="宋体"/>
                <w:color w:val="auto"/>
                <w:sz w:val="24"/>
                <w:highlight w:val="none"/>
                <w:u w:val="single"/>
              </w:rPr>
              <w:t>②</w:t>
            </w:r>
            <w:r>
              <w:rPr>
                <w:rFonts w:hint="eastAsia" w:ascii="宋体" w:hAnsi="宋体" w:cs="宋体"/>
                <w:color w:val="auto"/>
                <w:sz w:val="24"/>
                <w:highlight w:val="none"/>
                <w:u w:val="single"/>
                <w:lang w:val="en-US" w:eastAsia="zh-CN"/>
              </w:rPr>
              <w:t>砂处理</w:t>
            </w:r>
            <w:r>
              <w:rPr>
                <w:rFonts w:hint="eastAsia"/>
                <w:color w:val="auto"/>
                <w:sz w:val="24"/>
                <w:highlight w:val="none"/>
                <w:u w:val="single"/>
              </w:rPr>
              <w:t>用水：</w:t>
            </w:r>
            <w:r>
              <w:rPr>
                <w:rFonts w:hint="default" w:ascii="Times New Roman" w:hAnsi="Times New Roman" w:eastAsia="宋体" w:cs="Times New Roman"/>
                <w:color w:val="auto"/>
                <w:sz w:val="24"/>
                <w:highlight w:val="none"/>
                <w:u w:val="single"/>
                <w:lang w:val="en-US" w:eastAsia="zh-CN"/>
              </w:rPr>
              <w:t>项目采用湿型砂处理工艺，混沙时加入部分清水，石英砂在湿润状态下进行造型、</w:t>
            </w:r>
            <w:r>
              <w:rPr>
                <w:rFonts w:hint="eastAsia" w:cs="Times New Roman"/>
                <w:color w:val="auto"/>
                <w:sz w:val="24"/>
                <w:highlight w:val="none"/>
                <w:u w:val="single"/>
                <w:lang w:val="en-US" w:eastAsia="zh-CN"/>
              </w:rPr>
              <w:t>浇注</w:t>
            </w:r>
            <w:r>
              <w:rPr>
                <w:rFonts w:hint="default" w:ascii="Times New Roman" w:hAnsi="Times New Roman" w:eastAsia="宋体" w:cs="Times New Roman"/>
                <w:color w:val="auto"/>
                <w:sz w:val="24"/>
                <w:highlight w:val="none"/>
                <w:u w:val="single"/>
                <w:lang w:val="en-US" w:eastAsia="zh-CN"/>
              </w:rPr>
              <w:t>。依据行业经验，湿型砂含水量约占3.5%，同时经业主介绍，产品与模具的质量比约为2：1，即项目每年粘土砂使用量约为1.2万吨；另外，由于砂处理时粘土砂经过了干燥处理，此时水分基本完全挥发，需要在下一混沙阶段重新补水，因此砂处理用水为粘土砂使用量×粘土砂含水量，即项目砂处理年用水量=12000×0.035=420t/a</w:t>
            </w:r>
            <w:r>
              <w:rPr>
                <w:rFonts w:hint="eastAsia" w:ascii="Times New Roman" w:hAnsi="Times New Roman" w:eastAsia="宋体" w:cs="Times New Roman"/>
                <w:color w:val="auto"/>
                <w:sz w:val="24"/>
                <w:highlight w:val="none"/>
                <w:u w:val="single"/>
                <w:lang w:val="en-US" w:eastAsia="zh-CN"/>
              </w:rPr>
              <w:t>，此部分水全部</w:t>
            </w:r>
            <w:r>
              <w:rPr>
                <w:rFonts w:hint="eastAsia" w:cs="Times New Roman"/>
                <w:color w:val="auto"/>
                <w:sz w:val="24"/>
                <w:highlight w:val="none"/>
                <w:u w:val="single"/>
                <w:lang w:val="en-US" w:eastAsia="zh-CN"/>
              </w:rPr>
              <w:t>挥发</w:t>
            </w:r>
            <w:r>
              <w:rPr>
                <w:rFonts w:hint="default" w:ascii="Times New Roman" w:hAnsi="Times New Roman" w:cs="Times New Roman"/>
                <w:u w:val="single"/>
              </w:rPr>
              <w:t>。</w:t>
            </w:r>
          </w:p>
          <w:p w14:paraId="4A74C14C">
            <w:pPr>
              <w:widowControl/>
              <w:numPr>
                <w:ilvl w:val="0"/>
                <w:numId w:val="0"/>
              </w:numPr>
              <w:spacing w:line="360" w:lineRule="auto"/>
              <w:ind w:firstLine="480" w:firstLineChars="200"/>
              <w:jc w:val="left"/>
              <w:rPr>
                <w:rFonts w:hint="eastAsia" w:ascii="Times New Roman" w:hAnsi="Times New Roman" w:eastAsia="宋体" w:cs="Times New Roman"/>
                <w:sz w:val="24"/>
                <w:u w:val="single"/>
                <w:lang w:val="en-US" w:eastAsia="zh-CN"/>
              </w:rPr>
            </w:pPr>
            <w:r>
              <w:rPr>
                <w:rFonts w:hint="eastAsia" w:ascii="Times New Roman" w:hAnsi="Times New Roman" w:eastAsia="宋体" w:cs="Times New Roman"/>
                <w:sz w:val="24"/>
                <w:u w:val="single"/>
                <w:lang w:val="en-US" w:eastAsia="zh-CN"/>
              </w:rPr>
              <w:t>综上，项目营运期日用水量为3.78t，年用水量为1180t。</w:t>
            </w:r>
          </w:p>
          <w:p w14:paraId="48819A41">
            <w:pPr>
              <w:spacing w:line="360" w:lineRule="auto"/>
              <w:ind w:firstLine="480" w:firstLineChars="200"/>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（2）排水：采取雨污水分流，雨水经厂区雨水沟收集排至项目西北侧雨水管网。生活污水经化粪池处理达到《污水综合排放标准》（GB8979-1996）表4三级标准排入洪江市工业集中区双溪片区</w:t>
            </w:r>
            <w:r>
              <w:rPr>
                <w:rFonts w:hint="default" w:ascii="Times New Roman" w:hAnsi="Times New Roman" w:eastAsia="宋体" w:cs="Times New Roman"/>
                <w:color w:val="auto"/>
                <w:sz w:val="24"/>
                <w:highlight w:val="none"/>
                <w:u w:val="single"/>
                <w:lang w:val="en-US" w:eastAsia="zh-CN"/>
              </w:rPr>
              <w:t>污水处理厂</w:t>
            </w:r>
            <w:r>
              <w:rPr>
                <w:rFonts w:hint="eastAsia" w:ascii="Times New Roman" w:hAnsi="Times New Roman" w:eastAsia="宋体" w:cs="Times New Roman"/>
                <w:color w:val="auto"/>
                <w:sz w:val="24"/>
                <w:highlight w:val="none"/>
                <w:u w:val="single"/>
                <w:lang w:val="en-US" w:eastAsia="zh-CN"/>
              </w:rPr>
              <w:t>进一步处理后排入双溪</w:t>
            </w:r>
            <w:r>
              <w:rPr>
                <w:rFonts w:hint="default" w:ascii="Times New Roman" w:hAnsi="Times New Roman" w:eastAsia="宋体" w:cs="Times New Roman"/>
                <w:color w:val="auto"/>
                <w:sz w:val="24"/>
                <w:highlight w:val="none"/>
                <w:u w:val="single"/>
                <w:lang w:val="en-US" w:eastAsia="zh-CN"/>
              </w:rPr>
              <w:t>。</w:t>
            </w:r>
          </w:p>
          <w:p w14:paraId="5AD98E7B">
            <w:pPr>
              <w:widowControl/>
              <w:numPr>
                <w:ilvl w:val="0"/>
                <w:numId w:val="0"/>
              </w:numPr>
              <w:spacing w:line="360" w:lineRule="auto"/>
              <w:ind w:firstLine="480" w:firstLineChars="200"/>
              <w:jc w:val="left"/>
              <w:rPr>
                <w:rFonts w:hint="eastAsia" w:ascii="Times New Roman" w:hAnsi="Times New Roman" w:eastAsia="宋体" w:cs="Times New Roman"/>
                <w:sz w:val="24"/>
                <w:u w:val="single"/>
                <w:lang w:val="en-US" w:eastAsia="zh-CN"/>
              </w:rPr>
            </w:pPr>
            <w:r>
              <w:rPr>
                <w:rFonts w:hint="eastAsia" w:ascii="Times New Roman" w:hAnsi="Times New Roman" w:eastAsia="宋体" w:cs="Times New Roman"/>
                <w:sz w:val="24"/>
                <w:u w:val="single"/>
                <w:lang w:val="en-US" w:eastAsia="zh-CN"/>
              </w:rPr>
              <w:t>①生活污水按用水量的80%计算，日排放量为1.95t，年产生量608t。</w:t>
            </w:r>
          </w:p>
          <w:p w14:paraId="7A9B4C97">
            <w:pPr>
              <w:widowControl/>
              <w:numPr>
                <w:ilvl w:val="0"/>
                <w:numId w:val="0"/>
              </w:numPr>
              <w:spacing w:line="360" w:lineRule="auto"/>
              <w:ind w:firstLine="480" w:firstLineChars="200"/>
              <w:jc w:val="left"/>
              <w:rPr>
                <w:rFonts w:hint="eastAsia" w:ascii="Times New Roman" w:hAnsi="Times New Roman" w:eastAsia="宋体" w:cs="Times New Roman"/>
                <w:sz w:val="24"/>
                <w:u w:val="single"/>
                <w:lang w:val="en-US" w:eastAsia="zh-CN"/>
              </w:rPr>
            </w:pPr>
            <w:r>
              <w:rPr>
                <w:rFonts w:hint="eastAsia" w:ascii="Times New Roman" w:hAnsi="Times New Roman" w:eastAsia="宋体" w:cs="Times New Roman"/>
                <w:sz w:val="24"/>
                <w:u w:val="single"/>
                <w:lang w:val="en-US" w:eastAsia="zh-CN"/>
              </w:rPr>
              <w:t>②</w:t>
            </w:r>
            <w:r>
              <w:rPr>
                <w:rFonts w:hint="eastAsia" w:ascii="宋体" w:hAnsi="宋体" w:cs="宋体"/>
                <w:color w:val="auto"/>
                <w:sz w:val="24"/>
                <w:highlight w:val="none"/>
                <w:u w:val="single"/>
                <w:lang w:val="en-US" w:eastAsia="zh-CN"/>
              </w:rPr>
              <w:t>砂处理</w:t>
            </w:r>
            <w:r>
              <w:rPr>
                <w:rFonts w:hint="eastAsia"/>
                <w:color w:val="auto"/>
                <w:sz w:val="24"/>
                <w:highlight w:val="none"/>
                <w:u w:val="single"/>
              </w:rPr>
              <w:t>用水</w:t>
            </w:r>
            <w:r>
              <w:rPr>
                <w:rFonts w:hint="eastAsia"/>
                <w:color w:val="auto"/>
                <w:sz w:val="24"/>
                <w:highlight w:val="none"/>
                <w:u w:val="single"/>
                <w:lang w:val="en-US" w:eastAsia="zh-CN"/>
              </w:rPr>
              <w:t>全部挥发，无外排</w:t>
            </w:r>
            <w:r>
              <w:rPr>
                <w:rFonts w:hint="eastAsia" w:ascii="Times New Roman" w:hAnsi="Times New Roman" w:eastAsia="宋体" w:cs="Times New Roman"/>
                <w:sz w:val="24"/>
                <w:u w:val="single"/>
                <w:lang w:val="en-US" w:eastAsia="zh-CN"/>
              </w:rPr>
              <w:t>。</w:t>
            </w:r>
          </w:p>
          <w:p w14:paraId="16EDF665">
            <w:pPr>
              <w:widowControl/>
              <w:numPr>
                <w:ilvl w:val="0"/>
                <w:numId w:val="0"/>
              </w:numPr>
              <w:spacing w:line="360" w:lineRule="auto"/>
              <w:ind w:firstLine="480" w:firstLineChars="200"/>
              <w:jc w:val="left"/>
              <w:rPr>
                <w:rFonts w:hint="eastAsia" w:ascii="Times New Roman" w:hAnsi="Times New Roman" w:eastAsia="宋体" w:cs="Times New Roman"/>
                <w:sz w:val="24"/>
                <w:u w:val="single"/>
                <w:lang w:val="en-US" w:eastAsia="zh-CN"/>
              </w:rPr>
            </w:pPr>
            <w:r>
              <w:rPr>
                <w:rFonts w:hint="eastAsia" w:ascii="Times New Roman" w:hAnsi="Times New Roman" w:eastAsia="宋体" w:cs="Times New Roman"/>
                <w:sz w:val="24"/>
                <w:u w:val="single"/>
                <w:lang w:val="en-US" w:eastAsia="zh-CN"/>
              </w:rPr>
              <w:t>综上，项目营运期排水量总计为1.95t/d、608t/a。</w:t>
            </w:r>
          </w:p>
          <w:p w14:paraId="0F713B7B">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Times New Roman" w:hAnsi="Times New Roman" w:eastAsia="宋体" w:cs="Times New Roman"/>
                <w:b/>
                <w:bCs/>
                <w:u w:val="single"/>
                <w:lang w:val="en-US" w:eastAsia="zh-CN"/>
              </w:rPr>
            </w:pPr>
            <w:r>
              <w:rPr>
                <w:rFonts w:hint="eastAsia" w:ascii="Times New Roman" w:hAnsi="Times New Roman" w:eastAsia="宋体" w:cs="Times New Roman"/>
                <w:b/>
                <w:bCs/>
                <w:u w:val="single"/>
                <w:lang w:val="en-US" w:eastAsia="zh-CN"/>
              </w:rPr>
              <w:t>表2-6排水量情况一览表</w:t>
            </w:r>
          </w:p>
          <w:tbl>
            <w:tblPr>
              <w:tblStyle w:val="38"/>
              <w:tblW w:w="75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8"/>
              <w:gridCol w:w="1341"/>
              <w:gridCol w:w="1341"/>
              <w:gridCol w:w="1356"/>
              <w:gridCol w:w="1342"/>
            </w:tblGrid>
            <w:tr w14:paraId="6B360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2138" w:type="dxa"/>
                  <w:noWrap w:val="0"/>
                  <w:vAlign w:val="center"/>
                </w:tcPr>
                <w:p w14:paraId="6EA5A19B">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名称</w:t>
                  </w:r>
                </w:p>
              </w:tc>
              <w:tc>
                <w:tcPr>
                  <w:tcW w:w="1341" w:type="dxa"/>
                  <w:noWrap w:val="0"/>
                  <w:vAlign w:val="center"/>
                </w:tcPr>
                <w:p w14:paraId="51F93EB9">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日用水量m</w:t>
                  </w:r>
                  <w:r>
                    <w:rPr>
                      <w:rFonts w:hint="default" w:ascii="Times New Roman" w:hAnsi="Times New Roman" w:eastAsia="宋体" w:cs="Times New Roman"/>
                      <w:u w:val="single"/>
                      <w:vertAlign w:val="superscript"/>
                      <w:lang w:val="en-US" w:eastAsia="zh-CN"/>
                    </w:rPr>
                    <w:t>3</w:t>
                  </w:r>
                  <w:r>
                    <w:rPr>
                      <w:rFonts w:hint="default" w:ascii="Times New Roman" w:hAnsi="Times New Roman" w:eastAsia="宋体" w:cs="Times New Roman"/>
                      <w:u w:val="single"/>
                      <w:lang w:val="en-US" w:eastAsia="zh-CN"/>
                    </w:rPr>
                    <w:t>/d</w:t>
                  </w:r>
                </w:p>
              </w:tc>
              <w:tc>
                <w:tcPr>
                  <w:tcW w:w="1341" w:type="dxa"/>
                  <w:noWrap w:val="0"/>
                  <w:vAlign w:val="center"/>
                </w:tcPr>
                <w:p w14:paraId="7F5CF326">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年用水量m</w:t>
                  </w:r>
                  <w:r>
                    <w:rPr>
                      <w:rFonts w:hint="default" w:ascii="Times New Roman" w:hAnsi="Times New Roman" w:eastAsia="宋体" w:cs="Times New Roman"/>
                      <w:u w:val="single"/>
                      <w:vertAlign w:val="superscript"/>
                      <w:lang w:val="en-US" w:eastAsia="zh-CN"/>
                    </w:rPr>
                    <w:t>3</w:t>
                  </w:r>
                  <w:r>
                    <w:rPr>
                      <w:rFonts w:hint="default" w:ascii="Times New Roman" w:hAnsi="Times New Roman" w:eastAsia="宋体" w:cs="Times New Roman"/>
                      <w:u w:val="single"/>
                      <w:lang w:val="en-US" w:eastAsia="zh-CN"/>
                    </w:rPr>
                    <w:t>/a</w:t>
                  </w:r>
                </w:p>
              </w:tc>
              <w:tc>
                <w:tcPr>
                  <w:tcW w:w="1356" w:type="dxa"/>
                  <w:noWrap w:val="0"/>
                  <w:vAlign w:val="center"/>
                </w:tcPr>
                <w:p w14:paraId="3260DFF4">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日排放量m</w:t>
                  </w:r>
                  <w:r>
                    <w:rPr>
                      <w:rFonts w:hint="default" w:ascii="Times New Roman" w:hAnsi="Times New Roman" w:eastAsia="宋体" w:cs="Times New Roman"/>
                      <w:u w:val="single"/>
                      <w:vertAlign w:val="superscript"/>
                      <w:lang w:val="en-US" w:eastAsia="zh-CN"/>
                    </w:rPr>
                    <w:t>3</w:t>
                  </w:r>
                  <w:r>
                    <w:rPr>
                      <w:rFonts w:hint="default" w:ascii="Times New Roman" w:hAnsi="Times New Roman" w:eastAsia="宋体" w:cs="Times New Roman"/>
                      <w:u w:val="single"/>
                      <w:lang w:val="en-US" w:eastAsia="zh-CN"/>
                    </w:rPr>
                    <w:t>/d</w:t>
                  </w:r>
                </w:p>
              </w:tc>
              <w:tc>
                <w:tcPr>
                  <w:tcW w:w="1342" w:type="dxa"/>
                  <w:noWrap w:val="0"/>
                  <w:vAlign w:val="center"/>
                </w:tcPr>
                <w:p w14:paraId="4C48D64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年排放量m</w:t>
                  </w:r>
                  <w:r>
                    <w:rPr>
                      <w:rFonts w:hint="default" w:ascii="Times New Roman" w:hAnsi="Times New Roman" w:eastAsia="宋体" w:cs="Times New Roman"/>
                      <w:u w:val="single"/>
                      <w:vertAlign w:val="superscript"/>
                      <w:lang w:val="en-US" w:eastAsia="zh-CN"/>
                    </w:rPr>
                    <w:t>3</w:t>
                  </w:r>
                  <w:r>
                    <w:rPr>
                      <w:rFonts w:hint="default" w:ascii="Times New Roman" w:hAnsi="Times New Roman" w:eastAsia="宋体" w:cs="Times New Roman"/>
                      <w:u w:val="single"/>
                      <w:lang w:val="en-US" w:eastAsia="zh-CN"/>
                    </w:rPr>
                    <w:t>/a</w:t>
                  </w:r>
                </w:p>
              </w:tc>
            </w:tr>
            <w:tr w14:paraId="3F86C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2138" w:type="dxa"/>
                  <w:noWrap w:val="0"/>
                  <w:vAlign w:val="center"/>
                </w:tcPr>
                <w:p w14:paraId="13E095D4">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生活</w:t>
                  </w:r>
                  <w:r>
                    <w:rPr>
                      <w:rFonts w:hint="eastAsia" w:ascii="Times New Roman" w:hAnsi="Times New Roman" w:eastAsia="宋体" w:cs="Times New Roman"/>
                      <w:u w:val="single"/>
                      <w:lang w:val="en-US" w:eastAsia="zh-CN"/>
                    </w:rPr>
                    <w:t>用水</w:t>
                  </w:r>
                </w:p>
              </w:tc>
              <w:tc>
                <w:tcPr>
                  <w:tcW w:w="1341" w:type="dxa"/>
                  <w:noWrap w:val="0"/>
                  <w:vAlign w:val="center"/>
                </w:tcPr>
                <w:p w14:paraId="4705355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2.44</w:t>
                  </w:r>
                </w:p>
              </w:tc>
              <w:tc>
                <w:tcPr>
                  <w:tcW w:w="1341" w:type="dxa"/>
                  <w:noWrap w:val="0"/>
                  <w:vAlign w:val="center"/>
                </w:tcPr>
                <w:p w14:paraId="07F24DA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760</w:t>
                  </w:r>
                </w:p>
              </w:tc>
              <w:tc>
                <w:tcPr>
                  <w:tcW w:w="1356" w:type="dxa"/>
                  <w:noWrap w:val="0"/>
                  <w:vAlign w:val="center"/>
                </w:tcPr>
                <w:p w14:paraId="475152E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1.95</w:t>
                  </w:r>
                </w:p>
              </w:tc>
              <w:tc>
                <w:tcPr>
                  <w:tcW w:w="1342" w:type="dxa"/>
                  <w:noWrap w:val="0"/>
                  <w:vAlign w:val="center"/>
                </w:tcPr>
                <w:p w14:paraId="35BEBA64">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608</w:t>
                  </w:r>
                </w:p>
              </w:tc>
            </w:tr>
            <w:tr w14:paraId="3AB68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2138" w:type="dxa"/>
                  <w:noWrap w:val="0"/>
                  <w:vAlign w:val="center"/>
                </w:tcPr>
                <w:p w14:paraId="7DEC9E0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砂处理用</w:t>
                  </w:r>
                  <w:r>
                    <w:rPr>
                      <w:rFonts w:hint="default" w:ascii="Times New Roman" w:hAnsi="Times New Roman" w:eastAsia="宋体" w:cs="Times New Roman"/>
                      <w:u w:val="single"/>
                      <w:lang w:val="en-US" w:eastAsia="zh-CN"/>
                    </w:rPr>
                    <w:t>水</w:t>
                  </w:r>
                </w:p>
              </w:tc>
              <w:tc>
                <w:tcPr>
                  <w:tcW w:w="1341" w:type="dxa"/>
                  <w:noWrap w:val="0"/>
                  <w:vAlign w:val="center"/>
                </w:tcPr>
                <w:p w14:paraId="7907DE8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1.34</w:t>
                  </w:r>
                </w:p>
              </w:tc>
              <w:tc>
                <w:tcPr>
                  <w:tcW w:w="1341" w:type="dxa"/>
                  <w:noWrap w:val="0"/>
                  <w:vAlign w:val="center"/>
                </w:tcPr>
                <w:p w14:paraId="0AC25E36">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420</w:t>
                  </w:r>
                </w:p>
              </w:tc>
              <w:tc>
                <w:tcPr>
                  <w:tcW w:w="1356" w:type="dxa"/>
                  <w:noWrap w:val="0"/>
                  <w:vAlign w:val="center"/>
                </w:tcPr>
                <w:p w14:paraId="1C564FF5">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0</w:t>
                  </w:r>
                </w:p>
              </w:tc>
              <w:tc>
                <w:tcPr>
                  <w:tcW w:w="1342" w:type="dxa"/>
                  <w:noWrap w:val="0"/>
                  <w:vAlign w:val="center"/>
                </w:tcPr>
                <w:p w14:paraId="5C67B51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0</w:t>
                  </w:r>
                </w:p>
              </w:tc>
            </w:tr>
            <w:tr w14:paraId="69565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2138" w:type="dxa"/>
                  <w:noWrap w:val="0"/>
                  <w:vAlign w:val="center"/>
                </w:tcPr>
                <w:p w14:paraId="6696730D">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合计</w:t>
                  </w:r>
                </w:p>
              </w:tc>
              <w:tc>
                <w:tcPr>
                  <w:tcW w:w="1341" w:type="dxa"/>
                  <w:noWrap w:val="0"/>
                  <w:vAlign w:val="center"/>
                </w:tcPr>
                <w:p w14:paraId="5628EE7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3.78</w:t>
                  </w:r>
                </w:p>
              </w:tc>
              <w:tc>
                <w:tcPr>
                  <w:tcW w:w="1341" w:type="dxa"/>
                  <w:noWrap w:val="0"/>
                  <w:vAlign w:val="center"/>
                </w:tcPr>
                <w:p w14:paraId="2FAE64B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1180</w:t>
                  </w:r>
                </w:p>
              </w:tc>
              <w:tc>
                <w:tcPr>
                  <w:tcW w:w="1356" w:type="dxa"/>
                  <w:noWrap w:val="0"/>
                  <w:vAlign w:val="center"/>
                </w:tcPr>
                <w:p w14:paraId="479857CB">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1.95</w:t>
                  </w:r>
                </w:p>
              </w:tc>
              <w:tc>
                <w:tcPr>
                  <w:tcW w:w="1342" w:type="dxa"/>
                  <w:noWrap w:val="0"/>
                  <w:vAlign w:val="center"/>
                </w:tcPr>
                <w:p w14:paraId="38E8511C">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608</w:t>
                  </w:r>
                </w:p>
              </w:tc>
            </w:tr>
          </w:tbl>
          <w:p w14:paraId="5956BD38">
            <w:pPr>
              <w:bidi w:val="0"/>
              <w:jc w:val="center"/>
              <w:rPr>
                <w:rFonts w:hint="eastAsia" w:eastAsia="宋体"/>
                <w:lang w:eastAsia="zh-CN"/>
              </w:rPr>
            </w:pPr>
            <w:r>
              <w:rPr>
                <w:rFonts w:hint="eastAsia" w:eastAsia="宋体"/>
                <w:lang w:eastAsia="zh-CN"/>
              </w:rPr>
              <w:drawing>
                <wp:inline distT="0" distB="0" distL="114300" distR="114300">
                  <wp:extent cx="4840605" cy="1991995"/>
                  <wp:effectExtent l="7620" t="7620" r="9525" b="19685"/>
                  <wp:docPr id="66" name="图片 66" descr="水平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水平衡图"/>
                          <pic:cNvPicPr>
                            <a:picLocks noChangeAspect="1"/>
                          </pic:cNvPicPr>
                        </pic:nvPicPr>
                        <pic:blipFill>
                          <a:blip r:embed="rId9"/>
                          <a:srcRect l="980" r="980"/>
                          <a:stretch>
                            <a:fillRect/>
                          </a:stretch>
                        </pic:blipFill>
                        <pic:spPr>
                          <a:xfrm>
                            <a:off x="0" y="0"/>
                            <a:ext cx="4840605" cy="1991995"/>
                          </a:xfrm>
                          <a:prstGeom prst="rect">
                            <a:avLst/>
                          </a:prstGeom>
                          <a:ln w="3175">
                            <a:solidFill>
                              <a:schemeClr val="tx1"/>
                            </a:solidFill>
                          </a:ln>
                          <a:scene3d>
                            <a:camera prst="orthographicFront"/>
                            <a:lightRig rig="threePt" dir="t">
                              <a:rot lat="0" lon="0" rev="600000"/>
                            </a:lightRig>
                          </a:scene3d>
                          <a:sp3d extrusionH="6350" contourW="6350"/>
                        </pic:spPr>
                      </pic:pic>
                    </a:graphicData>
                  </a:graphic>
                </wp:inline>
              </w:drawing>
            </w:r>
          </w:p>
          <w:p w14:paraId="65B41315">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bCs/>
                <w:color w:val="auto"/>
                <w:u w:val="single"/>
                <w:lang w:val="en-US" w:eastAsia="zh-CN"/>
                <w14:textFill>
                  <w14:noFill/>
                </w14:textFill>
              </w:rPr>
            </w:pPr>
            <w:r>
              <w:rPr>
                <w:rFonts w:hint="default" w:ascii="Times New Roman" w:hAnsi="Times New Roman" w:eastAsia="宋体" w:cs="Times New Roman"/>
                <w:b/>
                <w:bCs/>
                <w:u w:val="single"/>
                <w:lang w:val="en-US" w:eastAsia="zh-CN"/>
              </w:rPr>
              <w:t>图2-1  项目水平衡图</w:t>
            </w:r>
            <w:r>
              <w:rPr>
                <w:rFonts w:hint="eastAsia" w:ascii="Times New Roman" w:hAnsi="Times New Roman" w:eastAsia="宋体" w:cs="Times New Roman"/>
                <w:b/>
                <w:bCs/>
                <w:u w:val="single"/>
                <w:lang w:val="en-US" w:eastAsia="zh-CN"/>
              </w:rPr>
              <w:t>（t/a）</w:t>
            </w:r>
          </w:p>
          <w:p w14:paraId="1D73E16A">
            <w:pPr>
              <w:numPr>
                <w:ilvl w:val="0"/>
                <w:numId w:val="0"/>
              </w:numPr>
              <w:spacing w:line="360" w:lineRule="auto"/>
              <w:ind w:firstLine="482" w:firstLineChars="200"/>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 xml:space="preserve">2.7工作制度及劳动定员 </w:t>
            </w:r>
          </w:p>
          <w:p w14:paraId="2ACA29FF">
            <w:pPr>
              <w:pStyle w:val="28"/>
              <w:wordWrap w:val="0"/>
              <w:spacing w:line="360" w:lineRule="auto"/>
              <w:ind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auto"/>
                <w:kern w:val="2"/>
                <w:sz w:val="24"/>
                <w:szCs w:val="22"/>
                <w:highlight w:val="none"/>
                <w:u w:val="single"/>
                <w:lang w:val="en-US" w:eastAsia="zh-CN" w:bidi="ar-SA"/>
              </w:rPr>
              <w:t>本项目</w:t>
            </w:r>
            <w:r>
              <w:rPr>
                <w:rFonts w:hint="eastAsia" w:ascii="Times New Roman" w:hAnsi="Times New Roman" w:eastAsia="宋体" w:cs="Times New Roman"/>
                <w:color w:val="auto"/>
                <w:kern w:val="2"/>
                <w:sz w:val="24"/>
                <w:szCs w:val="22"/>
                <w:highlight w:val="none"/>
                <w:u w:val="single"/>
                <w:lang w:val="en-US" w:eastAsia="zh-CN" w:bidi="ar-SA"/>
              </w:rPr>
              <w:t>劳动</w:t>
            </w:r>
            <w:r>
              <w:rPr>
                <w:rFonts w:hint="default" w:ascii="Times New Roman" w:hAnsi="Times New Roman" w:eastAsia="宋体" w:cs="Times New Roman"/>
                <w:color w:val="auto"/>
                <w:kern w:val="2"/>
                <w:sz w:val="24"/>
                <w:szCs w:val="22"/>
                <w:highlight w:val="none"/>
                <w:u w:val="single"/>
                <w:lang w:val="en-US" w:eastAsia="zh-CN" w:bidi="ar-SA"/>
              </w:rPr>
              <w:t>定员</w:t>
            </w:r>
            <w:r>
              <w:rPr>
                <w:rFonts w:hint="eastAsia" w:ascii="Times New Roman" w:hAnsi="Times New Roman" w:eastAsia="宋体" w:cs="Times New Roman"/>
                <w:color w:val="auto"/>
                <w:kern w:val="2"/>
                <w:sz w:val="24"/>
                <w:szCs w:val="22"/>
                <w:highlight w:val="none"/>
                <w:u w:val="single"/>
                <w:lang w:val="en-US" w:eastAsia="zh-CN" w:bidi="ar-SA"/>
              </w:rPr>
              <w:t>20</w:t>
            </w:r>
            <w:r>
              <w:rPr>
                <w:rFonts w:hint="default" w:ascii="Times New Roman" w:hAnsi="Times New Roman" w:eastAsia="宋体" w:cs="Times New Roman"/>
                <w:color w:val="auto"/>
                <w:kern w:val="2"/>
                <w:sz w:val="24"/>
                <w:szCs w:val="22"/>
                <w:highlight w:val="none"/>
                <w:u w:val="single"/>
                <w:lang w:val="en-US" w:eastAsia="zh-CN" w:bidi="ar-SA"/>
              </w:rPr>
              <w:t>人</w:t>
            </w:r>
            <w:r>
              <w:rPr>
                <w:rFonts w:hint="eastAsia" w:ascii="Times New Roman" w:hAnsi="Times New Roman" w:eastAsia="宋体" w:cs="Times New Roman"/>
                <w:color w:val="auto"/>
                <w:kern w:val="2"/>
                <w:sz w:val="24"/>
                <w:szCs w:val="22"/>
                <w:highlight w:val="none"/>
                <w:u w:val="single"/>
                <w:lang w:val="en-US" w:eastAsia="zh-CN" w:bidi="ar-SA"/>
              </w:rPr>
              <w:t>，均在厂内食宿</w:t>
            </w:r>
            <w:r>
              <w:rPr>
                <w:rFonts w:hint="default" w:ascii="Times New Roman" w:hAnsi="Times New Roman" w:eastAsia="宋体" w:cs="Times New Roman"/>
                <w:color w:val="auto"/>
                <w:kern w:val="2"/>
                <w:sz w:val="24"/>
                <w:szCs w:val="22"/>
                <w:highlight w:val="none"/>
                <w:u w:val="single"/>
                <w:lang w:val="en-US" w:eastAsia="zh-CN" w:bidi="ar-SA"/>
              </w:rPr>
              <w:t>，年工作3</w:t>
            </w:r>
            <w:r>
              <w:rPr>
                <w:rFonts w:hint="eastAsia" w:ascii="Times New Roman" w:hAnsi="Times New Roman" w:eastAsia="宋体" w:cs="Times New Roman"/>
                <w:color w:val="auto"/>
                <w:kern w:val="2"/>
                <w:sz w:val="24"/>
                <w:szCs w:val="22"/>
                <w:highlight w:val="none"/>
                <w:u w:val="single"/>
                <w:lang w:val="en-US" w:eastAsia="zh-CN" w:bidi="ar-SA"/>
              </w:rPr>
              <w:t>12</w:t>
            </w:r>
            <w:r>
              <w:rPr>
                <w:rFonts w:hint="default" w:ascii="Times New Roman" w:hAnsi="Times New Roman" w:eastAsia="宋体" w:cs="Times New Roman"/>
                <w:color w:val="auto"/>
                <w:kern w:val="2"/>
                <w:sz w:val="24"/>
                <w:szCs w:val="22"/>
                <w:highlight w:val="none"/>
                <w:u w:val="single"/>
                <w:lang w:val="en-US" w:eastAsia="zh-CN" w:bidi="ar-SA"/>
              </w:rPr>
              <w:t>天，每天工作8小时。</w:t>
            </w:r>
          </w:p>
          <w:p w14:paraId="42E38B74">
            <w:pPr>
              <w:numPr>
                <w:ilvl w:val="0"/>
                <w:numId w:val="0"/>
              </w:numPr>
              <w:spacing w:line="360" w:lineRule="auto"/>
              <w:ind w:firstLine="482" w:firstLineChars="200"/>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2.8平面布置</w:t>
            </w:r>
          </w:p>
          <w:p w14:paraId="05EC6B0B">
            <w:pPr>
              <w:pStyle w:val="28"/>
              <w:wordWrap w:val="0"/>
              <w:spacing w:line="360" w:lineRule="auto"/>
              <w:ind w:firstLine="480" w:firstLineChars="200"/>
              <w:jc w:val="left"/>
              <w:rPr>
                <w:rFonts w:ascii="Times New Roman" w:hAnsi="Times New Roman" w:cs="Times New Roman"/>
              </w:rPr>
            </w:pPr>
            <w:r>
              <w:rPr>
                <w:rFonts w:hint="default" w:ascii="Times New Roman" w:hAnsi="Times New Roman" w:eastAsia="宋体" w:cs="Times New Roman"/>
                <w:color w:val="auto"/>
                <w:kern w:val="2"/>
                <w:sz w:val="24"/>
                <w:szCs w:val="22"/>
                <w:highlight w:val="none"/>
                <w:u w:val="single"/>
                <w:lang w:val="en-US" w:eastAsia="zh-CN" w:bidi="ar-SA"/>
              </w:rPr>
              <w:t>本项目占地面积共</w:t>
            </w:r>
            <w:r>
              <w:rPr>
                <w:rFonts w:hint="eastAsia" w:ascii="Times New Roman" w:hAnsi="Times New Roman" w:eastAsia="宋体" w:cs="Times New Roman"/>
                <w:color w:val="auto"/>
                <w:kern w:val="2"/>
                <w:sz w:val="24"/>
                <w:szCs w:val="22"/>
                <w:highlight w:val="none"/>
                <w:u w:val="single"/>
                <w:lang w:val="en-US" w:eastAsia="zh-CN" w:bidi="ar-SA"/>
              </w:rPr>
              <w:t>7931.56</w:t>
            </w:r>
            <w:r>
              <w:rPr>
                <w:rFonts w:hint="default" w:ascii="Times New Roman" w:hAnsi="Times New Roman" w:eastAsia="宋体" w:cs="Times New Roman"/>
                <w:color w:val="auto"/>
                <w:kern w:val="2"/>
                <w:sz w:val="24"/>
                <w:szCs w:val="22"/>
                <w:highlight w:val="none"/>
                <w:u w:val="single"/>
                <w:lang w:val="en-US" w:eastAsia="zh-CN" w:bidi="ar-SA"/>
              </w:rPr>
              <w:t>m</w:t>
            </w:r>
            <w:r>
              <w:rPr>
                <w:rFonts w:hint="default" w:ascii="Times New Roman" w:hAnsi="Times New Roman" w:eastAsia="宋体" w:cs="Times New Roman"/>
                <w:color w:val="auto"/>
                <w:kern w:val="2"/>
                <w:sz w:val="24"/>
                <w:szCs w:val="22"/>
                <w:highlight w:val="none"/>
                <w:u w:val="single"/>
                <w:vertAlign w:val="superscript"/>
                <w:lang w:val="en-US" w:eastAsia="zh-CN" w:bidi="ar-SA"/>
              </w:rPr>
              <w:t>2</w:t>
            </w:r>
            <w:r>
              <w:rPr>
                <w:rFonts w:hint="default" w:ascii="Times New Roman" w:hAnsi="Times New Roman" w:eastAsia="宋体" w:cs="Times New Roman"/>
                <w:color w:val="auto"/>
                <w:kern w:val="2"/>
                <w:sz w:val="24"/>
                <w:szCs w:val="22"/>
                <w:highlight w:val="none"/>
                <w:u w:val="single"/>
                <w:lang w:val="en-US" w:eastAsia="zh-CN" w:bidi="ar-SA"/>
              </w:rPr>
              <w:t>，厂区整体呈</w:t>
            </w:r>
            <w:r>
              <w:rPr>
                <w:rFonts w:hint="eastAsia" w:ascii="Times New Roman" w:hAnsi="Times New Roman" w:eastAsia="宋体" w:cs="Times New Roman"/>
                <w:color w:val="auto"/>
                <w:kern w:val="2"/>
                <w:sz w:val="24"/>
                <w:szCs w:val="22"/>
                <w:highlight w:val="none"/>
                <w:u w:val="single"/>
                <w:lang w:val="en-US" w:eastAsia="zh-CN" w:bidi="ar-SA"/>
              </w:rPr>
              <w:t>L</w:t>
            </w:r>
            <w:r>
              <w:rPr>
                <w:rFonts w:hint="default" w:ascii="Times New Roman" w:hAnsi="Times New Roman" w:eastAsia="宋体" w:cs="Times New Roman"/>
                <w:color w:val="auto"/>
                <w:kern w:val="2"/>
                <w:sz w:val="24"/>
                <w:szCs w:val="22"/>
                <w:highlight w:val="none"/>
                <w:u w:val="single"/>
                <w:lang w:val="en-US" w:eastAsia="zh-CN" w:bidi="ar-SA"/>
              </w:rPr>
              <w:t>方形，大门朝向北侧。项目共建设建筑3幢，以项目中</w:t>
            </w:r>
            <w:r>
              <w:rPr>
                <w:rFonts w:hint="eastAsia" w:ascii="Times New Roman" w:hAnsi="Times New Roman" w:cs="Times New Roman"/>
                <w:color w:val="auto"/>
                <w:kern w:val="2"/>
                <w:sz w:val="24"/>
                <w:szCs w:val="22"/>
                <w:highlight w:val="none"/>
                <w:u w:val="single"/>
                <w:lang w:val="en-US" w:eastAsia="zh-CN" w:bidi="ar-SA"/>
              </w:rPr>
              <w:t>心为</w:t>
            </w:r>
            <w:r>
              <w:rPr>
                <w:rFonts w:hint="default" w:ascii="Times New Roman" w:hAnsi="Times New Roman" w:eastAsia="宋体" w:cs="Times New Roman"/>
                <w:color w:val="auto"/>
                <w:kern w:val="2"/>
                <w:sz w:val="24"/>
                <w:szCs w:val="22"/>
                <w:highlight w:val="none"/>
                <w:u w:val="single"/>
                <w:lang w:val="en-US" w:eastAsia="zh-CN" w:bidi="ar-SA"/>
              </w:rPr>
              <w:t>原点，</w:t>
            </w:r>
            <w:r>
              <w:rPr>
                <w:rFonts w:hint="eastAsia" w:ascii="Times New Roman" w:hAnsi="Times New Roman" w:eastAsia="宋体" w:cs="Times New Roman"/>
                <w:color w:val="auto"/>
                <w:kern w:val="2"/>
                <w:sz w:val="24"/>
                <w:szCs w:val="22"/>
                <w:highlight w:val="none"/>
                <w:u w:val="single"/>
                <w:lang w:val="en-US" w:eastAsia="zh-CN" w:bidi="ar-SA"/>
              </w:rPr>
              <w:t>东</w:t>
            </w:r>
            <w:r>
              <w:rPr>
                <w:rFonts w:hint="default" w:ascii="Times New Roman" w:hAnsi="Times New Roman" w:eastAsia="宋体" w:cs="Times New Roman"/>
                <w:color w:val="auto"/>
                <w:kern w:val="2"/>
                <w:sz w:val="24"/>
                <w:szCs w:val="22"/>
                <w:highlight w:val="none"/>
                <w:u w:val="single"/>
                <w:lang w:val="en-US" w:eastAsia="zh-CN" w:bidi="ar-SA"/>
              </w:rPr>
              <w:t>侧建设</w:t>
            </w:r>
            <w:r>
              <w:rPr>
                <w:rFonts w:hint="eastAsia" w:ascii="Times New Roman" w:hAnsi="Times New Roman" w:eastAsia="宋体" w:cs="Times New Roman"/>
                <w:color w:val="auto"/>
                <w:kern w:val="2"/>
                <w:sz w:val="24"/>
                <w:szCs w:val="22"/>
                <w:highlight w:val="none"/>
                <w:u w:val="single"/>
                <w:lang w:val="en-US" w:eastAsia="zh-CN" w:bidi="ar-SA"/>
              </w:rPr>
              <w:t>办公楼</w:t>
            </w:r>
            <w:r>
              <w:rPr>
                <w:rFonts w:hint="default" w:ascii="Times New Roman" w:hAnsi="Times New Roman" w:eastAsia="宋体" w:cs="Times New Roman"/>
                <w:color w:val="auto"/>
                <w:kern w:val="2"/>
                <w:sz w:val="24"/>
                <w:szCs w:val="22"/>
                <w:highlight w:val="none"/>
                <w:u w:val="single"/>
                <w:lang w:val="en-US" w:eastAsia="zh-CN" w:bidi="ar-SA"/>
              </w:rPr>
              <w:t>，共4层，用于行政办公；</w:t>
            </w:r>
            <w:r>
              <w:rPr>
                <w:rFonts w:hint="eastAsia" w:ascii="Times New Roman" w:hAnsi="Times New Roman" w:eastAsia="宋体" w:cs="Times New Roman"/>
                <w:color w:val="auto"/>
                <w:kern w:val="2"/>
                <w:sz w:val="24"/>
                <w:szCs w:val="22"/>
                <w:highlight w:val="none"/>
                <w:u w:val="single"/>
                <w:lang w:val="en-US" w:eastAsia="zh-CN" w:bidi="ar-SA"/>
              </w:rPr>
              <w:t>中部建设</w:t>
            </w:r>
            <w:r>
              <w:rPr>
                <w:rFonts w:hint="default" w:ascii="Times New Roman" w:hAnsi="Times New Roman" w:eastAsia="宋体" w:cs="Times New Roman"/>
                <w:color w:val="auto"/>
                <w:kern w:val="2"/>
                <w:sz w:val="24"/>
                <w:szCs w:val="22"/>
                <w:highlight w:val="none"/>
                <w:u w:val="single"/>
                <w:lang w:val="en-US" w:eastAsia="zh-CN" w:bidi="ar-SA"/>
              </w:rPr>
              <w:t>单层生产厂房</w:t>
            </w:r>
            <w:r>
              <w:rPr>
                <w:rFonts w:hint="eastAsia" w:ascii="Times New Roman" w:hAnsi="Times New Roman" w:eastAsia="宋体" w:cs="Times New Roman"/>
                <w:color w:val="auto"/>
                <w:kern w:val="2"/>
                <w:sz w:val="24"/>
                <w:szCs w:val="22"/>
                <w:highlight w:val="none"/>
                <w:u w:val="single"/>
                <w:lang w:val="en-US" w:eastAsia="zh-CN" w:bidi="ar-SA"/>
              </w:rPr>
              <w:t>呈L形</w:t>
            </w:r>
            <w:r>
              <w:rPr>
                <w:rFonts w:hint="default" w:ascii="Times New Roman" w:hAnsi="Times New Roman" w:eastAsia="宋体" w:cs="Times New Roman"/>
                <w:color w:val="auto"/>
                <w:kern w:val="2"/>
                <w:sz w:val="24"/>
                <w:szCs w:val="22"/>
                <w:highlight w:val="none"/>
                <w:u w:val="single"/>
                <w:lang w:val="en-US" w:eastAsia="zh-CN" w:bidi="ar-SA"/>
              </w:rPr>
              <w:t>，用于生产</w:t>
            </w:r>
            <w:r>
              <w:rPr>
                <w:rFonts w:hint="eastAsia" w:ascii="Times New Roman" w:hAnsi="Times New Roman" w:eastAsia="宋体" w:cs="Times New Roman"/>
                <w:color w:val="auto"/>
                <w:kern w:val="2"/>
                <w:sz w:val="24"/>
                <w:szCs w:val="22"/>
                <w:highlight w:val="none"/>
                <w:u w:val="single"/>
                <w:lang w:val="en-US" w:eastAsia="zh-CN" w:bidi="ar-SA"/>
              </w:rPr>
              <w:t>，从北往南，从西到东依次排列射芯区、造型区、混砂区、</w:t>
            </w:r>
            <w:r>
              <w:rPr>
                <w:rFonts w:hint="eastAsia" w:ascii="Times New Roman" w:hAnsi="Times New Roman" w:cs="Times New Roman"/>
                <w:color w:val="auto"/>
                <w:kern w:val="2"/>
                <w:sz w:val="24"/>
                <w:szCs w:val="22"/>
                <w:highlight w:val="none"/>
                <w:u w:val="single"/>
                <w:lang w:val="en-US" w:eastAsia="zh-CN" w:bidi="ar-SA"/>
              </w:rPr>
              <w:t>浇注</w:t>
            </w:r>
            <w:r>
              <w:rPr>
                <w:rFonts w:hint="eastAsia" w:ascii="Times New Roman" w:hAnsi="Times New Roman" w:eastAsia="宋体" w:cs="Times New Roman"/>
                <w:color w:val="auto"/>
                <w:kern w:val="2"/>
                <w:sz w:val="24"/>
                <w:szCs w:val="22"/>
                <w:highlight w:val="none"/>
                <w:u w:val="single"/>
                <w:lang w:val="en-US" w:eastAsia="zh-CN" w:bidi="ar-SA"/>
              </w:rPr>
              <w:t>区、落砂断冒区、原辅料区、钢材暂存区、熔炼区、抛丸区、成品区；生产厂房北侧为食堂，西侧为危废暂存间、一般固废暂存间、配电室</w:t>
            </w:r>
            <w:r>
              <w:rPr>
                <w:rFonts w:hint="default" w:ascii="Times New Roman" w:hAnsi="Times New Roman" w:eastAsia="宋体" w:cs="Times New Roman"/>
                <w:color w:val="auto"/>
                <w:kern w:val="2"/>
                <w:sz w:val="24"/>
                <w:szCs w:val="22"/>
                <w:highlight w:val="none"/>
                <w:u w:val="single"/>
                <w:lang w:val="en-US" w:eastAsia="zh-CN" w:bidi="ar-SA"/>
              </w:rPr>
              <w:t>。综合来看，项目平面充分考虑</w:t>
            </w:r>
            <w:r>
              <w:rPr>
                <w:rFonts w:hint="eastAsia" w:ascii="Times New Roman" w:hAnsi="Times New Roman" w:cs="Times New Roman"/>
                <w:color w:val="auto"/>
                <w:kern w:val="2"/>
                <w:sz w:val="24"/>
                <w:szCs w:val="22"/>
                <w:highlight w:val="none"/>
                <w:u w:val="single"/>
                <w:lang w:val="en-US" w:eastAsia="zh-CN" w:bidi="ar-SA"/>
              </w:rPr>
              <w:t>了</w:t>
            </w:r>
            <w:r>
              <w:rPr>
                <w:rFonts w:hint="default" w:ascii="Times New Roman" w:hAnsi="Times New Roman" w:eastAsia="宋体" w:cs="Times New Roman"/>
                <w:color w:val="auto"/>
                <w:kern w:val="2"/>
                <w:sz w:val="24"/>
                <w:szCs w:val="22"/>
                <w:highlight w:val="none"/>
                <w:u w:val="single"/>
                <w:lang w:val="en-US" w:eastAsia="zh-CN" w:bidi="ar-SA"/>
              </w:rPr>
              <w:t>生产、行政、仓储</w:t>
            </w:r>
            <w:r>
              <w:rPr>
                <w:rFonts w:hint="eastAsia" w:ascii="Times New Roman" w:hAnsi="Times New Roman" w:cs="Times New Roman"/>
                <w:color w:val="auto"/>
                <w:kern w:val="2"/>
                <w:sz w:val="24"/>
                <w:szCs w:val="22"/>
                <w:highlight w:val="none"/>
                <w:u w:val="single"/>
                <w:lang w:val="en-US" w:eastAsia="zh-CN" w:bidi="ar-SA"/>
              </w:rPr>
              <w:t>等</w:t>
            </w:r>
            <w:r>
              <w:rPr>
                <w:rFonts w:hint="default" w:ascii="Times New Roman" w:hAnsi="Times New Roman" w:eastAsia="宋体" w:cs="Times New Roman"/>
                <w:color w:val="auto"/>
                <w:kern w:val="2"/>
                <w:sz w:val="24"/>
                <w:szCs w:val="22"/>
                <w:highlight w:val="none"/>
                <w:u w:val="single"/>
                <w:lang w:val="en-US" w:eastAsia="zh-CN" w:bidi="ar-SA"/>
              </w:rPr>
              <w:t>之间的协调进行，满足项目运营所需。项目平面布置图见附图2。</w:t>
            </w:r>
          </w:p>
        </w:tc>
      </w:tr>
    </w:tbl>
    <w:p w14:paraId="63B01F32">
      <w:p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E0D0B12">
      <w:pPr>
        <w:pStyle w:val="28"/>
        <w:rPr>
          <w:rFonts w:hint="default"/>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7925"/>
      </w:tblGrid>
      <w:tr w14:paraId="2540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trPr>
        <w:tc>
          <w:tcPr>
            <w:tcW w:w="597" w:type="dxa"/>
            <w:vAlign w:val="center"/>
          </w:tcPr>
          <w:p w14:paraId="5BE3625D">
            <w:pPr>
              <w:widowControl/>
              <w:jc w:val="center"/>
            </w:pPr>
            <w:r>
              <w:rPr>
                <w:rFonts w:hint="default" w:ascii="Times New Roman" w:hAnsi="Times New Roman" w:eastAsia="宋体" w:cs="Times New Roman"/>
                <w:color w:val="000000"/>
                <w:kern w:val="2"/>
                <w:sz w:val="24"/>
                <w:szCs w:val="24"/>
                <w:lang w:val="en-US" w:eastAsia="zh-CN" w:bidi="ar-SA"/>
              </w:rPr>
              <w:t>工艺流程和产排污环节</w:t>
            </w:r>
          </w:p>
        </w:tc>
        <w:tc>
          <w:tcPr>
            <w:tcW w:w="7925" w:type="dxa"/>
          </w:tcPr>
          <w:p w14:paraId="6CEAEB3F">
            <w:pPr>
              <w:autoSpaceDE w:val="0"/>
              <w:autoSpaceDN w:val="0"/>
              <w:adjustRightInd w:val="0"/>
              <w:spacing w:line="360" w:lineRule="auto"/>
              <w:ind w:firstLine="482" w:firstLineChars="200"/>
              <w:rPr>
                <w:rFonts w:hint="default" w:ascii="Times New Roman" w:hAnsi="Times New Roman" w:eastAsia="宋体" w:cs="Times New Roman"/>
                <w:b/>
                <w:bCs/>
                <w:color w:val="auto"/>
                <w:sz w:val="24"/>
                <w:highlight w:val="none"/>
                <w:u w:val="none"/>
                <w:lang w:val="en-US" w:eastAsia="zh-CN"/>
              </w:rPr>
            </w:pPr>
            <w:r>
              <w:rPr>
                <w:rFonts w:hint="default" w:ascii="Times New Roman" w:hAnsi="Times New Roman" w:eastAsia="宋体" w:cs="Times New Roman"/>
                <w:b/>
                <w:bCs/>
                <w:color w:val="auto"/>
                <w:sz w:val="24"/>
                <w:highlight w:val="none"/>
                <w:u w:val="none"/>
                <w:lang w:val="en-US" w:eastAsia="zh-CN"/>
              </w:rPr>
              <w:t>（一）工艺流程</w:t>
            </w:r>
          </w:p>
          <w:p w14:paraId="70248338">
            <w:pPr>
              <w:autoSpaceDE w:val="0"/>
              <w:autoSpaceDN w:val="0"/>
              <w:adjustRightInd w:val="0"/>
              <w:spacing w:line="360" w:lineRule="auto"/>
              <w:ind w:firstLine="480" w:firstLineChars="200"/>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本项目使用湿型粘土砂处理工艺铸造制造汽车零部件（制动盘、皮带轮、风叶轮等）各产品生产工艺一致，工艺流程及说明如下：</w:t>
            </w:r>
          </w:p>
          <w:p w14:paraId="0A67713B">
            <w:pPr>
              <w:bidi w:val="0"/>
              <w:rPr>
                <w:rFonts w:hint="eastAsia"/>
                <w:lang w:eastAsia="zh-CN"/>
              </w:rPr>
            </w:pPr>
            <w:r>
              <w:rPr>
                <w:rFonts w:hint="eastAsia"/>
                <w:lang w:eastAsia="zh-CN"/>
              </w:rPr>
              <w:drawing>
                <wp:inline distT="0" distB="0" distL="114300" distR="114300">
                  <wp:extent cx="4487545" cy="7670165"/>
                  <wp:effectExtent l="0" t="0" r="8255" b="6985"/>
                  <wp:docPr id="8" name="图片 8" descr="生产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生产工艺流程图"/>
                          <pic:cNvPicPr>
                            <a:picLocks noChangeAspect="1"/>
                          </pic:cNvPicPr>
                        </pic:nvPicPr>
                        <pic:blipFill>
                          <a:blip r:embed="rId10"/>
                          <a:stretch>
                            <a:fillRect/>
                          </a:stretch>
                        </pic:blipFill>
                        <pic:spPr>
                          <a:xfrm>
                            <a:off x="0" y="0"/>
                            <a:ext cx="4487545" cy="7670165"/>
                          </a:xfrm>
                          <a:prstGeom prst="rect">
                            <a:avLst/>
                          </a:prstGeom>
                        </pic:spPr>
                      </pic:pic>
                    </a:graphicData>
                  </a:graphic>
                </wp:inline>
              </w:drawing>
            </w:r>
          </w:p>
          <w:p w14:paraId="2D4963D3">
            <w:pPr>
              <w:adjustRightInd w:val="0"/>
              <w:snapToGrid w:val="0"/>
              <w:spacing w:line="360" w:lineRule="auto"/>
              <w:jc w:val="center"/>
              <w:rPr>
                <w:rFonts w:hint="default" w:ascii="Times New Roman" w:hAnsi="Times New Roman" w:eastAsia="宋体" w:cs="Times New Roman"/>
                <w:b/>
                <w:bCs/>
                <w:color w:val="auto"/>
                <w:szCs w:val="24"/>
                <w:highlight w:val="none"/>
                <w:u w:val="none"/>
              </w:rPr>
            </w:pPr>
            <w:r>
              <w:rPr>
                <w:rFonts w:hint="default" w:ascii="Times New Roman" w:hAnsi="Times New Roman" w:eastAsia="宋体" w:cs="Times New Roman"/>
                <w:b/>
                <w:bCs/>
                <w:color w:val="auto"/>
                <w:szCs w:val="24"/>
                <w:highlight w:val="none"/>
                <w:u w:val="none"/>
              </w:rPr>
              <w:t>图2-2</w:t>
            </w:r>
            <w:r>
              <w:rPr>
                <w:rFonts w:hint="eastAsia" w:ascii="Times New Roman" w:hAnsi="Times New Roman" w:eastAsia="宋体" w:cs="Times New Roman"/>
                <w:b/>
                <w:bCs/>
                <w:color w:val="auto"/>
                <w:szCs w:val="24"/>
                <w:highlight w:val="none"/>
                <w:u w:val="none"/>
                <w:lang w:val="en-US" w:eastAsia="zh-CN"/>
              </w:rPr>
              <w:t>项目生产工艺流程及产污环</w:t>
            </w:r>
            <w:r>
              <w:rPr>
                <w:rFonts w:hint="default" w:ascii="Times New Roman" w:hAnsi="Times New Roman" w:eastAsia="宋体" w:cs="Times New Roman"/>
                <w:b/>
                <w:bCs/>
                <w:color w:val="auto"/>
                <w:szCs w:val="24"/>
                <w:highlight w:val="none"/>
                <w:u w:val="none"/>
              </w:rPr>
              <w:t>图</w:t>
            </w:r>
          </w:p>
          <w:p w14:paraId="7ACCC00A">
            <w:pPr>
              <w:numPr>
                <w:ilvl w:val="0"/>
                <w:numId w:val="0"/>
              </w:numPr>
              <w:autoSpaceDE w:val="0"/>
              <w:autoSpaceDN w:val="0"/>
              <w:adjustRightInd w:val="0"/>
              <w:spacing w:line="360" w:lineRule="auto"/>
              <w:ind w:firstLine="480" w:firstLineChars="200"/>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kern w:val="2"/>
                <w:sz w:val="24"/>
                <w:szCs w:val="22"/>
                <w:lang w:val="en-US" w:eastAsia="zh-CN" w:bidi="ar-SA"/>
              </w:rPr>
              <w:t>（1）</w:t>
            </w:r>
            <w:r>
              <w:rPr>
                <w:rFonts w:hint="default" w:ascii="Times New Roman" w:hAnsi="Times New Roman" w:eastAsia="宋体" w:cs="Times New Roman"/>
                <w:color w:val="auto"/>
                <w:sz w:val="24"/>
                <w:highlight w:val="none"/>
                <w:u w:val="none"/>
                <w:lang w:val="en-US" w:eastAsia="zh-CN"/>
              </w:rPr>
              <w:t>粘土砂造型</w:t>
            </w:r>
            <w:r>
              <w:rPr>
                <w:rFonts w:hint="eastAsia" w:cs="Times New Roman"/>
                <w:color w:val="auto"/>
                <w:sz w:val="24"/>
                <w:highlight w:val="none"/>
                <w:u w:val="none"/>
                <w:lang w:val="en-US" w:eastAsia="zh-CN"/>
              </w:rPr>
              <w:t>：</w:t>
            </w:r>
            <w:r>
              <w:rPr>
                <w:rFonts w:hint="default" w:ascii="Times New Roman" w:hAnsi="Times New Roman" w:eastAsia="宋体" w:cs="Times New Roman"/>
                <w:color w:val="auto"/>
                <w:sz w:val="24"/>
                <w:highlight w:val="none"/>
                <w:u w:val="none"/>
                <w:lang w:val="en-US" w:eastAsia="zh-CN"/>
              </w:rPr>
              <w:t>车间</w:t>
            </w:r>
            <w:r>
              <w:rPr>
                <w:rFonts w:hint="eastAsia" w:ascii="Times New Roman" w:hAnsi="Times New Roman" w:eastAsia="宋体" w:cs="Times New Roman"/>
                <w:color w:val="auto"/>
                <w:sz w:val="24"/>
                <w:highlight w:val="none"/>
                <w:u w:val="none"/>
                <w:lang w:val="en-US" w:eastAsia="zh-CN"/>
              </w:rPr>
              <w:t>北侧</w:t>
            </w:r>
            <w:r>
              <w:rPr>
                <w:rFonts w:hint="default" w:ascii="Times New Roman" w:hAnsi="Times New Roman" w:eastAsia="宋体" w:cs="Times New Roman"/>
                <w:color w:val="auto"/>
                <w:sz w:val="24"/>
                <w:highlight w:val="none"/>
                <w:u w:val="none"/>
                <w:lang w:val="en-US" w:eastAsia="zh-CN"/>
              </w:rPr>
              <w:t>设置</w:t>
            </w:r>
            <w:r>
              <w:rPr>
                <w:rFonts w:hint="eastAsia" w:ascii="Times New Roman" w:hAnsi="Times New Roman" w:eastAsia="宋体" w:cs="Times New Roman"/>
                <w:color w:val="auto"/>
                <w:sz w:val="24"/>
                <w:highlight w:val="none"/>
                <w:u w:val="none"/>
                <w:lang w:val="en-US" w:eastAsia="zh-CN"/>
              </w:rPr>
              <w:t>2</w:t>
            </w:r>
            <w:r>
              <w:rPr>
                <w:rFonts w:hint="default" w:ascii="Times New Roman" w:hAnsi="Times New Roman" w:eastAsia="宋体" w:cs="Times New Roman"/>
                <w:color w:val="auto"/>
                <w:sz w:val="24"/>
                <w:highlight w:val="none"/>
                <w:u w:val="none"/>
                <w:lang w:val="en-US" w:eastAsia="zh-CN"/>
              </w:rPr>
              <w:t>个地上密闭箱体，用于存放型砂。项目混砂时砂仓仅在顶端留有一投料口，倒砂后砂仓投料口关闭，且倒砂过程时间短暂。将外购粘土砂、</w:t>
            </w:r>
            <w:r>
              <w:rPr>
                <w:rFonts w:hint="eastAsia" w:ascii="Times New Roman" w:hAnsi="Times New Roman" w:eastAsia="宋体" w:cs="Times New Roman"/>
                <w:color w:val="auto"/>
                <w:sz w:val="24"/>
                <w:highlight w:val="none"/>
                <w:u w:val="none"/>
                <w:lang w:val="en-US" w:eastAsia="zh-CN"/>
              </w:rPr>
              <w:t>膨润土</w:t>
            </w:r>
            <w:r>
              <w:rPr>
                <w:rFonts w:hint="default" w:ascii="Times New Roman" w:hAnsi="Times New Roman" w:eastAsia="宋体" w:cs="Times New Roman"/>
                <w:color w:val="auto"/>
                <w:sz w:val="24"/>
                <w:highlight w:val="none"/>
                <w:u w:val="none"/>
                <w:lang w:val="en-US" w:eastAsia="zh-CN"/>
              </w:rPr>
              <w:t>以及回收的合格旧砂经料斗定量卸入混砂机，在混砂机内按一定比例混合均匀，混砂工序加少量水沾湿粘土砂，使用自动造型机，将混合均匀的铸造砂填入砂箱中，紧实，固定，出机后的砂模由生产线自动推送至套箱合，制得砂型后将模具取出，最后合箱制得砂模。项目选用湿型砂型，砂型造好后，不经烘干可直接</w:t>
            </w:r>
            <w:r>
              <w:rPr>
                <w:rFonts w:hint="eastAsia" w:cs="Times New Roman"/>
                <w:color w:val="auto"/>
                <w:sz w:val="24"/>
                <w:highlight w:val="none"/>
                <w:u w:val="none"/>
                <w:lang w:val="en-US" w:eastAsia="zh-CN"/>
              </w:rPr>
              <w:t>浇注</w:t>
            </w:r>
            <w:r>
              <w:rPr>
                <w:rFonts w:hint="default" w:ascii="Times New Roman" w:hAnsi="Times New Roman" w:eastAsia="宋体" w:cs="Times New Roman"/>
                <w:color w:val="auto"/>
                <w:sz w:val="24"/>
                <w:highlight w:val="none"/>
                <w:u w:val="none"/>
                <w:lang w:val="en-US" w:eastAsia="zh-CN"/>
              </w:rPr>
              <w:t>。</w:t>
            </w:r>
          </w:p>
          <w:p w14:paraId="686A228B">
            <w:pPr>
              <w:numPr>
                <w:ilvl w:val="0"/>
                <w:numId w:val="0"/>
              </w:numPr>
              <w:autoSpaceDE w:val="0"/>
              <w:autoSpaceDN w:val="0"/>
              <w:adjustRightInd w:val="0"/>
              <w:spacing w:line="360" w:lineRule="auto"/>
              <w:ind w:firstLine="480" w:firstLineChars="200"/>
              <w:rPr>
                <w:rFonts w:hint="eastAsia" w:ascii="Times New Roman" w:hAnsi="Times New Roman" w:eastAsia="宋体" w:cs="Times New Roman"/>
                <w:b/>
                <w:bCs/>
                <w:lang w:eastAsia="zh-CN"/>
              </w:rPr>
            </w:pPr>
            <w:r>
              <w:rPr>
                <w:rFonts w:hint="default" w:ascii="Times New Roman" w:hAnsi="Times New Roman" w:eastAsia="宋体" w:cs="Times New Roman"/>
                <w:color w:val="auto"/>
                <w:kern w:val="2"/>
                <w:sz w:val="24"/>
                <w:szCs w:val="22"/>
                <w:lang w:val="en-US" w:eastAsia="zh-CN" w:bidi="ar-SA"/>
              </w:rPr>
              <w:t>（</w:t>
            </w:r>
            <w:r>
              <w:rPr>
                <w:rFonts w:hint="eastAsia" w:ascii="Times New Roman" w:hAnsi="Times New Roman" w:eastAsia="宋体" w:cs="Times New Roman"/>
                <w:color w:val="auto"/>
                <w:kern w:val="2"/>
                <w:sz w:val="24"/>
                <w:szCs w:val="22"/>
                <w:lang w:val="en-US" w:eastAsia="zh-CN" w:bidi="ar-SA"/>
              </w:rPr>
              <w:t>2</w:t>
            </w:r>
            <w:r>
              <w:rPr>
                <w:rFonts w:hint="default" w:ascii="Times New Roman" w:hAnsi="Times New Roman" w:eastAsia="宋体" w:cs="Times New Roman"/>
                <w:color w:val="auto"/>
                <w:kern w:val="2"/>
                <w:sz w:val="24"/>
                <w:szCs w:val="22"/>
                <w:lang w:val="en-US" w:eastAsia="zh-CN" w:bidi="ar-SA"/>
              </w:rPr>
              <w:t>）</w:t>
            </w:r>
            <w:r>
              <w:rPr>
                <w:rFonts w:hint="default" w:ascii="Times New Roman" w:hAnsi="Times New Roman" w:eastAsia="宋体" w:cs="Times New Roman"/>
                <w:color w:val="auto"/>
                <w:sz w:val="24"/>
                <w:highlight w:val="none"/>
                <w:u w:val="none"/>
                <w:lang w:val="en-US" w:eastAsia="zh-CN"/>
              </w:rPr>
              <w:t>覆膜砂制砂芯</w:t>
            </w:r>
            <w:r>
              <w:rPr>
                <w:rFonts w:hint="eastAsia" w:cs="Times New Roman"/>
                <w:color w:val="auto"/>
                <w:sz w:val="24"/>
                <w:highlight w:val="none"/>
                <w:u w:val="none"/>
                <w:lang w:val="en-US" w:eastAsia="zh-CN"/>
              </w:rPr>
              <w:t>：</w:t>
            </w:r>
            <w:r>
              <w:rPr>
                <w:rFonts w:hint="default" w:ascii="Times New Roman" w:hAnsi="Times New Roman" w:eastAsia="宋体" w:cs="Times New Roman"/>
                <w:color w:val="auto"/>
                <w:sz w:val="24"/>
                <w:highlight w:val="none"/>
                <w:u w:val="none"/>
                <w:lang w:val="en-US" w:eastAsia="zh-CN"/>
              </w:rPr>
              <w:t>车间</w:t>
            </w:r>
            <w:r>
              <w:rPr>
                <w:rFonts w:hint="eastAsia" w:ascii="Times New Roman" w:hAnsi="Times New Roman" w:eastAsia="宋体" w:cs="Times New Roman"/>
                <w:color w:val="auto"/>
                <w:sz w:val="24"/>
                <w:highlight w:val="none"/>
                <w:u w:val="none"/>
                <w:lang w:val="en-US" w:eastAsia="zh-CN"/>
              </w:rPr>
              <w:t>北侧</w:t>
            </w:r>
            <w:r>
              <w:rPr>
                <w:rFonts w:hint="default" w:ascii="Times New Roman" w:hAnsi="Times New Roman" w:eastAsia="宋体" w:cs="Times New Roman"/>
                <w:color w:val="auto"/>
                <w:sz w:val="24"/>
                <w:highlight w:val="none"/>
                <w:u w:val="none"/>
                <w:lang w:val="en-US" w:eastAsia="zh-CN"/>
              </w:rPr>
              <w:t>设置</w:t>
            </w:r>
            <w:r>
              <w:rPr>
                <w:rFonts w:hint="eastAsia" w:ascii="Times New Roman" w:hAnsi="Times New Roman" w:eastAsia="宋体" w:cs="Times New Roman"/>
                <w:color w:val="auto"/>
                <w:sz w:val="24"/>
                <w:highlight w:val="none"/>
                <w:u w:val="none"/>
                <w:lang w:val="en-US" w:eastAsia="zh-CN"/>
              </w:rPr>
              <w:t>2</w:t>
            </w:r>
            <w:r>
              <w:rPr>
                <w:rFonts w:hint="default" w:ascii="Times New Roman" w:hAnsi="Times New Roman" w:eastAsia="宋体" w:cs="Times New Roman"/>
                <w:color w:val="auto"/>
                <w:sz w:val="24"/>
                <w:highlight w:val="none"/>
                <w:u w:val="none"/>
                <w:lang w:val="en-US" w:eastAsia="zh-CN"/>
              </w:rPr>
              <w:t>个地上密闭箱体，用于存放覆膜砂。利用管道将覆膜砂由砂仓抽至射芯机顶端的砂罐中，然后利用射芯机过筛并混合均匀，将覆膜砂射入加热后的芯盒内，砂芯在芯盒内预热很快硬化到一定厚度，将之取出，形成表面光滑、尺寸精确的优质砂芯成品</w:t>
            </w:r>
            <w:r>
              <w:rPr>
                <w:rFonts w:hint="eastAsia" w:eastAsia="宋体" w:cs="Times New Roman"/>
                <w:b/>
                <w:bCs/>
                <w:lang w:eastAsia="zh-CN"/>
              </w:rPr>
              <w:t>。</w:t>
            </w:r>
          </w:p>
          <w:p w14:paraId="24B325AC">
            <w:pPr>
              <w:numPr>
                <w:ilvl w:val="0"/>
                <w:numId w:val="0"/>
              </w:numPr>
              <w:autoSpaceDE w:val="0"/>
              <w:autoSpaceDN w:val="0"/>
              <w:adjustRightInd w:val="0"/>
              <w:spacing w:line="360" w:lineRule="auto"/>
              <w:ind w:firstLine="480" w:firstLineChars="200"/>
              <w:rPr>
                <w:rFonts w:hint="default"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color w:val="auto"/>
                <w:kern w:val="2"/>
                <w:sz w:val="24"/>
                <w:szCs w:val="22"/>
                <w:lang w:val="en-US" w:eastAsia="zh-CN" w:bidi="ar-SA"/>
              </w:rPr>
              <w:t>（</w:t>
            </w:r>
            <w:r>
              <w:rPr>
                <w:rFonts w:hint="eastAsia" w:ascii="Times New Roman" w:hAnsi="Times New Roman" w:eastAsia="宋体" w:cs="Times New Roman"/>
                <w:color w:val="auto"/>
                <w:kern w:val="2"/>
                <w:sz w:val="24"/>
                <w:szCs w:val="22"/>
                <w:lang w:val="en-US" w:eastAsia="zh-CN" w:bidi="ar-SA"/>
              </w:rPr>
              <w:t>3</w:t>
            </w:r>
            <w:r>
              <w:rPr>
                <w:rFonts w:hint="default" w:ascii="Times New Roman" w:hAnsi="Times New Roman" w:eastAsia="宋体" w:cs="Times New Roman"/>
                <w:color w:val="auto"/>
                <w:kern w:val="2"/>
                <w:sz w:val="24"/>
                <w:szCs w:val="22"/>
                <w:lang w:val="en-US" w:eastAsia="zh-CN" w:bidi="ar-SA"/>
              </w:rPr>
              <w:t>）下芯合箱</w:t>
            </w:r>
            <w:r>
              <w:rPr>
                <w:rFonts w:hint="eastAsia" w:cs="Times New Roman"/>
                <w:color w:val="auto"/>
                <w:kern w:val="2"/>
                <w:sz w:val="24"/>
                <w:szCs w:val="22"/>
                <w:lang w:val="en-US" w:eastAsia="zh-CN" w:bidi="ar-SA"/>
              </w:rPr>
              <w:t>：</w:t>
            </w:r>
            <w:r>
              <w:rPr>
                <w:rFonts w:hint="default" w:ascii="Times New Roman" w:hAnsi="Times New Roman" w:eastAsia="宋体" w:cs="Times New Roman"/>
                <w:color w:val="auto"/>
                <w:kern w:val="2"/>
                <w:sz w:val="24"/>
                <w:szCs w:val="22"/>
                <w:lang w:val="en-US" w:eastAsia="zh-CN" w:bidi="ar-SA"/>
              </w:rPr>
              <w:t>将所制得的砂芯置于</w:t>
            </w:r>
            <w:r>
              <w:rPr>
                <w:rFonts w:hint="eastAsia" w:cs="Times New Roman"/>
                <w:color w:val="auto"/>
                <w:kern w:val="2"/>
                <w:sz w:val="24"/>
                <w:szCs w:val="22"/>
                <w:lang w:val="en-US" w:eastAsia="zh-CN" w:bidi="ar-SA"/>
              </w:rPr>
              <w:t>浇注</w:t>
            </w:r>
            <w:r>
              <w:rPr>
                <w:rFonts w:hint="default" w:ascii="Times New Roman" w:hAnsi="Times New Roman" w:eastAsia="宋体" w:cs="Times New Roman"/>
                <w:color w:val="auto"/>
                <w:kern w:val="2"/>
                <w:sz w:val="24"/>
                <w:szCs w:val="22"/>
                <w:lang w:val="en-US" w:eastAsia="zh-CN" w:bidi="ar-SA"/>
              </w:rPr>
              <w:t>流水线的砂箱内</w:t>
            </w:r>
            <w:r>
              <w:rPr>
                <w:rFonts w:hint="eastAsia" w:ascii="Times New Roman" w:hAnsi="Times New Roman" w:eastAsia="宋体" w:cs="Times New Roman"/>
                <w:color w:val="auto"/>
                <w:kern w:val="2"/>
                <w:sz w:val="24"/>
                <w:szCs w:val="22"/>
                <w:lang w:val="en-US" w:eastAsia="zh-CN" w:bidi="ar-SA"/>
              </w:rPr>
              <w:t>，</w:t>
            </w:r>
            <w:r>
              <w:rPr>
                <w:rFonts w:hint="default" w:ascii="Times New Roman" w:hAnsi="Times New Roman" w:eastAsia="宋体" w:cs="Times New Roman"/>
                <w:color w:val="auto"/>
                <w:kern w:val="2"/>
                <w:sz w:val="24"/>
                <w:szCs w:val="22"/>
                <w:lang w:val="en-US" w:eastAsia="zh-CN" w:bidi="ar-SA"/>
              </w:rPr>
              <w:t>在铸型周围填入造型砂紧实</w:t>
            </w:r>
            <w:r>
              <w:rPr>
                <w:rFonts w:hint="eastAsia" w:ascii="Times New Roman" w:hAnsi="Times New Roman" w:eastAsia="宋体" w:cs="Times New Roman"/>
                <w:color w:val="auto"/>
                <w:kern w:val="2"/>
                <w:sz w:val="24"/>
                <w:szCs w:val="22"/>
                <w:lang w:val="en-US" w:eastAsia="zh-CN" w:bidi="ar-SA"/>
              </w:rPr>
              <w:t>，</w:t>
            </w:r>
            <w:r>
              <w:rPr>
                <w:rFonts w:hint="default" w:ascii="Times New Roman" w:hAnsi="Times New Roman" w:eastAsia="宋体" w:cs="Times New Roman"/>
                <w:color w:val="auto"/>
                <w:kern w:val="2"/>
                <w:sz w:val="24"/>
                <w:szCs w:val="22"/>
                <w:lang w:val="en-US" w:eastAsia="zh-CN" w:bidi="ar-SA"/>
              </w:rPr>
              <w:t>制得砂模。</w:t>
            </w:r>
          </w:p>
          <w:p w14:paraId="567D5132">
            <w:pPr>
              <w:numPr>
                <w:ilvl w:val="0"/>
                <w:numId w:val="0"/>
              </w:numPr>
              <w:autoSpaceDE w:val="0"/>
              <w:autoSpaceDN w:val="0"/>
              <w:adjustRightInd w:val="0"/>
              <w:spacing w:line="360" w:lineRule="auto"/>
              <w:ind w:firstLine="480" w:firstLineChars="200"/>
              <w:rPr>
                <w:rFonts w:hint="default"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color w:val="auto"/>
                <w:kern w:val="2"/>
                <w:sz w:val="24"/>
                <w:szCs w:val="22"/>
                <w:lang w:val="en-US" w:eastAsia="zh-CN" w:bidi="ar-SA"/>
              </w:rPr>
              <w:t>（</w:t>
            </w:r>
            <w:r>
              <w:rPr>
                <w:rFonts w:hint="eastAsia" w:ascii="Times New Roman" w:hAnsi="Times New Roman" w:eastAsia="宋体" w:cs="Times New Roman"/>
                <w:color w:val="auto"/>
                <w:kern w:val="2"/>
                <w:sz w:val="24"/>
                <w:szCs w:val="22"/>
                <w:lang w:val="en-US" w:eastAsia="zh-CN" w:bidi="ar-SA"/>
              </w:rPr>
              <w:t>4</w:t>
            </w:r>
            <w:r>
              <w:rPr>
                <w:rFonts w:hint="default" w:ascii="Times New Roman" w:hAnsi="Times New Roman" w:eastAsia="宋体" w:cs="Times New Roman"/>
                <w:color w:val="auto"/>
                <w:kern w:val="2"/>
                <w:sz w:val="24"/>
                <w:szCs w:val="22"/>
                <w:lang w:val="en-US" w:eastAsia="zh-CN" w:bidi="ar-SA"/>
              </w:rPr>
              <w:t>）熔炼、</w:t>
            </w:r>
            <w:r>
              <w:rPr>
                <w:rFonts w:hint="eastAsia" w:cs="Times New Roman"/>
                <w:color w:val="auto"/>
                <w:kern w:val="2"/>
                <w:sz w:val="24"/>
                <w:szCs w:val="22"/>
                <w:lang w:val="en-US" w:eastAsia="zh-CN" w:bidi="ar-SA"/>
              </w:rPr>
              <w:t>浇注：</w:t>
            </w:r>
            <w:r>
              <w:rPr>
                <w:rFonts w:hint="default" w:ascii="Times New Roman" w:hAnsi="Times New Roman" w:eastAsia="宋体" w:cs="Times New Roman"/>
                <w:color w:val="auto"/>
                <w:kern w:val="2"/>
                <w:sz w:val="24"/>
                <w:szCs w:val="22"/>
                <w:lang w:val="en-US" w:eastAsia="zh-CN" w:bidi="ar-SA"/>
              </w:rPr>
              <w:t>将外购的废钢、废铁屑、不合格铸件产品、磁选废金属屑等辅料经</w:t>
            </w:r>
            <w:r>
              <w:rPr>
                <w:rFonts w:hint="eastAsia" w:cs="Times New Roman"/>
                <w:color w:val="auto"/>
                <w:kern w:val="2"/>
                <w:sz w:val="24"/>
                <w:szCs w:val="22"/>
                <w:lang w:val="en-US" w:eastAsia="zh-CN" w:bidi="ar-SA"/>
              </w:rPr>
              <w:t>中频</w:t>
            </w:r>
            <w:r>
              <w:rPr>
                <w:rFonts w:hint="default" w:ascii="Times New Roman" w:hAnsi="Times New Roman" w:eastAsia="宋体" w:cs="Times New Roman"/>
                <w:color w:val="auto"/>
                <w:kern w:val="2"/>
                <w:sz w:val="24"/>
                <w:szCs w:val="22"/>
                <w:lang w:val="en-US" w:eastAsia="zh-CN" w:bidi="ar-SA"/>
              </w:rPr>
              <w:t>电</w:t>
            </w:r>
            <w:r>
              <w:rPr>
                <w:rFonts w:hint="eastAsia" w:cs="Times New Roman"/>
                <w:color w:val="auto"/>
                <w:kern w:val="2"/>
                <w:sz w:val="24"/>
                <w:szCs w:val="22"/>
                <w:lang w:val="en-US" w:eastAsia="zh-CN" w:bidi="ar-SA"/>
              </w:rPr>
              <w:t>感</w:t>
            </w:r>
            <w:r>
              <w:rPr>
                <w:rFonts w:hint="default" w:ascii="Times New Roman" w:hAnsi="Times New Roman" w:eastAsia="宋体" w:cs="Times New Roman"/>
                <w:color w:val="auto"/>
                <w:kern w:val="2"/>
                <w:sz w:val="24"/>
                <w:szCs w:val="22"/>
                <w:lang w:val="en-US" w:eastAsia="zh-CN" w:bidi="ar-SA"/>
              </w:rPr>
              <w:t>炉熔炼，采用立式重力</w:t>
            </w:r>
            <w:r>
              <w:rPr>
                <w:rFonts w:hint="eastAsia" w:cs="Times New Roman"/>
                <w:color w:val="auto"/>
                <w:kern w:val="2"/>
                <w:sz w:val="24"/>
                <w:szCs w:val="22"/>
                <w:lang w:val="en-US" w:eastAsia="zh-CN" w:bidi="ar-SA"/>
              </w:rPr>
              <w:t>浇注</w:t>
            </w:r>
            <w:r>
              <w:rPr>
                <w:rFonts w:hint="default" w:ascii="Times New Roman" w:hAnsi="Times New Roman" w:eastAsia="宋体" w:cs="Times New Roman"/>
                <w:color w:val="auto"/>
                <w:kern w:val="2"/>
                <w:sz w:val="24"/>
                <w:szCs w:val="22"/>
                <w:lang w:val="en-US" w:eastAsia="zh-CN" w:bidi="ar-SA"/>
              </w:rPr>
              <w:t>，将熔炼的钢/铁水倒入制作好的砂模中，钢/铁水利用重力充满铸模，凝固后铸造成型，</w:t>
            </w:r>
            <w:r>
              <w:rPr>
                <w:rFonts w:hint="eastAsia" w:ascii="Times New Roman" w:hAnsi="Times New Roman" w:eastAsia="宋体" w:cs="Times New Roman"/>
                <w:color w:val="auto"/>
                <w:kern w:val="2"/>
                <w:sz w:val="24"/>
                <w:szCs w:val="22"/>
                <w:lang w:val="en-US" w:eastAsia="zh-CN" w:bidi="ar-SA"/>
              </w:rPr>
              <w:t>项目浇注工位固定，工位上方设集气罩对废气进行收集（</w:t>
            </w:r>
            <w:r>
              <w:rPr>
                <w:rFonts w:hint="default" w:ascii="Times New Roman" w:hAnsi="Times New Roman" w:eastAsia="宋体" w:cs="Times New Roman"/>
                <w:color w:val="auto"/>
                <w:kern w:val="2"/>
                <w:sz w:val="24"/>
                <w:szCs w:val="22"/>
                <w:lang w:val="en-US" w:eastAsia="zh-CN" w:bidi="ar-SA"/>
              </w:rPr>
              <w:t>收集效率&gt;90%</w:t>
            </w:r>
            <w:r>
              <w:rPr>
                <w:rFonts w:hint="eastAsia" w:ascii="Times New Roman" w:hAnsi="Times New Roman" w:eastAsia="宋体" w:cs="Times New Roman"/>
                <w:color w:val="auto"/>
                <w:kern w:val="2"/>
                <w:sz w:val="24"/>
                <w:szCs w:val="22"/>
                <w:lang w:val="en-US" w:eastAsia="zh-CN" w:bidi="ar-SA"/>
              </w:rPr>
              <w:t>）</w:t>
            </w:r>
            <w:r>
              <w:rPr>
                <w:rFonts w:hint="default" w:ascii="Times New Roman" w:hAnsi="Times New Roman" w:eastAsia="宋体" w:cs="Times New Roman"/>
                <w:color w:val="auto"/>
                <w:kern w:val="2"/>
                <w:sz w:val="24"/>
                <w:szCs w:val="22"/>
                <w:lang w:val="en-US" w:eastAsia="zh-CN" w:bidi="ar-SA"/>
              </w:rPr>
              <w:t>。电炉采用电加热方式，熔炼温度为1400℃，</w:t>
            </w:r>
            <w:r>
              <w:rPr>
                <w:rFonts w:hint="eastAsia" w:cs="Times New Roman"/>
                <w:color w:val="auto"/>
                <w:kern w:val="2"/>
                <w:sz w:val="24"/>
                <w:szCs w:val="22"/>
                <w:lang w:val="en-US" w:eastAsia="zh-CN" w:bidi="ar-SA"/>
              </w:rPr>
              <w:t>浇注</w:t>
            </w:r>
            <w:r>
              <w:rPr>
                <w:rFonts w:hint="default" w:ascii="Times New Roman" w:hAnsi="Times New Roman" w:eastAsia="宋体" w:cs="Times New Roman"/>
                <w:color w:val="auto"/>
                <w:kern w:val="2"/>
                <w:sz w:val="24"/>
                <w:szCs w:val="22"/>
                <w:lang w:val="en-US" w:eastAsia="zh-CN" w:bidi="ar-SA"/>
              </w:rPr>
              <w:t>时的温度为1200℃左右。</w:t>
            </w:r>
            <w:r>
              <w:rPr>
                <w:rFonts w:hint="eastAsia" w:cs="Times New Roman"/>
                <w:color w:val="auto"/>
                <w:kern w:val="2"/>
                <w:sz w:val="24"/>
                <w:szCs w:val="22"/>
                <w:lang w:val="en-US" w:eastAsia="zh-CN" w:bidi="ar-SA"/>
              </w:rPr>
              <w:t>浇注</w:t>
            </w:r>
            <w:r>
              <w:rPr>
                <w:rFonts w:hint="default" w:ascii="Times New Roman" w:hAnsi="Times New Roman" w:eastAsia="宋体" w:cs="Times New Roman"/>
                <w:color w:val="auto"/>
                <w:kern w:val="2"/>
                <w:sz w:val="24"/>
                <w:szCs w:val="22"/>
                <w:lang w:val="en-US" w:eastAsia="zh-CN" w:bidi="ar-SA"/>
              </w:rPr>
              <w:t>过程中粘结剂</w:t>
            </w:r>
            <w:r>
              <w:rPr>
                <w:rFonts w:hint="eastAsia" w:ascii="Times New Roman" w:hAnsi="Times New Roman" w:eastAsia="宋体" w:cs="Times New Roman"/>
                <w:color w:val="auto"/>
                <w:kern w:val="2"/>
                <w:sz w:val="24"/>
                <w:szCs w:val="22"/>
                <w:lang w:val="en-US" w:eastAsia="zh-CN" w:bidi="ar-SA"/>
              </w:rPr>
              <w:t>（</w:t>
            </w:r>
            <w:r>
              <w:rPr>
                <w:rFonts w:hint="default" w:ascii="Times New Roman" w:hAnsi="Times New Roman" w:eastAsia="宋体" w:cs="Times New Roman"/>
                <w:color w:val="auto"/>
                <w:kern w:val="2"/>
                <w:sz w:val="24"/>
                <w:szCs w:val="22"/>
                <w:lang w:val="en-US" w:eastAsia="zh-CN" w:bidi="ar-SA"/>
              </w:rPr>
              <w:t>主要是酚醛树脂</w:t>
            </w:r>
            <w:r>
              <w:rPr>
                <w:rFonts w:hint="eastAsia" w:ascii="Times New Roman" w:hAnsi="Times New Roman" w:eastAsia="宋体" w:cs="Times New Roman"/>
                <w:color w:val="auto"/>
                <w:kern w:val="2"/>
                <w:sz w:val="24"/>
                <w:szCs w:val="22"/>
                <w:lang w:val="en-US" w:eastAsia="zh-CN" w:bidi="ar-SA"/>
              </w:rPr>
              <w:t>）</w:t>
            </w:r>
            <w:r>
              <w:rPr>
                <w:rFonts w:hint="default" w:ascii="Times New Roman" w:hAnsi="Times New Roman" w:eastAsia="宋体" w:cs="Times New Roman"/>
                <w:color w:val="auto"/>
                <w:kern w:val="2"/>
                <w:sz w:val="24"/>
                <w:szCs w:val="22"/>
                <w:lang w:val="en-US" w:eastAsia="zh-CN" w:bidi="ar-SA"/>
              </w:rPr>
              <w:t>遇热汽化生成有机废气。</w:t>
            </w:r>
          </w:p>
          <w:p w14:paraId="6F69A48C">
            <w:pPr>
              <w:numPr>
                <w:ilvl w:val="0"/>
                <w:numId w:val="0"/>
              </w:numPr>
              <w:autoSpaceDE w:val="0"/>
              <w:autoSpaceDN w:val="0"/>
              <w:adjustRightInd w:val="0"/>
              <w:spacing w:line="360" w:lineRule="auto"/>
              <w:ind w:firstLine="480" w:firstLineChars="200"/>
              <w:rPr>
                <w:rFonts w:hint="default"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color w:val="auto"/>
                <w:kern w:val="2"/>
                <w:sz w:val="24"/>
                <w:szCs w:val="22"/>
                <w:lang w:val="en-US" w:eastAsia="zh-CN" w:bidi="ar-SA"/>
              </w:rPr>
              <w:t>（</w:t>
            </w:r>
            <w:r>
              <w:rPr>
                <w:rFonts w:hint="eastAsia" w:ascii="Times New Roman" w:hAnsi="Times New Roman" w:eastAsia="宋体" w:cs="Times New Roman"/>
                <w:color w:val="auto"/>
                <w:kern w:val="2"/>
                <w:sz w:val="24"/>
                <w:szCs w:val="22"/>
                <w:lang w:val="en-US" w:eastAsia="zh-CN" w:bidi="ar-SA"/>
              </w:rPr>
              <w:t>5</w:t>
            </w:r>
            <w:r>
              <w:rPr>
                <w:rFonts w:hint="default" w:ascii="Times New Roman" w:hAnsi="Times New Roman" w:eastAsia="宋体" w:cs="Times New Roman"/>
                <w:color w:val="auto"/>
                <w:kern w:val="2"/>
                <w:sz w:val="24"/>
                <w:szCs w:val="22"/>
                <w:lang w:val="en-US" w:eastAsia="zh-CN" w:bidi="ar-SA"/>
              </w:rPr>
              <w:t>）</w:t>
            </w:r>
            <w:r>
              <w:rPr>
                <w:rFonts w:hint="eastAsia" w:ascii="Times New Roman" w:hAnsi="Times New Roman" w:eastAsia="宋体" w:cs="Times New Roman"/>
                <w:color w:val="auto"/>
                <w:kern w:val="2"/>
                <w:sz w:val="24"/>
                <w:szCs w:val="22"/>
                <w:lang w:val="en-US" w:eastAsia="zh-CN" w:bidi="ar-SA"/>
              </w:rPr>
              <w:t>振筛</w:t>
            </w:r>
            <w:r>
              <w:rPr>
                <w:rFonts w:hint="default" w:ascii="Times New Roman" w:hAnsi="Times New Roman" w:eastAsia="宋体" w:cs="Times New Roman"/>
                <w:color w:val="auto"/>
                <w:kern w:val="2"/>
                <w:sz w:val="24"/>
                <w:szCs w:val="22"/>
                <w:lang w:val="en-US" w:eastAsia="zh-CN" w:bidi="ar-SA"/>
              </w:rPr>
              <w:t>落砂</w:t>
            </w:r>
            <w:r>
              <w:rPr>
                <w:rFonts w:hint="eastAsia" w:cs="Times New Roman"/>
                <w:color w:val="auto"/>
                <w:kern w:val="2"/>
                <w:sz w:val="24"/>
                <w:szCs w:val="22"/>
                <w:lang w:val="en-US" w:eastAsia="zh-CN" w:bidi="ar-SA"/>
              </w:rPr>
              <w:t>：</w:t>
            </w:r>
            <w:r>
              <w:rPr>
                <w:rFonts w:hint="eastAsia" w:ascii="Times New Roman" w:hAnsi="Times New Roman" w:eastAsia="宋体" w:cs="Times New Roman"/>
                <w:color w:val="auto"/>
                <w:kern w:val="2"/>
                <w:sz w:val="24"/>
                <w:szCs w:val="22"/>
                <w:lang w:val="en-US" w:eastAsia="zh-CN" w:bidi="ar-SA"/>
              </w:rPr>
              <w:t>铸型</w:t>
            </w:r>
            <w:r>
              <w:rPr>
                <w:rFonts w:hint="eastAsia" w:cs="Times New Roman"/>
                <w:color w:val="auto"/>
                <w:kern w:val="2"/>
                <w:sz w:val="24"/>
                <w:szCs w:val="22"/>
                <w:lang w:val="en-US" w:eastAsia="zh-CN" w:bidi="ar-SA"/>
              </w:rPr>
              <w:t>浇注</w:t>
            </w:r>
            <w:r>
              <w:rPr>
                <w:rFonts w:hint="eastAsia" w:ascii="Times New Roman" w:hAnsi="Times New Roman" w:eastAsia="宋体" w:cs="Times New Roman"/>
                <w:color w:val="auto"/>
                <w:kern w:val="2"/>
                <w:sz w:val="24"/>
                <w:szCs w:val="22"/>
                <w:lang w:val="en-US" w:eastAsia="zh-CN" w:bidi="ar-SA"/>
              </w:rPr>
              <w:t>完成并冷却到一定温度后，送至</w:t>
            </w:r>
            <w:r>
              <w:rPr>
                <w:rFonts w:hint="default" w:ascii="Times New Roman" w:hAnsi="Times New Roman" w:eastAsia="宋体" w:cs="Times New Roman"/>
                <w:color w:val="auto"/>
                <w:kern w:val="2"/>
                <w:sz w:val="24"/>
                <w:szCs w:val="22"/>
                <w:lang w:val="en-US" w:eastAsia="zh-CN" w:bidi="ar-SA"/>
              </w:rPr>
              <w:t>振动落砂机落砂</w:t>
            </w:r>
            <w:r>
              <w:rPr>
                <w:rFonts w:hint="eastAsia" w:ascii="Times New Roman" w:hAnsi="Times New Roman" w:eastAsia="宋体" w:cs="Times New Roman"/>
                <w:color w:val="auto"/>
                <w:kern w:val="2"/>
                <w:sz w:val="24"/>
                <w:szCs w:val="22"/>
                <w:lang w:val="en-US" w:eastAsia="zh-CN" w:bidi="ar-SA"/>
              </w:rPr>
              <w:t>，使铸件从砂模中分离出来，铸件留在振动筛上方。振动筛滤过直径较大的杂质，筛下的覆膜砂回用。为降低粉尘的产生量，落砂工位设置于地下，5面封闭，上方设置集气罩，地下振动筛留有检修口，工作时检修口封闭，保证设备处于密闭状态。</w:t>
            </w:r>
          </w:p>
          <w:p w14:paraId="602EC161">
            <w:pPr>
              <w:numPr>
                <w:ilvl w:val="0"/>
                <w:numId w:val="0"/>
              </w:numPr>
              <w:autoSpaceDE w:val="0"/>
              <w:autoSpaceDN w:val="0"/>
              <w:adjustRightInd w:val="0"/>
              <w:spacing w:line="360" w:lineRule="auto"/>
              <w:ind w:firstLine="480" w:firstLineChars="200"/>
              <w:rPr>
                <w:rFonts w:hint="eastAsia"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color w:val="auto"/>
                <w:kern w:val="2"/>
                <w:sz w:val="24"/>
                <w:szCs w:val="22"/>
                <w:lang w:val="en-US" w:eastAsia="zh-CN" w:bidi="ar-SA"/>
              </w:rPr>
              <w:t>（</w:t>
            </w:r>
            <w:r>
              <w:rPr>
                <w:rFonts w:hint="eastAsia" w:ascii="Times New Roman" w:hAnsi="Times New Roman" w:eastAsia="宋体" w:cs="Times New Roman"/>
                <w:color w:val="auto"/>
                <w:kern w:val="2"/>
                <w:sz w:val="24"/>
                <w:szCs w:val="22"/>
                <w:lang w:val="en-US" w:eastAsia="zh-CN" w:bidi="ar-SA"/>
              </w:rPr>
              <w:t>5</w:t>
            </w:r>
            <w:r>
              <w:rPr>
                <w:rFonts w:hint="default" w:ascii="Times New Roman" w:hAnsi="Times New Roman" w:eastAsia="宋体" w:cs="Times New Roman"/>
                <w:color w:val="auto"/>
                <w:kern w:val="2"/>
                <w:sz w:val="24"/>
                <w:szCs w:val="22"/>
                <w:lang w:val="en-US" w:eastAsia="zh-CN" w:bidi="ar-SA"/>
              </w:rPr>
              <w:t>）</w:t>
            </w:r>
            <w:r>
              <w:rPr>
                <w:rFonts w:hint="eastAsia" w:ascii="Times New Roman" w:hAnsi="Times New Roman" w:eastAsia="宋体" w:cs="Times New Roman"/>
                <w:color w:val="auto"/>
                <w:kern w:val="2"/>
                <w:sz w:val="24"/>
                <w:szCs w:val="22"/>
                <w:lang w:val="en-US" w:eastAsia="zh-CN" w:bidi="ar-SA"/>
              </w:rPr>
              <w:t>断冒</w:t>
            </w:r>
            <w:r>
              <w:rPr>
                <w:rFonts w:hint="eastAsia" w:cs="Times New Roman"/>
                <w:color w:val="auto"/>
                <w:kern w:val="2"/>
                <w:sz w:val="24"/>
                <w:szCs w:val="22"/>
                <w:lang w:val="en-US" w:eastAsia="zh-CN" w:bidi="ar-SA"/>
              </w:rPr>
              <w:t>：振动方式</w:t>
            </w:r>
            <w:r>
              <w:rPr>
                <w:rFonts w:hint="default" w:ascii="Times New Roman" w:hAnsi="Times New Roman" w:eastAsia="宋体" w:cs="Times New Roman"/>
                <w:color w:val="auto"/>
                <w:kern w:val="2"/>
                <w:sz w:val="24"/>
                <w:szCs w:val="22"/>
                <w:lang w:val="en-US" w:eastAsia="zh-CN" w:bidi="ar-SA"/>
              </w:rPr>
              <w:t>对落砂后半成品上的冒口脱落，收集后可重投入电感炉回</w:t>
            </w:r>
            <w:r>
              <w:rPr>
                <w:rFonts w:hint="eastAsia" w:cs="Times New Roman"/>
                <w:color w:val="auto"/>
                <w:kern w:val="2"/>
                <w:sz w:val="24"/>
                <w:szCs w:val="22"/>
                <w:lang w:val="en-US" w:eastAsia="zh-CN" w:bidi="ar-SA"/>
              </w:rPr>
              <w:t>用作</w:t>
            </w:r>
            <w:r>
              <w:rPr>
                <w:rFonts w:hint="default" w:ascii="Times New Roman" w:hAnsi="Times New Roman" w:eastAsia="宋体" w:cs="Times New Roman"/>
                <w:color w:val="auto"/>
                <w:kern w:val="2"/>
                <w:sz w:val="24"/>
                <w:szCs w:val="22"/>
                <w:lang w:val="en-US" w:eastAsia="zh-CN" w:bidi="ar-SA"/>
              </w:rPr>
              <w:t>原料，此工序主要污染因子为冒口</w:t>
            </w:r>
            <w:r>
              <w:rPr>
                <w:rFonts w:hint="eastAsia" w:ascii="Times New Roman" w:hAnsi="Times New Roman" w:eastAsia="宋体" w:cs="Times New Roman"/>
                <w:color w:val="auto"/>
                <w:kern w:val="2"/>
                <w:sz w:val="24"/>
                <w:szCs w:val="22"/>
                <w:lang w:val="en-US" w:eastAsia="zh-CN" w:bidi="ar-SA"/>
              </w:rPr>
              <w:t>。</w:t>
            </w:r>
          </w:p>
          <w:p w14:paraId="4AB59047">
            <w:pPr>
              <w:numPr>
                <w:ilvl w:val="0"/>
                <w:numId w:val="0"/>
              </w:numPr>
              <w:autoSpaceDE w:val="0"/>
              <w:autoSpaceDN w:val="0"/>
              <w:adjustRightInd w:val="0"/>
              <w:spacing w:line="360" w:lineRule="auto"/>
              <w:ind w:firstLine="480" w:firstLineChars="200"/>
              <w:rPr>
                <w:rFonts w:hint="default"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color w:val="auto"/>
                <w:kern w:val="2"/>
                <w:sz w:val="24"/>
                <w:szCs w:val="22"/>
                <w:lang w:val="en-US" w:eastAsia="zh-CN" w:bidi="ar-SA"/>
              </w:rPr>
              <w:t>（</w:t>
            </w:r>
            <w:r>
              <w:rPr>
                <w:rFonts w:hint="eastAsia" w:ascii="Times New Roman" w:hAnsi="Times New Roman" w:eastAsia="宋体" w:cs="Times New Roman"/>
                <w:color w:val="auto"/>
                <w:kern w:val="2"/>
                <w:sz w:val="24"/>
                <w:szCs w:val="22"/>
                <w:lang w:val="en-US" w:eastAsia="zh-CN" w:bidi="ar-SA"/>
              </w:rPr>
              <w:t>6</w:t>
            </w:r>
            <w:r>
              <w:rPr>
                <w:rFonts w:hint="default" w:ascii="Times New Roman" w:hAnsi="Times New Roman" w:eastAsia="宋体" w:cs="Times New Roman"/>
                <w:color w:val="auto"/>
                <w:kern w:val="2"/>
                <w:sz w:val="24"/>
                <w:szCs w:val="22"/>
                <w:lang w:val="en-US" w:eastAsia="zh-CN" w:bidi="ar-SA"/>
              </w:rPr>
              <w:t>）</w:t>
            </w:r>
            <w:r>
              <w:rPr>
                <w:rFonts w:hint="eastAsia" w:ascii="Times New Roman" w:hAnsi="Times New Roman" w:eastAsia="宋体" w:cs="Times New Roman"/>
                <w:color w:val="auto"/>
                <w:kern w:val="2"/>
                <w:sz w:val="24"/>
                <w:szCs w:val="22"/>
                <w:lang w:val="en-US" w:eastAsia="zh-CN" w:bidi="ar-SA"/>
              </w:rPr>
              <w:t>抛丸：利用抛丸机进行抛光处理，抛丸主要作用为清除铸件表面的粘砂及氧化皮，同时增加铸件内部的错位密度，提高金属强度。</w:t>
            </w:r>
          </w:p>
          <w:p w14:paraId="06514CA2">
            <w:pPr>
              <w:numPr>
                <w:ilvl w:val="0"/>
                <w:numId w:val="0"/>
              </w:numPr>
              <w:autoSpaceDE w:val="0"/>
              <w:autoSpaceDN w:val="0"/>
              <w:adjustRightInd w:val="0"/>
              <w:spacing w:line="360" w:lineRule="auto"/>
              <w:ind w:firstLine="480" w:firstLineChars="200"/>
              <w:rPr>
                <w:rFonts w:hint="default"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color w:val="auto"/>
                <w:kern w:val="2"/>
                <w:sz w:val="24"/>
                <w:szCs w:val="22"/>
                <w:lang w:val="en-US" w:eastAsia="zh-CN" w:bidi="ar-SA"/>
              </w:rPr>
              <w:t>（</w:t>
            </w:r>
            <w:r>
              <w:rPr>
                <w:rFonts w:hint="eastAsia" w:ascii="Times New Roman" w:hAnsi="Times New Roman" w:eastAsia="宋体" w:cs="Times New Roman"/>
                <w:color w:val="auto"/>
                <w:kern w:val="2"/>
                <w:sz w:val="24"/>
                <w:szCs w:val="22"/>
                <w:lang w:val="en-US" w:eastAsia="zh-CN" w:bidi="ar-SA"/>
              </w:rPr>
              <w:t>7</w:t>
            </w:r>
            <w:r>
              <w:rPr>
                <w:rFonts w:hint="default" w:ascii="Times New Roman" w:hAnsi="Times New Roman" w:eastAsia="宋体" w:cs="Times New Roman"/>
                <w:color w:val="auto"/>
                <w:kern w:val="2"/>
                <w:sz w:val="24"/>
                <w:szCs w:val="22"/>
                <w:lang w:val="en-US" w:eastAsia="zh-CN" w:bidi="ar-SA"/>
              </w:rPr>
              <w:t>）</w:t>
            </w:r>
            <w:r>
              <w:rPr>
                <w:rFonts w:hint="eastAsia" w:ascii="Times New Roman" w:hAnsi="Times New Roman" w:eastAsia="宋体" w:cs="Times New Roman"/>
                <w:color w:val="auto"/>
                <w:kern w:val="2"/>
                <w:sz w:val="24"/>
                <w:szCs w:val="22"/>
                <w:lang w:val="en-US" w:eastAsia="zh-CN" w:bidi="ar-SA"/>
              </w:rPr>
              <w:t>检验入库：</w:t>
            </w:r>
            <w:r>
              <w:rPr>
                <w:rFonts w:hint="default" w:ascii="Times New Roman" w:hAnsi="Times New Roman" w:eastAsia="宋体" w:cs="Times New Roman"/>
                <w:color w:val="auto"/>
                <w:kern w:val="2"/>
                <w:sz w:val="24"/>
                <w:szCs w:val="22"/>
                <w:lang w:val="en-US" w:eastAsia="zh-CN" w:bidi="ar-SA"/>
              </w:rPr>
              <w:t>最后铸件经检验，不合格铸件产品作为原料重新利用，合格的即为成品。</w:t>
            </w:r>
          </w:p>
          <w:p w14:paraId="2DAE768A">
            <w:pPr>
              <w:numPr>
                <w:ilvl w:val="0"/>
                <w:numId w:val="0"/>
              </w:numPr>
              <w:autoSpaceDE w:val="0"/>
              <w:autoSpaceDN w:val="0"/>
              <w:adjustRightInd w:val="0"/>
              <w:spacing w:line="360" w:lineRule="auto"/>
              <w:ind w:firstLine="422" w:firstLineChars="200"/>
              <w:jc w:val="center"/>
              <w:rPr>
                <w:rFonts w:hint="default" w:ascii="Times New Roman" w:hAnsi="Times New Roman" w:eastAsia="宋体" w:cs="Times New Roman"/>
                <w:b/>
                <w:bCs/>
                <w:color w:val="auto"/>
                <w:szCs w:val="24"/>
                <w:highlight w:val="none"/>
                <w:u w:val="none"/>
                <w:lang w:val="en-US" w:eastAsia="zh-CN"/>
              </w:rPr>
            </w:pPr>
            <w:r>
              <w:rPr>
                <w:rFonts w:hint="default" w:ascii="Times New Roman" w:hAnsi="Times New Roman" w:eastAsia="宋体" w:cs="Times New Roman"/>
                <w:b/>
                <w:bCs/>
                <w:color w:val="auto"/>
                <w:szCs w:val="24"/>
                <w:highlight w:val="none"/>
                <w:u w:val="none"/>
                <w:lang w:val="en-US" w:eastAsia="zh-CN"/>
              </w:rPr>
              <w:drawing>
                <wp:anchor distT="0" distB="0" distL="114300" distR="114300" simplePos="0" relativeHeight="251663360" behindDoc="0" locked="0" layoutInCell="1" allowOverlap="1">
                  <wp:simplePos x="0" y="0"/>
                  <wp:positionH relativeFrom="column">
                    <wp:posOffset>-55880</wp:posOffset>
                  </wp:positionH>
                  <wp:positionV relativeFrom="paragraph">
                    <wp:posOffset>43815</wp:posOffset>
                  </wp:positionV>
                  <wp:extent cx="5017135" cy="2644140"/>
                  <wp:effectExtent l="0" t="0" r="12065" b="3810"/>
                  <wp:wrapTopAndBottom/>
                  <wp:docPr id="4" name="图片 4" descr="废气处理措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废气处理措施(2)"/>
                          <pic:cNvPicPr>
                            <a:picLocks noChangeAspect="1"/>
                          </pic:cNvPicPr>
                        </pic:nvPicPr>
                        <pic:blipFill>
                          <a:blip r:embed="rId11"/>
                          <a:srcRect l="4732"/>
                          <a:stretch>
                            <a:fillRect/>
                          </a:stretch>
                        </pic:blipFill>
                        <pic:spPr>
                          <a:xfrm>
                            <a:off x="0" y="0"/>
                            <a:ext cx="5017135" cy="2644140"/>
                          </a:xfrm>
                          <a:prstGeom prst="rect">
                            <a:avLst/>
                          </a:prstGeom>
                        </pic:spPr>
                      </pic:pic>
                    </a:graphicData>
                  </a:graphic>
                </wp:anchor>
              </w:drawing>
            </w:r>
            <w:r>
              <w:rPr>
                <w:rFonts w:hint="default" w:ascii="Times New Roman" w:hAnsi="Times New Roman" w:eastAsia="宋体" w:cs="Times New Roman"/>
                <w:b/>
                <w:bCs/>
                <w:color w:val="auto"/>
                <w:szCs w:val="24"/>
                <w:highlight w:val="none"/>
                <w:u w:val="none"/>
                <w:lang w:val="en-US" w:eastAsia="zh-CN"/>
              </w:rPr>
              <w:t>图2-</w:t>
            </w:r>
            <w:r>
              <w:rPr>
                <w:rFonts w:hint="eastAsia" w:ascii="Times New Roman" w:hAnsi="Times New Roman" w:eastAsia="宋体" w:cs="Times New Roman"/>
                <w:b/>
                <w:bCs/>
                <w:color w:val="auto"/>
                <w:szCs w:val="24"/>
                <w:highlight w:val="none"/>
                <w:u w:val="none"/>
                <w:lang w:val="en-US" w:eastAsia="zh-CN"/>
              </w:rPr>
              <w:t>3</w:t>
            </w:r>
            <w:r>
              <w:rPr>
                <w:rFonts w:hint="default" w:ascii="Times New Roman" w:hAnsi="Times New Roman" w:eastAsia="宋体" w:cs="Times New Roman"/>
                <w:b/>
                <w:bCs/>
                <w:color w:val="auto"/>
                <w:szCs w:val="24"/>
                <w:highlight w:val="none"/>
                <w:u w:val="none"/>
                <w:lang w:val="en-US" w:eastAsia="zh-CN"/>
              </w:rPr>
              <w:t xml:space="preserve">  各产污环节废气处置方式</w:t>
            </w:r>
          </w:p>
          <w:p w14:paraId="0B765919">
            <w:pPr>
              <w:numPr>
                <w:ilvl w:val="0"/>
                <w:numId w:val="0"/>
              </w:numPr>
              <w:autoSpaceDE w:val="0"/>
              <w:autoSpaceDN w:val="0"/>
              <w:adjustRightInd w:val="0"/>
              <w:spacing w:line="360" w:lineRule="auto"/>
              <w:ind w:firstLine="482" w:firstLineChars="200"/>
              <w:rPr>
                <w:rFonts w:hint="default" w:ascii="Times New Roman" w:hAnsi="Times New Roman" w:eastAsia="宋体" w:cs="Times New Roman"/>
                <w:b/>
                <w:bCs/>
                <w:color w:val="auto"/>
                <w:kern w:val="2"/>
                <w:sz w:val="24"/>
                <w:szCs w:val="22"/>
                <w:lang w:val="en-US" w:eastAsia="zh-CN" w:bidi="ar-SA"/>
              </w:rPr>
            </w:pPr>
            <w:r>
              <w:rPr>
                <w:rFonts w:hint="default" w:ascii="Times New Roman" w:hAnsi="Times New Roman" w:eastAsia="宋体" w:cs="Times New Roman"/>
                <w:b/>
                <w:bCs/>
                <w:color w:val="auto"/>
                <w:kern w:val="2"/>
                <w:sz w:val="24"/>
                <w:szCs w:val="22"/>
                <w:lang w:val="en-US" w:eastAsia="zh-CN" w:bidi="ar-SA"/>
              </w:rPr>
              <w:t>（二）产排污环节</w:t>
            </w:r>
          </w:p>
          <w:p w14:paraId="785C7AA1">
            <w:pPr>
              <w:numPr>
                <w:ilvl w:val="0"/>
                <w:numId w:val="0"/>
              </w:numPr>
              <w:autoSpaceDE w:val="0"/>
              <w:autoSpaceDN w:val="0"/>
              <w:adjustRightInd w:val="0"/>
              <w:spacing w:line="360" w:lineRule="auto"/>
              <w:ind w:firstLine="480" w:firstLineChars="200"/>
              <w:rPr>
                <w:rFonts w:hint="default"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color w:val="auto"/>
                <w:kern w:val="2"/>
                <w:sz w:val="24"/>
                <w:szCs w:val="22"/>
                <w:lang w:val="en-US" w:eastAsia="zh-CN" w:bidi="ar-SA"/>
              </w:rPr>
              <w:t>项目产排污环节汇总见下表2-6.</w:t>
            </w:r>
          </w:p>
          <w:p w14:paraId="122B497B">
            <w:pPr>
              <w:numPr>
                <w:ilvl w:val="0"/>
                <w:numId w:val="0"/>
              </w:numPr>
              <w:autoSpaceDE w:val="0"/>
              <w:autoSpaceDN w:val="0"/>
              <w:adjustRightInd w:val="0"/>
              <w:spacing w:line="360" w:lineRule="auto"/>
              <w:ind w:firstLine="422" w:firstLineChars="200"/>
              <w:jc w:val="center"/>
              <w:rPr>
                <w:rFonts w:hint="default" w:ascii="Times New Roman" w:hAnsi="Times New Roman" w:eastAsia="宋体" w:cs="Times New Roman"/>
                <w:b/>
                <w:bCs/>
                <w:color w:val="auto"/>
                <w:szCs w:val="24"/>
                <w:highlight w:val="none"/>
                <w:u w:val="none"/>
                <w:lang w:val="en-US" w:eastAsia="zh-CN"/>
              </w:rPr>
            </w:pPr>
            <w:r>
              <w:rPr>
                <w:rFonts w:hint="default" w:ascii="Times New Roman" w:hAnsi="Times New Roman" w:eastAsia="宋体" w:cs="Times New Roman"/>
                <w:b/>
                <w:bCs/>
                <w:color w:val="auto"/>
                <w:szCs w:val="24"/>
                <w:highlight w:val="none"/>
                <w:u w:val="none"/>
                <w:lang w:val="en-US" w:eastAsia="zh-CN"/>
              </w:rPr>
              <w:t>表2-6  本项目产污环节汇总</w:t>
            </w:r>
          </w:p>
          <w:tbl>
            <w:tblPr>
              <w:tblStyle w:val="22"/>
              <w:tblW w:w="7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
              <w:gridCol w:w="1632"/>
              <w:gridCol w:w="1897"/>
              <w:gridCol w:w="2320"/>
              <w:gridCol w:w="1285"/>
            </w:tblGrid>
            <w:tr w14:paraId="695F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01" w:type="dxa"/>
                  <w:gridSpan w:val="2"/>
                  <w:vAlign w:val="center"/>
                </w:tcPr>
                <w:p w14:paraId="2B72C2B4">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产污环节及污染源</w:t>
                  </w:r>
                </w:p>
              </w:tc>
              <w:tc>
                <w:tcPr>
                  <w:tcW w:w="1897" w:type="dxa"/>
                  <w:vAlign w:val="center"/>
                </w:tcPr>
                <w:p w14:paraId="762D644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污染物</w:t>
                  </w:r>
                </w:p>
              </w:tc>
              <w:tc>
                <w:tcPr>
                  <w:tcW w:w="2320" w:type="dxa"/>
                  <w:vAlign w:val="center"/>
                </w:tcPr>
                <w:p w14:paraId="07B0CD9D">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收集及治理措施</w:t>
                  </w:r>
                </w:p>
              </w:tc>
              <w:tc>
                <w:tcPr>
                  <w:tcW w:w="1285" w:type="dxa"/>
                  <w:vAlign w:val="center"/>
                </w:tcPr>
                <w:p w14:paraId="3301D489">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排放去向</w:t>
                  </w:r>
                </w:p>
              </w:tc>
            </w:tr>
            <w:tr w14:paraId="24FB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9" w:type="dxa"/>
                  <w:vMerge w:val="restart"/>
                  <w:vAlign w:val="center"/>
                </w:tcPr>
                <w:p w14:paraId="4781FC2C">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废气</w:t>
                  </w:r>
                </w:p>
              </w:tc>
              <w:tc>
                <w:tcPr>
                  <w:tcW w:w="1632" w:type="dxa"/>
                  <w:vAlign w:val="center"/>
                </w:tcPr>
                <w:p w14:paraId="156559F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熔炼</w:t>
                  </w:r>
                </w:p>
              </w:tc>
              <w:tc>
                <w:tcPr>
                  <w:tcW w:w="1897" w:type="dxa"/>
                  <w:vAlign w:val="center"/>
                </w:tcPr>
                <w:p w14:paraId="73A4B97E">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颗粒物</w:t>
                  </w:r>
                </w:p>
              </w:tc>
              <w:tc>
                <w:tcPr>
                  <w:tcW w:w="2320" w:type="dxa"/>
                  <w:vAlign w:val="center"/>
                </w:tcPr>
                <w:p w14:paraId="3256926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脉冲</w:t>
                  </w:r>
                  <w:r>
                    <w:rPr>
                      <w:rFonts w:hint="default" w:ascii="Times New Roman" w:hAnsi="Times New Roman" w:eastAsia="宋体" w:cs="Times New Roman"/>
                      <w:u w:val="single"/>
                      <w:lang w:val="en-US" w:eastAsia="zh-CN"/>
                    </w:rPr>
                    <w:t>布袋收尘器（TA001）</w:t>
                  </w:r>
                </w:p>
              </w:tc>
              <w:tc>
                <w:tcPr>
                  <w:tcW w:w="1285" w:type="dxa"/>
                  <w:vAlign w:val="center"/>
                </w:tcPr>
                <w:p w14:paraId="4C471BBB">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15m排气筒（DA001）</w:t>
                  </w:r>
                </w:p>
              </w:tc>
            </w:tr>
            <w:tr w14:paraId="3D15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69" w:type="dxa"/>
                  <w:vMerge w:val="continue"/>
                  <w:vAlign w:val="center"/>
                </w:tcPr>
                <w:p w14:paraId="1BE1D5E3">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p>
              </w:tc>
              <w:tc>
                <w:tcPr>
                  <w:tcW w:w="1632" w:type="dxa"/>
                  <w:vAlign w:val="center"/>
                </w:tcPr>
                <w:p w14:paraId="0AF4658C">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落砂、</w:t>
                  </w:r>
                  <w:r>
                    <w:rPr>
                      <w:rFonts w:hint="default" w:ascii="Times New Roman" w:hAnsi="Times New Roman" w:eastAsia="宋体" w:cs="Times New Roman"/>
                      <w:u w:val="single"/>
                      <w:lang w:val="en-US" w:eastAsia="zh-CN"/>
                    </w:rPr>
                    <w:t>砂处理</w:t>
                  </w:r>
                </w:p>
              </w:tc>
              <w:tc>
                <w:tcPr>
                  <w:tcW w:w="1897" w:type="dxa"/>
                  <w:vAlign w:val="center"/>
                </w:tcPr>
                <w:p w14:paraId="7BD984B1">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颗粒物</w:t>
                  </w:r>
                </w:p>
              </w:tc>
              <w:tc>
                <w:tcPr>
                  <w:tcW w:w="2320" w:type="dxa"/>
                  <w:vAlign w:val="center"/>
                </w:tcPr>
                <w:p w14:paraId="1C37EB0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脉冲</w:t>
                  </w:r>
                  <w:r>
                    <w:rPr>
                      <w:rFonts w:hint="default" w:ascii="Times New Roman" w:hAnsi="Times New Roman" w:eastAsia="宋体" w:cs="Times New Roman"/>
                      <w:u w:val="single"/>
                      <w:lang w:val="en-US" w:eastAsia="zh-CN"/>
                    </w:rPr>
                    <w:t>布袋收尘器（TA00</w:t>
                  </w:r>
                  <w:r>
                    <w:rPr>
                      <w:rFonts w:hint="eastAsia" w:ascii="Times New Roman" w:hAnsi="Times New Roman" w:eastAsia="宋体" w:cs="Times New Roman"/>
                      <w:u w:val="single"/>
                      <w:lang w:val="en-US" w:eastAsia="zh-CN"/>
                    </w:rPr>
                    <w:t>4</w:t>
                  </w:r>
                  <w:r>
                    <w:rPr>
                      <w:rFonts w:hint="default" w:ascii="Times New Roman" w:hAnsi="Times New Roman" w:eastAsia="宋体" w:cs="Times New Roman"/>
                      <w:u w:val="single"/>
                      <w:lang w:val="en-US" w:eastAsia="zh-CN"/>
                    </w:rPr>
                    <w:t>）</w:t>
                  </w:r>
                </w:p>
              </w:tc>
              <w:tc>
                <w:tcPr>
                  <w:tcW w:w="1285" w:type="dxa"/>
                  <w:shd w:val="clear" w:color="auto" w:fill="auto"/>
                  <w:vAlign w:val="center"/>
                </w:tcPr>
                <w:p w14:paraId="3A73BA46">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无组织排放</w:t>
                  </w:r>
                </w:p>
              </w:tc>
            </w:tr>
            <w:tr w14:paraId="73E0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69" w:type="dxa"/>
                  <w:vMerge w:val="continue"/>
                  <w:vAlign w:val="center"/>
                </w:tcPr>
                <w:p w14:paraId="172F2E55">
                  <w:pPr>
                    <w:keepNext w:val="0"/>
                    <w:keepLines w:val="0"/>
                    <w:pageBreakBefore w:val="0"/>
                    <w:widowControl w:val="0"/>
                    <w:kinsoku/>
                    <w:wordWrap/>
                    <w:overflowPunct/>
                    <w:topLinePunct w:val="0"/>
                    <w:autoSpaceDE/>
                    <w:autoSpaceDN/>
                    <w:bidi w:val="0"/>
                    <w:adjustRightInd/>
                    <w:snapToGrid/>
                    <w:jc w:val="center"/>
                    <w:textAlignment w:val="center"/>
                  </w:pPr>
                </w:p>
              </w:tc>
              <w:tc>
                <w:tcPr>
                  <w:tcW w:w="1632" w:type="dxa"/>
                  <w:vAlign w:val="center"/>
                </w:tcPr>
                <w:p w14:paraId="46DE12D6">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混砂</w:t>
                  </w:r>
                </w:p>
              </w:tc>
              <w:tc>
                <w:tcPr>
                  <w:tcW w:w="1897" w:type="dxa"/>
                  <w:vAlign w:val="center"/>
                </w:tcPr>
                <w:p w14:paraId="51D2129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颗粒物</w:t>
                  </w:r>
                </w:p>
              </w:tc>
              <w:tc>
                <w:tcPr>
                  <w:tcW w:w="2320" w:type="dxa"/>
                  <w:vAlign w:val="center"/>
                </w:tcPr>
                <w:p w14:paraId="629967A0">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脉冲</w:t>
                  </w:r>
                  <w:r>
                    <w:rPr>
                      <w:rFonts w:hint="default" w:ascii="Times New Roman" w:hAnsi="Times New Roman" w:eastAsia="宋体" w:cs="Times New Roman"/>
                      <w:u w:val="single"/>
                      <w:lang w:val="en-US" w:eastAsia="zh-CN"/>
                    </w:rPr>
                    <w:t>布袋收尘器（TA00</w:t>
                  </w:r>
                  <w:r>
                    <w:rPr>
                      <w:rFonts w:hint="eastAsia" w:ascii="Times New Roman" w:hAnsi="Times New Roman" w:eastAsia="宋体" w:cs="Times New Roman"/>
                      <w:u w:val="single"/>
                      <w:lang w:val="en-US" w:eastAsia="zh-CN"/>
                    </w:rPr>
                    <w:t>3</w:t>
                  </w:r>
                  <w:r>
                    <w:rPr>
                      <w:rFonts w:hint="default" w:ascii="Times New Roman" w:hAnsi="Times New Roman" w:eastAsia="宋体" w:cs="Times New Roman"/>
                      <w:u w:val="single"/>
                      <w:lang w:val="en-US" w:eastAsia="zh-CN"/>
                    </w:rPr>
                    <w:t>）</w:t>
                  </w:r>
                  <w:r>
                    <w:rPr>
                      <w:rFonts w:hint="eastAsia" w:ascii="Times New Roman" w:hAnsi="Times New Roman" w:eastAsia="宋体" w:cs="Times New Roman"/>
                      <w:u w:val="single"/>
                      <w:lang w:val="en-US" w:eastAsia="zh-CN"/>
                    </w:rPr>
                    <w:t>＋活性炭箱</w:t>
                  </w:r>
                  <w:r>
                    <w:rPr>
                      <w:rFonts w:hint="default" w:ascii="Times New Roman" w:hAnsi="Times New Roman" w:eastAsia="宋体" w:cs="Times New Roman"/>
                      <w:u w:val="single"/>
                      <w:lang w:val="en-US" w:eastAsia="zh-CN"/>
                    </w:rPr>
                    <w:t>（TA00</w:t>
                  </w:r>
                  <w:r>
                    <w:rPr>
                      <w:rFonts w:hint="eastAsia" w:ascii="Times New Roman" w:hAnsi="Times New Roman" w:eastAsia="宋体" w:cs="Times New Roman"/>
                      <w:u w:val="single"/>
                      <w:lang w:val="en-US" w:eastAsia="zh-CN"/>
                    </w:rPr>
                    <w:t>5</w:t>
                  </w:r>
                  <w:r>
                    <w:rPr>
                      <w:rFonts w:hint="default" w:ascii="Times New Roman" w:hAnsi="Times New Roman" w:eastAsia="宋体" w:cs="Times New Roman"/>
                      <w:u w:val="single"/>
                      <w:lang w:val="en-US" w:eastAsia="zh-CN"/>
                    </w:rPr>
                    <w:t>）</w:t>
                  </w:r>
                </w:p>
              </w:tc>
              <w:tc>
                <w:tcPr>
                  <w:tcW w:w="1285" w:type="dxa"/>
                  <w:shd w:val="clear" w:color="auto" w:fill="auto"/>
                  <w:vAlign w:val="center"/>
                </w:tcPr>
                <w:p w14:paraId="509C3F9C">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15m排气筒（DA00</w:t>
                  </w:r>
                  <w:r>
                    <w:rPr>
                      <w:rFonts w:hint="eastAsia" w:ascii="Times New Roman" w:hAnsi="Times New Roman" w:eastAsia="宋体" w:cs="Times New Roman"/>
                      <w:u w:val="single"/>
                      <w:lang w:val="en-US" w:eastAsia="zh-CN"/>
                    </w:rPr>
                    <w:t>2</w:t>
                  </w:r>
                  <w:r>
                    <w:rPr>
                      <w:rFonts w:hint="default" w:ascii="Times New Roman" w:hAnsi="Times New Roman" w:eastAsia="宋体" w:cs="Times New Roman"/>
                      <w:u w:val="single"/>
                      <w:lang w:val="en-US" w:eastAsia="zh-CN"/>
                    </w:rPr>
                    <w:t>）</w:t>
                  </w:r>
                </w:p>
              </w:tc>
            </w:tr>
            <w:tr w14:paraId="4091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dxa"/>
                  <w:vMerge w:val="continue"/>
                  <w:vAlign w:val="center"/>
                </w:tcPr>
                <w:p w14:paraId="7278BD0C">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p>
              </w:tc>
              <w:tc>
                <w:tcPr>
                  <w:tcW w:w="1632" w:type="dxa"/>
                  <w:vAlign w:val="center"/>
                </w:tcPr>
                <w:p w14:paraId="2197891E">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造型</w:t>
                  </w:r>
                </w:p>
              </w:tc>
              <w:tc>
                <w:tcPr>
                  <w:tcW w:w="1897" w:type="dxa"/>
                  <w:vAlign w:val="center"/>
                </w:tcPr>
                <w:p w14:paraId="257BE300">
                  <w:pPr>
                    <w:keepNext w:val="0"/>
                    <w:keepLines w:val="0"/>
                    <w:pageBreakBefore w:val="0"/>
                    <w:widowControl w:val="0"/>
                    <w:kinsoku/>
                    <w:wordWrap/>
                    <w:overflowPunct/>
                    <w:topLinePunct w:val="0"/>
                    <w:autoSpaceDE/>
                    <w:autoSpaceDN/>
                    <w:bidi w:val="0"/>
                    <w:adjustRightInd/>
                    <w:snapToGrid/>
                    <w:jc w:val="center"/>
                    <w:textAlignment w:val="center"/>
                    <w:rPr>
                      <w:rFonts w:hint="eastAsia"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颗粒物</w:t>
                  </w:r>
                  <w:r>
                    <w:rPr>
                      <w:rFonts w:hint="eastAsia" w:ascii="Times New Roman" w:hAnsi="Times New Roman" w:eastAsia="宋体" w:cs="Times New Roman"/>
                      <w:u w:val="single"/>
                      <w:lang w:val="en-US" w:eastAsia="zh-CN"/>
                    </w:rPr>
                    <w:t>、</w:t>
                  </w:r>
                  <w:r>
                    <w:rPr>
                      <w:rFonts w:hint="default" w:ascii="Times New Roman" w:hAnsi="Times New Roman" w:eastAsia="宋体" w:cs="Times New Roman"/>
                      <w:u w:val="single"/>
                      <w:lang w:val="en-US" w:eastAsia="zh-CN"/>
                    </w:rPr>
                    <w:t>VOCs</w:t>
                  </w:r>
                </w:p>
              </w:tc>
              <w:tc>
                <w:tcPr>
                  <w:tcW w:w="2320" w:type="dxa"/>
                  <w:vAlign w:val="center"/>
                </w:tcPr>
                <w:p w14:paraId="2CCBD6D3">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脉冲</w:t>
                  </w:r>
                  <w:r>
                    <w:rPr>
                      <w:rFonts w:hint="default" w:ascii="Times New Roman" w:hAnsi="Times New Roman" w:eastAsia="宋体" w:cs="Times New Roman"/>
                      <w:u w:val="single"/>
                      <w:lang w:val="en-US" w:eastAsia="zh-CN"/>
                    </w:rPr>
                    <w:t>布袋收尘器（TA00</w:t>
                  </w:r>
                  <w:r>
                    <w:rPr>
                      <w:rFonts w:hint="eastAsia" w:ascii="Times New Roman" w:hAnsi="Times New Roman" w:eastAsia="宋体" w:cs="Times New Roman"/>
                      <w:u w:val="single"/>
                      <w:lang w:val="en-US" w:eastAsia="zh-CN"/>
                    </w:rPr>
                    <w:t>3</w:t>
                  </w:r>
                  <w:r>
                    <w:rPr>
                      <w:rFonts w:hint="default" w:ascii="Times New Roman" w:hAnsi="Times New Roman" w:eastAsia="宋体" w:cs="Times New Roman"/>
                      <w:u w:val="single"/>
                      <w:lang w:val="en-US" w:eastAsia="zh-CN"/>
                    </w:rPr>
                    <w:t>）</w:t>
                  </w:r>
                  <w:r>
                    <w:rPr>
                      <w:rFonts w:hint="eastAsia" w:ascii="Times New Roman" w:hAnsi="Times New Roman" w:eastAsia="宋体" w:cs="Times New Roman"/>
                      <w:u w:val="single"/>
                      <w:lang w:val="en-US" w:eastAsia="zh-CN"/>
                    </w:rPr>
                    <w:t>＋活性炭箱</w:t>
                  </w:r>
                  <w:r>
                    <w:rPr>
                      <w:rFonts w:hint="default" w:ascii="Times New Roman" w:hAnsi="Times New Roman" w:eastAsia="宋体" w:cs="Times New Roman"/>
                      <w:u w:val="single"/>
                      <w:lang w:val="en-US" w:eastAsia="zh-CN"/>
                    </w:rPr>
                    <w:t>（TA00</w:t>
                  </w:r>
                  <w:r>
                    <w:rPr>
                      <w:rFonts w:hint="eastAsia" w:ascii="Times New Roman" w:hAnsi="Times New Roman" w:eastAsia="宋体" w:cs="Times New Roman"/>
                      <w:u w:val="single"/>
                      <w:lang w:val="en-US" w:eastAsia="zh-CN"/>
                    </w:rPr>
                    <w:t>5</w:t>
                  </w:r>
                  <w:r>
                    <w:rPr>
                      <w:rFonts w:hint="default" w:ascii="Times New Roman" w:hAnsi="Times New Roman" w:eastAsia="宋体" w:cs="Times New Roman"/>
                      <w:u w:val="single"/>
                      <w:lang w:val="en-US" w:eastAsia="zh-CN"/>
                    </w:rPr>
                    <w:t>）</w:t>
                  </w:r>
                </w:p>
              </w:tc>
              <w:tc>
                <w:tcPr>
                  <w:tcW w:w="1285" w:type="dxa"/>
                  <w:shd w:val="clear" w:color="auto" w:fill="auto"/>
                  <w:vAlign w:val="center"/>
                </w:tcPr>
                <w:p w14:paraId="31D7C6C9">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kern w:val="2"/>
                      <w:sz w:val="21"/>
                      <w:szCs w:val="22"/>
                      <w:u w:val="single"/>
                      <w:lang w:val="en-US" w:eastAsia="zh-CN" w:bidi="ar-SA"/>
                    </w:rPr>
                  </w:pPr>
                  <w:r>
                    <w:rPr>
                      <w:rFonts w:hint="default" w:ascii="Times New Roman" w:hAnsi="Times New Roman" w:eastAsia="宋体" w:cs="Times New Roman"/>
                      <w:u w:val="single"/>
                      <w:lang w:val="en-US" w:eastAsia="zh-CN"/>
                    </w:rPr>
                    <w:t>15m排气筒（DA00</w:t>
                  </w:r>
                  <w:r>
                    <w:rPr>
                      <w:rFonts w:hint="eastAsia" w:ascii="Times New Roman" w:hAnsi="Times New Roman" w:eastAsia="宋体" w:cs="Times New Roman"/>
                      <w:u w:val="single"/>
                      <w:lang w:val="en-US" w:eastAsia="zh-CN"/>
                    </w:rPr>
                    <w:t>2</w:t>
                  </w:r>
                  <w:r>
                    <w:rPr>
                      <w:rFonts w:hint="default" w:ascii="Times New Roman" w:hAnsi="Times New Roman" w:eastAsia="宋体" w:cs="Times New Roman"/>
                      <w:u w:val="single"/>
                      <w:lang w:val="en-US" w:eastAsia="zh-CN"/>
                    </w:rPr>
                    <w:t>）</w:t>
                  </w:r>
                </w:p>
              </w:tc>
            </w:tr>
            <w:tr w14:paraId="5102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9" w:type="dxa"/>
                  <w:vMerge w:val="continue"/>
                  <w:vAlign w:val="center"/>
                </w:tcPr>
                <w:p w14:paraId="1005D74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p>
              </w:tc>
              <w:tc>
                <w:tcPr>
                  <w:tcW w:w="1632" w:type="dxa"/>
                  <w:vAlign w:val="center"/>
                </w:tcPr>
                <w:p w14:paraId="4CB48CCC">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抛丸</w:t>
                  </w:r>
                </w:p>
              </w:tc>
              <w:tc>
                <w:tcPr>
                  <w:tcW w:w="1897" w:type="dxa"/>
                  <w:vAlign w:val="center"/>
                </w:tcPr>
                <w:p w14:paraId="2ABD90F4">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颗粒物</w:t>
                  </w:r>
                </w:p>
              </w:tc>
              <w:tc>
                <w:tcPr>
                  <w:tcW w:w="2320" w:type="dxa"/>
                  <w:vAlign w:val="center"/>
                </w:tcPr>
                <w:p w14:paraId="76D321D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布袋收尘器（TA00</w:t>
                  </w:r>
                  <w:r>
                    <w:rPr>
                      <w:rFonts w:hint="eastAsia" w:ascii="Times New Roman" w:hAnsi="Times New Roman" w:eastAsia="宋体" w:cs="Times New Roman"/>
                      <w:u w:val="single"/>
                      <w:lang w:val="en-US" w:eastAsia="zh-CN"/>
                    </w:rPr>
                    <w:t>6</w:t>
                  </w:r>
                  <w:r>
                    <w:rPr>
                      <w:rFonts w:hint="default" w:ascii="Times New Roman" w:hAnsi="Times New Roman" w:eastAsia="宋体" w:cs="Times New Roman"/>
                      <w:u w:val="single"/>
                      <w:lang w:val="en-US" w:eastAsia="zh-CN"/>
                    </w:rPr>
                    <w:t>）</w:t>
                  </w:r>
                </w:p>
              </w:tc>
              <w:tc>
                <w:tcPr>
                  <w:tcW w:w="1285" w:type="dxa"/>
                  <w:shd w:val="clear" w:color="auto" w:fill="auto"/>
                  <w:vAlign w:val="center"/>
                </w:tcPr>
                <w:p w14:paraId="78FC6F4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kern w:val="2"/>
                      <w:sz w:val="21"/>
                      <w:szCs w:val="22"/>
                      <w:u w:val="single"/>
                      <w:lang w:val="en-US" w:eastAsia="zh-CN" w:bidi="ar-SA"/>
                    </w:rPr>
                  </w:pPr>
                  <w:r>
                    <w:rPr>
                      <w:rFonts w:hint="eastAsia" w:ascii="Times New Roman" w:hAnsi="Times New Roman" w:eastAsia="宋体" w:cs="Times New Roman"/>
                      <w:u w:val="single"/>
                      <w:lang w:val="en-US" w:eastAsia="zh-CN"/>
                    </w:rPr>
                    <w:t>无组织排放</w:t>
                  </w:r>
                </w:p>
              </w:tc>
            </w:tr>
            <w:tr w14:paraId="0D78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9" w:type="dxa"/>
                  <w:vMerge w:val="continue"/>
                  <w:vAlign w:val="center"/>
                </w:tcPr>
                <w:p w14:paraId="380257BD">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p>
              </w:tc>
              <w:tc>
                <w:tcPr>
                  <w:tcW w:w="1632" w:type="dxa"/>
                  <w:vAlign w:val="center"/>
                </w:tcPr>
                <w:p w14:paraId="407B925D">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制芯</w:t>
                  </w:r>
                </w:p>
              </w:tc>
              <w:tc>
                <w:tcPr>
                  <w:tcW w:w="1897" w:type="dxa"/>
                  <w:vAlign w:val="center"/>
                </w:tcPr>
                <w:p w14:paraId="21E794F0">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颗粒物、VOCs</w:t>
                  </w:r>
                </w:p>
              </w:tc>
              <w:tc>
                <w:tcPr>
                  <w:tcW w:w="2320" w:type="dxa"/>
                  <w:vAlign w:val="center"/>
                </w:tcPr>
                <w:p w14:paraId="68ADA6B5">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脉冲</w:t>
                  </w:r>
                  <w:r>
                    <w:rPr>
                      <w:rFonts w:hint="default" w:ascii="Times New Roman" w:hAnsi="Times New Roman" w:eastAsia="宋体" w:cs="Times New Roman"/>
                      <w:u w:val="single"/>
                      <w:lang w:val="en-US" w:eastAsia="zh-CN"/>
                    </w:rPr>
                    <w:t>布袋收尘器（TA00</w:t>
                  </w:r>
                  <w:r>
                    <w:rPr>
                      <w:rFonts w:hint="eastAsia" w:ascii="Times New Roman" w:hAnsi="Times New Roman" w:eastAsia="宋体" w:cs="Times New Roman"/>
                      <w:u w:val="single"/>
                      <w:lang w:val="en-US" w:eastAsia="zh-CN"/>
                    </w:rPr>
                    <w:t>3</w:t>
                  </w:r>
                  <w:r>
                    <w:rPr>
                      <w:rFonts w:hint="default" w:ascii="Times New Roman" w:hAnsi="Times New Roman" w:eastAsia="宋体" w:cs="Times New Roman"/>
                      <w:u w:val="single"/>
                      <w:lang w:val="en-US" w:eastAsia="zh-CN"/>
                    </w:rPr>
                    <w:t>）</w:t>
                  </w:r>
                  <w:r>
                    <w:rPr>
                      <w:rFonts w:hint="eastAsia" w:ascii="Times New Roman" w:hAnsi="Times New Roman" w:eastAsia="宋体" w:cs="Times New Roman"/>
                      <w:u w:val="single"/>
                      <w:lang w:val="en-US" w:eastAsia="zh-CN"/>
                    </w:rPr>
                    <w:t>＋活性炭箱</w:t>
                  </w:r>
                  <w:r>
                    <w:rPr>
                      <w:rFonts w:hint="default" w:ascii="Times New Roman" w:hAnsi="Times New Roman" w:eastAsia="宋体" w:cs="Times New Roman"/>
                      <w:u w:val="single"/>
                      <w:lang w:val="en-US" w:eastAsia="zh-CN"/>
                    </w:rPr>
                    <w:t>（TA00</w:t>
                  </w:r>
                  <w:r>
                    <w:rPr>
                      <w:rFonts w:hint="eastAsia" w:ascii="Times New Roman" w:hAnsi="Times New Roman" w:eastAsia="宋体" w:cs="Times New Roman"/>
                      <w:u w:val="single"/>
                      <w:lang w:val="en-US" w:eastAsia="zh-CN"/>
                    </w:rPr>
                    <w:t>5</w:t>
                  </w:r>
                  <w:r>
                    <w:rPr>
                      <w:rFonts w:hint="default" w:ascii="Times New Roman" w:hAnsi="Times New Roman" w:eastAsia="宋体" w:cs="Times New Roman"/>
                      <w:u w:val="single"/>
                      <w:lang w:val="en-US" w:eastAsia="zh-CN"/>
                    </w:rPr>
                    <w:t>）</w:t>
                  </w:r>
                </w:p>
              </w:tc>
              <w:tc>
                <w:tcPr>
                  <w:tcW w:w="1285" w:type="dxa"/>
                  <w:vAlign w:val="center"/>
                </w:tcPr>
                <w:p w14:paraId="338B4E46">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15m排气筒（DA00</w:t>
                  </w:r>
                  <w:r>
                    <w:rPr>
                      <w:rFonts w:hint="eastAsia" w:ascii="Times New Roman" w:hAnsi="Times New Roman" w:eastAsia="宋体" w:cs="Times New Roman"/>
                      <w:u w:val="single"/>
                      <w:lang w:val="en-US" w:eastAsia="zh-CN"/>
                    </w:rPr>
                    <w:t>2</w:t>
                  </w:r>
                  <w:r>
                    <w:rPr>
                      <w:rFonts w:hint="default" w:ascii="Times New Roman" w:hAnsi="Times New Roman" w:eastAsia="宋体" w:cs="Times New Roman"/>
                      <w:u w:val="single"/>
                      <w:lang w:val="en-US" w:eastAsia="zh-CN"/>
                    </w:rPr>
                    <w:t>）</w:t>
                  </w:r>
                </w:p>
              </w:tc>
            </w:tr>
            <w:tr w14:paraId="586C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dxa"/>
                  <w:vMerge w:val="continue"/>
                  <w:vAlign w:val="center"/>
                </w:tcPr>
                <w:p w14:paraId="59C0ABD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p>
              </w:tc>
              <w:tc>
                <w:tcPr>
                  <w:tcW w:w="1632" w:type="dxa"/>
                  <w:vAlign w:val="center"/>
                </w:tcPr>
                <w:p w14:paraId="4555D65A">
                  <w:pPr>
                    <w:keepNext w:val="0"/>
                    <w:keepLines w:val="0"/>
                    <w:pageBreakBefore w:val="0"/>
                    <w:widowControl w:val="0"/>
                    <w:kinsoku/>
                    <w:wordWrap/>
                    <w:overflowPunct/>
                    <w:topLinePunct w:val="0"/>
                    <w:autoSpaceDE/>
                    <w:autoSpaceDN/>
                    <w:bidi w:val="0"/>
                    <w:adjustRightInd/>
                    <w:snapToGrid/>
                    <w:jc w:val="center"/>
                    <w:textAlignment w:val="center"/>
                    <w:rPr>
                      <w:rFonts w:hint="eastAsia" w:ascii="Times New Roman" w:hAnsi="Times New Roman" w:eastAsia="宋体" w:cs="Times New Roman"/>
                      <w:u w:val="single"/>
                      <w:lang w:val="en-US" w:eastAsia="zh-CN"/>
                    </w:rPr>
                  </w:pPr>
                  <w:r>
                    <w:rPr>
                      <w:rFonts w:hint="eastAsia" w:cs="Times New Roman"/>
                      <w:u w:val="single"/>
                      <w:lang w:val="en-US" w:eastAsia="zh-CN"/>
                    </w:rPr>
                    <w:t>浇注</w:t>
                  </w:r>
                </w:p>
              </w:tc>
              <w:tc>
                <w:tcPr>
                  <w:tcW w:w="1897" w:type="dxa"/>
                  <w:vAlign w:val="center"/>
                </w:tcPr>
                <w:p w14:paraId="333C13B5">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颗粒物、VOCs</w:t>
                  </w:r>
                </w:p>
              </w:tc>
              <w:tc>
                <w:tcPr>
                  <w:tcW w:w="2320" w:type="dxa"/>
                  <w:vAlign w:val="center"/>
                </w:tcPr>
                <w:p w14:paraId="7C40B483">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脉冲</w:t>
                  </w:r>
                  <w:r>
                    <w:rPr>
                      <w:rFonts w:hint="default" w:ascii="Times New Roman" w:hAnsi="Times New Roman" w:eastAsia="宋体" w:cs="Times New Roman"/>
                      <w:u w:val="single"/>
                      <w:lang w:val="en-US" w:eastAsia="zh-CN"/>
                    </w:rPr>
                    <w:t>布袋收尘器（TA00</w:t>
                  </w:r>
                  <w:r>
                    <w:rPr>
                      <w:rFonts w:hint="eastAsia" w:ascii="Times New Roman" w:hAnsi="Times New Roman" w:eastAsia="宋体" w:cs="Times New Roman"/>
                      <w:u w:val="single"/>
                      <w:lang w:val="en-US" w:eastAsia="zh-CN"/>
                    </w:rPr>
                    <w:t>1</w:t>
                  </w:r>
                  <w:r>
                    <w:rPr>
                      <w:rFonts w:hint="default" w:ascii="Times New Roman" w:hAnsi="Times New Roman" w:eastAsia="宋体" w:cs="Times New Roman"/>
                      <w:u w:val="single"/>
                      <w:lang w:val="en-US" w:eastAsia="zh-CN"/>
                    </w:rPr>
                    <w:t>）</w:t>
                  </w:r>
                  <w:r>
                    <w:rPr>
                      <w:rFonts w:hint="eastAsia" w:ascii="Times New Roman" w:hAnsi="Times New Roman" w:eastAsia="宋体" w:cs="Times New Roman"/>
                      <w:u w:val="single"/>
                      <w:lang w:val="en-US" w:eastAsia="zh-CN"/>
                    </w:rPr>
                    <w:t>＋活性炭箱</w:t>
                  </w:r>
                  <w:r>
                    <w:rPr>
                      <w:rFonts w:hint="default" w:ascii="Times New Roman" w:hAnsi="Times New Roman" w:eastAsia="宋体" w:cs="Times New Roman"/>
                      <w:u w:val="single"/>
                      <w:lang w:val="en-US" w:eastAsia="zh-CN"/>
                    </w:rPr>
                    <w:t>（TA00</w:t>
                  </w:r>
                  <w:r>
                    <w:rPr>
                      <w:rFonts w:hint="eastAsia" w:ascii="Times New Roman" w:hAnsi="Times New Roman" w:eastAsia="宋体" w:cs="Times New Roman"/>
                      <w:u w:val="single"/>
                      <w:lang w:val="en-US" w:eastAsia="zh-CN"/>
                    </w:rPr>
                    <w:t>2</w:t>
                  </w:r>
                  <w:r>
                    <w:rPr>
                      <w:rFonts w:hint="default" w:ascii="Times New Roman" w:hAnsi="Times New Roman" w:eastAsia="宋体" w:cs="Times New Roman"/>
                      <w:u w:val="single"/>
                      <w:lang w:val="en-US" w:eastAsia="zh-CN"/>
                    </w:rPr>
                    <w:t>）</w:t>
                  </w:r>
                </w:p>
              </w:tc>
              <w:tc>
                <w:tcPr>
                  <w:tcW w:w="1285" w:type="dxa"/>
                  <w:vAlign w:val="center"/>
                </w:tcPr>
                <w:p w14:paraId="0C4A45BB">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15m排气筒（DA001）</w:t>
                  </w:r>
                </w:p>
              </w:tc>
            </w:tr>
            <w:tr w14:paraId="3C7A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9" w:type="dxa"/>
                  <w:vMerge w:val="restart"/>
                  <w:vAlign w:val="center"/>
                </w:tcPr>
                <w:p w14:paraId="0FB87241">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废水</w:t>
                  </w:r>
                </w:p>
              </w:tc>
              <w:tc>
                <w:tcPr>
                  <w:tcW w:w="1632" w:type="dxa"/>
                  <w:vAlign w:val="center"/>
                </w:tcPr>
                <w:p w14:paraId="4B7D4014">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生活废水</w:t>
                  </w:r>
                </w:p>
              </w:tc>
              <w:tc>
                <w:tcPr>
                  <w:tcW w:w="1897" w:type="dxa"/>
                  <w:vAlign w:val="center"/>
                </w:tcPr>
                <w:p w14:paraId="5FFFB2D4">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CODcr、BOD5、氨氮、SS、动植物油</w:t>
                  </w:r>
                </w:p>
              </w:tc>
              <w:tc>
                <w:tcPr>
                  <w:tcW w:w="2320" w:type="dxa"/>
                  <w:vAlign w:val="center"/>
                </w:tcPr>
                <w:p w14:paraId="25DC4913">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化粪池</w:t>
                  </w:r>
                </w:p>
              </w:tc>
              <w:tc>
                <w:tcPr>
                  <w:tcW w:w="1285" w:type="dxa"/>
                  <w:vAlign w:val="center"/>
                </w:tcPr>
                <w:p w14:paraId="7E0BD400">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园区污水处理厂</w:t>
                  </w:r>
                </w:p>
              </w:tc>
            </w:tr>
            <w:tr w14:paraId="68C7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9" w:type="dxa"/>
                  <w:vMerge w:val="continue"/>
                  <w:vAlign w:val="center"/>
                </w:tcPr>
                <w:p w14:paraId="3153A445">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p>
              </w:tc>
              <w:tc>
                <w:tcPr>
                  <w:tcW w:w="1632" w:type="dxa"/>
                  <w:vAlign w:val="center"/>
                </w:tcPr>
                <w:p w14:paraId="1A10FD6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砂处理用水</w:t>
                  </w:r>
                </w:p>
              </w:tc>
              <w:tc>
                <w:tcPr>
                  <w:tcW w:w="5502" w:type="dxa"/>
                  <w:gridSpan w:val="3"/>
                  <w:vAlign w:val="center"/>
                </w:tcPr>
                <w:p w14:paraId="7515DEFB">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全部挥发</w:t>
                  </w:r>
                </w:p>
              </w:tc>
            </w:tr>
            <w:tr w14:paraId="4DBD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9" w:type="dxa"/>
                  <w:vAlign w:val="center"/>
                </w:tcPr>
                <w:p w14:paraId="52FC572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噪声</w:t>
                  </w:r>
                </w:p>
              </w:tc>
              <w:tc>
                <w:tcPr>
                  <w:tcW w:w="1632" w:type="dxa"/>
                  <w:vAlign w:val="center"/>
                </w:tcPr>
                <w:p w14:paraId="39570D7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砂处理设备、造型机、制芯机、抛丸机</w:t>
                  </w:r>
                </w:p>
              </w:tc>
              <w:tc>
                <w:tcPr>
                  <w:tcW w:w="5502" w:type="dxa"/>
                  <w:gridSpan w:val="3"/>
                  <w:vAlign w:val="center"/>
                </w:tcPr>
                <w:p w14:paraId="692D0EB3">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通过选用先进低噪声设备、对设备采取减震措施、合理布局增加噪声建筑衰减等方式控制</w:t>
                  </w:r>
                </w:p>
              </w:tc>
            </w:tr>
            <w:tr w14:paraId="12F2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dxa"/>
                  <w:vMerge w:val="restart"/>
                  <w:vAlign w:val="center"/>
                </w:tcPr>
                <w:p w14:paraId="29C6C71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一般固废</w:t>
                  </w:r>
                </w:p>
              </w:tc>
              <w:tc>
                <w:tcPr>
                  <w:tcW w:w="1632" w:type="dxa"/>
                  <w:vAlign w:val="center"/>
                </w:tcPr>
                <w:p w14:paraId="2916731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炉渣</w:t>
                  </w:r>
                </w:p>
              </w:tc>
              <w:tc>
                <w:tcPr>
                  <w:tcW w:w="5502" w:type="dxa"/>
                  <w:gridSpan w:val="3"/>
                  <w:vMerge w:val="restart"/>
                  <w:vAlign w:val="center"/>
                </w:tcPr>
                <w:p w14:paraId="7173422C">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收集后外售综合利用</w:t>
                  </w:r>
                </w:p>
              </w:tc>
            </w:tr>
            <w:tr w14:paraId="0510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369" w:type="dxa"/>
                  <w:vMerge w:val="continue"/>
                  <w:vAlign w:val="center"/>
                </w:tcPr>
                <w:p w14:paraId="3A903565">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p>
              </w:tc>
              <w:tc>
                <w:tcPr>
                  <w:tcW w:w="1632" w:type="dxa"/>
                  <w:vAlign w:val="center"/>
                </w:tcPr>
                <w:p w14:paraId="1DFC2CA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布袋收尘灰</w:t>
                  </w:r>
                </w:p>
              </w:tc>
              <w:tc>
                <w:tcPr>
                  <w:tcW w:w="5502" w:type="dxa"/>
                  <w:gridSpan w:val="3"/>
                  <w:vMerge w:val="continue"/>
                  <w:vAlign w:val="center"/>
                </w:tcPr>
                <w:p w14:paraId="1EEB22A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p>
              </w:tc>
            </w:tr>
            <w:tr w14:paraId="4E09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69" w:type="dxa"/>
                  <w:vMerge w:val="continue"/>
                  <w:vAlign w:val="center"/>
                </w:tcPr>
                <w:p w14:paraId="65898E26">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p>
              </w:tc>
              <w:tc>
                <w:tcPr>
                  <w:tcW w:w="1632" w:type="dxa"/>
                  <w:vAlign w:val="center"/>
                </w:tcPr>
                <w:p w14:paraId="70E286F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冒口</w:t>
                  </w:r>
                </w:p>
              </w:tc>
              <w:tc>
                <w:tcPr>
                  <w:tcW w:w="5502" w:type="dxa"/>
                  <w:gridSpan w:val="3"/>
                  <w:vMerge w:val="restart"/>
                  <w:vAlign w:val="center"/>
                </w:tcPr>
                <w:p w14:paraId="492D6AA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投入</w:t>
                  </w:r>
                  <w:r>
                    <w:rPr>
                      <w:rFonts w:hint="eastAsia" w:ascii="Times New Roman" w:hAnsi="Times New Roman" w:eastAsia="宋体" w:cs="Times New Roman"/>
                      <w:u w:val="single"/>
                      <w:lang w:val="en-US" w:eastAsia="zh-CN"/>
                    </w:rPr>
                    <w:t>中频</w:t>
                  </w:r>
                  <w:r>
                    <w:rPr>
                      <w:rFonts w:hint="default" w:ascii="Times New Roman" w:hAnsi="Times New Roman" w:eastAsia="宋体" w:cs="Times New Roman"/>
                      <w:u w:val="single"/>
                      <w:lang w:val="en-US" w:eastAsia="zh-CN"/>
                    </w:rPr>
                    <w:t>电</w:t>
                  </w:r>
                  <w:r>
                    <w:rPr>
                      <w:rFonts w:hint="eastAsia" w:ascii="Times New Roman" w:hAnsi="Times New Roman" w:eastAsia="宋体" w:cs="Times New Roman"/>
                      <w:u w:val="single"/>
                      <w:lang w:val="en-US" w:eastAsia="zh-CN"/>
                    </w:rPr>
                    <w:t>感</w:t>
                  </w:r>
                  <w:r>
                    <w:rPr>
                      <w:rFonts w:hint="default" w:ascii="Times New Roman" w:hAnsi="Times New Roman" w:eastAsia="宋体" w:cs="Times New Roman"/>
                      <w:u w:val="single"/>
                      <w:lang w:val="en-US" w:eastAsia="zh-CN"/>
                    </w:rPr>
                    <w:t>炉重复利用</w:t>
                  </w:r>
                </w:p>
              </w:tc>
            </w:tr>
            <w:tr w14:paraId="711E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369" w:type="dxa"/>
                  <w:vMerge w:val="continue"/>
                  <w:vAlign w:val="center"/>
                </w:tcPr>
                <w:p w14:paraId="36A80439">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p>
              </w:tc>
              <w:tc>
                <w:tcPr>
                  <w:tcW w:w="1632" w:type="dxa"/>
                  <w:vAlign w:val="center"/>
                </w:tcPr>
                <w:p w14:paraId="4A2375CC">
                  <w:pPr>
                    <w:keepNext w:val="0"/>
                    <w:keepLines w:val="0"/>
                    <w:pageBreakBefore w:val="0"/>
                    <w:widowControl w:val="0"/>
                    <w:kinsoku/>
                    <w:wordWrap/>
                    <w:overflowPunct/>
                    <w:topLinePunct w:val="0"/>
                    <w:autoSpaceDE/>
                    <w:autoSpaceDN/>
                    <w:bidi w:val="0"/>
                    <w:adjustRightInd/>
                    <w:snapToGrid/>
                    <w:jc w:val="center"/>
                    <w:textAlignment w:val="center"/>
                    <w:rPr>
                      <w:rFonts w:hint="eastAsia"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不合格</w:t>
                  </w:r>
                  <w:r>
                    <w:rPr>
                      <w:rFonts w:hint="eastAsia" w:ascii="Times New Roman" w:hAnsi="Times New Roman" w:eastAsia="宋体" w:cs="Times New Roman"/>
                      <w:u w:val="single"/>
                      <w:lang w:val="en-US" w:eastAsia="zh-CN"/>
                    </w:rPr>
                    <w:t>铸件</w:t>
                  </w:r>
                </w:p>
              </w:tc>
              <w:tc>
                <w:tcPr>
                  <w:tcW w:w="5502" w:type="dxa"/>
                  <w:gridSpan w:val="3"/>
                  <w:vMerge w:val="continue"/>
                  <w:vAlign w:val="center"/>
                </w:tcPr>
                <w:p w14:paraId="23513444">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p>
              </w:tc>
            </w:tr>
            <w:tr w14:paraId="3016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9" w:type="dxa"/>
                  <w:vMerge w:val="restart"/>
                  <w:vAlign w:val="center"/>
                </w:tcPr>
                <w:p w14:paraId="6CEB03A4">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危险废物</w:t>
                  </w:r>
                </w:p>
              </w:tc>
              <w:tc>
                <w:tcPr>
                  <w:tcW w:w="1632" w:type="dxa"/>
                  <w:vAlign w:val="center"/>
                </w:tcPr>
                <w:p w14:paraId="6499A11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设备保养废</w:t>
                  </w:r>
                  <w:r>
                    <w:rPr>
                      <w:rFonts w:hint="eastAsia" w:ascii="Times New Roman" w:hAnsi="Times New Roman" w:eastAsia="宋体" w:cs="Times New Roman"/>
                      <w:u w:val="single"/>
                      <w:lang w:val="en-US" w:eastAsia="zh-CN"/>
                    </w:rPr>
                    <w:t>润滑油</w:t>
                  </w:r>
                </w:p>
              </w:tc>
              <w:tc>
                <w:tcPr>
                  <w:tcW w:w="5502" w:type="dxa"/>
                  <w:gridSpan w:val="3"/>
                  <w:vMerge w:val="restart"/>
                  <w:vAlign w:val="center"/>
                </w:tcPr>
                <w:p w14:paraId="4C7C92F3">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集中收集至危废间暂存，交由有资质单位处置</w:t>
                  </w:r>
                </w:p>
              </w:tc>
            </w:tr>
            <w:tr w14:paraId="2340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dxa"/>
                  <w:vMerge w:val="continue"/>
                  <w:vAlign w:val="center"/>
                </w:tcPr>
                <w:p w14:paraId="2BBF35DB">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p>
              </w:tc>
              <w:tc>
                <w:tcPr>
                  <w:tcW w:w="1632" w:type="dxa"/>
                  <w:vAlign w:val="center"/>
                </w:tcPr>
                <w:p w14:paraId="32BDCC1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废</w:t>
                  </w:r>
                  <w:r>
                    <w:rPr>
                      <w:rFonts w:hint="eastAsia" w:ascii="Times New Roman" w:hAnsi="Times New Roman" w:eastAsia="宋体" w:cs="Times New Roman"/>
                      <w:u w:val="single"/>
                      <w:lang w:val="en-US" w:eastAsia="zh-CN"/>
                    </w:rPr>
                    <w:t>润滑油</w:t>
                  </w:r>
                  <w:r>
                    <w:rPr>
                      <w:rFonts w:hint="default" w:ascii="Times New Roman" w:hAnsi="Times New Roman" w:eastAsia="宋体" w:cs="Times New Roman"/>
                      <w:u w:val="single"/>
                      <w:lang w:val="en-US" w:eastAsia="zh-CN"/>
                    </w:rPr>
                    <w:t>桶</w:t>
                  </w:r>
                </w:p>
              </w:tc>
              <w:tc>
                <w:tcPr>
                  <w:tcW w:w="5502" w:type="dxa"/>
                  <w:gridSpan w:val="3"/>
                  <w:vMerge w:val="continue"/>
                  <w:vAlign w:val="center"/>
                </w:tcPr>
                <w:p w14:paraId="159BDECD">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p>
              </w:tc>
            </w:tr>
            <w:tr w14:paraId="69F0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9" w:type="dxa"/>
                  <w:vMerge w:val="continue"/>
                  <w:vAlign w:val="center"/>
                </w:tcPr>
                <w:p w14:paraId="346C10A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p>
              </w:tc>
              <w:tc>
                <w:tcPr>
                  <w:tcW w:w="1632" w:type="dxa"/>
                  <w:vAlign w:val="center"/>
                </w:tcPr>
                <w:p w14:paraId="5304E2D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废活性炭</w:t>
                  </w:r>
                </w:p>
              </w:tc>
              <w:tc>
                <w:tcPr>
                  <w:tcW w:w="5502" w:type="dxa"/>
                  <w:gridSpan w:val="3"/>
                  <w:vMerge w:val="continue"/>
                  <w:vAlign w:val="center"/>
                </w:tcPr>
                <w:p w14:paraId="7DB5B12C">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u w:val="single"/>
                      <w:lang w:val="en-US" w:eastAsia="zh-CN"/>
                    </w:rPr>
                  </w:pPr>
                </w:p>
              </w:tc>
            </w:tr>
          </w:tbl>
          <w:p w14:paraId="17C38CA6">
            <w:pPr>
              <w:numPr>
                <w:ilvl w:val="0"/>
                <w:numId w:val="0"/>
              </w:numPr>
              <w:autoSpaceDE w:val="0"/>
              <w:autoSpaceDN w:val="0"/>
              <w:adjustRightInd w:val="0"/>
              <w:spacing w:line="360" w:lineRule="auto"/>
              <w:ind w:firstLine="482" w:firstLineChars="200"/>
              <w:rPr>
                <w:rFonts w:hint="default" w:ascii="Times New Roman" w:hAnsi="Times New Roman" w:eastAsia="宋体" w:cs="Times New Roman"/>
                <w:b/>
                <w:bCs/>
                <w:color w:val="auto"/>
                <w:kern w:val="2"/>
                <w:sz w:val="24"/>
                <w:szCs w:val="22"/>
                <w:lang w:val="en-US" w:eastAsia="zh-CN" w:bidi="ar-SA"/>
              </w:rPr>
            </w:pPr>
            <w:r>
              <w:rPr>
                <w:rFonts w:hint="default" w:ascii="Times New Roman" w:hAnsi="Times New Roman" w:eastAsia="宋体" w:cs="Times New Roman"/>
                <w:b/>
                <w:bCs/>
                <w:color w:val="auto"/>
                <w:kern w:val="2"/>
                <w:sz w:val="24"/>
                <w:szCs w:val="22"/>
                <w:lang w:val="en-US" w:eastAsia="zh-CN" w:bidi="ar-SA"/>
              </w:rPr>
              <w:t>（三）物料平衡</w:t>
            </w:r>
          </w:p>
          <w:p w14:paraId="49AEED61">
            <w:pPr>
              <w:numPr>
                <w:ilvl w:val="0"/>
                <w:numId w:val="0"/>
              </w:numPr>
              <w:autoSpaceDE w:val="0"/>
              <w:autoSpaceDN w:val="0"/>
              <w:adjustRightInd w:val="0"/>
              <w:spacing w:line="360" w:lineRule="auto"/>
              <w:ind w:firstLine="480" w:firstLineChars="200"/>
              <w:rPr>
                <w:rFonts w:hint="default"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color w:val="auto"/>
                <w:kern w:val="2"/>
                <w:sz w:val="24"/>
                <w:szCs w:val="22"/>
                <w:lang w:val="en-US" w:eastAsia="zh-CN" w:bidi="ar-SA"/>
              </w:rPr>
              <w:t>项目物料平衡见下表2-7。</w:t>
            </w:r>
          </w:p>
          <w:p w14:paraId="4B560E47">
            <w:pPr>
              <w:numPr>
                <w:ilvl w:val="0"/>
                <w:numId w:val="0"/>
              </w:numPr>
              <w:autoSpaceDE w:val="0"/>
              <w:autoSpaceDN w:val="0"/>
              <w:adjustRightInd w:val="0"/>
              <w:spacing w:line="360" w:lineRule="auto"/>
              <w:ind w:firstLine="422" w:firstLineChars="200"/>
              <w:jc w:val="center"/>
              <w:rPr>
                <w:rFonts w:hint="default" w:ascii="Times New Roman" w:hAnsi="Times New Roman" w:eastAsia="宋体" w:cs="Times New Roman"/>
                <w:b/>
                <w:bCs/>
                <w:color w:val="auto"/>
                <w:szCs w:val="24"/>
                <w:highlight w:val="none"/>
                <w:u w:val="single"/>
                <w:lang w:val="en-US" w:eastAsia="zh-CN"/>
              </w:rPr>
            </w:pPr>
            <w:r>
              <w:rPr>
                <w:rFonts w:hint="default" w:ascii="Times New Roman" w:hAnsi="Times New Roman" w:eastAsia="宋体" w:cs="Times New Roman"/>
                <w:b/>
                <w:bCs/>
                <w:color w:val="auto"/>
                <w:szCs w:val="24"/>
                <w:highlight w:val="none"/>
                <w:u w:val="single"/>
                <w:lang w:val="en-US" w:eastAsia="zh-CN"/>
              </w:rPr>
              <w:t>表2-7  项目物料平衡表</w:t>
            </w:r>
          </w:p>
          <w:tbl>
            <w:tblPr>
              <w:tblStyle w:val="21"/>
              <w:tblW w:w="7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3"/>
              <w:gridCol w:w="1761"/>
              <w:gridCol w:w="2959"/>
              <w:gridCol w:w="1417"/>
            </w:tblGrid>
            <w:tr w14:paraId="4CF82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084" w:type="dxa"/>
                  <w:gridSpan w:val="2"/>
                  <w:tcBorders>
                    <w:tl2br w:val="nil"/>
                    <w:tr2bl w:val="nil"/>
                  </w:tcBorders>
                  <w:shd w:val="clear" w:color="auto" w:fill="auto"/>
                  <w:noWrap/>
                  <w:vAlign w:val="center"/>
                </w:tcPr>
                <w:p w14:paraId="7EB5A139">
                  <w:pPr>
                    <w:widowControl/>
                    <w:jc w:val="center"/>
                    <w:textAlignment w:val="center"/>
                    <w:rPr>
                      <w:color w:val="000000"/>
                      <w:szCs w:val="21"/>
                      <w:highlight w:val="none"/>
                      <w:u w:val="single"/>
                    </w:rPr>
                  </w:pPr>
                  <w:r>
                    <w:rPr>
                      <w:color w:val="000000"/>
                      <w:kern w:val="0"/>
                      <w:szCs w:val="21"/>
                      <w:highlight w:val="none"/>
                      <w:u w:val="single"/>
                      <w:lang w:bidi="ar"/>
                    </w:rPr>
                    <w:t>总投入（t/a）</w:t>
                  </w:r>
                </w:p>
              </w:tc>
              <w:tc>
                <w:tcPr>
                  <w:tcW w:w="4376" w:type="dxa"/>
                  <w:gridSpan w:val="2"/>
                  <w:tcBorders>
                    <w:tl2br w:val="nil"/>
                    <w:tr2bl w:val="nil"/>
                  </w:tcBorders>
                  <w:shd w:val="clear" w:color="auto" w:fill="auto"/>
                  <w:noWrap/>
                  <w:vAlign w:val="center"/>
                </w:tcPr>
                <w:p w14:paraId="55E8F786">
                  <w:pPr>
                    <w:widowControl/>
                    <w:jc w:val="center"/>
                    <w:textAlignment w:val="center"/>
                    <w:rPr>
                      <w:color w:val="000000"/>
                      <w:szCs w:val="21"/>
                      <w:highlight w:val="none"/>
                      <w:u w:val="single"/>
                    </w:rPr>
                  </w:pPr>
                  <w:r>
                    <w:rPr>
                      <w:color w:val="000000"/>
                      <w:kern w:val="0"/>
                      <w:szCs w:val="21"/>
                      <w:highlight w:val="none"/>
                      <w:u w:val="single"/>
                      <w:lang w:bidi="ar"/>
                    </w:rPr>
                    <w:t>总产出（t/a）</w:t>
                  </w:r>
                </w:p>
              </w:tc>
            </w:tr>
            <w:tr w14:paraId="2F8BC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1323" w:type="dxa"/>
                  <w:tcBorders>
                    <w:tl2br w:val="nil"/>
                    <w:tr2bl w:val="nil"/>
                  </w:tcBorders>
                  <w:shd w:val="clear" w:color="auto" w:fill="auto"/>
                  <w:noWrap/>
                  <w:vAlign w:val="center"/>
                </w:tcPr>
                <w:p w14:paraId="6AA86A55">
                  <w:pPr>
                    <w:widowControl/>
                    <w:jc w:val="center"/>
                    <w:textAlignment w:val="center"/>
                    <w:rPr>
                      <w:color w:val="000000"/>
                      <w:szCs w:val="21"/>
                      <w:highlight w:val="none"/>
                      <w:u w:val="single"/>
                    </w:rPr>
                  </w:pPr>
                  <w:r>
                    <w:rPr>
                      <w:color w:val="000000"/>
                      <w:kern w:val="0"/>
                      <w:szCs w:val="21"/>
                      <w:highlight w:val="none"/>
                      <w:u w:val="single"/>
                      <w:lang w:bidi="ar"/>
                    </w:rPr>
                    <w:t>物料名称</w:t>
                  </w:r>
                </w:p>
              </w:tc>
              <w:tc>
                <w:tcPr>
                  <w:tcW w:w="1761" w:type="dxa"/>
                  <w:tcBorders>
                    <w:tl2br w:val="nil"/>
                    <w:tr2bl w:val="nil"/>
                  </w:tcBorders>
                  <w:shd w:val="clear" w:color="auto" w:fill="auto"/>
                  <w:noWrap/>
                  <w:vAlign w:val="center"/>
                </w:tcPr>
                <w:p w14:paraId="51FB1225">
                  <w:pPr>
                    <w:widowControl/>
                    <w:jc w:val="center"/>
                    <w:textAlignment w:val="center"/>
                    <w:rPr>
                      <w:color w:val="000000"/>
                      <w:szCs w:val="21"/>
                      <w:highlight w:val="none"/>
                      <w:u w:val="single"/>
                    </w:rPr>
                  </w:pPr>
                  <w:r>
                    <w:rPr>
                      <w:color w:val="000000"/>
                      <w:kern w:val="0"/>
                      <w:szCs w:val="21"/>
                      <w:highlight w:val="none"/>
                      <w:u w:val="single"/>
                      <w:lang w:bidi="ar"/>
                    </w:rPr>
                    <w:t>投入量</w:t>
                  </w:r>
                </w:p>
              </w:tc>
              <w:tc>
                <w:tcPr>
                  <w:tcW w:w="2959" w:type="dxa"/>
                  <w:tcBorders>
                    <w:tl2br w:val="nil"/>
                    <w:tr2bl w:val="nil"/>
                  </w:tcBorders>
                  <w:shd w:val="clear" w:color="auto" w:fill="auto"/>
                  <w:noWrap/>
                  <w:vAlign w:val="center"/>
                </w:tcPr>
                <w:p w14:paraId="1FB41816">
                  <w:pPr>
                    <w:widowControl/>
                    <w:jc w:val="center"/>
                    <w:textAlignment w:val="center"/>
                    <w:rPr>
                      <w:color w:val="000000"/>
                      <w:szCs w:val="21"/>
                      <w:highlight w:val="none"/>
                      <w:u w:val="single"/>
                    </w:rPr>
                  </w:pPr>
                  <w:r>
                    <w:rPr>
                      <w:color w:val="000000"/>
                      <w:kern w:val="0"/>
                      <w:szCs w:val="21"/>
                      <w:highlight w:val="none"/>
                      <w:u w:val="single"/>
                      <w:lang w:bidi="ar"/>
                    </w:rPr>
                    <w:t>物料</w:t>
                  </w:r>
                </w:p>
              </w:tc>
              <w:tc>
                <w:tcPr>
                  <w:tcW w:w="1417" w:type="dxa"/>
                  <w:tcBorders>
                    <w:tl2br w:val="nil"/>
                    <w:tr2bl w:val="nil"/>
                  </w:tcBorders>
                  <w:shd w:val="clear" w:color="auto" w:fill="auto"/>
                  <w:noWrap/>
                  <w:vAlign w:val="center"/>
                </w:tcPr>
                <w:p w14:paraId="76F5256A">
                  <w:pPr>
                    <w:widowControl/>
                    <w:jc w:val="center"/>
                    <w:textAlignment w:val="center"/>
                    <w:rPr>
                      <w:color w:val="000000"/>
                      <w:szCs w:val="21"/>
                      <w:highlight w:val="none"/>
                      <w:u w:val="single"/>
                    </w:rPr>
                  </w:pPr>
                  <w:r>
                    <w:rPr>
                      <w:color w:val="000000"/>
                      <w:kern w:val="0"/>
                      <w:szCs w:val="21"/>
                      <w:highlight w:val="none"/>
                      <w:u w:val="single"/>
                      <w:lang w:bidi="ar"/>
                    </w:rPr>
                    <w:t>产出量</w:t>
                  </w:r>
                </w:p>
              </w:tc>
            </w:tr>
            <w:tr w14:paraId="07122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23" w:type="dxa"/>
                  <w:tcBorders>
                    <w:tl2br w:val="nil"/>
                    <w:tr2bl w:val="nil"/>
                  </w:tcBorders>
                  <w:shd w:val="clear" w:color="auto" w:fill="auto"/>
                  <w:noWrap/>
                  <w:vAlign w:val="center"/>
                </w:tcPr>
                <w:p w14:paraId="118CDBD3">
                  <w:pPr>
                    <w:widowControl/>
                    <w:jc w:val="center"/>
                    <w:textAlignment w:val="center"/>
                    <w:rPr>
                      <w:color w:val="000000"/>
                      <w:szCs w:val="21"/>
                      <w:highlight w:val="none"/>
                      <w:u w:val="single"/>
                    </w:rPr>
                  </w:pPr>
                  <w:r>
                    <w:rPr>
                      <w:color w:val="000000"/>
                      <w:kern w:val="0"/>
                      <w:szCs w:val="21"/>
                      <w:highlight w:val="none"/>
                      <w:u w:val="single"/>
                      <w:lang w:bidi="ar"/>
                    </w:rPr>
                    <w:t>生铁、废钢</w:t>
                  </w:r>
                </w:p>
              </w:tc>
              <w:tc>
                <w:tcPr>
                  <w:tcW w:w="1761" w:type="dxa"/>
                  <w:tcBorders>
                    <w:tl2br w:val="nil"/>
                    <w:tr2bl w:val="nil"/>
                  </w:tcBorders>
                  <w:shd w:val="clear" w:color="auto" w:fill="auto"/>
                  <w:noWrap/>
                  <w:vAlign w:val="center"/>
                </w:tcPr>
                <w:p w14:paraId="713AA9B4">
                  <w:pPr>
                    <w:widowControl/>
                    <w:jc w:val="center"/>
                    <w:textAlignment w:val="center"/>
                    <w:rPr>
                      <w:color w:val="000000"/>
                      <w:szCs w:val="21"/>
                      <w:highlight w:val="none"/>
                      <w:u w:val="single"/>
                    </w:rPr>
                  </w:pPr>
                  <w:r>
                    <w:rPr>
                      <w:color w:val="000000"/>
                      <w:kern w:val="0"/>
                      <w:szCs w:val="21"/>
                      <w:highlight w:val="none"/>
                      <w:u w:val="single"/>
                      <w:lang w:bidi="ar"/>
                    </w:rPr>
                    <w:t>6100</w:t>
                  </w:r>
                </w:p>
              </w:tc>
              <w:tc>
                <w:tcPr>
                  <w:tcW w:w="2959" w:type="dxa"/>
                  <w:tcBorders>
                    <w:tl2br w:val="nil"/>
                    <w:tr2bl w:val="nil"/>
                  </w:tcBorders>
                  <w:shd w:val="clear" w:color="auto" w:fill="auto"/>
                  <w:noWrap/>
                  <w:vAlign w:val="center"/>
                </w:tcPr>
                <w:p w14:paraId="664AF439">
                  <w:pPr>
                    <w:widowControl/>
                    <w:jc w:val="center"/>
                    <w:textAlignment w:val="center"/>
                    <w:rPr>
                      <w:color w:val="000000"/>
                      <w:szCs w:val="21"/>
                      <w:highlight w:val="none"/>
                      <w:u w:val="single"/>
                    </w:rPr>
                  </w:pPr>
                  <w:r>
                    <w:rPr>
                      <w:color w:val="000000"/>
                      <w:kern w:val="0"/>
                      <w:szCs w:val="21"/>
                      <w:highlight w:val="none"/>
                      <w:u w:val="single"/>
                      <w:lang w:bidi="ar"/>
                    </w:rPr>
                    <w:t>成品</w:t>
                  </w:r>
                </w:p>
              </w:tc>
              <w:tc>
                <w:tcPr>
                  <w:tcW w:w="1417" w:type="dxa"/>
                  <w:tcBorders>
                    <w:tl2br w:val="nil"/>
                    <w:tr2bl w:val="nil"/>
                  </w:tcBorders>
                  <w:shd w:val="clear" w:color="auto" w:fill="auto"/>
                  <w:noWrap/>
                  <w:vAlign w:val="center"/>
                </w:tcPr>
                <w:p w14:paraId="6FEB003E">
                  <w:pPr>
                    <w:widowControl/>
                    <w:jc w:val="center"/>
                    <w:textAlignment w:val="center"/>
                    <w:rPr>
                      <w:color w:val="000000"/>
                      <w:szCs w:val="21"/>
                      <w:highlight w:val="none"/>
                      <w:u w:val="single"/>
                    </w:rPr>
                  </w:pPr>
                  <w:r>
                    <w:rPr>
                      <w:color w:val="000000"/>
                      <w:szCs w:val="21"/>
                      <w:highlight w:val="none"/>
                      <w:u w:val="single"/>
                    </w:rPr>
                    <w:t>6000</w:t>
                  </w:r>
                </w:p>
              </w:tc>
            </w:tr>
            <w:tr w14:paraId="1DA62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23" w:type="dxa"/>
                  <w:tcBorders>
                    <w:tl2br w:val="nil"/>
                    <w:tr2bl w:val="nil"/>
                  </w:tcBorders>
                  <w:shd w:val="clear" w:color="auto" w:fill="auto"/>
                  <w:noWrap/>
                  <w:vAlign w:val="center"/>
                </w:tcPr>
                <w:p w14:paraId="1D5D884C">
                  <w:pPr>
                    <w:widowControl/>
                    <w:jc w:val="center"/>
                    <w:textAlignment w:val="center"/>
                    <w:rPr>
                      <w:color w:val="000000"/>
                      <w:szCs w:val="21"/>
                      <w:highlight w:val="none"/>
                      <w:u w:val="single"/>
                    </w:rPr>
                  </w:pPr>
                  <w:r>
                    <w:rPr>
                      <w:color w:val="000000"/>
                      <w:kern w:val="0"/>
                      <w:szCs w:val="21"/>
                      <w:highlight w:val="none"/>
                      <w:u w:val="single"/>
                      <w:lang w:bidi="ar"/>
                    </w:rPr>
                    <w:t>球化剂</w:t>
                  </w:r>
                </w:p>
              </w:tc>
              <w:tc>
                <w:tcPr>
                  <w:tcW w:w="1761" w:type="dxa"/>
                  <w:tcBorders>
                    <w:tl2br w:val="nil"/>
                    <w:tr2bl w:val="nil"/>
                  </w:tcBorders>
                  <w:shd w:val="clear" w:color="auto" w:fill="auto"/>
                  <w:noWrap/>
                  <w:vAlign w:val="center"/>
                </w:tcPr>
                <w:p w14:paraId="33FB5EE4">
                  <w:pPr>
                    <w:widowControl/>
                    <w:jc w:val="center"/>
                    <w:textAlignment w:val="center"/>
                    <w:rPr>
                      <w:color w:val="000000"/>
                      <w:szCs w:val="21"/>
                      <w:highlight w:val="none"/>
                      <w:u w:val="single"/>
                    </w:rPr>
                  </w:pPr>
                  <w:r>
                    <w:rPr>
                      <w:color w:val="000000"/>
                      <w:kern w:val="0"/>
                      <w:szCs w:val="21"/>
                      <w:highlight w:val="none"/>
                      <w:u w:val="single"/>
                      <w:lang w:bidi="ar"/>
                    </w:rPr>
                    <w:t>40</w:t>
                  </w:r>
                </w:p>
              </w:tc>
              <w:tc>
                <w:tcPr>
                  <w:tcW w:w="2959" w:type="dxa"/>
                  <w:tcBorders>
                    <w:tl2br w:val="nil"/>
                    <w:tr2bl w:val="nil"/>
                  </w:tcBorders>
                  <w:shd w:val="clear" w:color="auto" w:fill="auto"/>
                  <w:noWrap/>
                  <w:vAlign w:val="center"/>
                </w:tcPr>
                <w:p w14:paraId="4EBCED36">
                  <w:pPr>
                    <w:widowControl/>
                    <w:jc w:val="center"/>
                    <w:textAlignment w:val="center"/>
                    <w:rPr>
                      <w:color w:val="000000"/>
                      <w:szCs w:val="21"/>
                      <w:highlight w:val="none"/>
                      <w:u w:val="single"/>
                    </w:rPr>
                  </w:pPr>
                  <w:r>
                    <w:rPr>
                      <w:color w:val="000000"/>
                      <w:kern w:val="0"/>
                      <w:szCs w:val="21"/>
                      <w:highlight w:val="none"/>
                      <w:u w:val="single"/>
                      <w:lang w:bidi="ar"/>
                    </w:rPr>
                    <w:t>布袋除尘灰</w:t>
                  </w:r>
                </w:p>
              </w:tc>
              <w:tc>
                <w:tcPr>
                  <w:tcW w:w="1417" w:type="dxa"/>
                  <w:tcBorders>
                    <w:tl2br w:val="nil"/>
                    <w:tr2bl w:val="nil"/>
                  </w:tcBorders>
                  <w:shd w:val="clear" w:color="auto" w:fill="auto"/>
                  <w:noWrap/>
                  <w:vAlign w:val="center"/>
                </w:tcPr>
                <w:p w14:paraId="1739A673">
                  <w:pPr>
                    <w:widowControl/>
                    <w:jc w:val="center"/>
                    <w:textAlignment w:val="center"/>
                    <w:rPr>
                      <w:rFonts w:hint="default" w:eastAsia="宋体"/>
                      <w:color w:val="000000"/>
                      <w:szCs w:val="21"/>
                      <w:highlight w:val="none"/>
                      <w:u w:val="single"/>
                      <w:lang w:val="en-US" w:eastAsia="zh-CN"/>
                    </w:rPr>
                  </w:pPr>
                  <w:r>
                    <w:rPr>
                      <w:rFonts w:hint="eastAsia"/>
                      <w:color w:val="000000"/>
                      <w:szCs w:val="21"/>
                      <w:highlight w:val="none"/>
                      <w:u w:val="single"/>
                      <w:lang w:val="en-US" w:eastAsia="zh-CN"/>
                    </w:rPr>
                    <w:t>142.10</w:t>
                  </w:r>
                </w:p>
              </w:tc>
            </w:tr>
            <w:tr w14:paraId="062F8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23" w:type="dxa"/>
                  <w:tcBorders>
                    <w:tl2br w:val="nil"/>
                    <w:tr2bl w:val="nil"/>
                  </w:tcBorders>
                  <w:shd w:val="clear" w:color="auto" w:fill="auto"/>
                  <w:noWrap/>
                  <w:vAlign w:val="center"/>
                </w:tcPr>
                <w:p w14:paraId="75EB44D7">
                  <w:pPr>
                    <w:widowControl/>
                    <w:jc w:val="center"/>
                    <w:textAlignment w:val="center"/>
                    <w:rPr>
                      <w:color w:val="000000"/>
                      <w:szCs w:val="21"/>
                      <w:highlight w:val="none"/>
                      <w:u w:val="single"/>
                    </w:rPr>
                  </w:pPr>
                  <w:r>
                    <w:rPr>
                      <w:color w:val="000000"/>
                      <w:kern w:val="0"/>
                      <w:szCs w:val="21"/>
                      <w:highlight w:val="none"/>
                      <w:u w:val="single"/>
                      <w:lang w:bidi="ar"/>
                    </w:rPr>
                    <w:t>孕育剂</w:t>
                  </w:r>
                </w:p>
              </w:tc>
              <w:tc>
                <w:tcPr>
                  <w:tcW w:w="1761" w:type="dxa"/>
                  <w:tcBorders>
                    <w:tl2br w:val="nil"/>
                    <w:tr2bl w:val="nil"/>
                  </w:tcBorders>
                  <w:shd w:val="clear" w:color="auto" w:fill="auto"/>
                  <w:noWrap/>
                  <w:vAlign w:val="center"/>
                </w:tcPr>
                <w:p w14:paraId="60992148">
                  <w:pPr>
                    <w:widowControl/>
                    <w:jc w:val="center"/>
                    <w:textAlignment w:val="center"/>
                    <w:rPr>
                      <w:color w:val="000000"/>
                      <w:szCs w:val="21"/>
                      <w:highlight w:val="none"/>
                      <w:u w:val="single"/>
                    </w:rPr>
                  </w:pPr>
                  <w:r>
                    <w:rPr>
                      <w:color w:val="000000"/>
                      <w:kern w:val="0"/>
                      <w:szCs w:val="21"/>
                      <w:highlight w:val="none"/>
                      <w:u w:val="single"/>
                      <w:lang w:bidi="ar"/>
                    </w:rPr>
                    <w:t>10</w:t>
                  </w:r>
                </w:p>
              </w:tc>
              <w:tc>
                <w:tcPr>
                  <w:tcW w:w="2959" w:type="dxa"/>
                  <w:tcBorders>
                    <w:tl2br w:val="nil"/>
                    <w:tr2bl w:val="nil"/>
                  </w:tcBorders>
                  <w:shd w:val="clear" w:color="auto" w:fill="auto"/>
                  <w:noWrap/>
                  <w:vAlign w:val="center"/>
                </w:tcPr>
                <w:p w14:paraId="055BCC1F">
                  <w:pPr>
                    <w:widowControl/>
                    <w:jc w:val="center"/>
                    <w:textAlignment w:val="center"/>
                    <w:rPr>
                      <w:color w:val="000000"/>
                      <w:szCs w:val="21"/>
                      <w:highlight w:val="none"/>
                      <w:u w:val="single"/>
                    </w:rPr>
                  </w:pPr>
                  <w:r>
                    <w:rPr>
                      <w:color w:val="000000"/>
                      <w:kern w:val="0"/>
                      <w:szCs w:val="21"/>
                      <w:highlight w:val="none"/>
                      <w:u w:val="single"/>
                      <w:lang w:bidi="ar"/>
                    </w:rPr>
                    <w:t>炉渣</w:t>
                  </w:r>
                </w:p>
              </w:tc>
              <w:tc>
                <w:tcPr>
                  <w:tcW w:w="1417" w:type="dxa"/>
                  <w:tcBorders>
                    <w:tl2br w:val="nil"/>
                    <w:tr2bl w:val="nil"/>
                  </w:tcBorders>
                  <w:shd w:val="clear" w:color="auto" w:fill="auto"/>
                  <w:noWrap/>
                  <w:vAlign w:val="center"/>
                </w:tcPr>
                <w:p w14:paraId="4F9B340B">
                  <w:pPr>
                    <w:widowControl/>
                    <w:jc w:val="center"/>
                    <w:textAlignment w:val="center"/>
                    <w:rPr>
                      <w:color w:val="000000"/>
                      <w:szCs w:val="21"/>
                      <w:highlight w:val="none"/>
                      <w:u w:val="single"/>
                    </w:rPr>
                  </w:pPr>
                  <w:r>
                    <w:rPr>
                      <w:color w:val="000000"/>
                      <w:szCs w:val="21"/>
                      <w:highlight w:val="none"/>
                      <w:u w:val="single"/>
                    </w:rPr>
                    <w:t>152.5</w:t>
                  </w:r>
                </w:p>
              </w:tc>
            </w:tr>
            <w:tr w14:paraId="1953B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23" w:type="dxa"/>
                  <w:tcBorders>
                    <w:tl2br w:val="nil"/>
                    <w:tr2bl w:val="nil"/>
                  </w:tcBorders>
                  <w:shd w:val="clear" w:color="auto" w:fill="auto"/>
                  <w:noWrap/>
                  <w:vAlign w:val="center"/>
                </w:tcPr>
                <w:p w14:paraId="67D2FD7C">
                  <w:pPr>
                    <w:widowControl/>
                    <w:jc w:val="center"/>
                    <w:textAlignment w:val="center"/>
                    <w:rPr>
                      <w:color w:val="000000"/>
                      <w:szCs w:val="21"/>
                      <w:highlight w:val="none"/>
                      <w:u w:val="single"/>
                    </w:rPr>
                  </w:pPr>
                  <w:r>
                    <w:rPr>
                      <w:color w:val="000000"/>
                      <w:kern w:val="0"/>
                      <w:szCs w:val="21"/>
                      <w:highlight w:val="none"/>
                      <w:u w:val="single"/>
                      <w:lang w:bidi="ar"/>
                    </w:rPr>
                    <w:t>覆膜砂</w:t>
                  </w:r>
                </w:p>
              </w:tc>
              <w:tc>
                <w:tcPr>
                  <w:tcW w:w="1761" w:type="dxa"/>
                  <w:tcBorders>
                    <w:tl2br w:val="nil"/>
                    <w:tr2bl w:val="nil"/>
                  </w:tcBorders>
                  <w:shd w:val="clear" w:color="auto" w:fill="auto"/>
                  <w:noWrap/>
                  <w:vAlign w:val="center"/>
                </w:tcPr>
                <w:p w14:paraId="4F94112A">
                  <w:pPr>
                    <w:widowControl/>
                    <w:jc w:val="center"/>
                    <w:textAlignment w:val="center"/>
                    <w:rPr>
                      <w:color w:val="000000"/>
                      <w:szCs w:val="21"/>
                      <w:highlight w:val="none"/>
                      <w:u w:val="single"/>
                    </w:rPr>
                  </w:pPr>
                  <w:r>
                    <w:rPr>
                      <w:color w:val="000000"/>
                      <w:kern w:val="0"/>
                      <w:szCs w:val="21"/>
                      <w:highlight w:val="none"/>
                      <w:u w:val="single"/>
                      <w:lang w:bidi="ar"/>
                    </w:rPr>
                    <w:t>50</w:t>
                  </w:r>
                </w:p>
              </w:tc>
              <w:tc>
                <w:tcPr>
                  <w:tcW w:w="2959" w:type="dxa"/>
                  <w:tcBorders>
                    <w:tl2br w:val="nil"/>
                    <w:tr2bl w:val="nil"/>
                  </w:tcBorders>
                  <w:shd w:val="clear" w:color="auto" w:fill="auto"/>
                  <w:noWrap/>
                  <w:vAlign w:val="center"/>
                </w:tcPr>
                <w:p w14:paraId="6E07AAC8">
                  <w:pPr>
                    <w:widowControl/>
                    <w:jc w:val="center"/>
                    <w:textAlignment w:val="center"/>
                    <w:rPr>
                      <w:color w:val="000000"/>
                      <w:szCs w:val="21"/>
                      <w:highlight w:val="none"/>
                      <w:u w:val="single"/>
                    </w:rPr>
                  </w:pPr>
                  <w:r>
                    <w:rPr>
                      <w:color w:val="000000"/>
                      <w:kern w:val="0"/>
                      <w:szCs w:val="21"/>
                      <w:highlight w:val="none"/>
                      <w:u w:val="single"/>
                      <w:lang w:bidi="ar"/>
                    </w:rPr>
                    <w:t>颗粒物（有组织+无组织）</w:t>
                  </w:r>
                </w:p>
              </w:tc>
              <w:tc>
                <w:tcPr>
                  <w:tcW w:w="1417" w:type="dxa"/>
                  <w:tcBorders>
                    <w:tl2br w:val="nil"/>
                    <w:tr2bl w:val="nil"/>
                  </w:tcBorders>
                  <w:shd w:val="clear" w:color="auto" w:fill="auto"/>
                  <w:noWrap/>
                  <w:vAlign w:val="center"/>
                </w:tcPr>
                <w:p w14:paraId="59795FF5">
                  <w:pPr>
                    <w:widowControl/>
                    <w:jc w:val="center"/>
                    <w:textAlignment w:val="center"/>
                    <w:rPr>
                      <w:rFonts w:hint="default" w:eastAsia="宋体"/>
                      <w:color w:val="000000"/>
                      <w:szCs w:val="21"/>
                      <w:highlight w:val="none"/>
                      <w:u w:val="single"/>
                      <w:lang w:val="en-US" w:eastAsia="zh-CN"/>
                    </w:rPr>
                  </w:pPr>
                  <w:r>
                    <w:rPr>
                      <w:rFonts w:hint="eastAsia"/>
                      <w:color w:val="000000"/>
                      <w:szCs w:val="21"/>
                      <w:highlight w:val="none"/>
                      <w:u w:val="single"/>
                      <w:lang w:val="en-US" w:eastAsia="zh-CN"/>
                    </w:rPr>
                    <w:t>3.96</w:t>
                  </w:r>
                </w:p>
              </w:tc>
            </w:tr>
            <w:tr w14:paraId="2D528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23" w:type="dxa"/>
                  <w:tcBorders>
                    <w:tl2br w:val="nil"/>
                    <w:tr2bl w:val="nil"/>
                  </w:tcBorders>
                  <w:shd w:val="clear" w:color="auto" w:fill="auto"/>
                  <w:noWrap/>
                  <w:vAlign w:val="center"/>
                </w:tcPr>
                <w:p w14:paraId="3002CD36">
                  <w:pPr>
                    <w:widowControl/>
                    <w:jc w:val="center"/>
                    <w:textAlignment w:val="center"/>
                    <w:rPr>
                      <w:color w:val="000000"/>
                      <w:szCs w:val="21"/>
                      <w:highlight w:val="none"/>
                      <w:u w:val="single"/>
                    </w:rPr>
                  </w:pPr>
                  <w:r>
                    <w:rPr>
                      <w:color w:val="000000"/>
                      <w:kern w:val="0"/>
                      <w:szCs w:val="21"/>
                      <w:highlight w:val="none"/>
                      <w:u w:val="single"/>
                      <w:lang w:bidi="ar"/>
                    </w:rPr>
                    <w:t>石英砂</w:t>
                  </w:r>
                </w:p>
              </w:tc>
              <w:tc>
                <w:tcPr>
                  <w:tcW w:w="1761" w:type="dxa"/>
                  <w:tcBorders>
                    <w:tl2br w:val="nil"/>
                    <w:tr2bl w:val="nil"/>
                  </w:tcBorders>
                  <w:shd w:val="clear" w:color="auto" w:fill="auto"/>
                  <w:noWrap/>
                  <w:vAlign w:val="center"/>
                </w:tcPr>
                <w:p w14:paraId="5B36736B">
                  <w:pPr>
                    <w:widowControl/>
                    <w:jc w:val="center"/>
                    <w:textAlignment w:val="center"/>
                    <w:rPr>
                      <w:color w:val="000000"/>
                      <w:szCs w:val="21"/>
                      <w:highlight w:val="none"/>
                      <w:u w:val="single"/>
                    </w:rPr>
                  </w:pPr>
                  <w:r>
                    <w:rPr>
                      <w:color w:val="000000"/>
                      <w:kern w:val="0"/>
                      <w:szCs w:val="21"/>
                      <w:highlight w:val="none"/>
                      <w:u w:val="single"/>
                      <w:lang w:bidi="ar"/>
                    </w:rPr>
                    <w:t>100</w:t>
                  </w:r>
                </w:p>
              </w:tc>
              <w:tc>
                <w:tcPr>
                  <w:tcW w:w="2959" w:type="dxa"/>
                  <w:tcBorders>
                    <w:tl2br w:val="nil"/>
                    <w:tr2bl w:val="nil"/>
                  </w:tcBorders>
                  <w:shd w:val="clear" w:color="auto" w:fill="auto"/>
                  <w:noWrap/>
                  <w:vAlign w:val="center"/>
                </w:tcPr>
                <w:p w14:paraId="6FBE93FB">
                  <w:pPr>
                    <w:widowControl/>
                    <w:jc w:val="center"/>
                    <w:textAlignment w:val="center"/>
                    <w:rPr>
                      <w:color w:val="000000"/>
                      <w:szCs w:val="21"/>
                      <w:highlight w:val="none"/>
                      <w:u w:val="single"/>
                    </w:rPr>
                  </w:pPr>
                  <w:r>
                    <w:rPr>
                      <w:rFonts w:hint="eastAsia"/>
                      <w:color w:val="000000"/>
                      <w:kern w:val="0"/>
                      <w:szCs w:val="21"/>
                      <w:highlight w:val="none"/>
                      <w:u w:val="single"/>
                      <w:lang w:val="en-US" w:eastAsia="zh-CN" w:bidi="ar"/>
                    </w:rPr>
                    <w:t>非甲烷总烃</w:t>
                  </w:r>
                  <w:r>
                    <w:rPr>
                      <w:color w:val="000000"/>
                      <w:kern w:val="0"/>
                      <w:szCs w:val="21"/>
                      <w:highlight w:val="none"/>
                      <w:u w:val="single"/>
                      <w:lang w:bidi="ar"/>
                    </w:rPr>
                    <w:t>（有组织+无组织）</w:t>
                  </w:r>
                </w:p>
              </w:tc>
              <w:tc>
                <w:tcPr>
                  <w:tcW w:w="1417" w:type="dxa"/>
                  <w:tcBorders>
                    <w:tl2br w:val="nil"/>
                    <w:tr2bl w:val="nil"/>
                  </w:tcBorders>
                  <w:shd w:val="clear" w:color="auto" w:fill="auto"/>
                  <w:noWrap/>
                  <w:vAlign w:val="center"/>
                </w:tcPr>
                <w:p w14:paraId="780234AE">
                  <w:pPr>
                    <w:widowControl/>
                    <w:jc w:val="center"/>
                    <w:textAlignment w:val="center"/>
                    <w:rPr>
                      <w:rFonts w:hint="default" w:eastAsia="宋体"/>
                      <w:color w:val="000000"/>
                      <w:szCs w:val="21"/>
                      <w:highlight w:val="none"/>
                      <w:u w:val="single"/>
                      <w:lang w:val="en-US" w:eastAsia="zh-CN"/>
                    </w:rPr>
                  </w:pPr>
                  <w:r>
                    <w:rPr>
                      <w:rFonts w:hint="eastAsia"/>
                      <w:color w:val="000000"/>
                      <w:szCs w:val="21"/>
                      <w:highlight w:val="none"/>
                      <w:u w:val="single"/>
                      <w:lang w:val="en-US" w:eastAsia="zh-CN"/>
                    </w:rPr>
                    <w:t>1.10</w:t>
                  </w:r>
                </w:p>
              </w:tc>
            </w:tr>
            <w:tr w14:paraId="0FFEB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23" w:type="dxa"/>
                  <w:tcBorders>
                    <w:tl2br w:val="nil"/>
                    <w:tr2bl w:val="nil"/>
                  </w:tcBorders>
                  <w:shd w:val="clear" w:color="auto" w:fill="auto"/>
                  <w:noWrap/>
                  <w:vAlign w:val="center"/>
                </w:tcPr>
                <w:p w14:paraId="19A679DE">
                  <w:pPr>
                    <w:widowControl/>
                    <w:jc w:val="center"/>
                    <w:textAlignment w:val="center"/>
                    <w:rPr>
                      <w:color w:val="000000"/>
                      <w:szCs w:val="21"/>
                      <w:highlight w:val="none"/>
                      <w:u w:val="single"/>
                    </w:rPr>
                  </w:pPr>
                  <w:r>
                    <w:rPr>
                      <w:color w:val="000000"/>
                      <w:kern w:val="0"/>
                      <w:szCs w:val="21"/>
                      <w:highlight w:val="none"/>
                      <w:u w:val="single"/>
                      <w:lang w:bidi="ar"/>
                    </w:rPr>
                    <w:t>膨润土</w:t>
                  </w:r>
                </w:p>
              </w:tc>
              <w:tc>
                <w:tcPr>
                  <w:tcW w:w="1761" w:type="dxa"/>
                  <w:tcBorders>
                    <w:tl2br w:val="nil"/>
                    <w:tr2bl w:val="nil"/>
                  </w:tcBorders>
                  <w:shd w:val="clear" w:color="auto" w:fill="auto"/>
                  <w:noWrap/>
                  <w:vAlign w:val="center"/>
                </w:tcPr>
                <w:p w14:paraId="606EB47D">
                  <w:pPr>
                    <w:widowControl/>
                    <w:jc w:val="center"/>
                    <w:textAlignment w:val="center"/>
                    <w:rPr>
                      <w:color w:val="000000"/>
                      <w:szCs w:val="21"/>
                      <w:highlight w:val="none"/>
                      <w:u w:val="single"/>
                    </w:rPr>
                  </w:pPr>
                  <w:r>
                    <w:rPr>
                      <w:color w:val="000000"/>
                      <w:kern w:val="0"/>
                      <w:szCs w:val="21"/>
                      <w:highlight w:val="none"/>
                      <w:u w:val="single"/>
                      <w:lang w:bidi="ar"/>
                    </w:rPr>
                    <w:t>10</w:t>
                  </w:r>
                </w:p>
              </w:tc>
              <w:tc>
                <w:tcPr>
                  <w:tcW w:w="2959" w:type="dxa"/>
                  <w:tcBorders>
                    <w:tl2br w:val="nil"/>
                    <w:tr2bl w:val="nil"/>
                  </w:tcBorders>
                  <w:shd w:val="clear" w:color="auto" w:fill="auto"/>
                  <w:noWrap/>
                  <w:vAlign w:val="center"/>
                </w:tcPr>
                <w:p w14:paraId="7D558AF2">
                  <w:pPr>
                    <w:widowControl/>
                    <w:jc w:val="center"/>
                    <w:textAlignment w:val="center"/>
                    <w:rPr>
                      <w:color w:val="000000"/>
                      <w:szCs w:val="21"/>
                      <w:highlight w:val="none"/>
                      <w:u w:val="single"/>
                    </w:rPr>
                  </w:pPr>
                  <w:r>
                    <w:rPr>
                      <w:color w:val="000000"/>
                      <w:kern w:val="0"/>
                      <w:szCs w:val="21"/>
                      <w:highlight w:val="none"/>
                      <w:u w:val="single"/>
                      <w:lang w:bidi="ar"/>
                    </w:rPr>
                    <w:t>蒸发损耗</w:t>
                  </w:r>
                </w:p>
              </w:tc>
              <w:tc>
                <w:tcPr>
                  <w:tcW w:w="1417" w:type="dxa"/>
                  <w:tcBorders>
                    <w:tl2br w:val="nil"/>
                    <w:tr2bl w:val="nil"/>
                  </w:tcBorders>
                  <w:shd w:val="clear" w:color="auto" w:fill="auto"/>
                  <w:noWrap/>
                  <w:vAlign w:val="center"/>
                </w:tcPr>
                <w:p w14:paraId="6F3B86A3">
                  <w:pPr>
                    <w:widowControl/>
                    <w:jc w:val="center"/>
                    <w:textAlignment w:val="center"/>
                    <w:rPr>
                      <w:color w:val="000000"/>
                      <w:szCs w:val="21"/>
                      <w:highlight w:val="none"/>
                      <w:u w:val="single"/>
                    </w:rPr>
                  </w:pPr>
                  <w:r>
                    <w:rPr>
                      <w:color w:val="000000"/>
                      <w:kern w:val="0"/>
                      <w:szCs w:val="21"/>
                      <w:highlight w:val="none"/>
                      <w:u w:val="single"/>
                      <w:lang w:bidi="ar"/>
                    </w:rPr>
                    <w:t>10</w:t>
                  </w:r>
                </w:p>
              </w:tc>
            </w:tr>
            <w:tr w14:paraId="306B4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23" w:type="dxa"/>
                  <w:tcBorders>
                    <w:tl2br w:val="nil"/>
                    <w:tr2bl w:val="nil"/>
                  </w:tcBorders>
                  <w:shd w:val="clear" w:color="auto" w:fill="auto"/>
                  <w:noWrap/>
                  <w:vAlign w:val="center"/>
                </w:tcPr>
                <w:p w14:paraId="28FFCF27">
                  <w:pPr>
                    <w:widowControl/>
                    <w:jc w:val="center"/>
                    <w:textAlignment w:val="center"/>
                    <w:rPr>
                      <w:color w:val="000000"/>
                      <w:szCs w:val="21"/>
                      <w:highlight w:val="none"/>
                      <w:u w:val="single"/>
                    </w:rPr>
                  </w:pPr>
                  <w:r>
                    <w:rPr>
                      <w:color w:val="000000"/>
                      <w:kern w:val="0"/>
                      <w:szCs w:val="21"/>
                      <w:highlight w:val="none"/>
                      <w:u w:val="single"/>
                      <w:lang w:bidi="ar"/>
                    </w:rPr>
                    <w:t>煤粉</w:t>
                  </w:r>
                </w:p>
              </w:tc>
              <w:tc>
                <w:tcPr>
                  <w:tcW w:w="1761" w:type="dxa"/>
                  <w:tcBorders>
                    <w:tl2br w:val="nil"/>
                    <w:tr2bl w:val="nil"/>
                  </w:tcBorders>
                  <w:shd w:val="clear" w:color="auto" w:fill="auto"/>
                  <w:noWrap/>
                  <w:vAlign w:val="center"/>
                </w:tcPr>
                <w:p w14:paraId="4175EACB">
                  <w:pPr>
                    <w:widowControl/>
                    <w:jc w:val="center"/>
                    <w:textAlignment w:val="center"/>
                    <w:rPr>
                      <w:color w:val="000000"/>
                      <w:szCs w:val="21"/>
                      <w:highlight w:val="none"/>
                      <w:u w:val="single"/>
                    </w:rPr>
                  </w:pPr>
                  <w:r>
                    <w:rPr>
                      <w:color w:val="000000"/>
                      <w:kern w:val="0"/>
                      <w:szCs w:val="21"/>
                      <w:highlight w:val="none"/>
                      <w:u w:val="single"/>
                      <w:lang w:bidi="ar"/>
                    </w:rPr>
                    <w:t>10</w:t>
                  </w:r>
                </w:p>
              </w:tc>
              <w:tc>
                <w:tcPr>
                  <w:tcW w:w="2959" w:type="dxa"/>
                  <w:tcBorders>
                    <w:tl2br w:val="nil"/>
                    <w:tr2bl w:val="nil"/>
                  </w:tcBorders>
                  <w:shd w:val="clear" w:color="auto" w:fill="auto"/>
                  <w:noWrap/>
                  <w:vAlign w:val="center"/>
                </w:tcPr>
                <w:p w14:paraId="3DCCC30D">
                  <w:pPr>
                    <w:widowControl/>
                    <w:jc w:val="center"/>
                    <w:textAlignment w:val="center"/>
                    <w:rPr>
                      <w:color w:val="000000"/>
                      <w:szCs w:val="21"/>
                      <w:highlight w:val="none"/>
                      <w:u w:val="single"/>
                    </w:rPr>
                  </w:pPr>
                  <w:r>
                    <w:rPr>
                      <w:color w:val="000000"/>
                      <w:kern w:val="0"/>
                      <w:szCs w:val="21"/>
                      <w:highlight w:val="none"/>
                      <w:u w:val="single"/>
                      <w:lang w:bidi="ar"/>
                    </w:rPr>
                    <w:t>磨损损耗</w:t>
                  </w:r>
                </w:p>
              </w:tc>
              <w:tc>
                <w:tcPr>
                  <w:tcW w:w="1417" w:type="dxa"/>
                  <w:tcBorders>
                    <w:tl2br w:val="nil"/>
                    <w:tr2bl w:val="nil"/>
                  </w:tcBorders>
                  <w:shd w:val="clear" w:color="auto" w:fill="auto"/>
                  <w:noWrap/>
                  <w:vAlign w:val="center"/>
                </w:tcPr>
                <w:p w14:paraId="41EFDAEF">
                  <w:pPr>
                    <w:widowControl/>
                    <w:jc w:val="center"/>
                    <w:textAlignment w:val="center"/>
                    <w:rPr>
                      <w:color w:val="000000"/>
                      <w:szCs w:val="21"/>
                      <w:highlight w:val="none"/>
                      <w:u w:val="single"/>
                    </w:rPr>
                  </w:pPr>
                  <w:r>
                    <w:rPr>
                      <w:color w:val="000000"/>
                      <w:kern w:val="0"/>
                      <w:szCs w:val="21"/>
                      <w:highlight w:val="none"/>
                      <w:u w:val="single"/>
                      <w:lang w:bidi="ar"/>
                    </w:rPr>
                    <w:t>10</w:t>
                  </w:r>
                </w:p>
              </w:tc>
            </w:tr>
            <w:tr w14:paraId="50779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23" w:type="dxa"/>
                  <w:tcBorders>
                    <w:tl2br w:val="nil"/>
                    <w:tr2bl w:val="nil"/>
                  </w:tcBorders>
                  <w:shd w:val="clear" w:color="auto" w:fill="auto"/>
                  <w:noWrap/>
                  <w:vAlign w:val="center"/>
                </w:tcPr>
                <w:p w14:paraId="4993566A">
                  <w:pPr>
                    <w:jc w:val="center"/>
                    <w:rPr>
                      <w:color w:val="000000"/>
                      <w:szCs w:val="21"/>
                      <w:highlight w:val="none"/>
                      <w:u w:val="single"/>
                    </w:rPr>
                  </w:pPr>
                </w:p>
              </w:tc>
              <w:tc>
                <w:tcPr>
                  <w:tcW w:w="1761" w:type="dxa"/>
                  <w:tcBorders>
                    <w:tl2br w:val="nil"/>
                    <w:tr2bl w:val="nil"/>
                  </w:tcBorders>
                  <w:shd w:val="clear" w:color="auto" w:fill="auto"/>
                  <w:noWrap/>
                  <w:vAlign w:val="center"/>
                </w:tcPr>
                <w:p w14:paraId="4039BCB7">
                  <w:pPr>
                    <w:jc w:val="center"/>
                    <w:rPr>
                      <w:color w:val="000000"/>
                      <w:szCs w:val="21"/>
                      <w:highlight w:val="none"/>
                      <w:u w:val="single"/>
                    </w:rPr>
                  </w:pPr>
                </w:p>
              </w:tc>
              <w:tc>
                <w:tcPr>
                  <w:tcW w:w="2959" w:type="dxa"/>
                  <w:tcBorders>
                    <w:tl2br w:val="nil"/>
                    <w:tr2bl w:val="nil"/>
                  </w:tcBorders>
                  <w:shd w:val="clear" w:color="auto" w:fill="auto"/>
                  <w:noWrap/>
                  <w:vAlign w:val="center"/>
                </w:tcPr>
                <w:p w14:paraId="03DA3585">
                  <w:pPr>
                    <w:widowControl/>
                    <w:jc w:val="center"/>
                    <w:textAlignment w:val="center"/>
                    <w:rPr>
                      <w:color w:val="000000"/>
                      <w:szCs w:val="21"/>
                      <w:highlight w:val="none"/>
                      <w:u w:val="single"/>
                    </w:rPr>
                  </w:pPr>
                  <w:r>
                    <w:rPr>
                      <w:color w:val="000000"/>
                      <w:kern w:val="0"/>
                      <w:szCs w:val="21"/>
                      <w:highlight w:val="none"/>
                      <w:u w:val="single"/>
                      <w:lang w:bidi="ar"/>
                    </w:rPr>
                    <w:t>其他损耗</w:t>
                  </w:r>
                </w:p>
              </w:tc>
              <w:tc>
                <w:tcPr>
                  <w:tcW w:w="1417" w:type="dxa"/>
                  <w:tcBorders>
                    <w:tl2br w:val="nil"/>
                    <w:tr2bl w:val="nil"/>
                  </w:tcBorders>
                  <w:shd w:val="clear" w:color="auto" w:fill="auto"/>
                  <w:noWrap/>
                  <w:vAlign w:val="center"/>
                </w:tcPr>
                <w:p w14:paraId="7F7276B7">
                  <w:pPr>
                    <w:widowControl/>
                    <w:jc w:val="center"/>
                    <w:textAlignment w:val="center"/>
                    <w:rPr>
                      <w:rFonts w:hint="default" w:eastAsia="宋体"/>
                      <w:color w:val="000000"/>
                      <w:szCs w:val="21"/>
                      <w:highlight w:val="none"/>
                      <w:u w:val="single"/>
                      <w:lang w:val="en-US" w:eastAsia="zh-CN"/>
                    </w:rPr>
                  </w:pPr>
                  <w:r>
                    <w:rPr>
                      <w:rFonts w:hint="eastAsia"/>
                      <w:color w:val="000000"/>
                      <w:kern w:val="0"/>
                      <w:szCs w:val="21"/>
                      <w:highlight w:val="none"/>
                      <w:u w:val="single"/>
                      <w:lang w:val="en-US" w:eastAsia="zh-CN" w:bidi="ar"/>
                    </w:rPr>
                    <w:t>0.35</w:t>
                  </w:r>
                </w:p>
              </w:tc>
            </w:tr>
            <w:tr w14:paraId="1F2E3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23" w:type="dxa"/>
                  <w:tcBorders>
                    <w:tl2br w:val="nil"/>
                    <w:tr2bl w:val="nil"/>
                  </w:tcBorders>
                  <w:shd w:val="clear" w:color="auto" w:fill="auto"/>
                  <w:noWrap/>
                  <w:vAlign w:val="center"/>
                </w:tcPr>
                <w:p w14:paraId="2FB1E51D">
                  <w:pPr>
                    <w:widowControl/>
                    <w:jc w:val="center"/>
                    <w:textAlignment w:val="center"/>
                    <w:rPr>
                      <w:color w:val="000000"/>
                      <w:szCs w:val="21"/>
                      <w:highlight w:val="none"/>
                      <w:u w:val="single"/>
                    </w:rPr>
                  </w:pPr>
                  <w:r>
                    <w:rPr>
                      <w:color w:val="000000"/>
                      <w:kern w:val="0"/>
                      <w:szCs w:val="21"/>
                      <w:highlight w:val="none"/>
                      <w:u w:val="single"/>
                      <w:lang w:bidi="ar"/>
                    </w:rPr>
                    <w:t>合计</w:t>
                  </w:r>
                </w:p>
              </w:tc>
              <w:tc>
                <w:tcPr>
                  <w:tcW w:w="1761" w:type="dxa"/>
                  <w:tcBorders>
                    <w:tl2br w:val="nil"/>
                    <w:tr2bl w:val="nil"/>
                  </w:tcBorders>
                  <w:shd w:val="clear" w:color="auto" w:fill="auto"/>
                  <w:noWrap/>
                  <w:vAlign w:val="center"/>
                </w:tcPr>
                <w:p w14:paraId="517F2EC8">
                  <w:pPr>
                    <w:widowControl/>
                    <w:jc w:val="center"/>
                    <w:textAlignment w:val="center"/>
                    <w:rPr>
                      <w:color w:val="000000"/>
                      <w:szCs w:val="21"/>
                      <w:highlight w:val="none"/>
                      <w:u w:val="single"/>
                    </w:rPr>
                  </w:pPr>
                  <w:r>
                    <w:rPr>
                      <w:color w:val="000000"/>
                      <w:kern w:val="0"/>
                      <w:szCs w:val="21"/>
                      <w:highlight w:val="none"/>
                      <w:u w:val="single"/>
                      <w:lang w:bidi="ar"/>
                    </w:rPr>
                    <w:t>6320</w:t>
                  </w:r>
                </w:p>
              </w:tc>
              <w:tc>
                <w:tcPr>
                  <w:tcW w:w="2959" w:type="dxa"/>
                  <w:tcBorders>
                    <w:tl2br w:val="nil"/>
                    <w:tr2bl w:val="nil"/>
                  </w:tcBorders>
                  <w:shd w:val="clear" w:color="auto" w:fill="auto"/>
                  <w:noWrap/>
                  <w:vAlign w:val="center"/>
                </w:tcPr>
                <w:p w14:paraId="0371D510">
                  <w:pPr>
                    <w:widowControl/>
                    <w:jc w:val="center"/>
                    <w:textAlignment w:val="center"/>
                    <w:rPr>
                      <w:color w:val="000000"/>
                      <w:szCs w:val="21"/>
                      <w:highlight w:val="none"/>
                      <w:u w:val="single"/>
                    </w:rPr>
                  </w:pPr>
                  <w:r>
                    <w:rPr>
                      <w:color w:val="000000"/>
                      <w:kern w:val="0"/>
                      <w:szCs w:val="21"/>
                      <w:highlight w:val="none"/>
                      <w:u w:val="single"/>
                      <w:lang w:bidi="ar"/>
                    </w:rPr>
                    <w:t>合计</w:t>
                  </w:r>
                </w:p>
              </w:tc>
              <w:tc>
                <w:tcPr>
                  <w:tcW w:w="1417" w:type="dxa"/>
                  <w:tcBorders>
                    <w:tl2br w:val="nil"/>
                    <w:tr2bl w:val="nil"/>
                  </w:tcBorders>
                  <w:shd w:val="clear" w:color="auto" w:fill="auto"/>
                  <w:noWrap/>
                  <w:vAlign w:val="center"/>
                </w:tcPr>
                <w:p w14:paraId="1FC10C96">
                  <w:pPr>
                    <w:widowControl/>
                    <w:jc w:val="center"/>
                    <w:textAlignment w:val="center"/>
                    <w:rPr>
                      <w:color w:val="000000"/>
                      <w:szCs w:val="21"/>
                      <w:highlight w:val="none"/>
                      <w:u w:val="single"/>
                    </w:rPr>
                  </w:pPr>
                  <w:r>
                    <w:rPr>
                      <w:color w:val="000000"/>
                      <w:kern w:val="0"/>
                      <w:szCs w:val="21"/>
                      <w:highlight w:val="none"/>
                      <w:u w:val="single"/>
                      <w:lang w:bidi="ar"/>
                    </w:rPr>
                    <w:t>6320</w:t>
                  </w:r>
                </w:p>
              </w:tc>
            </w:tr>
          </w:tbl>
          <w:p w14:paraId="6F9DFC88"/>
        </w:tc>
      </w:tr>
      <w:tr w14:paraId="28C2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trPr>
        <w:tc>
          <w:tcPr>
            <w:tcW w:w="597" w:type="dxa"/>
            <w:vAlign w:val="center"/>
          </w:tcPr>
          <w:p w14:paraId="55183ED9">
            <w:pPr>
              <w:widowControl/>
              <w:jc w:val="center"/>
              <w:rPr>
                <w:rFonts w:hint="default" w:ascii="Times New Roman" w:hAnsi="Times New Roman" w:eastAsia="宋体" w:cs="Times New Roman"/>
                <w:color w:val="000000"/>
                <w:kern w:val="2"/>
                <w:sz w:val="24"/>
                <w:szCs w:val="24"/>
                <w:lang w:val="en-US" w:eastAsia="zh-CN" w:bidi="ar-SA"/>
              </w:rPr>
            </w:pPr>
            <w:r>
              <w:rPr>
                <w:rFonts w:hint="eastAsia"/>
                <w:color w:val="auto"/>
                <w:kern w:val="21"/>
                <w:sz w:val="24"/>
                <w:highlight w:val="none"/>
                <w:u w:val="none"/>
              </w:rPr>
              <w:t>与项目有关的原有环境污染问题</w:t>
            </w:r>
          </w:p>
        </w:tc>
        <w:tc>
          <w:tcPr>
            <w:tcW w:w="7925" w:type="dxa"/>
          </w:tcPr>
          <w:p w14:paraId="61503C1F">
            <w:pPr>
              <w:numPr>
                <w:ilvl w:val="0"/>
                <w:numId w:val="0"/>
              </w:numPr>
              <w:autoSpaceDE w:val="0"/>
              <w:autoSpaceDN w:val="0"/>
              <w:adjustRightInd w:val="0"/>
              <w:spacing w:line="360" w:lineRule="auto"/>
              <w:ind w:firstLine="482" w:firstLineChars="200"/>
              <w:rPr>
                <w:rFonts w:hint="eastAsia" w:ascii="Times New Roman" w:hAnsi="Times New Roman" w:eastAsia="宋体" w:cs="Times New Roman"/>
                <w:b/>
                <w:bCs/>
                <w:color w:val="auto"/>
                <w:kern w:val="2"/>
                <w:sz w:val="24"/>
                <w:szCs w:val="22"/>
                <w:u w:val="single"/>
                <w:lang w:val="en-US" w:eastAsia="zh-CN" w:bidi="ar-SA"/>
              </w:rPr>
            </w:pPr>
            <w:r>
              <w:rPr>
                <w:rFonts w:hint="eastAsia" w:ascii="Times New Roman" w:hAnsi="Times New Roman" w:eastAsia="宋体" w:cs="Times New Roman"/>
                <w:b/>
                <w:bCs/>
                <w:color w:val="auto"/>
                <w:kern w:val="2"/>
                <w:sz w:val="24"/>
                <w:szCs w:val="22"/>
                <w:u w:val="single"/>
                <w:lang w:val="en-US" w:eastAsia="zh-CN" w:bidi="ar-SA"/>
              </w:rPr>
              <w:t>项目现状及需要整改的问题</w:t>
            </w:r>
            <w:r>
              <w:rPr>
                <w:rFonts w:hint="eastAsia" w:cs="Times New Roman"/>
                <w:b/>
                <w:bCs/>
                <w:color w:val="auto"/>
                <w:kern w:val="2"/>
                <w:sz w:val="24"/>
                <w:szCs w:val="22"/>
                <w:u w:val="single"/>
                <w:lang w:val="en-US" w:eastAsia="zh-CN" w:bidi="ar-SA"/>
              </w:rPr>
              <w:t>：</w:t>
            </w:r>
          </w:p>
          <w:p w14:paraId="5567AB66">
            <w:pPr>
              <w:numPr>
                <w:ilvl w:val="0"/>
                <w:numId w:val="0"/>
              </w:numPr>
              <w:autoSpaceDE w:val="0"/>
              <w:autoSpaceDN w:val="0"/>
              <w:adjustRightInd w:val="0"/>
              <w:spacing w:line="360" w:lineRule="auto"/>
              <w:ind w:firstLine="480" w:firstLineChars="200"/>
              <w:rPr>
                <w:rFonts w:hint="eastAsia" w:ascii="Times New Roman" w:hAnsi="Times New Roman" w:eastAsia="宋体" w:cs="Times New Roman"/>
                <w:color w:val="auto"/>
                <w:kern w:val="2"/>
                <w:sz w:val="24"/>
                <w:szCs w:val="22"/>
                <w:u w:val="single"/>
                <w:lang w:val="en-US" w:eastAsia="zh-CN" w:bidi="ar-SA"/>
              </w:rPr>
            </w:pPr>
            <w:r>
              <w:rPr>
                <w:rFonts w:hint="eastAsia" w:ascii="Times New Roman" w:hAnsi="Times New Roman" w:eastAsia="宋体" w:cs="Times New Roman"/>
                <w:color w:val="auto"/>
                <w:kern w:val="2"/>
                <w:sz w:val="24"/>
                <w:szCs w:val="22"/>
                <w:u w:val="single"/>
                <w:lang w:val="en-US" w:eastAsia="zh-CN" w:bidi="ar-SA"/>
              </w:rPr>
              <w:t>一、项目现状情况及存在的主要问题</w:t>
            </w:r>
          </w:p>
          <w:p w14:paraId="26364F49">
            <w:pPr>
              <w:numPr>
                <w:ilvl w:val="0"/>
                <w:numId w:val="0"/>
              </w:numPr>
              <w:autoSpaceDE w:val="0"/>
              <w:autoSpaceDN w:val="0"/>
              <w:adjustRightInd w:val="0"/>
              <w:spacing w:line="360" w:lineRule="auto"/>
              <w:ind w:firstLine="480" w:firstLineChars="200"/>
              <w:rPr>
                <w:rFonts w:hint="eastAsia" w:ascii="Times New Roman" w:hAnsi="Times New Roman" w:eastAsia="宋体" w:cs="Times New Roman"/>
                <w:color w:val="auto"/>
                <w:kern w:val="2"/>
                <w:sz w:val="24"/>
                <w:szCs w:val="22"/>
                <w:u w:val="single"/>
                <w:lang w:val="en-US" w:eastAsia="zh-CN" w:bidi="ar-SA"/>
              </w:rPr>
            </w:pPr>
            <w:r>
              <w:rPr>
                <w:rFonts w:hint="eastAsia" w:ascii="Times New Roman" w:hAnsi="Times New Roman" w:eastAsia="宋体" w:cs="Times New Roman"/>
                <w:color w:val="auto"/>
                <w:kern w:val="2"/>
                <w:sz w:val="24"/>
                <w:szCs w:val="22"/>
                <w:u w:val="single"/>
                <w:lang w:val="en-US" w:eastAsia="zh-CN" w:bidi="ar-SA"/>
              </w:rPr>
              <w:t>本</w:t>
            </w:r>
            <w:r>
              <w:rPr>
                <w:rFonts w:hint="eastAsia" w:ascii="Times New Roman" w:hAnsi="Times New Roman" w:eastAsia="宋体" w:cs="Times New Roman"/>
                <w:color w:val="auto"/>
                <w:sz w:val="24"/>
                <w:highlight w:val="none"/>
                <w:u w:val="single"/>
                <w:lang w:val="en-US" w:eastAsia="zh-CN"/>
              </w:rPr>
              <w:t>项目已完成厂房建设（办公生活楼目前未建），已安装部分生产设备</w:t>
            </w:r>
            <w:r>
              <w:rPr>
                <w:rFonts w:hint="eastAsia" w:cs="Times New Roman"/>
                <w:color w:val="auto"/>
                <w:sz w:val="24"/>
                <w:highlight w:val="none"/>
                <w:u w:val="single"/>
                <w:lang w:val="en-US" w:eastAsia="zh-CN"/>
              </w:rPr>
              <w:t>，</w:t>
            </w:r>
            <w:r>
              <w:rPr>
                <w:rFonts w:hint="eastAsia" w:ascii="Times New Roman" w:hAnsi="Times New Roman" w:eastAsia="宋体" w:cs="Times New Roman"/>
                <w:color w:val="auto"/>
                <w:kern w:val="2"/>
                <w:sz w:val="24"/>
                <w:szCs w:val="22"/>
                <w:u w:val="single"/>
                <w:lang w:val="en-US" w:eastAsia="zh-CN" w:bidi="ar-SA"/>
              </w:rPr>
              <w:t>建设地点位于</w:t>
            </w:r>
            <w:r>
              <w:rPr>
                <w:color w:val="000000" w:themeColor="text1"/>
                <w:sz w:val="24"/>
                <w:szCs w:val="24"/>
                <w:u w:val="single"/>
                <w14:textFill>
                  <w14:solidFill>
                    <w14:schemeClr w14:val="tx1"/>
                  </w14:solidFill>
                </w14:textFill>
              </w:rPr>
              <w:t>洪江市高新区双溪产业片区四维集团</w:t>
            </w:r>
            <w:r>
              <w:rPr>
                <w:rFonts w:hint="eastAsia"/>
                <w:color w:val="000000" w:themeColor="text1"/>
                <w:sz w:val="24"/>
                <w:szCs w:val="24"/>
                <w:u w:val="single"/>
                <w:lang w:val="en-US" w:eastAsia="zh-CN"/>
                <w14:textFill>
                  <w14:solidFill>
                    <w14:schemeClr w14:val="tx1"/>
                  </w14:solidFill>
                </w14:textFill>
              </w:rPr>
              <w:t>西侧133米处</w:t>
            </w:r>
            <w:r>
              <w:rPr>
                <w:rFonts w:hint="eastAsia" w:ascii="Times New Roman" w:hAnsi="Times New Roman" w:eastAsia="宋体" w:cs="Times New Roman"/>
                <w:color w:val="auto"/>
                <w:kern w:val="2"/>
                <w:sz w:val="24"/>
                <w:szCs w:val="22"/>
                <w:u w:val="single"/>
                <w:lang w:val="en-US" w:eastAsia="zh-CN" w:bidi="ar-SA"/>
              </w:rPr>
              <w:t>，厂区现状情况及存在的主要问题如下</w:t>
            </w:r>
            <w:r>
              <w:rPr>
                <w:rFonts w:hint="eastAsia" w:cs="Times New Roman"/>
                <w:color w:val="auto"/>
                <w:kern w:val="2"/>
                <w:sz w:val="24"/>
                <w:szCs w:val="22"/>
                <w:u w:val="single"/>
                <w:lang w:val="en-US" w:eastAsia="zh-CN" w:bidi="ar-SA"/>
              </w:rPr>
              <w:t>：</w:t>
            </w:r>
          </w:p>
          <w:p w14:paraId="5746699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u w:val="single"/>
              </w:rPr>
            </w:pPr>
            <w:r>
              <w:rPr>
                <w:rFonts w:hint="eastAsia" w:cs="Times New Roman"/>
                <w:color w:val="auto"/>
                <w:kern w:val="2"/>
                <w:sz w:val="24"/>
                <w:szCs w:val="22"/>
                <w:u w:val="single"/>
                <w:lang w:val="en-US" w:eastAsia="zh-CN" w:bidi="ar-SA"/>
              </w:rPr>
              <w:t>1</w:t>
            </w:r>
            <w:r>
              <w:rPr>
                <w:rFonts w:hint="eastAsia" w:ascii="Times New Roman" w:hAnsi="Times New Roman" w:eastAsia="宋体" w:cs="Times New Roman"/>
                <w:color w:val="auto"/>
                <w:kern w:val="2"/>
                <w:sz w:val="24"/>
                <w:szCs w:val="22"/>
                <w:u w:val="single"/>
                <w:lang w:val="en-US" w:eastAsia="zh-CN" w:bidi="ar-SA"/>
              </w:rPr>
              <w:t>、项目设生产线1条，目前采用的工艺流程为</w:t>
            </w:r>
            <w:r>
              <w:rPr>
                <w:rFonts w:hint="eastAsia" w:cs="Times New Roman"/>
                <w:color w:val="auto"/>
                <w:kern w:val="2"/>
                <w:sz w:val="24"/>
                <w:szCs w:val="22"/>
                <w:u w:val="single"/>
                <w:lang w:val="en-US" w:eastAsia="zh-CN" w:bidi="ar-SA"/>
              </w:rPr>
              <w:t>：石英</w:t>
            </w:r>
            <w:r>
              <w:rPr>
                <w:rFonts w:hint="eastAsia" w:ascii="Times New Roman" w:hAnsi="Times New Roman" w:eastAsia="宋体" w:cs="Times New Roman"/>
                <w:color w:val="auto"/>
                <w:kern w:val="2"/>
                <w:sz w:val="24"/>
                <w:szCs w:val="22"/>
                <w:u w:val="single"/>
                <w:lang w:val="en-US" w:eastAsia="zh-CN" w:bidi="ar-SA"/>
              </w:rPr>
              <w:t>砂、煤粉水→混砂→造型一砂模/覆膜砂→芯盒一制芯一砂芯→下芯合箱一熔炼</w:t>
            </w:r>
            <w:r>
              <w:rPr>
                <w:rFonts w:hint="eastAsia" w:cs="Times New Roman"/>
                <w:color w:val="auto"/>
                <w:kern w:val="2"/>
                <w:sz w:val="24"/>
                <w:szCs w:val="22"/>
                <w:u w:val="single"/>
                <w:lang w:val="en-US" w:eastAsia="zh-CN" w:bidi="ar-SA"/>
              </w:rPr>
              <w:t>（</w:t>
            </w:r>
            <w:r>
              <w:rPr>
                <w:rFonts w:hint="eastAsia" w:ascii="Times New Roman" w:hAnsi="Times New Roman" w:eastAsia="宋体" w:cs="Times New Roman"/>
                <w:color w:val="auto"/>
                <w:kern w:val="2"/>
                <w:sz w:val="24"/>
                <w:szCs w:val="22"/>
                <w:u w:val="single"/>
                <w:lang w:val="en-US" w:eastAsia="zh-CN" w:bidi="ar-SA"/>
              </w:rPr>
              <w:t>废钢、</w:t>
            </w:r>
            <w:r>
              <w:rPr>
                <w:rFonts w:hint="eastAsia" w:cs="Times New Roman"/>
                <w:color w:val="auto"/>
                <w:kern w:val="2"/>
                <w:sz w:val="24"/>
                <w:szCs w:val="22"/>
                <w:u w:val="single"/>
                <w:lang w:val="en-US" w:eastAsia="zh-CN" w:bidi="ar-SA"/>
              </w:rPr>
              <w:t>生铁）</w:t>
            </w:r>
            <w:r>
              <w:rPr>
                <w:rFonts w:hint="eastAsia" w:ascii="Times New Roman" w:hAnsi="Times New Roman" w:eastAsia="宋体" w:cs="Times New Roman"/>
                <w:color w:val="auto"/>
                <w:kern w:val="2"/>
                <w:sz w:val="24"/>
                <w:szCs w:val="22"/>
                <w:u w:val="single"/>
                <w:lang w:val="en-US" w:eastAsia="zh-CN" w:bidi="ar-SA"/>
              </w:rPr>
              <w:t>→</w:t>
            </w:r>
            <w:r>
              <w:rPr>
                <w:rFonts w:hint="eastAsia" w:cs="Times New Roman"/>
                <w:color w:val="auto"/>
                <w:kern w:val="2"/>
                <w:sz w:val="24"/>
                <w:szCs w:val="22"/>
                <w:u w:val="single"/>
                <w:lang w:val="en-US" w:eastAsia="zh-CN" w:bidi="ar-SA"/>
              </w:rPr>
              <w:t>浇注</w:t>
            </w:r>
            <w:r>
              <w:rPr>
                <w:rFonts w:hint="eastAsia" w:ascii="Times New Roman" w:hAnsi="Times New Roman" w:eastAsia="宋体" w:cs="Times New Roman"/>
                <w:color w:val="auto"/>
                <w:kern w:val="2"/>
                <w:sz w:val="24"/>
                <w:szCs w:val="22"/>
                <w:u w:val="single"/>
                <w:lang w:val="en-US" w:eastAsia="zh-CN" w:bidi="ar-SA"/>
              </w:rPr>
              <w:t>一人工落砂一浇冒口→抛丸→检验，现有生产设备主要有</w:t>
            </w:r>
            <w:r>
              <w:rPr>
                <w:rFonts w:hint="eastAsia" w:cs="Times New Roman"/>
                <w:color w:val="auto"/>
                <w:kern w:val="2"/>
                <w:sz w:val="24"/>
                <w:szCs w:val="22"/>
                <w:u w:val="single"/>
                <w:lang w:val="en-US" w:eastAsia="zh-CN" w:bidi="ar-SA"/>
              </w:rPr>
              <w:t>：</w:t>
            </w:r>
            <w:r>
              <w:rPr>
                <w:rFonts w:hint="eastAsia" w:ascii="Times New Roman" w:hAnsi="Times New Roman" w:eastAsia="宋体" w:cs="Times New Roman"/>
                <w:color w:val="auto"/>
                <w:kern w:val="2"/>
                <w:sz w:val="24"/>
                <w:szCs w:val="22"/>
                <w:u w:val="single"/>
                <w:lang w:val="en-US" w:eastAsia="zh-CN" w:bidi="ar-SA"/>
              </w:rPr>
              <w:t>混砂机1台、射芯机2台、中频电炉</w:t>
            </w:r>
            <w:r>
              <w:rPr>
                <w:rFonts w:hint="eastAsia" w:cs="Times New Roman"/>
                <w:color w:val="auto"/>
                <w:kern w:val="2"/>
                <w:sz w:val="24"/>
                <w:szCs w:val="22"/>
                <w:u w:val="single"/>
                <w:lang w:val="en-US" w:eastAsia="zh-CN" w:bidi="ar-SA"/>
              </w:rPr>
              <w:t>2</w:t>
            </w:r>
            <w:r>
              <w:rPr>
                <w:rFonts w:hint="eastAsia" w:ascii="Times New Roman" w:hAnsi="Times New Roman" w:eastAsia="宋体" w:cs="Times New Roman"/>
                <w:color w:val="auto"/>
                <w:kern w:val="2"/>
                <w:sz w:val="24"/>
                <w:szCs w:val="22"/>
                <w:u w:val="single"/>
                <w:lang w:val="en-US" w:eastAsia="zh-CN" w:bidi="ar-SA"/>
              </w:rPr>
              <w:t>台、抛丸机</w:t>
            </w:r>
            <w:r>
              <w:rPr>
                <w:rFonts w:hint="eastAsia" w:cs="Times New Roman"/>
                <w:color w:val="auto"/>
                <w:kern w:val="2"/>
                <w:sz w:val="24"/>
                <w:szCs w:val="22"/>
                <w:u w:val="single"/>
                <w:lang w:val="en-US" w:eastAsia="zh-CN" w:bidi="ar-SA"/>
              </w:rPr>
              <w:t>1</w:t>
            </w:r>
            <w:r>
              <w:rPr>
                <w:rFonts w:hint="eastAsia" w:ascii="Times New Roman" w:hAnsi="Times New Roman" w:eastAsia="宋体" w:cs="Times New Roman"/>
                <w:color w:val="auto"/>
                <w:kern w:val="2"/>
                <w:sz w:val="24"/>
                <w:szCs w:val="22"/>
                <w:u w:val="single"/>
                <w:lang w:val="en-US" w:eastAsia="zh-CN" w:bidi="ar-SA"/>
              </w:rPr>
              <w:t>台等，配备环保措施主要有</w:t>
            </w:r>
            <w:r>
              <w:rPr>
                <w:rFonts w:hint="eastAsia" w:cs="Times New Roman"/>
                <w:color w:val="auto"/>
                <w:kern w:val="2"/>
                <w:sz w:val="24"/>
                <w:szCs w:val="22"/>
                <w:u w:val="single"/>
                <w:lang w:val="en-US" w:eastAsia="zh-CN" w:bidi="ar-SA"/>
              </w:rPr>
              <w:t>：</w:t>
            </w:r>
            <w:r>
              <w:rPr>
                <w:rFonts w:hint="eastAsia" w:ascii="Times New Roman" w:hAnsi="Times New Roman" w:eastAsia="宋体" w:cs="Times New Roman"/>
                <w:color w:val="auto"/>
                <w:kern w:val="2"/>
                <w:sz w:val="24"/>
                <w:szCs w:val="22"/>
                <w:u w:val="single"/>
                <w:lang w:val="en-US" w:eastAsia="zh-CN" w:bidi="ar-SA"/>
              </w:rPr>
              <w:t>电炉上方投料口处设置可移动式封盖，投料时封盖转开，投料完毕后转回炉顶，封盖顶设管道连接引风机将颗粒物收集后经脉冲布袋除尘器处理后通过排气筒</w:t>
            </w:r>
            <w:r>
              <w:rPr>
                <w:rFonts w:hint="eastAsia" w:cs="Times New Roman"/>
                <w:color w:val="auto"/>
                <w:kern w:val="2"/>
                <w:sz w:val="24"/>
                <w:szCs w:val="22"/>
                <w:u w:val="single"/>
                <w:lang w:val="en-US" w:eastAsia="zh-CN" w:bidi="ar-SA"/>
              </w:rPr>
              <w:t>（DA001）</w:t>
            </w:r>
            <w:r>
              <w:rPr>
                <w:rFonts w:hint="eastAsia" w:ascii="Times New Roman" w:hAnsi="Times New Roman" w:eastAsia="宋体" w:cs="Times New Roman"/>
                <w:color w:val="auto"/>
                <w:kern w:val="2"/>
                <w:sz w:val="24"/>
                <w:szCs w:val="22"/>
                <w:u w:val="single"/>
                <w:lang w:val="en-US" w:eastAsia="zh-CN" w:bidi="ar-SA"/>
              </w:rPr>
              <w:t>排放</w:t>
            </w:r>
            <w:r>
              <w:rPr>
                <w:rFonts w:hint="eastAsia" w:cs="Times New Roman"/>
                <w:color w:val="auto"/>
                <w:kern w:val="2"/>
                <w:sz w:val="24"/>
                <w:szCs w:val="22"/>
                <w:u w:val="single"/>
                <w:lang w:val="en-US" w:eastAsia="zh-CN" w:bidi="ar-SA"/>
              </w:rPr>
              <w:t>，排气筒未达到15</w:t>
            </w:r>
            <w:r>
              <w:rPr>
                <w:rFonts w:hint="eastAsia" w:ascii="Times New Roman" w:hAnsi="Times New Roman" w:eastAsia="宋体" w:cs="Times New Roman"/>
                <w:color w:val="auto"/>
                <w:kern w:val="2"/>
                <w:sz w:val="24"/>
                <w:szCs w:val="22"/>
                <w:u w:val="single"/>
                <w:lang w:val="en-US" w:eastAsia="zh-CN" w:bidi="ar-SA"/>
              </w:rPr>
              <w:t>m</w:t>
            </w:r>
            <w:r>
              <w:rPr>
                <w:rFonts w:hint="eastAsia" w:cs="Times New Roman"/>
                <w:color w:val="auto"/>
                <w:kern w:val="2"/>
                <w:sz w:val="24"/>
                <w:szCs w:val="22"/>
                <w:u w:val="single"/>
                <w:lang w:val="en-US" w:eastAsia="zh-CN" w:bidi="ar-SA"/>
              </w:rPr>
              <w:t>；</w:t>
            </w:r>
            <w:r>
              <w:rPr>
                <w:rFonts w:hint="eastAsia" w:ascii="Times New Roman" w:hAnsi="Times New Roman" w:eastAsia="宋体" w:cs="Times New Roman"/>
                <w:color w:val="auto"/>
                <w:kern w:val="2"/>
                <w:sz w:val="24"/>
                <w:szCs w:val="22"/>
                <w:u w:val="single"/>
                <w:lang w:val="en-US" w:eastAsia="zh-CN" w:bidi="ar-SA"/>
              </w:rPr>
              <w:t>混砂机密闭运行且均配有集气管道对颗粒物进行收集经脉冲布袋除尘器处理后通过15m高排气筒</w:t>
            </w:r>
            <w:r>
              <w:rPr>
                <w:rFonts w:hint="eastAsia" w:cs="Times New Roman"/>
                <w:color w:val="auto"/>
                <w:kern w:val="2"/>
                <w:sz w:val="24"/>
                <w:szCs w:val="22"/>
                <w:u w:val="single"/>
                <w:lang w:val="en-US" w:eastAsia="zh-CN" w:bidi="ar-SA"/>
              </w:rPr>
              <w:t>（DA002）</w:t>
            </w:r>
            <w:r>
              <w:rPr>
                <w:rFonts w:hint="eastAsia" w:ascii="Times New Roman" w:hAnsi="Times New Roman" w:eastAsia="宋体" w:cs="Times New Roman"/>
                <w:color w:val="auto"/>
                <w:kern w:val="2"/>
                <w:sz w:val="24"/>
                <w:szCs w:val="22"/>
                <w:u w:val="single"/>
                <w:lang w:val="en-US" w:eastAsia="zh-CN" w:bidi="ar-SA"/>
              </w:rPr>
              <w:t>排放</w:t>
            </w:r>
            <w:r>
              <w:rPr>
                <w:rFonts w:hint="eastAsia" w:cs="Times New Roman"/>
                <w:color w:val="auto"/>
                <w:kern w:val="2"/>
                <w:sz w:val="24"/>
                <w:szCs w:val="22"/>
                <w:u w:val="single"/>
                <w:lang w:val="en-US" w:eastAsia="zh-CN" w:bidi="ar-SA"/>
              </w:rPr>
              <w:t>；</w:t>
            </w:r>
            <w:r>
              <w:rPr>
                <w:rFonts w:hint="eastAsia" w:ascii="Times New Roman" w:hAnsi="Times New Roman" w:eastAsia="宋体" w:cs="Times New Roman"/>
                <w:color w:val="auto"/>
                <w:kern w:val="2"/>
                <w:sz w:val="24"/>
                <w:szCs w:val="22"/>
                <w:u w:val="single"/>
                <w:lang w:val="en-US" w:eastAsia="zh-CN" w:bidi="ar-SA"/>
              </w:rPr>
              <w:t>落砂设集气罩</w:t>
            </w:r>
            <w:r>
              <w:rPr>
                <w:rFonts w:hint="eastAsia" w:cs="Times New Roman"/>
                <w:color w:val="auto"/>
                <w:kern w:val="2"/>
                <w:sz w:val="24"/>
                <w:szCs w:val="22"/>
                <w:u w:val="single"/>
                <w:lang w:val="en-US" w:eastAsia="zh-CN" w:bidi="ar-SA"/>
              </w:rPr>
              <w:t>收集后</w:t>
            </w:r>
            <w:r>
              <w:rPr>
                <w:rFonts w:hint="eastAsia" w:ascii="Times New Roman" w:hAnsi="Times New Roman" w:eastAsia="宋体" w:cs="Times New Roman"/>
                <w:color w:val="auto"/>
                <w:kern w:val="2"/>
                <w:sz w:val="24"/>
                <w:szCs w:val="22"/>
                <w:u w:val="single"/>
                <w:lang w:val="en-US" w:eastAsia="zh-CN" w:bidi="ar-SA"/>
              </w:rPr>
              <w:t>经布袋除尘器处理后无组织排放</w:t>
            </w:r>
            <w:r>
              <w:rPr>
                <w:rFonts w:hint="eastAsia" w:cs="Times New Roman"/>
                <w:color w:val="auto"/>
                <w:kern w:val="2"/>
                <w:sz w:val="24"/>
                <w:szCs w:val="22"/>
                <w:u w:val="single"/>
                <w:lang w:val="en-US" w:eastAsia="zh-CN" w:bidi="ar-SA"/>
              </w:rPr>
              <w:t>；</w:t>
            </w:r>
            <w:r>
              <w:rPr>
                <w:rFonts w:hint="eastAsia" w:ascii="Times New Roman" w:hAnsi="Times New Roman" w:eastAsia="宋体" w:cs="Times New Roman"/>
                <w:color w:val="auto"/>
                <w:kern w:val="2"/>
                <w:sz w:val="24"/>
                <w:szCs w:val="22"/>
                <w:u w:val="single"/>
                <w:lang w:val="en-US" w:eastAsia="zh-CN" w:bidi="ar-SA"/>
              </w:rPr>
              <w:t>抛丸机自带1台除尘器，处理后无组织排放</w:t>
            </w:r>
            <w:r>
              <w:rPr>
                <w:rFonts w:hint="eastAsia" w:cs="Times New Roman"/>
                <w:color w:val="auto"/>
                <w:kern w:val="2"/>
                <w:sz w:val="24"/>
                <w:szCs w:val="22"/>
                <w:u w:val="single"/>
                <w:lang w:val="en-US" w:eastAsia="zh-CN" w:bidi="ar-SA"/>
              </w:rPr>
              <w:t>；</w:t>
            </w:r>
            <w:r>
              <w:rPr>
                <w:rFonts w:hint="eastAsia" w:ascii="Times New Roman" w:hAnsi="Times New Roman" w:eastAsia="宋体" w:cs="Times New Roman"/>
                <w:color w:val="auto"/>
                <w:kern w:val="2"/>
                <w:sz w:val="24"/>
                <w:szCs w:val="22"/>
                <w:u w:val="single"/>
                <w:lang w:val="en-US" w:eastAsia="zh-CN" w:bidi="ar-SA"/>
              </w:rPr>
              <w:t>浇铸、造型、制芯工序无相应配套环保措施</w:t>
            </w:r>
            <w:r>
              <w:rPr>
                <w:rFonts w:hint="eastAsia" w:cs="Times New Roman"/>
                <w:color w:val="auto"/>
                <w:kern w:val="2"/>
                <w:sz w:val="24"/>
                <w:szCs w:val="22"/>
                <w:u w:val="single"/>
                <w:lang w:val="en-US" w:eastAsia="zh-CN" w:bidi="ar-SA"/>
              </w:rPr>
              <w:t>。</w:t>
            </w:r>
          </w:p>
          <w:p w14:paraId="5EA1D14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cs="Times New Roman"/>
                <w:color w:val="auto"/>
                <w:kern w:val="2"/>
                <w:sz w:val="24"/>
                <w:szCs w:val="22"/>
                <w:u w:val="single"/>
                <w:lang w:val="en-US" w:eastAsia="zh-CN" w:bidi="ar-SA"/>
              </w:rPr>
            </w:pPr>
            <w:r>
              <w:rPr>
                <w:rFonts w:hint="eastAsia" w:cs="Times New Roman"/>
                <w:color w:val="auto"/>
                <w:kern w:val="2"/>
                <w:sz w:val="24"/>
                <w:szCs w:val="22"/>
                <w:u w:val="single"/>
                <w:lang w:val="en-US" w:eastAsia="zh-CN" w:bidi="ar-SA"/>
              </w:rPr>
              <w:t>2、项目未设置一般固废暂存间及危险废物暂存间。</w:t>
            </w:r>
          </w:p>
          <w:p w14:paraId="4E203E2D">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cs="Times New Roman"/>
                <w:b/>
                <w:bCs/>
                <w:color w:val="auto"/>
                <w:kern w:val="2"/>
                <w:sz w:val="24"/>
                <w:szCs w:val="22"/>
                <w:u w:val="single"/>
                <w:lang w:val="en-US" w:eastAsia="zh-CN" w:bidi="ar-SA"/>
              </w:rPr>
            </w:pPr>
            <w:r>
              <w:rPr>
                <w:rFonts w:hint="eastAsia" w:cs="Times New Roman"/>
                <w:b/>
                <w:bCs/>
                <w:color w:val="auto"/>
                <w:kern w:val="2"/>
                <w:sz w:val="24"/>
                <w:szCs w:val="22"/>
                <w:u w:val="single"/>
                <w:lang w:val="en-US" w:eastAsia="zh-CN" w:bidi="ar-SA"/>
              </w:rPr>
              <w:t>二、针对现状存在的环境问题相应整改措施</w:t>
            </w:r>
          </w:p>
          <w:p w14:paraId="5485AE3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cs="Times New Roman"/>
                <w:color w:val="auto"/>
                <w:kern w:val="2"/>
                <w:sz w:val="24"/>
                <w:szCs w:val="22"/>
                <w:u w:val="single"/>
                <w:lang w:val="en-US" w:eastAsia="zh-CN" w:bidi="ar-SA"/>
              </w:rPr>
            </w:pPr>
            <w:r>
              <w:rPr>
                <w:rFonts w:hint="eastAsia" w:cs="Times New Roman"/>
                <w:color w:val="auto"/>
                <w:kern w:val="2"/>
                <w:sz w:val="24"/>
                <w:szCs w:val="22"/>
                <w:u w:val="single"/>
                <w:lang w:val="en-US" w:eastAsia="zh-CN" w:bidi="ar-SA"/>
              </w:rPr>
              <w:t>经现场探勘情况，项目存在的问题及相应整改措施如</w:t>
            </w:r>
          </w:p>
          <w:p w14:paraId="1CCCDFC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cs="Times New Roman"/>
                <w:color w:val="auto"/>
                <w:kern w:val="2"/>
                <w:sz w:val="24"/>
                <w:szCs w:val="22"/>
                <w:u w:val="single"/>
                <w:lang w:val="en-US" w:eastAsia="zh-CN" w:bidi="ar-SA"/>
              </w:rPr>
            </w:pPr>
            <w:r>
              <w:rPr>
                <w:rFonts w:hint="eastAsia" w:cs="Times New Roman"/>
                <w:color w:val="auto"/>
                <w:kern w:val="2"/>
                <w:sz w:val="24"/>
                <w:szCs w:val="22"/>
                <w:u w:val="single"/>
                <w:lang w:val="en-US" w:eastAsia="zh-CN" w:bidi="ar-SA"/>
              </w:rPr>
              <w:t>1、项目生产设备安装就位后需配合各产污工序安装相应环保措施，环保措施如下：</w:t>
            </w:r>
          </w:p>
          <w:p w14:paraId="2DFA20DF">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cs="Times New Roman"/>
                <w:color w:val="auto"/>
                <w:kern w:val="2"/>
                <w:sz w:val="24"/>
                <w:szCs w:val="22"/>
                <w:u w:val="single"/>
                <w:lang w:val="en-US" w:eastAsia="zh-CN" w:bidi="ar-SA"/>
              </w:rPr>
            </w:pPr>
            <w:r>
              <w:rPr>
                <w:rFonts w:hint="eastAsia" w:cs="Times New Roman"/>
                <w:color w:val="auto"/>
                <w:kern w:val="2"/>
                <w:sz w:val="24"/>
                <w:szCs w:val="22"/>
                <w:u w:val="single"/>
                <w:lang w:val="en-US" w:eastAsia="zh-CN" w:bidi="ar-SA"/>
              </w:rPr>
              <w:t>①排气筒（DA001）延长至15m；</w:t>
            </w:r>
          </w:p>
          <w:p w14:paraId="3BCDACB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cs="Times New Roman"/>
                <w:color w:val="auto"/>
                <w:kern w:val="2"/>
                <w:sz w:val="24"/>
                <w:szCs w:val="22"/>
                <w:u w:val="single"/>
                <w:lang w:val="en-US" w:eastAsia="zh-CN" w:bidi="ar-SA"/>
              </w:rPr>
            </w:pPr>
            <w:r>
              <w:rPr>
                <w:rFonts w:hint="eastAsia" w:ascii="宋体" w:hAnsi="宋体" w:eastAsia="宋体" w:cs="宋体"/>
                <w:color w:val="auto"/>
                <w:kern w:val="2"/>
                <w:sz w:val="24"/>
                <w:szCs w:val="22"/>
                <w:u w:val="single"/>
                <w:lang w:val="en-US" w:eastAsia="zh-CN" w:bidi="ar-SA"/>
              </w:rPr>
              <w:t>②</w:t>
            </w:r>
            <w:r>
              <w:rPr>
                <w:rFonts w:hint="eastAsia" w:cs="Times New Roman"/>
                <w:color w:val="auto"/>
                <w:kern w:val="2"/>
                <w:sz w:val="24"/>
                <w:szCs w:val="22"/>
                <w:u w:val="single"/>
                <w:lang w:val="en-US" w:eastAsia="zh-CN" w:bidi="ar-SA"/>
              </w:rPr>
              <w:t>浇注工序工位上方设集气罩对废气进行收集（集气效率&gt;90%），浇注废气首先引入脉冲布袋除尘器（TA001）对颗粒物处理，然后经1套活性炭箱（TA002）净化有机废气后通过15m排气筒（DA001）外排；</w:t>
            </w:r>
          </w:p>
          <w:p w14:paraId="1A385C4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cs="Times New Roman"/>
                <w:color w:val="auto"/>
                <w:kern w:val="2"/>
                <w:sz w:val="24"/>
                <w:szCs w:val="22"/>
                <w:u w:val="single"/>
                <w:lang w:val="en-US" w:eastAsia="zh-CN" w:bidi="ar-SA"/>
              </w:rPr>
            </w:pPr>
            <w:r>
              <w:rPr>
                <w:rFonts w:hint="eastAsia" w:ascii="宋体" w:hAnsi="宋体" w:eastAsia="宋体" w:cs="宋体"/>
                <w:color w:val="auto"/>
                <w:kern w:val="2"/>
                <w:sz w:val="24"/>
                <w:szCs w:val="22"/>
                <w:u w:val="single"/>
                <w:lang w:val="en-US" w:eastAsia="zh-CN" w:bidi="ar-SA"/>
              </w:rPr>
              <w:t>③</w:t>
            </w:r>
            <w:r>
              <w:rPr>
                <w:rFonts w:hint="eastAsia" w:cs="Times New Roman"/>
                <w:color w:val="auto"/>
                <w:kern w:val="2"/>
                <w:sz w:val="24"/>
                <w:szCs w:val="22"/>
                <w:u w:val="single"/>
                <w:lang w:val="en-US" w:eastAsia="zh-CN" w:bidi="ar-SA"/>
              </w:rPr>
              <w:t>每台射芯机上方均设置集气罩收集制砂芯废气（收集效率&gt;90%），制芯废气首先引入脉冲布袋除尘器（TA003）对颗粒物处理，然后经1套活性炭箱（TA005）净化有机废气后通过15m排气筒（DA002）外排；</w:t>
            </w:r>
          </w:p>
          <w:p w14:paraId="7FD5F53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cs="Times New Roman"/>
                <w:color w:val="auto"/>
                <w:kern w:val="2"/>
                <w:sz w:val="24"/>
                <w:szCs w:val="22"/>
                <w:u w:val="single"/>
                <w:lang w:val="en-US" w:eastAsia="zh-CN" w:bidi="ar-SA"/>
              </w:rPr>
            </w:pPr>
            <w:r>
              <w:rPr>
                <w:rFonts w:hint="eastAsia" w:ascii="宋体" w:hAnsi="宋体" w:eastAsia="宋体" w:cs="宋体"/>
                <w:color w:val="auto"/>
                <w:kern w:val="2"/>
                <w:sz w:val="24"/>
                <w:szCs w:val="22"/>
                <w:u w:val="single"/>
                <w:lang w:val="en-US" w:eastAsia="zh-CN" w:bidi="ar-SA"/>
              </w:rPr>
              <w:t>④</w:t>
            </w:r>
            <w:r>
              <w:rPr>
                <w:rFonts w:hint="eastAsia" w:cs="Times New Roman"/>
                <w:color w:val="auto"/>
                <w:kern w:val="2"/>
                <w:sz w:val="24"/>
                <w:szCs w:val="22"/>
                <w:u w:val="single"/>
                <w:lang w:val="en-US" w:eastAsia="zh-CN" w:bidi="ar-SA"/>
              </w:rPr>
              <w:t>造型机密闭通过管道与引风机相连（收集效率100%），造型废气首先引入脉冲布袋除尘器（TA003）对颗粒物处理，然后经1套活性炭箱（TA005）净化有机废气后通过15m排气筒（DA002）外排；</w:t>
            </w:r>
          </w:p>
          <w:p w14:paraId="6F18E0A0">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cs="Times New Roman"/>
                <w:color w:val="auto"/>
                <w:kern w:val="2"/>
                <w:sz w:val="24"/>
                <w:szCs w:val="22"/>
                <w:lang w:val="en-US" w:eastAsia="zh-CN" w:bidi="ar-SA"/>
              </w:rPr>
            </w:pPr>
            <w:r>
              <w:rPr>
                <w:rFonts w:hint="eastAsia" w:ascii="宋体" w:hAnsi="宋体" w:eastAsia="宋体" w:cs="宋体"/>
                <w:color w:val="auto"/>
                <w:kern w:val="2"/>
                <w:sz w:val="24"/>
                <w:szCs w:val="22"/>
                <w:u w:val="single"/>
                <w:lang w:val="en-US" w:eastAsia="zh-CN" w:bidi="ar-SA"/>
              </w:rPr>
              <w:t>⑤按照</w:t>
            </w:r>
            <w:r>
              <w:rPr>
                <w:color w:val="auto"/>
                <w:sz w:val="24"/>
                <w:highlight w:val="none"/>
                <w:u w:val="single"/>
              </w:rPr>
              <w:t>《一般工业固体废物贮存</w:t>
            </w:r>
            <w:r>
              <w:rPr>
                <w:rFonts w:hint="eastAsia"/>
                <w:color w:val="auto"/>
                <w:sz w:val="24"/>
                <w:highlight w:val="none"/>
                <w:u w:val="single"/>
              </w:rPr>
              <w:t>和填埋</w:t>
            </w:r>
            <w:r>
              <w:rPr>
                <w:color w:val="auto"/>
                <w:sz w:val="24"/>
                <w:highlight w:val="none"/>
                <w:u w:val="single"/>
              </w:rPr>
              <w:t>污染控制标准》（GB18599-20</w:t>
            </w:r>
            <w:r>
              <w:rPr>
                <w:rFonts w:hint="eastAsia"/>
                <w:color w:val="auto"/>
                <w:sz w:val="24"/>
                <w:highlight w:val="none"/>
                <w:u w:val="single"/>
              </w:rPr>
              <w:t>20</w:t>
            </w:r>
            <w:r>
              <w:rPr>
                <w:color w:val="auto"/>
                <w:sz w:val="24"/>
                <w:highlight w:val="none"/>
                <w:u w:val="single"/>
              </w:rPr>
              <w:t>）</w:t>
            </w:r>
            <w:r>
              <w:rPr>
                <w:rFonts w:hint="eastAsia"/>
                <w:color w:val="auto"/>
                <w:sz w:val="24"/>
                <w:highlight w:val="none"/>
                <w:u w:val="single"/>
                <w:lang w:val="en-US" w:eastAsia="zh-CN"/>
              </w:rPr>
              <w:t>和</w:t>
            </w:r>
            <w:r>
              <w:rPr>
                <w:rFonts w:hint="eastAsia"/>
                <w:color w:val="auto"/>
                <w:sz w:val="24"/>
                <w:highlight w:val="none"/>
                <w:u w:val="single"/>
              </w:rPr>
              <w:t>《危险废物贮存污染控制标准》（GB18597-2023）</w:t>
            </w:r>
            <w:r>
              <w:rPr>
                <w:rFonts w:hint="eastAsia"/>
                <w:color w:val="auto"/>
                <w:sz w:val="24"/>
                <w:highlight w:val="none"/>
                <w:u w:val="single"/>
                <w:lang w:val="en-US" w:eastAsia="zh-CN"/>
              </w:rPr>
              <w:t>标准要求建设</w:t>
            </w:r>
            <w:r>
              <w:rPr>
                <w:rFonts w:hint="eastAsia" w:cs="Times New Roman"/>
                <w:color w:val="auto"/>
                <w:kern w:val="2"/>
                <w:sz w:val="24"/>
                <w:szCs w:val="22"/>
                <w:u w:val="single"/>
                <w:lang w:val="en-US" w:eastAsia="zh-CN" w:bidi="ar-SA"/>
              </w:rPr>
              <w:t>一般固废暂存间及危险废物暂存间</w:t>
            </w:r>
            <w:r>
              <w:rPr>
                <w:rFonts w:hint="eastAsia" w:cs="Times New Roman"/>
                <w:color w:val="auto"/>
                <w:kern w:val="2"/>
                <w:sz w:val="24"/>
                <w:szCs w:val="22"/>
                <w:lang w:val="en-US" w:eastAsia="zh-CN" w:bidi="ar-SA"/>
              </w:rPr>
              <w:t>。</w:t>
            </w:r>
          </w:p>
        </w:tc>
      </w:tr>
    </w:tbl>
    <w:p w14:paraId="0C4DF7F1">
      <w:pPr>
        <w:pStyle w:val="28"/>
        <w:rPr>
          <w:rFonts w:hint="default"/>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02518E3">
      <w:pPr>
        <w:pStyle w:val="4"/>
      </w:pPr>
      <w:bookmarkStart w:id="5" w:name="_Toc21723"/>
      <w:r>
        <w:t>三、区域环境质量现状、环境保护目标及评价标准</w:t>
      </w:r>
      <w:bookmarkEnd w:id="5"/>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890"/>
      </w:tblGrid>
      <w:tr w14:paraId="55B2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2" w:type="dxa"/>
            <w:vAlign w:val="center"/>
          </w:tcPr>
          <w:p w14:paraId="6E5A78CD">
            <w:pPr>
              <w:widowControl/>
              <w:jc w:val="center"/>
            </w:pPr>
            <w:r>
              <w:rPr>
                <w:rFonts w:hint="eastAsia" w:ascii="Times New Roman" w:hAnsi="Times New Roman" w:eastAsia="宋体" w:cs="Times New Roman"/>
                <w:color w:val="000000"/>
                <w:kern w:val="2"/>
                <w:sz w:val="24"/>
                <w:szCs w:val="24"/>
                <w:lang w:val="en-US" w:eastAsia="zh-CN" w:bidi="ar-SA"/>
              </w:rPr>
              <w:t>区域环境质量现状</w:t>
            </w:r>
          </w:p>
        </w:tc>
        <w:tc>
          <w:tcPr>
            <w:tcW w:w="7890" w:type="dxa"/>
          </w:tcPr>
          <w:p w14:paraId="0E58CAC0">
            <w:pPr>
              <w:numPr>
                <w:ilvl w:val="0"/>
                <w:numId w:val="0"/>
              </w:numPr>
              <w:spacing w:line="360" w:lineRule="auto"/>
              <w:ind w:firstLine="482" w:firstLineChars="200"/>
              <w:rPr>
                <w:rFonts w:hint="eastAsia"/>
                <w:b/>
                <w:bCs/>
                <w:sz w:val="24"/>
                <w:szCs w:val="24"/>
                <w:lang w:val="en-US" w:eastAsia="zh-CN"/>
              </w:rPr>
            </w:pPr>
            <w:r>
              <w:rPr>
                <w:rFonts w:hint="eastAsia"/>
                <w:b/>
                <w:bCs/>
                <w:sz w:val="24"/>
                <w:szCs w:val="24"/>
                <w:lang w:val="en-US" w:eastAsia="zh-CN"/>
              </w:rPr>
              <w:t>3.1大气环境质量现状</w:t>
            </w:r>
          </w:p>
          <w:p w14:paraId="75BDFF64">
            <w:pPr>
              <w:widowControl/>
              <w:spacing w:line="360" w:lineRule="auto"/>
              <w:ind w:firstLine="482" w:firstLineChars="200"/>
              <w:jc w:val="left"/>
              <w:rPr>
                <w:b/>
                <w:bCs/>
                <w:sz w:val="24"/>
              </w:rPr>
            </w:pPr>
            <w:r>
              <w:rPr>
                <w:rFonts w:hint="eastAsia"/>
                <w:b/>
                <w:bCs/>
                <w:sz w:val="24"/>
                <w:lang w:val="en-US" w:eastAsia="zh-CN"/>
              </w:rPr>
              <w:t>3.</w:t>
            </w:r>
            <w:r>
              <w:rPr>
                <w:rFonts w:hint="eastAsia"/>
                <w:b/>
                <w:bCs/>
                <w:sz w:val="24"/>
              </w:rPr>
              <w:t>1.1区域达标情况</w:t>
            </w:r>
          </w:p>
          <w:p w14:paraId="3FA2203E">
            <w:pPr>
              <w:numPr>
                <w:ilvl w:val="0"/>
                <w:numId w:val="0"/>
              </w:numPr>
              <w:autoSpaceDE w:val="0"/>
              <w:autoSpaceDN w:val="0"/>
              <w:adjustRightInd w:val="0"/>
              <w:spacing w:line="360" w:lineRule="auto"/>
              <w:ind w:firstLine="480" w:firstLineChars="200"/>
              <w:rPr>
                <w:rFonts w:hint="default"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根据《建设项目环境影响报告表编制技术指南》（污染影响类）（试行）：常规污染物引用与建设项目距离近的有效数据，包括近3年的规划环境影响评价的监测数据，国家、地方环境空气质量监测网数据或生态环境主管部门公开发布的质量数据等。排放国家、地方环境空气质量标准中有标准限值要求的特征污染物时，引用建设项目周边5千米范围内近3年的现有监测数据。</w:t>
            </w:r>
          </w:p>
          <w:p w14:paraId="7ABD3878">
            <w:pPr>
              <w:numPr>
                <w:ilvl w:val="0"/>
                <w:numId w:val="0"/>
              </w:numPr>
              <w:autoSpaceDE w:val="0"/>
              <w:autoSpaceDN w:val="0"/>
              <w:adjustRightInd w:val="0"/>
              <w:spacing w:line="360" w:lineRule="auto"/>
              <w:ind w:firstLine="480" w:firstLineChars="200"/>
              <w:rPr>
                <w:rFonts w:hint="default"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依据怀化市生态环境局公布的《2023年怀化市城市环境空气质量年报》中关于怀化市洪江市环境空气监测数据，SO</w:t>
            </w:r>
            <w:r>
              <w:rPr>
                <w:rFonts w:hint="eastAsia" w:ascii="Times New Roman" w:hAnsi="Times New Roman" w:eastAsia="宋体" w:cs="Times New Roman"/>
                <w:color w:val="auto"/>
                <w:sz w:val="24"/>
                <w:highlight w:val="none"/>
                <w:u w:val="none"/>
                <w:vertAlign w:val="subscript"/>
                <w:lang w:val="en-US" w:eastAsia="zh-CN"/>
              </w:rPr>
              <w:t>2</w:t>
            </w:r>
            <w:r>
              <w:rPr>
                <w:rFonts w:hint="eastAsia" w:ascii="Times New Roman" w:hAnsi="Times New Roman" w:eastAsia="宋体" w:cs="Times New Roman"/>
                <w:color w:val="auto"/>
                <w:sz w:val="24"/>
                <w:highlight w:val="none"/>
                <w:u w:val="none"/>
                <w:lang w:val="en-US" w:eastAsia="zh-CN"/>
              </w:rPr>
              <w:t>、NO</w:t>
            </w:r>
            <w:r>
              <w:rPr>
                <w:rFonts w:hint="eastAsia" w:ascii="Times New Roman" w:hAnsi="Times New Roman" w:eastAsia="宋体" w:cs="Times New Roman"/>
                <w:color w:val="auto"/>
                <w:sz w:val="24"/>
                <w:highlight w:val="none"/>
                <w:u w:val="none"/>
                <w:vertAlign w:val="subscript"/>
                <w:lang w:val="en-US" w:eastAsia="zh-CN"/>
              </w:rPr>
              <w:t>2</w:t>
            </w:r>
            <w:r>
              <w:rPr>
                <w:rFonts w:hint="eastAsia" w:ascii="Times New Roman" w:hAnsi="Times New Roman" w:eastAsia="宋体" w:cs="Times New Roman"/>
                <w:color w:val="auto"/>
                <w:sz w:val="24"/>
                <w:highlight w:val="none"/>
                <w:u w:val="none"/>
                <w:lang w:val="en-US" w:eastAsia="zh-CN"/>
              </w:rPr>
              <w:t>、PM</w:t>
            </w:r>
            <w:r>
              <w:rPr>
                <w:rFonts w:hint="eastAsia" w:ascii="Times New Roman" w:hAnsi="Times New Roman" w:eastAsia="宋体" w:cs="Times New Roman"/>
                <w:color w:val="auto"/>
                <w:sz w:val="24"/>
                <w:highlight w:val="none"/>
                <w:u w:val="none"/>
                <w:vertAlign w:val="subscript"/>
                <w:lang w:val="en-US" w:eastAsia="zh-CN"/>
              </w:rPr>
              <w:t>10</w:t>
            </w:r>
            <w:r>
              <w:rPr>
                <w:rFonts w:hint="eastAsia" w:ascii="Times New Roman" w:hAnsi="Times New Roman" w:eastAsia="宋体" w:cs="Times New Roman"/>
                <w:color w:val="auto"/>
                <w:sz w:val="24"/>
                <w:highlight w:val="none"/>
                <w:u w:val="none"/>
                <w:lang w:val="en-US" w:eastAsia="zh-CN"/>
              </w:rPr>
              <w:t>、CO、O</w:t>
            </w:r>
            <w:r>
              <w:rPr>
                <w:rFonts w:hint="eastAsia" w:ascii="Times New Roman" w:hAnsi="Times New Roman" w:eastAsia="宋体" w:cs="Times New Roman"/>
                <w:color w:val="auto"/>
                <w:sz w:val="24"/>
                <w:highlight w:val="none"/>
                <w:u w:val="none"/>
                <w:vertAlign w:val="subscript"/>
                <w:lang w:val="en-US" w:eastAsia="zh-CN"/>
              </w:rPr>
              <w:t>3</w:t>
            </w:r>
            <w:r>
              <w:rPr>
                <w:rFonts w:hint="eastAsia" w:ascii="Times New Roman" w:hAnsi="Times New Roman" w:eastAsia="宋体" w:cs="Times New Roman"/>
                <w:color w:val="auto"/>
                <w:sz w:val="24"/>
                <w:highlight w:val="none"/>
                <w:u w:val="none"/>
                <w:lang w:val="en-US" w:eastAsia="zh-CN"/>
              </w:rPr>
              <w:t>、PM</w:t>
            </w:r>
            <w:r>
              <w:rPr>
                <w:rFonts w:hint="eastAsia" w:ascii="Times New Roman" w:hAnsi="Times New Roman" w:eastAsia="宋体" w:cs="Times New Roman"/>
                <w:color w:val="auto"/>
                <w:sz w:val="24"/>
                <w:highlight w:val="none"/>
                <w:u w:val="none"/>
                <w:vertAlign w:val="subscript"/>
                <w:lang w:val="en-US" w:eastAsia="zh-CN"/>
              </w:rPr>
              <w:t>2.5</w:t>
            </w:r>
            <w:r>
              <w:rPr>
                <w:rFonts w:hint="eastAsia" w:ascii="Times New Roman" w:hAnsi="Times New Roman" w:eastAsia="宋体" w:cs="Times New Roman"/>
                <w:color w:val="auto"/>
                <w:sz w:val="24"/>
                <w:highlight w:val="none"/>
                <w:u w:val="none"/>
                <w:lang w:val="en-US" w:eastAsia="zh-CN"/>
              </w:rPr>
              <w:t>的2023年年平均浓度、监测数据及达标情况详见表3-1。</w:t>
            </w:r>
          </w:p>
          <w:p w14:paraId="42EB21BF">
            <w:pPr>
              <w:ind w:firstLine="422" w:firstLineChars="200"/>
              <w:jc w:val="center"/>
              <w:rPr>
                <w:rFonts w:hint="default" w:ascii="Times New Roman" w:hAnsi="Times New Roman" w:eastAsia="宋体" w:cs="Times New Roman"/>
                <w:b/>
                <w:bCs/>
              </w:rPr>
            </w:pPr>
            <w:r>
              <w:rPr>
                <w:rFonts w:hint="default" w:ascii="Times New Roman" w:hAnsi="Times New Roman" w:eastAsia="宋体" w:cs="Times New Roman"/>
                <w:b/>
                <w:bCs/>
              </w:rPr>
              <w:t>表3-1洪江市2023年环境空气浓度结果</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867"/>
              <w:gridCol w:w="1284"/>
              <w:gridCol w:w="1221"/>
              <w:gridCol w:w="1322"/>
              <w:gridCol w:w="1063"/>
            </w:tblGrid>
            <w:tr w14:paraId="7326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075A28C7">
                  <w:pPr>
                    <w:widowControl/>
                    <w:jc w:val="center"/>
                    <w:rPr>
                      <w:color w:val="000000"/>
                      <w:kern w:val="0"/>
                      <w:szCs w:val="21"/>
                      <w:u w:val="none"/>
                    </w:rPr>
                  </w:pPr>
                  <w:r>
                    <w:rPr>
                      <w:rFonts w:ascii="宋体" w:hAnsi="宋体"/>
                      <w:color w:val="000000"/>
                      <w:kern w:val="0"/>
                      <w:u w:val="none"/>
                    </w:rPr>
                    <w:t>污染物</w:t>
                  </w:r>
                </w:p>
              </w:tc>
              <w:tc>
                <w:tcPr>
                  <w:tcW w:w="1867" w:type="dxa"/>
                  <w:tcBorders>
                    <w:top w:val="single" w:color="auto" w:sz="4" w:space="0"/>
                    <w:left w:val="single" w:color="auto" w:sz="4" w:space="0"/>
                    <w:bottom w:val="single" w:color="auto" w:sz="4" w:space="0"/>
                    <w:right w:val="single" w:color="auto" w:sz="4" w:space="0"/>
                  </w:tcBorders>
                  <w:vAlign w:val="center"/>
                </w:tcPr>
                <w:p w14:paraId="360DADFB">
                  <w:pPr>
                    <w:widowControl/>
                    <w:jc w:val="center"/>
                    <w:rPr>
                      <w:color w:val="000000"/>
                      <w:kern w:val="0"/>
                      <w:u w:val="none"/>
                    </w:rPr>
                  </w:pPr>
                  <w:r>
                    <w:rPr>
                      <w:rFonts w:ascii="宋体" w:hAnsi="宋体"/>
                      <w:color w:val="000000"/>
                      <w:kern w:val="0"/>
                      <w:u w:val="none"/>
                    </w:rPr>
                    <w:t>年评价指标</w:t>
                  </w:r>
                </w:p>
              </w:tc>
              <w:tc>
                <w:tcPr>
                  <w:tcW w:w="1284" w:type="dxa"/>
                  <w:tcBorders>
                    <w:top w:val="single" w:color="auto" w:sz="4" w:space="0"/>
                    <w:left w:val="single" w:color="auto" w:sz="4" w:space="0"/>
                    <w:bottom w:val="single" w:color="auto" w:sz="4" w:space="0"/>
                    <w:right w:val="single" w:color="auto" w:sz="4" w:space="0"/>
                  </w:tcBorders>
                  <w:vAlign w:val="center"/>
                </w:tcPr>
                <w:p w14:paraId="565F3B22">
                  <w:pPr>
                    <w:widowControl/>
                    <w:jc w:val="center"/>
                    <w:rPr>
                      <w:color w:val="000000"/>
                      <w:kern w:val="0"/>
                      <w:u w:val="none"/>
                    </w:rPr>
                  </w:pPr>
                  <w:r>
                    <w:rPr>
                      <w:rFonts w:ascii="宋体" w:hAnsi="宋体"/>
                      <w:color w:val="000000"/>
                      <w:kern w:val="0"/>
                      <w:u w:val="none"/>
                    </w:rPr>
                    <w:t>现状浓度</w:t>
                  </w:r>
                  <w:r>
                    <w:rPr>
                      <w:color w:val="000000"/>
                      <w:kern w:val="0"/>
                      <w:u w:val="none"/>
                    </w:rPr>
                    <w:t>/</w:t>
                  </w:r>
                </w:p>
                <w:p w14:paraId="180E9455">
                  <w:pPr>
                    <w:widowControl/>
                    <w:jc w:val="center"/>
                    <w:rPr>
                      <w:color w:val="000000"/>
                      <w:kern w:val="0"/>
                      <w:u w:val="none"/>
                    </w:rPr>
                  </w:pPr>
                  <w:r>
                    <w:rPr>
                      <w:color w:val="000000"/>
                      <w:kern w:val="0"/>
                      <w:u w:val="none"/>
                    </w:rPr>
                    <w:t>(μg/m</w:t>
                  </w:r>
                  <w:r>
                    <w:rPr>
                      <w:color w:val="000000"/>
                      <w:kern w:val="0"/>
                      <w:u w:val="none"/>
                      <w:vertAlign w:val="superscript"/>
                    </w:rPr>
                    <w:t>3</w:t>
                  </w:r>
                  <w:r>
                    <w:rPr>
                      <w:color w:val="000000"/>
                      <w:kern w:val="0"/>
                      <w:u w:val="none"/>
                    </w:rPr>
                    <w:t>)</w:t>
                  </w:r>
                </w:p>
              </w:tc>
              <w:tc>
                <w:tcPr>
                  <w:tcW w:w="1221" w:type="dxa"/>
                  <w:tcBorders>
                    <w:top w:val="single" w:color="auto" w:sz="4" w:space="0"/>
                    <w:left w:val="single" w:color="auto" w:sz="4" w:space="0"/>
                    <w:bottom w:val="single" w:color="auto" w:sz="4" w:space="0"/>
                    <w:right w:val="single" w:color="auto" w:sz="4" w:space="0"/>
                  </w:tcBorders>
                  <w:vAlign w:val="center"/>
                </w:tcPr>
                <w:p w14:paraId="5CC77BC4">
                  <w:pPr>
                    <w:widowControl/>
                    <w:jc w:val="center"/>
                    <w:rPr>
                      <w:color w:val="000000"/>
                      <w:kern w:val="0"/>
                      <w:u w:val="none"/>
                    </w:rPr>
                  </w:pPr>
                  <w:r>
                    <w:rPr>
                      <w:rFonts w:ascii="宋体" w:hAnsi="宋体"/>
                      <w:color w:val="000000"/>
                      <w:kern w:val="0"/>
                      <w:u w:val="none"/>
                    </w:rPr>
                    <w:t>标准值</w:t>
                  </w:r>
                  <w:r>
                    <w:rPr>
                      <w:color w:val="000000"/>
                      <w:kern w:val="0"/>
                      <w:u w:val="none"/>
                    </w:rPr>
                    <w:t>/(μg/m</w:t>
                  </w:r>
                  <w:r>
                    <w:rPr>
                      <w:color w:val="000000"/>
                      <w:kern w:val="0"/>
                      <w:u w:val="none"/>
                      <w:vertAlign w:val="superscript"/>
                    </w:rPr>
                    <w:t>3</w:t>
                  </w:r>
                  <w:r>
                    <w:rPr>
                      <w:color w:val="000000"/>
                      <w:kern w:val="0"/>
                      <w:u w:val="none"/>
                    </w:rPr>
                    <w:t>)</w:t>
                  </w:r>
                </w:p>
              </w:tc>
              <w:tc>
                <w:tcPr>
                  <w:tcW w:w="1322" w:type="dxa"/>
                  <w:tcBorders>
                    <w:top w:val="single" w:color="auto" w:sz="4" w:space="0"/>
                    <w:left w:val="single" w:color="auto" w:sz="4" w:space="0"/>
                    <w:bottom w:val="single" w:color="auto" w:sz="4" w:space="0"/>
                    <w:right w:val="single" w:color="auto" w:sz="4" w:space="0"/>
                  </w:tcBorders>
                  <w:vAlign w:val="center"/>
                </w:tcPr>
                <w:p w14:paraId="05B96121">
                  <w:pPr>
                    <w:widowControl/>
                    <w:jc w:val="center"/>
                    <w:rPr>
                      <w:color w:val="000000"/>
                      <w:kern w:val="0"/>
                      <w:u w:val="none"/>
                    </w:rPr>
                  </w:pPr>
                  <w:r>
                    <w:rPr>
                      <w:rFonts w:ascii="宋体" w:hAnsi="宋体"/>
                      <w:color w:val="000000"/>
                      <w:kern w:val="0"/>
                      <w:u w:val="none"/>
                    </w:rPr>
                    <w:t>占标率</w:t>
                  </w:r>
                </w:p>
              </w:tc>
              <w:tc>
                <w:tcPr>
                  <w:tcW w:w="1063" w:type="dxa"/>
                  <w:tcBorders>
                    <w:top w:val="single" w:color="auto" w:sz="4" w:space="0"/>
                    <w:left w:val="single" w:color="auto" w:sz="4" w:space="0"/>
                    <w:bottom w:val="single" w:color="auto" w:sz="4" w:space="0"/>
                    <w:right w:val="single" w:color="auto" w:sz="4" w:space="0"/>
                  </w:tcBorders>
                  <w:vAlign w:val="center"/>
                </w:tcPr>
                <w:p w14:paraId="1D791059">
                  <w:pPr>
                    <w:widowControl/>
                    <w:jc w:val="center"/>
                    <w:rPr>
                      <w:color w:val="000000"/>
                      <w:kern w:val="0"/>
                      <w:u w:val="none"/>
                    </w:rPr>
                  </w:pPr>
                  <w:r>
                    <w:rPr>
                      <w:rFonts w:ascii="宋体" w:hAnsi="宋体"/>
                      <w:color w:val="000000"/>
                      <w:kern w:val="0"/>
                      <w:u w:val="none"/>
                    </w:rPr>
                    <w:t>达标情况</w:t>
                  </w:r>
                </w:p>
              </w:tc>
            </w:tr>
            <w:tr w14:paraId="4F3E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6B612968">
                  <w:pPr>
                    <w:pStyle w:val="41"/>
                    <w:widowControl w:val="0"/>
                    <w:rPr>
                      <w:rStyle w:val="42"/>
                      <w:u w:val="none"/>
                    </w:rPr>
                  </w:pPr>
                  <w:r>
                    <w:rPr>
                      <w:rFonts w:cs="Times New Roman"/>
                      <w:b w:val="0"/>
                      <w:bCs/>
                      <w:color w:val="000000"/>
                      <w:u w:val="none"/>
                    </w:rPr>
                    <w:t>SO</w:t>
                  </w:r>
                  <w:r>
                    <w:rPr>
                      <w:rFonts w:cs="Times New Roman"/>
                      <w:b w:val="0"/>
                      <w:bCs/>
                      <w:color w:val="000000"/>
                      <w:u w:val="none"/>
                      <w:vertAlign w:val="subscript"/>
                    </w:rPr>
                    <w:t>2</w:t>
                  </w:r>
                </w:p>
              </w:tc>
              <w:tc>
                <w:tcPr>
                  <w:tcW w:w="1867" w:type="dxa"/>
                  <w:tcBorders>
                    <w:top w:val="single" w:color="auto" w:sz="4" w:space="0"/>
                    <w:left w:val="single" w:color="auto" w:sz="4" w:space="0"/>
                    <w:bottom w:val="single" w:color="auto" w:sz="4" w:space="0"/>
                    <w:right w:val="single" w:color="auto" w:sz="4" w:space="0"/>
                  </w:tcBorders>
                  <w:vAlign w:val="center"/>
                </w:tcPr>
                <w:p w14:paraId="26B40FF3">
                  <w:pPr>
                    <w:widowControl/>
                    <w:jc w:val="center"/>
                    <w:rPr>
                      <w:kern w:val="0"/>
                      <w:szCs w:val="21"/>
                      <w:u w:val="none"/>
                    </w:rPr>
                  </w:pPr>
                  <w:r>
                    <w:rPr>
                      <w:rFonts w:ascii="宋体" w:hAnsi="宋体"/>
                      <w:color w:val="000000"/>
                      <w:kern w:val="0"/>
                      <w:u w:val="none"/>
                    </w:rPr>
                    <w:t>年平均质量浓度</w:t>
                  </w:r>
                </w:p>
              </w:tc>
              <w:tc>
                <w:tcPr>
                  <w:tcW w:w="1284" w:type="dxa"/>
                  <w:tcBorders>
                    <w:top w:val="single" w:color="auto" w:sz="4" w:space="0"/>
                    <w:left w:val="single" w:color="auto" w:sz="4" w:space="0"/>
                    <w:bottom w:val="single" w:color="auto" w:sz="4" w:space="0"/>
                    <w:right w:val="single" w:color="auto" w:sz="4" w:space="0"/>
                  </w:tcBorders>
                  <w:vAlign w:val="center"/>
                </w:tcPr>
                <w:p w14:paraId="59C5E90F">
                  <w:pPr>
                    <w:widowControl/>
                    <w:jc w:val="center"/>
                    <w:rPr>
                      <w:color w:val="000000"/>
                      <w:kern w:val="0"/>
                      <w:u w:val="none"/>
                    </w:rPr>
                  </w:pPr>
                  <w:r>
                    <w:rPr>
                      <w:rFonts w:hint="eastAsia"/>
                      <w:color w:val="000000"/>
                      <w:kern w:val="0"/>
                      <w:u w:val="none"/>
                    </w:rPr>
                    <w:t>14</w:t>
                  </w:r>
                </w:p>
              </w:tc>
              <w:tc>
                <w:tcPr>
                  <w:tcW w:w="1221" w:type="dxa"/>
                  <w:tcBorders>
                    <w:top w:val="single" w:color="auto" w:sz="4" w:space="0"/>
                    <w:left w:val="single" w:color="auto" w:sz="4" w:space="0"/>
                    <w:bottom w:val="single" w:color="auto" w:sz="4" w:space="0"/>
                    <w:right w:val="single" w:color="auto" w:sz="4" w:space="0"/>
                  </w:tcBorders>
                  <w:vAlign w:val="center"/>
                </w:tcPr>
                <w:p w14:paraId="1276C00C">
                  <w:pPr>
                    <w:widowControl/>
                    <w:jc w:val="center"/>
                    <w:rPr>
                      <w:color w:val="000000"/>
                      <w:kern w:val="0"/>
                      <w:u w:val="none"/>
                    </w:rPr>
                  </w:pPr>
                  <w:r>
                    <w:rPr>
                      <w:color w:val="000000"/>
                      <w:kern w:val="0"/>
                      <w:u w:val="none"/>
                    </w:rPr>
                    <w:t>60</w:t>
                  </w:r>
                </w:p>
              </w:tc>
              <w:tc>
                <w:tcPr>
                  <w:tcW w:w="1322" w:type="dxa"/>
                  <w:tcBorders>
                    <w:top w:val="single" w:color="auto" w:sz="4" w:space="0"/>
                    <w:left w:val="single" w:color="auto" w:sz="4" w:space="0"/>
                    <w:bottom w:val="single" w:color="auto" w:sz="4" w:space="0"/>
                    <w:right w:val="single" w:color="auto" w:sz="4" w:space="0"/>
                  </w:tcBorders>
                  <w:vAlign w:val="center"/>
                </w:tcPr>
                <w:p w14:paraId="0E95ACDA">
                  <w:pPr>
                    <w:widowControl/>
                    <w:jc w:val="center"/>
                    <w:rPr>
                      <w:color w:val="000000"/>
                      <w:kern w:val="0"/>
                      <w:u w:val="none"/>
                    </w:rPr>
                  </w:pPr>
                  <w:r>
                    <w:rPr>
                      <w:rFonts w:hint="eastAsia"/>
                      <w:color w:val="000000"/>
                      <w:kern w:val="0"/>
                      <w:u w:val="none"/>
                    </w:rPr>
                    <w:t>23.3%</w:t>
                  </w:r>
                </w:p>
              </w:tc>
              <w:tc>
                <w:tcPr>
                  <w:tcW w:w="1063" w:type="dxa"/>
                  <w:tcBorders>
                    <w:top w:val="single" w:color="auto" w:sz="4" w:space="0"/>
                    <w:left w:val="single" w:color="auto" w:sz="4" w:space="0"/>
                    <w:bottom w:val="single" w:color="auto" w:sz="4" w:space="0"/>
                    <w:right w:val="single" w:color="auto" w:sz="4" w:space="0"/>
                  </w:tcBorders>
                  <w:vAlign w:val="center"/>
                </w:tcPr>
                <w:p w14:paraId="7901393F">
                  <w:pPr>
                    <w:widowControl/>
                    <w:jc w:val="center"/>
                    <w:rPr>
                      <w:color w:val="000000"/>
                      <w:kern w:val="0"/>
                      <w:u w:val="none"/>
                    </w:rPr>
                  </w:pPr>
                  <w:r>
                    <w:rPr>
                      <w:rFonts w:ascii="宋体" w:hAnsi="宋体"/>
                      <w:color w:val="000000"/>
                      <w:kern w:val="0"/>
                      <w:u w:val="none"/>
                    </w:rPr>
                    <w:t>达标</w:t>
                  </w:r>
                </w:p>
              </w:tc>
            </w:tr>
            <w:tr w14:paraId="3021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131B5016">
                  <w:pPr>
                    <w:pStyle w:val="41"/>
                    <w:widowControl w:val="0"/>
                    <w:rPr>
                      <w:rStyle w:val="42"/>
                      <w:u w:val="none"/>
                    </w:rPr>
                  </w:pPr>
                  <w:r>
                    <w:rPr>
                      <w:rFonts w:cs="Times New Roman"/>
                      <w:b w:val="0"/>
                      <w:bCs/>
                      <w:color w:val="000000"/>
                      <w:u w:val="none"/>
                    </w:rPr>
                    <w:t>NO</w:t>
                  </w:r>
                  <w:r>
                    <w:rPr>
                      <w:rFonts w:cs="Times New Roman"/>
                      <w:b w:val="0"/>
                      <w:bCs/>
                      <w:color w:val="000000"/>
                      <w:u w:val="none"/>
                      <w:vertAlign w:val="subscript"/>
                    </w:rPr>
                    <w:t>2</w:t>
                  </w:r>
                </w:p>
              </w:tc>
              <w:tc>
                <w:tcPr>
                  <w:tcW w:w="1867" w:type="dxa"/>
                  <w:tcBorders>
                    <w:top w:val="single" w:color="auto" w:sz="4" w:space="0"/>
                    <w:left w:val="single" w:color="auto" w:sz="4" w:space="0"/>
                    <w:bottom w:val="single" w:color="auto" w:sz="4" w:space="0"/>
                    <w:right w:val="single" w:color="auto" w:sz="4" w:space="0"/>
                  </w:tcBorders>
                  <w:vAlign w:val="center"/>
                </w:tcPr>
                <w:p w14:paraId="3E924EC0">
                  <w:pPr>
                    <w:widowControl/>
                    <w:jc w:val="center"/>
                    <w:rPr>
                      <w:kern w:val="0"/>
                      <w:szCs w:val="21"/>
                      <w:u w:val="none"/>
                    </w:rPr>
                  </w:pPr>
                  <w:r>
                    <w:rPr>
                      <w:rFonts w:ascii="宋体" w:hAnsi="宋体"/>
                      <w:color w:val="000000"/>
                      <w:kern w:val="0"/>
                      <w:u w:val="none"/>
                    </w:rPr>
                    <w:t>年平均质量浓度</w:t>
                  </w:r>
                </w:p>
              </w:tc>
              <w:tc>
                <w:tcPr>
                  <w:tcW w:w="1284" w:type="dxa"/>
                  <w:tcBorders>
                    <w:top w:val="single" w:color="auto" w:sz="4" w:space="0"/>
                    <w:left w:val="single" w:color="auto" w:sz="4" w:space="0"/>
                    <w:bottom w:val="single" w:color="auto" w:sz="4" w:space="0"/>
                    <w:right w:val="single" w:color="auto" w:sz="4" w:space="0"/>
                  </w:tcBorders>
                  <w:vAlign w:val="center"/>
                </w:tcPr>
                <w:p w14:paraId="401C6352">
                  <w:pPr>
                    <w:widowControl/>
                    <w:jc w:val="center"/>
                    <w:rPr>
                      <w:color w:val="000000"/>
                      <w:kern w:val="0"/>
                      <w:u w:val="none"/>
                    </w:rPr>
                  </w:pPr>
                  <w:r>
                    <w:rPr>
                      <w:rFonts w:hint="eastAsia"/>
                      <w:color w:val="000000"/>
                      <w:kern w:val="0"/>
                      <w:u w:val="none"/>
                    </w:rPr>
                    <w:t>16</w:t>
                  </w:r>
                </w:p>
              </w:tc>
              <w:tc>
                <w:tcPr>
                  <w:tcW w:w="1221" w:type="dxa"/>
                  <w:tcBorders>
                    <w:top w:val="single" w:color="auto" w:sz="4" w:space="0"/>
                    <w:left w:val="single" w:color="auto" w:sz="4" w:space="0"/>
                    <w:bottom w:val="single" w:color="auto" w:sz="4" w:space="0"/>
                    <w:right w:val="single" w:color="auto" w:sz="4" w:space="0"/>
                  </w:tcBorders>
                  <w:vAlign w:val="center"/>
                </w:tcPr>
                <w:p w14:paraId="4E3E079D">
                  <w:pPr>
                    <w:widowControl/>
                    <w:jc w:val="center"/>
                    <w:rPr>
                      <w:rFonts w:hint="eastAsia"/>
                      <w:color w:val="000000"/>
                      <w:kern w:val="0"/>
                      <w:u w:val="none"/>
                    </w:rPr>
                  </w:pPr>
                  <w:r>
                    <w:rPr>
                      <w:color w:val="000000"/>
                      <w:kern w:val="0"/>
                      <w:u w:val="none"/>
                    </w:rPr>
                    <w:t>40</w:t>
                  </w:r>
                </w:p>
              </w:tc>
              <w:tc>
                <w:tcPr>
                  <w:tcW w:w="1322" w:type="dxa"/>
                  <w:tcBorders>
                    <w:top w:val="single" w:color="auto" w:sz="4" w:space="0"/>
                    <w:left w:val="single" w:color="auto" w:sz="4" w:space="0"/>
                    <w:bottom w:val="single" w:color="auto" w:sz="4" w:space="0"/>
                    <w:right w:val="single" w:color="auto" w:sz="4" w:space="0"/>
                  </w:tcBorders>
                  <w:vAlign w:val="center"/>
                </w:tcPr>
                <w:p w14:paraId="6B155E5A">
                  <w:pPr>
                    <w:widowControl/>
                    <w:jc w:val="center"/>
                    <w:rPr>
                      <w:color w:val="000000"/>
                      <w:kern w:val="0"/>
                      <w:u w:val="none"/>
                    </w:rPr>
                  </w:pPr>
                  <w:r>
                    <w:rPr>
                      <w:rFonts w:hint="eastAsia"/>
                      <w:color w:val="000000"/>
                      <w:kern w:val="0"/>
                      <w:u w:val="none"/>
                    </w:rPr>
                    <w:t>40.0%</w:t>
                  </w:r>
                </w:p>
              </w:tc>
              <w:tc>
                <w:tcPr>
                  <w:tcW w:w="1063" w:type="dxa"/>
                  <w:tcBorders>
                    <w:top w:val="single" w:color="auto" w:sz="4" w:space="0"/>
                    <w:left w:val="single" w:color="auto" w:sz="4" w:space="0"/>
                    <w:bottom w:val="single" w:color="auto" w:sz="4" w:space="0"/>
                    <w:right w:val="single" w:color="auto" w:sz="4" w:space="0"/>
                  </w:tcBorders>
                  <w:vAlign w:val="center"/>
                </w:tcPr>
                <w:p w14:paraId="02781EF1">
                  <w:pPr>
                    <w:widowControl/>
                    <w:jc w:val="center"/>
                    <w:rPr>
                      <w:color w:val="000000"/>
                      <w:kern w:val="0"/>
                      <w:u w:val="none"/>
                    </w:rPr>
                  </w:pPr>
                  <w:r>
                    <w:rPr>
                      <w:rFonts w:ascii="宋体" w:hAnsi="宋体"/>
                      <w:color w:val="000000"/>
                      <w:kern w:val="0"/>
                      <w:u w:val="none"/>
                    </w:rPr>
                    <w:t>达标</w:t>
                  </w:r>
                </w:p>
              </w:tc>
            </w:tr>
            <w:tr w14:paraId="348C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5A61FCA4">
                  <w:pPr>
                    <w:pStyle w:val="41"/>
                    <w:widowControl w:val="0"/>
                    <w:rPr>
                      <w:rStyle w:val="42"/>
                      <w:u w:val="none"/>
                    </w:rPr>
                  </w:pPr>
                  <w:r>
                    <w:rPr>
                      <w:rFonts w:cs="Times New Roman"/>
                      <w:b w:val="0"/>
                      <w:bCs/>
                      <w:color w:val="000000"/>
                      <w:u w:val="none"/>
                    </w:rPr>
                    <w:t>PM</w:t>
                  </w:r>
                  <w:r>
                    <w:rPr>
                      <w:rFonts w:cs="Times New Roman"/>
                      <w:b w:val="0"/>
                      <w:bCs/>
                      <w:color w:val="000000"/>
                      <w:u w:val="none"/>
                      <w:vertAlign w:val="subscript"/>
                    </w:rPr>
                    <w:t>10</w:t>
                  </w:r>
                </w:p>
              </w:tc>
              <w:tc>
                <w:tcPr>
                  <w:tcW w:w="1867" w:type="dxa"/>
                  <w:tcBorders>
                    <w:top w:val="single" w:color="auto" w:sz="4" w:space="0"/>
                    <w:left w:val="single" w:color="auto" w:sz="4" w:space="0"/>
                    <w:bottom w:val="single" w:color="auto" w:sz="4" w:space="0"/>
                    <w:right w:val="single" w:color="auto" w:sz="4" w:space="0"/>
                  </w:tcBorders>
                  <w:vAlign w:val="center"/>
                </w:tcPr>
                <w:p w14:paraId="16CE2E61">
                  <w:pPr>
                    <w:widowControl/>
                    <w:jc w:val="center"/>
                    <w:rPr>
                      <w:kern w:val="0"/>
                      <w:szCs w:val="21"/>
                      <w:u w:val="none"/>
                    </w:rPr>
                  </w:pPr>
                  <w:r>
                    <w:rPr>
                      <w:rFonts w:ascii="宋体" w:hAnsi="宋体"/>
                      <w:color w:val="000000"/>
                      <w:kern w:val="0"/>
                      <w:u w:val="none"/>
                    </w:rPr>
                    <w:t>年平均质量浓度</w:t>
                  </w:r>
                </w:p>
              </w:tc>
              <w:tc>
                <w:tcPr>
                  <w:tcW w:w="1284" w:type="dxa"/>
                  <w:tcBorders>
                    <w:top w:val="single" w:color="auto" w:sz="4" w:space="0"/>
                    <w:left w:val="single" w:color="auto" w:sz="4" w:space="0"/>
                    <w:bottom w:val="single" w:color="auto" w:sz="4" w:space="0"/>
                    <w:right w:val="single" w:color="auto" w:sz="4" w:space="0"/>
                  </w:tcBorders>
                  <w:vAlign w:val="center"/>
                </w:tcPr>
                <w:p w14:paraId="5657AC5E">
                  <w:pPr>
                    <w:widowControl/>
                    <w:jc w:val="center"/>
                    <w:rPr>
                      <w:color w:val="000000"/>
                      <w:kern w:val="0"/>
                      <w:u w:val="none"/>
                    </w:rPr>
                  </w:pPr>
                  <w:r>
                    <w:rPr>
                      <w:rFonts w:hint="eastAsia"/>
                      <w:color w:val="000000"/>
                      <w:kern w:val="0"/>
                      <w:u w:val="none"/>
                    </w:rPr>
                    <w:t>41</w:t>
                  </w:r>
                </w:p>
              </w:tc>
              <w:tc>
                <w:tcPr>
                  <w:tcW w:w="1221" w:type="dxa"/>
                  <w:tcBorders>
                    <w:top w:val="single" w:color="auto" w:sz="4" w:space="0"/>
                    <w:left w:val="single" w:color="auto" w:sz="4" w:space="0"/>
                    <w:bottom w:val="single" w:color="auto" w:sz="4" w:space="0"/>
                    <w:right w:val="single" w:color="auto" w:sz="4" w:space="0"/>
                  </w:tcBorders>
                  <w:vAlign w:val="center"/>
                </w:tcPr>
                <w:p w14:paraId="628E8F5B">
                  <w:pPr>
                    <w:widowControl/>
                    <w:jc w:val="center"/>
                    <w:rPr>
                      <w:color w:val="000000"/>
                      <w:kern w:val="0"/>
                      <w:u w:val="none"/>
                    </w:rPr>
                  </w:pPr>
                  <w:r>
                    <w:rPr>
                      <w:color w:val="000000"/>
                      <w:kern w:val="0"/>
                      <w:u w:val="none"/>
                    </w:rPr>
                    <w:t>70</w:t>
                  </w:r>
                </w:p>
              </w:tc>
              <w:tc>
                <w:tcPr>
                  <w:tcW w:w="1322" w:type="dxa"/>
                  <w:tcBorders>
                    <w:top w:val="single" w:color="auto" w:sz="4" w:space="0"/>
                    <w:left w:val="single" w:color="auto" w:sz="4" w:space="0"/>
                    <w:bottom w:val="single" w:color="auto" w:sz="4" w:space="0"/>
                    <w:right w:val="single" w:color="auto" w:sz="4" w:space="0"/>
                  </w:tcBorders>
                  <w:vAlign w:val="center"/>
                </w:tcPr>
                <w:p w14:paraId="7F6F3797">
                  <w:pPr>
                    <w:widowControl/>
                    <w:jc w:val="center"/>
                    <w:rPr>
                      <w:color w:val="000000"/>
                      <w:kern w:val="0"/>
                      <w:u w:val="none"/>
                    </w:rPr>
                  </w:pPr>
                  <w:r>
                    <w:rPr>
                      <w:rFonts w:hint="eastAsia"/>
                      <w:color w:val="000000"/>
                      <w:kern w:val="0"/>
                      <w:u w:val="none"/>
                    </w:rPr>
                    <w:t>58.6%</w:t>
                  </w:r>
                </w:p>
              </w:tc>
              <w:tc>
                <w:tcPr>
                  <w:tcW w:w="1063" w:type="dxa"/>
                  <w:tcBorders>
                    <w:top w:val="single" w:color="auto" w:sz="4" w:space="0"/>
                    <w:left w:val="single" w:color="auto" w:sz="4" w:space="0"/>
                    <w:bottom w:val="single" w:color="auto" w:sz="4" w:space="0"/>
                    <w:right w:val="single" w:color="auto" w:sz="4" w:space="0"/>
                  </w:tcBorders>
                  <w:vAlign w:val="center"/>
                </w:tcPr>
                <w:p w14:paraId="2133ABF1">
                  <w:pPr>
                    <w:widowControl/>
                    <w:jc w:val="center"/>
                    <w:rPr>
                      <w:color w:val="000000"/>
                      <w:kern w:val="0"/>
                      <w:u w:val="none"/>
                    </w:rPr>
                  </w:pPr>
                  <w:r>
                    <w:rPr>
                      <w:rFonts w:ascii="宋体" w:hAnsi="宋体"/>
                      <w:color w:val="000000"/>
                      <w:kern w:val="0"/>
                      <w:u w:val="none"/>
                    </w:rPr>
                    <w:t>达标</w:t>
                  </w:r>
                </w:p>
              </w:tc>
            </w:tr>
            <w:tr w14:paraId="59A6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2878FE71">
                  <w:pPr>
                    <w:pStyle w:val="41"/>
                    <w:widowControl w:val="0"/>
                    <w:rPr>
                      <w:rStyle w:val="42"/>
                      <w:u w:val="none"/>
                    </w:rPr>
                  </w:pPr>
                  <w:r>
                    <w:rPr>
                      <w:rFonts w:cs="Times New Roman"/>
                      <w:b w:val="0"/>
                      <w:bCs/>
                      <w:color w:val="000000"/>
                      <w:u w:val="none"/>
                    </w:rPr>
                    <w:t>PM</w:t>
                  </w:r>
                  <w:r>
                    <w:rPr>
                      <w:rFonts w:cs="Times New Roman"/>
                      <w:b w:val="0"/>
                      <w:bCs/>
                      <w:color w:val="000000"/>
                      <w:u w:val="none"/>
                      <w:vertAlign w:val="subscript"/>
                    </w:rPr>
                    <w:t>2.5</w:t>
                  </w:r>
                </w:p>
              </w:tc>
              <w:tc>
                <w:tcPr>
                  <w:tcW w:w="1867" w:type="dxa"/>
                  <w:tcBorders>
                    <w:top w:val="single" w:color="auto" w:sz="4" w:space="0"/>
                    <w:left w:val="single" w:color="auto" w:sz="4" w:space="0"/>
                    <w:bottom w:val="single" w:color="auto" w:sz="4" w:space="0"/>
                    <w:right w:val="single" w:color="auto" w:sz="4" w:space="0"/>
                  </w:tcBorders>
                  <w:vAlign w:val="center"/>
                </w:tcPr>
                <w:p w14:paraId="522E54E7">
                  <w:pPr>
                    <w:widowControl/>
                    <w:jc w:val="center"/>
                    <w:rPr>
                      <w:kern w:val="0"/>
                      <w:szCs w:val="21"/>
                      <w:u w:val="none"/>
                    </w:rPr>
                  </w:pPr>
                  <w:r>
                    <w:rPr>
                      <w:rFonts w:ascii="宋体" w:hAnsi="宋体"/>
                      <w:color w:val="000000"/>
                      <w:kern w:val="0"/>
                      <w:u w:val="none"/>
                    </w:rPr>
                    <w:t>年平均质量浓度</w:t>
                  </w:r>
                </w:p>
              </w:tc>
              <w:tc>
                <w:tcPr>
                  <w:tcW w:w="1284" w:type="dxa"/>
                  <w:tcBorders>
                    <w:top w:val="single" w:color="auto" w:sz="4" w:space="0"/>
                    <w:left w:val="single" w:color="auto" w:sz="4" w:space="0"/>
                    <w:bottom w:val="single" w:color="auto" w:sz="4" w:space="0"/>
                    <w:right w:val="single" w:color="auto" w:sz="4" w:space="0"/>
                  </w:tcBorders>
                  <w:vAlign w:val="center"/>
                </w:tcPr>
                <w:p w14:paraId="0533EC5C">
                  <w:pPr>
                    <w:widowControl/>
                    <w:jc w:val="center"/>
                    <w:rPr>
                      <w:color w:val="000000"/>
                      <w:kern w:val="0"/>
                      <w:u w:val="none"/>
                    </w:rPr>
                  </w:pPr>
                  <w:r>
                    <w:rPr>
                      <w:rFonts w:hint="eastAsia"/>
                      <w:color w:val="000000"/>
                      <w:kern w:val="0"/>
                      <w:u w:val="none"/>
                    </w:rPr>
                    <w:t>29</w:t>
                  </w:r>
                </w:p>
              </w:tc>
              <w:tc>
                <w:tcPr>
                  <w:tcW w:w="1221" w:type="dxa"/>
                  <w:tcBorders>
                    <w:top w:val="single" w:color="auto" w:sz="4" w:space="0"/>
                    <w:left w:val="single" w:color="auto" w:sz="4" w:space="0"/>
                    <w:bottom w:val="single" w:color="auto" w:sz="4" w:space="0"/>
                    <w:right w:val="single" w:color="auto" w:sz="4" w:space="0"/>
                  </w:tcBorders>
                  <w:vAlign w:val="center"/>
                </w:tcPr>
                <w:p w14:paraId="0803CF51">
                  <w:pPr>
                    <w:widowControl/>
                    <w:jc w:val="center"/>
                    <w:rPr>
                      <w:rFonts w:hint="eastAsia"/>
                      <w:color w:val="000000"/>
                      <w:kern w:val="0"/>
                      <w:u w:val="none"/>
                    </w:rPr>
                  </w:pPr>
                  <w:r>
                    <w:rPr>
                      <w:color w:val="000000"/>
                      <w:kern w:val="0"/>
                      <w:u w:val="none"/>
                    </w:rPr>
                    <w:t>35</w:t>
                  </w:r>
                </w:p>
              </w:tc>
              <w:tc>
                <w:tcPr>
                  <w:tcW w:w="1322" w:type="dxa"/>
                  <w:tcBorders>
                    <w:top w:val="single" w:color="auto" w:sz="4" w:space="0"/>
                    <w:left w:val="single" w:color="auto" w:sz="4" w:space="0"/>
                    <w:bottom w:val="single" w:color="auto" w:sz="4" w:space="0"/>
                    <w:right w:val="single" w:color="auto" w:sz="4" w:space="0"/>
                  </w:tcBorders>
                  <w:vAlign w:val="center"/>
                </w:tcPr>
                <w:p w14:paraId="26BDB9EE">
                  <w:pPr>
                    <w:widowControl/>
                    <w:jc w:val="center"/>
                    <w:rPr>
                      <w:color w:val="000000"/>
                      <w:kern w:val="0"/>
                      <w:u w:val="none"/>
                    </w:rPr>
                  </w:pPr>
                  <w:r>
                    <w:rPr>
                      <w:rFonts w:hint="eastAsia"/>
                      <w:color w:val="000000"/>
                      <w:kern w:val="0"/>
                      <w:u w:val="none"/>
                    </w:rPr>
                    <w:t>82.9%</w:t>
                  </w:r>
                </w:p>
              </w:tc>
              <w:tc>
                <w:tcPr>
                  <w:tcW w:w="1063" w:type="dxa"/>
                  <w:tcBorders>
                    <w:top w:val="single" w:color="auto" w:sz="4" w:space="0"/>
                    <w:left w:val="single" w:color="auto" w:sz="4" w:space="0"/>
                    <w:bottom w:val="single" w:color="auto" w:sz="4" w:space="0"/>
                    <w:right w:val="single" w:color="auto" w:sz="4" w:space="0"/>
                  </w:tcBorders>
                  <w:vAlign w:val="center"/>
                </w:tcPr>
                <w:p w14:paraId="7D782419">
                  <w:pPr>
                    <w:widowControl/>
                    <w:jc w:val="center"/>
                    <w:rPr>
                      <w:color w:val="000000"/>
                      <w:kern w:val="0"/>
                      <w:u w:val="none"/>
                    </w:rPr>
                  </w:pPr>
                  <w:r>
                    <w:rPr>
                      <w:rFonts w:ascii="宋体" w:hAnsi="宋体"/>
                      <w:color w:val="000000"/>
                      <w:kern w:val="0"/>
                      <w:u w:val="none"/>
                    </w:rPr>
                    <w:t>达标</w:t>
                  </w:r>
                </w:p>
              </w:tc>
            </w:tr>
            <w:tr w14:paraId="1205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577E0A71">
                  <w:pPr>
                    <w:pStyle w:val="41"/>
                    <w:widowControl w:val="0"/>
                    <w:rPr>
                      <w:rStyle w:val="42"/>
                      <w:u w:val="none"/>
                    </w:rPr>
                  </w:pPr>
                  <w:r>
                    <w:rPr>
                      <w:rFonts w:cs="Times New Roman"/>
                      <w:b w:val="0"/>
                      <w:bCs/>
                      <w:color w:val="000000"/>
                      <w:u w:val="none"/>
                    </w:rPr>
                    <w:t>CO</w:t>
                  </w:r>
                </w:p>
              </w:tc>
              <w:tc>
                <w:tcPr>
                  <w:tcW w:w="1867" w:type="dxa"/>
                  <w:tcBorders>
                    <w:top w:val="single" w:color="auto" w:sz="4" w:space="0"/>
                    <w:left w:val="single" w:color="auto" w:sz="4" w:space="0"/>
                    <w:bottom w:val="single" w:color="auto" w:sz="4" w:space="0"/>
                    <w:right w:val="single" w:color="auto" w:sz="4" w:space="0"/>
                  </w:tcBorders>
                  <w:vAlign w:val="center"/>
                </w:tcPr>
                <w:p w14:paraId="3DE66BC4">
                  <w:pPr>
                    <w:jc w:val="center"/>
                    <w:rPr>
                      <w:kern w:val="0"/>
                      <w:szCs w:val="21"/>
                      <w:u w:val="none"/>
                    </w:rPr>
                  </w:pPr>
                  <w:r>
                    <w:rPr>
                      <w:rFonts w:ascii="宋体" w:hAnsi="宋体"/>
                      <w:color w:val="000000"/>
                      <w:u w:val="none"/>
                    </w:rPr>
                    <w:t>年</w:t>
                  </w:r>
                  <w:r>
                    <w:rPr>
                      <w:color w:val="000000"/>
                      <w:u w:val="none"/>
                    </w:rPr>
                    <w:t>95PER</w:t>
                  </w:r>
                  <w:r>
                    <w:rPr>
                      <w:rFonts w:ascii="宋体" w:hAnsi="宋体"/>
                      <w:color w:val="000000"/>
                      <w:u w:val="none"/>
                    </w:rPr>
                    <w:t>浓度</w:t>
                  </w:r>
                </w:p>
              </w:tc>
              <w:tc>
                <w:tcPr>
                  <w:tcW w:w="1284" w:type="dxa"/>
                  <w:tcBorders>
                    <w:top w:val="single" w:color="auto" w:sz="4" w:space="0"/>
                    <w:left w:val="single" w:color="auto" w:sz="4" w:space="0"/>
                    <w:bottom w:val="single" w:color="auto" w:sz="4" w:space="0"/>
                    <w:right w:val="single" w:color="auto" w:sz="4" w:space="0"/>
                  </w:tcBorders>
                  <w:vAlign w:val="center"/>
                </w:tcPr>
                <w:p w14:paraId="5FDE69DB">
                  <w:pPr>
                    <w:widowControl/>
                    <w:jc w:val="center"/>
                    <w:rPr>
                      <w:color w:val="000000"/>
                      <w:kern w:val="0"/>
                      <w:u w:val="none"/>
                    </w:rPr>
                  </w:pPr>
                  <w:r>
                    <w:rPr>
                      <w:rFonts w:hint="eastAsia"/>
                      <w:color w:val="000000"/>
                      <w:kern w:val="0"/>
                      <w:u w:val="none"/>
                    </w:rPr>
                    <w:t>0.9</w:t>
                  </w:r>
                </w:p>
              </w:tc>
              <w:tc>
                <w:tcPr>
                  <w:tcW w:w="1221" w:type="dxa"/>
                  <w:tcBorders>
                    <w:top w:val="single" w:color="auto" w:sz="4" w:space="0"/>
                    <w:left w:val="single" w:color="auto" w:sz="4" w:space="0"/>
                    <w:bottom w:val="single" w:color="auto" w:sz="4" w:space="0"/>
                    <w:right w:val="single" w:color="auto" w:sz="4" w:space="0"/>
                  </w:tcBorders>
                  <w:vAlign w:val="center"/>
                </w:tcPr>
                <w:p w14:paraId="5C1516BD">
                  <w:pPr>
                    <w:widowControl/>
                    <w:jc w:val="center"/>
                    <w:rPr>
                      <w:color w:val="000000"/>
                      <w:kern w:val="0"/>
                      <w:u w:val="none"/>
                    </w:rPr>
                  </w:pPr>
                  <w:r>
                    <w:rPr>
                      <w:color w:val="000000"/>
                      <w:kern w:val="0"/>
                      <w:u w:val="none"/>
                    </w:rPr>
                    <w:t>4</w:t>
                  </w:r>
                </w:p>
              </w:tc>
              <w:tc>
                <w:tcPr>
                  <w:tcW w:w="1322" w:type="dxa"/>
                  <w:tcBorders>
                    <w:top w:val="single" w:color="auto" w:sz="4" w:space="0"/>
                    <w:left w:val="single" w:color="auto" w:sz="4" w:space="0"/>
                    <w:bottom w:val="single" w:color="auto" w:sz="4" w:space="0"/>
                    <w:right w:val="single" w:color="auto" w:sz="4" w:space="0"/>
                  </w:tcBorders>
                  <w:vAlign w:val="center"/>
                </w:tcPr>
                <w:p w14:paraId="0969B8C8">
                  <w:pPr>
                    <w:widowControl/>
                    <w:jc w:val="center"/>
                    <w:rPr>
                      <w:rFonts w:hint="eastAsia"/>
                      <w:color w:val="000000"/>
                      <w:kern w:val="0"/>
                      <w:u w:val="none"/>
                    </w:rPr>
                  </w:pPr>
                  <w:r>
                    <w:rPr>
                      <w:rFonts w:hint="eastAsia"/>
                      <w:color w:val="000000"/>
                      <w:kern w:val="0"/>
                      <w:u w:val="none"/>
                    </w:rPr>
                    <w:t>22.5%</w:t>
                  </w:r>
                </w:p>
              </w:tc>
              <w:tc>
                <w:tcPr>
                  <w:tcW w:w="1063" w:type="dxa"/>
                  <w:tcBorders>
                    <w:top w:val="single" w:color="auto" w:sz="4" w:space="0"/>
                    <w:left w:val="single" w:color="auto" w:sz="4" w:space="0"/>
                    <w:bottom w:val="single" w:color="auto" w:sz="4" w:space="0"/>
                    <w:right w:val="single" w:color="auto" w:sz="4" w:space="0"/>
                  </w:tcBorders>
                  <w:vAlign w:val="center"/>
                </w:tcPr>
                <w:p w14:paraId="3C72FFC5">
                  <w:pPr>
                    <w:widowControl/>
                    <w:jc w:val="center"/>
                    <w:rPr>
                      <w:color w:val="000000"/>
                      <w:kern w:val="0"/>
                      <w:u w:val="none"/>
                    </w:rPr>
                  </w:pPr>
                  <w:r>
                    <w:rPr>
                      <w:rFonts w:ascii="宋体" w:hAnsi="宋体"/>
                      <w:color w:val="000000"/>
                      <w:kern w:val="0"/>
                      <w:u w:val="none"/>
                    </w:rPr>
                    <w:t>达标</w:t>
                  </w:r>
                </w:p>
              </w:tc>
            </w:tr>
            <w:tr w14:paraId="16DB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6F874060">
                  <w:pPr>
                    <w:pStyle w:val="41"/>
                    <w:widowControl w:val="0"/>
                    <w:rPr>
                      <w:rStyle w:val="42"/>
                      <w:u w:val="none"/>
                    </w:rPr>
                  </w:pPr>
                  <w:r>
                    <w:rPr>
                      <w:rFonts w:cs="Times New Roman"/>
                      <w:b w:val="0"/>
                      <w:bCs/>
                      <w:color w:val="000000"/>
                      <w:u w:val="none"/>
                    </w:rPr>
                    <w:t>O</w:t>
                  </w:r>
                  <w:r>
                    <w:rPr>
                      <w:rFonts w:cs="Times New Roman"/>
                      <w:b w:val="0"/>
                      <w:bCs/>
                      <w:color w:val="000000"/>
                      <w:u w:val="none"/>
                      <w:vertAlign w:val="subscript"/>
                    </w:rPr>
                    <w:t>3</w:t>
                  </w:r>
                </w:p>
              </w:tc>
              <w:tc>
                <w:tcPr>
                  <w:tcW w:w="1867" w:type="dxa"/>
                  <w:tcBorders>
                    <w:top w:val="single" w:color="auto" w:sz="4" w:space="0"/>
                    <w:left w:val="single" w:color="auto" w:sz="4" w:space="0"/>
                    <w:bottom w:val="single" w:color="auto" w:sz="4" w:space="0"/>
                    <w:right w:val="single" w:color="auto" w:sz="4" w:space="0"/>
                  </w:tcBorders>
                  <w:vAlign w:val="center"/>
                </w:tcPr>
                <w:p w14:paraId="1ECAF581">
                  <w:pPr>
                    <w:jc w:val="center"/>
                    <w:rPr>
                      <w:kern w:val="0"/>
                      <w:szCs w:val="21"/>
                      <w:u w:val="none"/>
                    </w:rPr>
                  </w:pPr>
                  <w:r>
                    <w:rPr>
                      <w:rFonts w:ascii="宋体" w:hAnsi="宋体"/>
                      <w:color w:val="000000"/>
                      <w:u w:val="none"/>
                    </w:rPr>
                    <w:t>年</w:t>
                  </w:r>
                  <w:r>
                    <w:rPr>
                      <w:color w:val="000000"/>
                      <w:u w:val="none"/>
                    </w:rPr>
                    <w:t>90PER</w:t>
                  </w:r>
                  <w:r>
                    <w:rPr>
                      <w:rFonts w:ascii="宋体" w:hAnsi="宋体"/>
                      <w:color w:val="000000"/>
                      <w:u w:val="none"/>
                    </w:rPr>
                    <w:t>浓度</w:t>
                  </w:r>
                </w:p>
              </w:tc>
              <w:tc>
                <w:tcPr>
                  <w:tcW w:w="1284" w:type="dxa"/>
                  <w:tcBorders>
                    <w:top w:val="single" w:color="auto" w:sz="4" w:space="0"/>
                    <w:left w:val="single" w:color="auto" w:sz="4" w:space="0"/>
                    <w:bottom w:val="single" w:color="auto" w:sz="4" w:space="0"/>
                    <w:right w:val="single" w:color="auto" w:sz="4" w:space="0"/>
                  </w:tcBorders>
                  <w:vAlign w:val="center"/>
                </w:tcPr>
                <w:p w14:paraId="02E74903">
                  <w:pPr>
                    <w:widowControl/>
                    <w:jc w:val="center"/>
                    <w:rPr>
                      <w:color w:val="000000"/>
                      <w:kern w:val="0"/>
                      <w:u w:val="none"/>
                    </w:rPr>
                  </w:pPr>
                  <w:r>
                    <w:rPr>
                      <w:rFonts w:hint="eastAsia"/>
                      <w:color w:val="000000"/>
                      <w:kern w:val="0"/>
                      <w:u w:val="none"/>
                    </w:rPr>
                    <w:t>102</w:t>
                  </w:r>
                </w:p>
              </w:tc>
              <w:tc>
                <w:tcPr>
                  <w:tcW w:w="1221" w:type="dxa"/>
                  <w:tcBorders>
                    <w:top w:val="single" w:color="auto" w:sz="4" w:space="0"/>
                    <w:left w:val="single" w:color="auto" w:sz="4" w:space="0"/>
                    <w:bottom w:val="single" w:color="auto" w:sz="4" w:space="0"/>
                    <w:right w:val="single" w:color="auto" w:sz="4" w:space="0"/>
                  </w:tcBorders>
                  <w:vAlign w:val="center"/>
                </w:tcPr>
                <w:p w14:paraId="73C47BA3">
                  <w:pPr>
                    <w:widowControl/>
                    <w:jc w:val="center"/>
                    <w:rPr>
                      <w:color w:val="000000"/>
                      <w:kern w:val="0"/>
                      <w:u w:val="none"/>
                    </w:rPr>
                  </w:pPr>
                  <w:r>
                    <w:rPr>
                      <w:color w:val="000000"/>
                      <w:kern w:val="0"/>
                      <w:u w:val="none"/>
                    </w:rPr>
                    <w:t>160</w:t>
                  </w:r>
                </w:p>
              </w:tc>
              <w:tc>
                <w:tcPr>
                  <w:tcW w:w="1322" w:type="dxa"/>
                  <w:tcBorders>
                    <w:top w:val="single" w:color="auto" w:sz="4" w:space="0"/>
                    <w:left w:val="single" w:color="auto" w:sz="4" w:space="0"/>
                    <w:bottom w:val="single" w:color="auto" w:sz="4" w:space="0"/>
                    <w:right w:val="single" w:color="auto" w:sz="4" w:space="0"/>
                  </w:tcBorders>
                  <w:vAlign w:val="center"/>
                </w:tcPr>
                <w:p w14:paraId="38D1E56E">
                  <w:pPr>
                    <w:widowControl/>
                    <w:jc w:val="center"/>
                    <w:rPr>
                      <w:color w:val="000000"/>
                      <w:kern w:val="0"/>
                      <w:u w:val="none"/>
                    </w:rPr>
                  </w:pPr>
                  <w:r>
                    <w:rPr>
                      <w:rFonts w:hint="eastAsia"/>
                      <w:color w:val="000000"/>
                      <w:kern w:val="0"/>
                      <w:u w:val="none"/>
                    </w:rPr>
                    <w:t>63.8%</w:t>
                  </w:r>
                </w:p>
              </w:tc>
              <w:tc>
                <w:tcPr>
                  <w:tcW w:w="1063" w:type="dxa"/>
                  <w:tcBorders>
                    <w:top w:val="single" w:color="auto" w:sz="4" w:space="0"/>
                    <w:left w:val="single" w:color="auto" w:sz="4" w:space="0"/>
                    <w:bottom w:val="single" w:color="auto" w:sz="4" w:space="0"/>
                    <w:right w:val="single" w:color="auto" w:sz="4" w:space="0"/>
                  </w:tcBorders>
                  <w:vAlign w:val="center"/>
                </w:tcPr>
                <w:p w14:paraId="7FAE0123">
                  <w:pPr>
                    <w:widowControl/>
                    <w:jc w:val="center"/>
                    <w:rPr>
                      <w:color w:val="000000"/>
                      <w:kern w:val="0"/>
                      <w:u w:val="none"/>
                    </w:rPr>
                  </w:pPr>
                  <w:r>
                    <w:rPr>
                      <w:rFonts w:ascii="宋体" w:hAnsi="宋体"/>
                      <w:color w:val="000000"/>
                      <w:kern w:val="0"/>
                      <w:u w:val="none"/>
                    </w:rPr>
                    <w:t>达标</w:t>
                  </w:r>
                </w:p>
              </w:tc>
            </w:tr>
          </w:tbl>
          <w:p w14:paraId="4104CCA5">
            <w:pPr>
              <w:numPr>
                <w:ilvl w:val="0"/>
                <w:numId w:val="0"/>
              </w:numPr>
              <w:autoSpaceDE w:val="0"/>
              <w:autoSpaceDN w:val="0"/>
              <w:adjustRightInd w:val="0"/>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可见，项目所在区SO</w:t>
            </w:r>
            <w:r>
              <w:rPr>
                <w:rFonts w:hint="eastAsia" w:ascii="Times New Roman" w:hAnsi="Times New Roman" w:eastAsia="宋体" w:cs="Times New Roman"/>
                <w:color w:val="auto"/>
                <w:sz w:val="24"/>
                <w:highlight w:val="none"/>
                <w:u w:val="none"/>
                <w:vertAlign w:val="subscript"/>
                <w:lang w:val="en-US" w:eastAsia="zh-CN"/>
              </w:rPr>
              <w:t>2</w:t>
            </w:r>
            <w:r>
              <w:rPr>
                <w:rFonts w:hint="eastAsia" w:ascii="Times New Roman" w:hAnsi="Times New Roman" w:eastAsia="宋体" w:cs="Times New Roman"/>
                <w:color w:val="auto"/>
                <w:sz w:val="24"/>
                <w:highlight w:val="none"/>
                <w:u w:val="none"/>
                <w:lang w:val="en-US" w:eastAsia="zh-CN"/>
              </w:rPr>
              <w:t>、NO</w:t>
            </w:r>
            <w:r>
              <w:rPr>
                <w:rFonts w:hint="eastAsia" w:ascii="Times New Roman" w:hAnsi="Times New Roman" w:eastAsia="宋体" w:cs="Times New Roman"/>
                <w:color w:val="auto"/>
                <w:sz w:val="24"/>
                <w:highlight w:val="none"/>
                <w:u w:val="none"/>
                <w:vertAlign w:val="subscript"/>
                <w:lang w:val="en-US" w:eastAsia="zh-CN"/>
              </w:rPr>
              <w:t>2</w:t>
            </w:r>
            <w:r>
              <w:rPr>
                <w:rFonts w:hint="eastAsia" w:ascii="Times New Roman" w:hAnsi="Times New Roman" w:eastAsia="宋体" w:cs="Times New Roman"/>
                <w:color w:val="auto"/>
                <w:sz w:val="24"/>
                <w:highlight w:val="none"/>
                <w:u w:val="none"/>
                <w:lang w:val="en-US" w:eastAsia="zh-CN"/>
              </w:rPr>
              <w:t>、PM</w:t>
            </w:r>
            <w:r>
              <w:rPr>
                <w:rFonts w:hint="eastAsia" w:ascii="Times New Roman" w:hAnsi="Times New Roman" w:eastAsia="宋体" w:cs="Times New Roman"/>
                <w:color w:val="auto"/>
                <w:sz w:val="24"/>
                <w:highlight w:val="none"/>
                <w:u w:val="none"/>
                <w:vertAlign w:val="subscript"/>
                <w:lang w:val="en-US" w:eastAsia="zh-CN"/>
              </w:rPr>
              <w:t>10</w:t>
            </w:r>
            <w:r>
              <w:rPr>
                <w:rFonts w:hint="eastAsia" w:ascii="Times New Roman" w:hAnsi="Times New Roman" w:eastAsia="宋体" w:cs="Times New Roman"/>
                <w:color w:val="auto"/>
                <w:sz w:val="24"/>
                <w:highlight w:val="none"/>
                <w:u w:val="none"/>
                <w:lang w:val="en-US" w:eastAsia="zh-CN"/>
              </w:rPr>
              <w:t>、CO、O</w:t>
            </w:r>
            <w:r>
              <w:rPr>
                <w:rFonts w:hint="eastAsia" w:ascii="Times New Roman" w:hAnsi="Times New Roman" w:eastAsia="宋体" w:cs="Times New Roman"/>
                <w:color w:val="auto"/>
                <w:sz w:val="24"/>
                <w:highlight w:val="none"/>
                <w:u w:val="none"/>
                <w:vertAlign w:val="subscript"/>
                <w:lang w:val="en-US" w:eastAsia="zh-CN"/>
              </w:rPr>
              <w:t>3</w:t>
            </w:r>
            <w:r>
              <w:rPr>
                <w:rFonts w:hint="eastAsia" w:ascii="Times New Roman" w:hAnsi="Times New Roman" w:eastAsia="宋体" w:cs="Times New Roman"/>
                <w:color w:val="auto"/>
                <w:sz w:val="24"/>
                <w:highlight w:val="none"/>
                <w:u w:val="none"/>
                <w:lang w:val="en-US" w:eastAsia="zh-CN"/>
              </w:rPr>
              <w:t>、PM</w:t>
            </w:r>
            <w:r>
              <w:rPr>
                <w:rFonts w:hint="eastAsia" w:ascii="Times New Roman" w:hAnsi="Times New Roman" w:eastAsia="宋体" w:cs="Times New Roman"/>
                <w:color w:val="auto"/>
                <w:sz w:val="24"/>
                <w:highlight w:val="none"/>
                <w:u w:val="none"/>
                <w:vertAlign w:val="subscript"/>
                <w:lang w:val="en-US" w:eastAsia="zh-CN"/>
              </w:rPr>
              <w:t>2.5</w:t>
            </w:r>
            <w:r>
              <w:rPr>
                <w:rFonts w:hint="eastAsia" w:ascii="Times New Roman" w:hAnsi="Times New Roman" w:eastAsia="宋体" w:cs="Times New Roman"/>
                <w:color w:val="auto"/>
                <w:sz w:val="24"/>
                <w:highlight w:val="none"/>
                <w:u w:val="none"/>
                <w:lang w:val="en-US" w:eastAsia="zh-CN"/>
              </w:rPr>
              <w:t>均可满足《环境空气质量标准》（GB3095-2012）中二类区相应的标准限值，区域环境空气质量良好。</w:t>
            </w:r>
          </w:p>
          <w:p w14:paraId="3C42A240">
            <w:pPr>
              <w:widowControl/>
              <w:spacing w:line="360" w:lineRule="auto"/>
              <w:ind w:firstLine="482" w:firstLineChars="200"/>
              <w:jc w:val="left"/>
              <w:rPr>
                <w:rFonts w:hint="default"/>
                <w:b/>
                <w:bCs/>
                <w:sz w:val="24"/>
                <w:u w:val="single"/>
                <w:lang w:val="en-US"/>
              </w:rPr>
            </w:pPr>
            <w:r>
              <w:rPr>
                <w:rFonts w:hint="eastAsia"/>
                <w:b/>
                <w:bCs/>
                <w:sz w:val="24"/>
                <w:u w:val="single"/>
                <w:lang w:val="en-US" w:eastAsia="zh-CN"/>
              </w:rPr>
              <w:t>3.1.2特征污染物达标情况</w:t>
            </w:r>
          </w:p>
          <w:p w14:paraId="049CB510">
            <w:pPr>
              <w:numPr>
                <w:ilvl w:val="0"/>
                <w:numId w:val="0"/>
              </w:numPr>
              <w:autoSpaceDE w:val="0"/>
              <w:autoSpaceDN w:val="0"/>
              <w:adjustRightInd w:val="0"/>
              <w:spacing w:line="360" w:lineRule="auto"/>
              <w:ind w:firstLine="480" w:firstLineChars="200"/>
              <w:rPr>
                <w:rFonts w:hint="default"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依据《建设项目环境影响报告表编制技术指南》（污染影响类）（试行）：排放国家、地方环境空气质量标准中有标准限值要求的特征污染物时，引用建设项目周边5千米范围内近3年的现有监测数据，无相关数据的选择当季主导风向下风向1</w:t>
            </w:r>
            <w:r>
              <w:rPr>
                <w:rFonts w:hint="eastAsia" w:cs="Times New Roman"/>
                <w:color w:val="auto"/>
                <w:sz w:val="24"/>
                <w:highlight w:val="none"/>
                <w:u w:val="single"/>
                <w:lang w:val="en-US" w:eastAsia="zh-CN"/>
              </w:rPr>
              <w:t>个</w:t>
            </w:r>
            <w:r>
              <w:rPr>
                <w:rFonts w:hint="eastAsia" w:ascii="Times New Roman" w:hAnsi="Times New Roman" w:eastAsia="宋体" w:cs="Times New Roman"/>
                <w:color w:val="auto"/>
                <w:sz w:val="24"/>
                <w:highlight w:val="none"/>
                <w:u w:val="single"/>
                <w:lang w:val="en-US" w:eastAsia="zh-CN"/>
              </w:rPr>
              <w:t>点位补充不少于3天的监测数据。本项目排放的特征污染物主要为VOCs</w:t>
            </w:r>
            <w:r>
              <w:rPr>
                <w:rFonts w:hint="eastAsia" w:cs="Times New Roman"/>
                <w:color w:val="auto"/>
                <w:sz w:val="24"/>
                <w:highlight w:val="none"/>
                <w:u w:val="single"/>
                <w:lang w:val="en-US" w:eastAsia="zh-CN"/>
              </w:rPr>
              <w:t>（非甲烷总烃计）</w:t>
            </w:r>
            <w:r>
              <w:rPr>
                <w:rFonts w:hint="eastAsia" w:ascii="Times New Roman" w:hAnsi="Times New Roman" w:eastAsia="宋体" w:cs="Times New Roman"/>
                <w:color w:val="auto"/>
                <w:sz w:val="24"/>
                <w:highlight w:val="none"/>
                <w:u w:val="single"/>
                <w:lang w:val="en-US" w:eastAsia="zh-CN"/>
              </w:rPr>
              <w:t>和TSP。为了解本项目特征因子质量现状，</w:t>
            </w:r>
            <w:r>
              <w:rPr>
                <w:rFonts w:hint="eastAsia" w:cs="Times New Roman"/>
                <w:color w:val="auto"/>
                <w:sz w:val="24"/>
                <w:highlight w:val="none"/>
                <w:u w:val="single"/>
                <w:lang w:val="en-US" w:eastAsia="zh-CN"/>
              </w:rPr>
              <w:t>非甲烷总烃</w:t>
            </w:r>
            <w:r>
              <w:rPr>
                <w:rFonts w:hint="eastAsia" w:ascii="Times New Roman" w:hAnsi="Times New Roman" w:eastAsia="宋体" w:cs="Times New Roman"/>
                <w:color w:val="auto"/>
                <w:sz w:val="24"/>
                <w:highlight w:val="none"/>
                <w:u w:val="single"/>
                <w:lang w:val="en-US" w:eastAsia="zh-CN"/>
              </w:rPr>
              <w:t>引用</w:t>
            </w:r>
            <w:r>
              <w:rPr>
                <w:rFonts w:hint="eastAsia"/>
                <w:sz w:val="24"/>
                <w:u w:val="single"/>
              </w:rPr>
              <w:t>《湖南立点科技有限公司消费电子产品制造项目环评报告书》</w:t>
            </w:r>
            <w:r>
              <w:rPr>
                <w:rFonts w:hint="eastAsia" w:ascii="Times New Roman" w:hAnsi="Times New Roman" w:eastAsia="宋体" w:cs="Times New Roman"/>
                <w:color w:val="auto"/>
                <w:sz w:val="24"/>
                <w:highlight w:val="none"/>
                <w:u w:val="single"/>
                <w:lang w:val="en-US" w:eastAsia="zh-CN"/>
              </w:rPr>
              <w:t>中委托</w:t>
            </w:r>
            <w:r>
              <w:rPr>
                <w:rFonts w:ascii="Times New Roman" w:eastAsia="宋体"/>
                <w:sz w:val="24"/>
                <w:u w:val="single"/>
              </w:rPr>
              <w:t>湖南昌旭环保科技有限公司</w:t>
            </w:r>
            <w:r>
              <w:rPr>
                <w:rFonts w:hint="eastAsia" w:ascii="Times New Roman" w:hAnsi="Times New Roman" w:eastAsia="宋体" w:cs="Times New Roman"/>
                <w:color w:val="auto"/>
                <w:sz w:val="24"/>
                <w:highlight w:val="none"/>
                <w:u w:val="single"/>
                <w:lang w:val="en-US" w:eastAsia="zh-CN"/>
              </w:rPr>
              <w:t>于2023年</w:t>
            </w:r>
            <w:r>
              <w:rPr>
                <w:rFonts w:hint="eastAsia" w:cs="Times New Roman"/>
                <w:color w:val="auto"/>
                <w:sz w:val="24"/>
                <w:highlight w:val="none"/>
                <w:u w:val="single"/>
                <w:lang w:val="en-US" w:eastAsia="zh-CN"/>
              </w:rPr>
              <w:t>5</w:t>
            </w:r>
            <w:r>
              <w:rPr>
                <w:rFonts w:hint="eastAsia" w:ascii="Times New Roman" w:hAnsi="Times New Roman" w:eastAsia="宋体" w:cs="Times New Roman"/>
                <w:color w:val="auto"/>
                <w:sz w:val="24"/>
                <w:highlight w:val="none"/>
                <w:u w:val="single"/>
                <w:lang w:val="en-US" w:eastAsia="zh-CN"/>
              </w:rPr>
              <w:t>月</w:t>
            </w:r>
            <w:r>
              <w:rPr>
                <w:rFonts w:hint="eastAsia" w:cs="Times New Roman"/>
                <w:color w:val="auto"/>
                <w:sz w:val="24"/>
                <w:highlight w:val="none"/>
                <w:u w:val="single"/>
                <w:lang w:val="en-US" w:eastAsia="zh-CN"/>
              </w:rPr>
              <w:t>21</w:t>
            </w:r>
            <w:r>
              <w:rPr>
                <w:rFonts w:hint="eastAsia" w:ascii="Times New Roman" w:hAnsi="Times New Roman" w:eastAsia="宋体" w:cs="Times New Roman"/>
                <w:color w:val="auto"/>
                <w:sz w:val="24"/>
                <w:highlight w:val="none"/>
                <w:u w:val="single"/>
                <w:lang w:val="en-US" w:eastAsia="zh-CN"/>
              </w:rPr>
              <w:t>日-</w:t>
            </w:r>
            <w:r>
              <w:rPr>
                <w:rFonts w:hint="eastAsia" w:cs="Times New Roman"/>
                <w:color w:val="auto"/>
                <w:sz w:val="24"/>
                <w:highlight w:val="none"/>
                <w:u w:val="single"/>
                <w:lang w:val="en-US" w:eastAsia="zh-CN"/>
              </w:rPr>
              <w:t>5</w:t>
            </w:r>
            <w:r>
              <w:rPr>
                <w:rFonts w:hint="eastAsia" w:ascii="Times New Roman" w:hAnsi="Times New Roman" w:eastAsia="宋体" w:cs="Times New Roman"/>
                <w:color w:val="auto"/>
                <w:sz w:val="24"/>
                <w:highlight w:val="none"/>
                <w:u w:val="single"/>
                <w:lang w:val="en-US" w:eastAsia="zh-CN"/>
              </w:rPr>
              <w:t>月2</w:t>
            </w:r>
            <w:r>
              <w:rPr>
                <w:rFonts w:hint="eastAsia" w:cs="Times New Roman"/>
                <w:color w:val="auto"/>
                <w:sz w:val="24"/>
                <w:highlight w:val="none"/>
                <w:u w:val="single"/>
                <w:lang w:val="en-US" w:eastAsia="zh-CN"/>
              </w:rPr>
              <w:t>7</w:t>
            </w:r>
            <w:r>
              <w:rPr>
                <w:rFonts w:hint="eastAsia" w:ascii="Times New Roman" w:hAnsi="Times New Roman" w:eastAsia="宋体" w:cs="Times New Roman"/>
                <w:color w:val="auto"/>
                <w:sz w:val="24"/>
                <w:highlight w:val="none"/>
                <w:u w:val="single"/>
                <w:lang w:val="en-US" w:eastAsia="zh-CN"/>
              </w:rPr>
              <w:t>日开展的环境质量</w:t>
            </w:r>
            <w:r>
              <w:rPr>
                <w:rFonts w:hint="eastAsia" w:cs="Times New Roman"/>
                <w:color w:val="auto"/>
                <w:sz w:val="24"/>
                <w:highlight w:val="none"/>
                <w:u w:val="single"/>
                <w:lang w:val="en-US" w:eastAsia="zh-CN"/>
              </w:rPr>
              <w:t>现状监测，引用监测点位G2位于项目西南侧4460m处零散居民点，根据《建设项目环境影响报告表编制技术指南》（污染影响类）（试行）相关要求，非甲烷总烃引用数据可行。</w:t>
            </w:r>
          </w:p>
          <w:p w14:paraId="78CABD50">
            <w:pPr>
              <w:widowControl/>
              <w:ind w:firstLine="422" w:firstLineChars="200"/>
              <w:jc w:val="center"/>
              <w:rPr>
                <w:b/>
                <w:bCs/>
                <w:color w:val="auto"/>
                <w:highlight w:val="none"/>
                <w:u w:val="single"/>
              </w:rPr>
            </w:pPr>
            <w:r>
              <w:rPr>
                <w:b/>
                <w:bCs/>
                <w:color w:val="auto"/>
                <w:highlight w:val="none"/>
                <w:u w:val="single"/>
              </w:rPr>
              <w:t>表3-</w:t>
            </w:r>
            <w:r>
              <w:rPr>
                <w:rFonts w:hint="eastAsia"/>
                <w:b/>
                <w:bCs/>
                <w:color w:val="auto"/>
                <w:highlight w:val="none"/>
                <w:u w:val="single"/>
                <w:lang w:val="en-US" w:eastAsia="zh-CN"/>
              </w:rPr>
              <w:t>2</w:t>
            </w:r>
            <w:r>
              <w:rPr>
                <w:b/>
                <w:bCs/>
                <w:color w:val="auto"/>
                <w:highlight w:val="none"/>
                <w:u w:val="single"/>
              </w:rPr>
              <w:t xml:space="preserve">   </w:t>
            </w:r>
            <w:r>
              <w:rPr>
                <w:rFonts w:hint="eastAsia"/>
                <w:b/>
                <w:bCs/>
                <w:color w:val="auto"/>
                <w:highlight w:val="none"/>
                <w:u w:val="single"/>
                <w:lang w:val="en-US" w:eastAsia="zh-CN"/>
              </w:rPr>
              <w:t>非甲烷总烃</w:t>
            </w:r>
            <w:r>
              <w:rPr>
                <w:b/>
                <w:bCs/>
                <w:color w:val="auto"/>
                <w:highlight w:val="none"/>
                <w:u w:val="single"/>
              </w:rPr>
              <w:t>现状监测结果表   单位（ μg/m</w:t>
            </w:r>
            <w:r>
              <w:rPr>
                <w:b/>
                <w:bCs/>
                <w:color w:val="auto"/>
                <w:highlight w:val="none"/>
                <w:u w:val="single"/>
                <w:vertAlign w:val="superscript"/>
              </w:rPr>
              <w:t>3</w:t>
            </w:r>
            <w:r>
              <w:rPr>
                <w:b/>
                <w:bCs/>
                <w:color w:val="auto"/>
                <w:highlight w:val="none"/>
                <w:u w:val="single"/>
              </w:rPr>
              <w:t>）</w:t>
            </w:r>
          </w:p>
          <w:tbl>
            <w:tblPr>
              <w:tblStyle w:val="21"/>
              <w:tblW w:w="4423" w:type="pct"/>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1421"/>
              <w:gridCol w:w="856"/>
              <w:gridCol w:w="1135"/>
              <w:gridCol w:w="3362"/>
            </w:tblGrid>
            <w:tr w14:paraId="458D628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81" w:hRule="atLeast"/>
                <w:jc w:val="center"/>
              </w:trPr>
              <w:tc>
                <w:tcPr>
                  <w:tcW w:w="1582" w:type="dxa"/>
                  <w:vMerge w:val="restart"/>
                  <w:tcBorders>
                    <w:tl2br w:val="nil"/>
                    <w:tr2bl w:val="nil"/>
                  </w:tcBorders>
                  <w:vAlign w:val="center"/>
                </w:tcPr>
                <w:p w14:paraId="584CD029">
                  <w:pPr>
                    <w:spacing w:line="240" w:lineRule="auto"/>
                    <w:ind w:firstLine="0" w:firstLineChars="0"/>
                    <w:contextualSpacing/>
                    <w:jc w:val="center"/>
                    <w:rPr>
                      <w:rFonts w:ascii="Times New Roman" w:eastAsiaTheme="minorEastAsia"/>
                      <w:sz w:val="21"/>
                      <w:szCs w:val="21"/>
                      <w:u w:val="single"/>
                    </w:rPr>
                  </w:pPr>
                  <w:r>
                    <w:rPr>
                      <w:rFonts w:ascii="Times New Roman" w:eastAsiaTheme="minorEastAsia"/>
                      <w:sz w:val="21"/>
                      <w:szCs w:val="21"/>
                      <w:u w:val="single"/>
                    </w:rPr>
                    <w:t>点位名称</w:t>
                  </w:r>
                </w:p>
              </w:tc>
              <w:tc>
                <w:tcPr>
                  <w:tcW w:w="2216" w:type="dxa"/>
                  <w:gridSpan w:val="2"/>
                  <w:vMerge w:val="restart"/>
                  <w:tcBorders>
                    <w:tl2br w:val="nil"/>
                    <w:tr2bl w:val="nil"/>
                  </w:tcBorders>
                  <w:vAlign w:val="center"/>
                </w:tcPr>
                <w:p w14:paraId="1C407EDB">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检测日期</w:t>
                  </w:r>
                </w:p>
              </w:tc>
              <w:tc>
                <w:tcPr>
                  <w:tcW w:w="3742" w:type="dxa"/>
                  <w:tcBorders>
                    <w:tl2br w:val="nil"/>
                    <w:tr2bl w:val="nil"/>
                  </w:tcBorders>
                  <w:vAlign w:val="center"/>
                </w:tcPr>
                <w:p w14:paraId="6951ACFC">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检测结果（μg/m</w:t>
                  </w:r>
                  <w:r>
                    <w:rPr>
                      <w:rFonts w:ascii="Times New Roman" w:eastAsiaTheme="minorEastAsia"/>
                      <w:sz w:val="21"/>
                      <w:szCs w:val="21"/>
                      <w:u w:val="single"/>
                      <w:vertAlign w:val="superscript"/>
                    </w:rPr>
                    <w:t>3</w:t>
                  </w:r>
                  <w:r>
                    <w:rPr>
                      <w:rFonts w:ascii="Times New Roman" w:eastAsiaTheme="minorEastAsia"/>
                      <w:sz w:val="21"/>
                      <w:szCs w:val="21"/>
                      <w:u w:val="single"/>
                    </w:rPr>
                    <w:t>）</w:t>
                  </w:r>
                </w:p>
              </w:tc>
            </w:tr>
            <w:tr w14:paraId="0828334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6583837E">
                  <w:pPr>
                    <w:spacing w:line="240" w:lineRule="auto"/>
                    <w:ind w:firstLine="0" w:firstLineChars="0"/>
                    <w:jc w:val="center"/>
                    <w:rPr>
                      <w:u w:val="single"/>
                    </w:rPr>
                  </w:pPr>
                </w:p>
              </w:tc>
              <w:tc>
                <w:tcPr>
                  <w:tcW w:w="2216" w:type="dxa"/>
                  <w:gridSpan w:val="2"/>
                  <w:vMerge w:val="continue"/>
                  <w:tcBorders>
                    <w:tl2br w:val="nil"/>
                    <w:tr2bl w:val="nil"/>
                  </w:tcBorders>
                  <w:vAlign w:val="center"/>
                </w:tcPr>
                <w:p w14:paraId="4E59A88E">
                  <w:pPr>
                    <w:spacing w:line="240" w:lineRule="auto"/>
                    <w:ind w:firstLine="0" w:firstLineChars="0"/>
                    <w:jc w:val="center"/>
                    <w:rPr>
                      <w:rFonts w:ascii="Times New Roman" w:eastAsiaTheme="minorEastAsia"/>
                      <w:sz w:val="21"/>
                      <w:szCs w:val="21"/>
                      <w:u w:val="single"/>
                    </w:rPr>
                  </w:pPr>
                </w:p>
              </w:tc>
              <w:tc>
                <w:tcPr>
                  <w:tcW w:w="3742" w:type="dxa"/>
                  <w:tcBorders>
                    <w:tl2br w:val="nil"/>
                    <w:tr2bl w:val="nil"/>
                  </w:tcBorders>
                  <w:vAlign w:val="center"/>
                </w:tcPr>
                <w:p w14:paraId="6B3EFF3B">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非甲烷总烃（mg/m</w:t>
                  </w:r>
                  <w:r>
                    <w:rPr>
                      <w:rFonts w:ascii="Times New Roman" w:eastAsiaTheme="minorEastAsia"/>
                      <w:sz w:val="21"/>
                      <w:szCs w:val="21"/>
                      <w:u w:val="single"/>
                      <w:vertAlign w:val="superscript"/>
                    </w:rPr>
                    <w:t>3</w:t>
                  </w:r>
                  <w:r>
                    <w:rPr>
                      <w:rFonts w:ascii="Times New Roman" w:eastAsiaTheme="minorEastAsia"/>
                      <w:sz w:val="21"/>
                      <w:szCs w:val="21"/>
                      <w:u w:val="single"/>
                    </w:rPr>
                    <w:t>）</w:t>
                  </w:r>
                </w:p>
              </w:tc>
            </w:tr>
            <w:tr w14:paraId="1395F33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restart"/>
                  <w:tcBorders>
                    <w:tl2br w:val="nil"/>
                    <w:tr2bl w:val="nil"/>
                  </w:tcBorders>
                  <w:vAlign w:val="center"/>
                </w:tcPr>
                <w:p w14:paraId="299EE931">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项目西南侧居民点G2</w:t>
                  </w:r>
                </w:p>
              </w:tc>
              <w:tc>
                <w:tcPr>
                  <w:tcW w:w="953" w:type="dxa"/>
                  <w:vMerge w:val="restart"/>
                  <w:tcBorders>
                    <w:tl2br w:val="nil"/>
                    <w:tr2bl w:val="nil"/>
                  </w:tcBorders>
                  <w:vAlign w:val="center"/>
                </w:tcPr>
                <w:p w14:paraId="4C659DE6">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2023.05.21</w:t>
                  </w:r>
                </w:p>
              </w:tc>
              <w:tc>
                <w:tcPr>
                  <w:tcW w:w="1263" w:type="dxa"/>
                  <w:tcBorders>
                    <w:tl2br w:val="nil"/>
                    <w:tr2bl w:val="nil"/>
                  </w:tcBorders>
                  <w:vAlign w:val="center"/>
                </w:tcPr>
                <w:p w14:paraId="1076D3CB">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第一次</w:t>
                  </w:r>
                </w:p>
              </w:tc>
              <w:tc>
                <w:tcPr>
                  <w:tcW w:w="3742" w:type="dxa"/>
                  <w:tcBorders>
                    <w:tl2br w:val="nil"/>
                    <w:tr2bl w:val="nil"/>
                  </w:tcBorders>
                  <w:vAlign w:val="center"/>
                </w:tcPr>
                <w:p w14:paraId="1DC27D83">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0.49</w:t>
                  </w:r>
                </w:p>
              </w:tc>
            </w:tr>
            <w:tr w14:paraId="274E02F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32967751">
                  <w:pPr>
                    <w:spacing w:line="240" w:lineRule="auto"/>
                    <w:ind w:firstLine="0" w:firstLineChars="0"/>
                    <w:jc w:val="center"/>
                    <w:rPr>
                      <w:rFonts w:ascii="Times New Roman" w:eastAsiaTheme="minorEastAsia"/>
                      <w:sz w:val="21"/>
                      <w:szCs w:val="21"/>
                      <w:u w:val="single"/>
                    </w:rPr>
                  </w:pPr>
                </w:p>
              </w:tc>
              <w:tc>
                <w:tcPr>
                  <w:tcW w:w="953" w:type="dxa"/>
                  <w:vMerge w:val="continue"/>
                  <w:tcBorders>
                    <w:tl2br w:val="nil"/>
                    <w:tr2bl w:val="nil"/>
                  </w:tcBorders>
                  <w:vAlign w:val="center"/>
                </w:tcPr>
                <w:p w14:paraId="75F6E725">
                  <w:pPr>
                    <w:spacing w:line="240" w:lineRule="auto"/>
                    <w:ind w:firstLine="0" w:firstLineChars="0"/>
                    <w:jc w:val="center"/>
                    <w:rPr>
                      <w:rFonts w:ascii="Times New Roman" w:eastAsiaTheme="minorEastAsia"/>
                      <w:sz w:val="21"/>
                      <w:szCs w:val="21"/>
                      <w:u w:val="single"/>
                    </w:rPr>
                  </w:pPr>
                </w:p>
              </w:tc>
              <w:tc>
                <w:tcPr>
                  <w:tcW w:w="1263" w:type="dxa"/>
                  <w:tcBorders>
                    <w:tl2br w:val="nil"/>
                    <w:tr2bl w:val="nil"/>
                  </w:tcBorders>
                  <w:vAlign w:val="center"/>
                </w:tcPr>
                <w:p w14:paraId="7FB485EC">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第二次</w:t>
                  </w:r>
                </w:p>
              </w:tc>
              <w:tc>
                <w:tcPr>
                  <w:tcW w:w="3742" w:type="dxa"/>
                  <w:tcBorders>
                    <w:tl2br w:val="nil"/>
                    <w:tr2bl w:val="nil"/>
                  </w:tcBorders>
                  <w:vAlign w:val="center"/>
                </w:tcPr>
                <w:p w14:paraId="06079C1D">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0.47</w:t>
                  </w:r>
                </w:p>
              </w:tc>
            </w:tr>
            <w:tr w14:paraId="5BF659D1">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287446BE">
                  <w:pPr>
                    <w:spacing w:line="240" w:lineRule="auto"/>
                    <w:ind w:firstLine="0" w:firstLineChars="0"/>
                    <w:jc w:val="center"/>
                    <w:rPr>
                      <w:rFonts w:ascii="Times New Roman" w:eastAsiaTheme="minorEastAsia"/>
                      <w:sz w:val="21"/>
                      <w:szCs w:val="21"/>
                      <w:u w:val="single"/>
                    </w:rPr>
                  </w:pPr>
                </w:p>
              </w:tc>
              <w:tc>
                <w:tcPr>
                  <w:tcW w:w="953" w:type="dxa"/>
                  <w:vMerge w:val="continue"/>
                  <w:tcBorders>
                    <w:tl2br w:val="nil"/>
                    <w:tr2bl w:val="nil"/>
                  </w:tcBorders>
                  <w:vAlign w:val="center"/>
                </w:tcPr>
                <w:p w14:paraId="4F51A3A5">
                  <w:pPr>
                    <w:spacing w:line="240" w:lineRule="auto"/>
                    <w:ind w:firstLine="0" w:firstLineChars="0"/>
                    <w:jc w:val="center"/>
                    <w:rPr>
                      <w:rFonts w:ascii="Times New Roman" w:eastAsiaTheme="minorEastAsia"/>
                      <w:sz w:val="21"/>
                      <w:szCs w:val="21"/>
                      <w:u w:val="single"/>
                    </w:rPr>
                  </w:pPr>
                </w:p>
              </w:tc>
              <w:tc>
                <w:tcPr>
                  <w:tcW w:w="1263" w:type="dxa"/>
                  <w:tcBorders>
                    <w:tl2br w:val="nil"/>
                    <w:tr2bl w:val="nil"/>
                  </w:tcBorders>
                  <w:vAlign w:val="center"/>
                </w:tcPr>
                <w:p w14:paraId="2158DFFA">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第三次</w:t>
                  </w:r>
                </w:p>
              </w:tc>
              <w:tc>
                <w:tcPr>
                  <w:tcW w:w="3742" w:type="dxa"/>
                  <w:tcBorders>
                    <w:tl2br w:val="nil"/>
                    <w:tr2bl w:val="nil"/>
                  </w:tcBorders>
                  <w:vAlign w:val="center"/>
                </w:tcPr>
                <w:p w14:paraId="64AB74CB">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0.53</w:t>
                  </w:r>
                </w:p>
              </w:tc>
            </w:tr>
            <w:tr w14:paraId="69E0B25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2244E2ED">
                  <w:pPr>
                    <w:spacing w:line="240" w:lineRule="auto"/>
                    <w:ind w:firstLine="0" w:firstLineChars="0"/>
                    <w:jc w:val="center"/>
                    <w:rPr>
                      <w:rFonts w:ascii="Times New Roman" w:eastAsiaTheme="minorEastAsia"/>
                      <w:sz w:val="21"/>
                      <w:szCs w:val="21"/>
                      <w:u w:val="single"/>
                    </w:rPr>
                  </w:pPr>
                </w:p>
              </w:tc>
              <w:tc>
                <w:tcPr>
                  <w:tcW w:w="953" w:type="dxa"/>
                  <w:vMerge w:val="continue"/>
                  <w:tcBorders>
                    <w:tl2br w:val="nil"/>
                    <w:tr2bl w:val="nil"/>
                  </w:tcBorders>
                  <w:vAlign w:val="center"/>
                </w:tcPr>
                <w:p w14:paraId="706C75A6">
                  <w:pPr>
                    <w:spacing w:line="240" w:lineRule="auto"/>
                    <w:ind w:firstLine="0" w:firstLineChars="0"/>
                    <w:jc w:val="center"/>
                    <w:rPr>
                      <w:rFonts w:ascii="Times New Roman" w:eastAsiaTheme="minorEastAsia"/>
                      <w:sz w:val="21"/>
                      <w:szCs w:val="21"/>
                      <w:u w:val="single"/>
                    </w:rPr>
                  </w:pPr>
                </w:p>
              </w:tc>
              <w:tc>
                <w:tcPr>
                  <w:tcW w:w="1263" w:type="dxa"/>
                  <w:tcBorders>
                    <w:tl2br w:val="nil"/>
                    <w:tr2bl w:val="nil"/>
                  </w:tcBorders>
                  <w:vAlign w:val="center"/>
                </w:tcPr>
                <w:p w14:paraId="1F1116FA">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第四次</w:t>
                  </w:r>
                </w:p>
              </w:tc>
              <w:tc>
                <w:tcPr>
                  <w:tcW w:w="3742" w:type="dxa"/>
                  <w:tcBorders>
                    <w:tl2br w:val="nil"/>
                    <w:tr2bl w:val="nil"/>
                  </w:tcBorders>
                  <w:vAlign w:val="center"/>
                </w:tcPr>
                <w:p w14:paraId="2D77123F">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0.56</w:t>
                  </w:r>
                </w:p>
              </w:tc>
            </w:tr>
            <w:tr w14:paraId="52749CF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7597FE76">
                  <w:pPr>
                    <w:spacing w:line="240" w:lineRule="auto"/>
                    <w:ind w:firstLine="0" w:firstLineChars="0"/>
                    <w:jc w:val="center"/>
                    <w:rPr>
                      <w:rFonts w:ascii="Times New Roman" w:eastAsiaTheme="minorEastAsia"/>
                      <w:sz w:val="21"/>
                      <w:szCs w:val="21"/>
                      <w:u w:val="single"/>
                    </w:rPr>
                  </w:pPr>
                </w:p>
              </w:tc>
              <w:tc>
                <w:tcPr>
                  <w:tcW w:w="953" w:type="dxa"/>
                  <w:vMerge w:val="restart"/>
                  <w:tcBorders>
                    <w:tl2br w:val="nil"/>
                    <w:tr2bl w:val="nil"/>
                  </w:tcBorders>
                  <w:vAlign w:val="center"/>
                </w:tcPr>
                <w:p w14:paraId="5BDED2E2">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2023.05.22</w:t>
                  </w:r>
                </w:p>
              </w:tc>
              <w:tc>
                <w:tcPr>
                  <w:tcW w:w="1263" w:type="dxa"/>
                  <w:tcBorders>
                    <w:tl2br w:val="nil"/>
                    <w:tr2bl w:val="nil"/>
                  </w:tcBorders>
                  <w:vAlign w:val="center"/>
                </w:tcPr>
                <w:p w14:paraId="69D70E8A">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第一次</w:t>
                  </w:r>
                </w:p>
              </w:tc>
              <w:tc>
                <w:tcPr>
                  <w:tcW w:w="3742" w:type="dxa"/>
                  <w:tcBorders>
                    <w:tl2br w:val="nil"/>
                    <w:tr2bl w:val="nil"/>
                  </w:tcBorders>
                  <w:vAlign w:val="center"/>
                </w:tcPr>
                <w:p w14:paraId="6B0494C9">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0.48</w:t>
                  </w:r>
                </w:p>
              </w:tc>
            </w:tr>
            <w:tr w14:paraId="441A2B2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68956F28">
                  <w:pPr>
                    <w:spacing w:line="240" w:lineRule="auto"/>
                    <w:ind w:firstLine="0" w:firstLineChars="0"/>
                    <w:jc w:val="center"/>
                    <w:rPr>
                      <w:rFonts w:ascii="Times New Roman" w:eastAsiaTheme="minorEastAsia"/>
                      <w:sz w:val="21"/>
                      <w:szCs w:val="21"/>
                      <w:u w:val="single"/>
                    </w:rPr>
                  </w:pPr>
                </w:p>
              </w:tc>
              <w:tc>
                <w:tcPr>
                  <w:tcW w:w="953" w:type="dxa"/>
                  <w:vMerge w:val="continue"/>
                  <w:tcBorders>
                    <w:tl2br w:val="nil"/>
                    <w:tr2bl w:val="nil"/>
                  </w:tcBorders>
                  <w:vAlign w:val="center"/>
                </w:tcPr>
                <w:p w14:paraId="29F64938">
                  <w:pPr>
                    <w:spacing w:line="240" w:lineRule="auto"/>
                    <w:ind w:firstLine="0" w:firstLineChars="0"/>
                    <w:jc w:val="center"/>
                    <w:rPr>
                      <w:rFonts w:ascii="Times New Roman" w:eastAsiaTheme="minorEastAsia"/>
                      <w:sz w:val="21"/>
                      <w:szCs w:val="21"/>
                      <w:u w:val="single"/>
                    </w:rPr>
                  </w:pPr>
                </w:p>
              </w:tc>
              <w:tc>
                <w:tcPr>
                  <w:tcW w:w="1263" w:type="dxa"/>
                  <w:tcBorders>
                    <w:tl2br w:val="nil"/>
                    <w:tr2bl w:val="nil"/>
                  </w:tcBorders>
                  <w:vAlign w:val="center"/>
                </w:tcPr>
                <w:p w14:paraId="310124E7">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第二次</w:t>
                  </w:r>
                </w:p>
              </w:tc>
              <w:tc>
                <w:tcPr>
                  <w:tcW w:w="3742" w:type="dxa"/>
                  <w:tcBorders>
                    <w:tl2br w:val="nil"/>
                    <w:tr2bl w:val="nil"/>
                  </w:tcBorders>
                  <w:vAlign w:val="center"/>
                </w:tcPr>
                <w:p w14:paraId="1EFCA611">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0.54</w:t>
                  </w:r>
                </w:p>
              </w:tc>
            </w:tr>
            <w:tr w14:paraId="3B7266BA">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19841CD6">
                  <w:pPr>
                    <w:spacing w:line="240" w:lineRule="auto"/>
                    <w:ind w:firstLine="0" w:firstLineChars="0"/>
                    <w:jc w:val="center"/>
                    <w:rPr>
                      <w:rFonts w:ascii="Times New Roman" w:eastAsiaTheme="minorEastAsia"/>
                      <w:sz w:val="21"/>
                      <w:szCs w:val="21"/>
                      <w:u w:val="single"/>
                    </w:rPr>
                  </w:pPr>
                </w:p>
              </w:tc>
              <w:tc>
                <w:tcPr>
                  <w:tcW w:w="953" w:type="dxa"/>
                  <w:vMerge w:val="continue"/>
                  <w:tcBorders>
                    <w:tl2br w:val="nil"/>
                    <w:tr2bl w:val="nil"/>
                  </w:tcBorders>
                  <w:vAlign w:val="center"/>
                </w:tcPr>
                <w:p w14:paraId="0C95C2B3">
                  <w:pPr>
                    <w:spacing w:line="240" w:lineRule="auto"/>
                    <w:ind w:firstLine="0" w:firstLineChars="0"/>
                    <w:jc w:val="center"/>
                    <w:rPr>
                      <w:rFonts w:ascii="Times New Roman" w:eastAsiaTheme="minorEastAsia"/>
                      <w:sz w:val="21"/>
                      <w:szCs w:val="21"/>
                      <w:u w:val="single"/>
                    </w:rPr>
                  </w:pPr>
                </w:p>
              </w:tc>
              <w:tc>
                <w:tcPr>
                  <w:tcW w:w="1263" w:type="dxa"/>
                  <w:tcBorders>
                    <w:tl2br w:val="nil"/>
                    <w:tr2bl w:val="nil"/>
                  </w:tcBorders>
                  <w:vAlign w:val="center"/>
                </w:tcPr>
                <w:p w14:paraId="033FA2E3">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第三次</w:t>
                  </w:r>
                </w:p>
              </w:tc>
              <w:tc>
                <w:tcPr>
                  <w:tcW w:w="3742" w:type="dxa"/>
                  <w:tcBorders>
                    <w:tl2br w:val="nil"/>
                    <w:tr2bl w:val="nil"/>
                  </w:tcBorders>
                  <w:vAlign w:val="center"/>
                </w:tcPr>
                <w:p w14:paraId="08236F58">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0.57</w:t>
                  </w:r>
                </w:p>
              </w:tc>
            </w:tr>
            <w:tr w14:paraId="291D3FD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4BD723D1">
                  <w:pPr>
                    <w:spacing w:line="240" w:lineRule="auto"/>
                    <w:ind w:firstLine="0" w:firstLineChars="0"/>
                    <w:jc w:val="center"/>
                    <w:rPr>
                      <w:rFonts w:ascii="Times New Roman" w:eastAsiaTheme="minorEastAsia"/>
                      <w:sz w:val="21"/>
                      <w:szCs w:val="21"/>
                      <w:u w:val="single"/>
                    </w:rPr>
                  </w:pPr>
                </w:p>
              </w:tc>
              <w:tc>
                <w:tcPr>
                  <w:tcW w:w="953" w:type="dxa"/>
                  <w:vMerge w:val="continue"/>
                  <w:tcBorders>
                    <w:tl2br w:val="nil"/>
                    <w:tr2bl w:val="nil"/>
                  </w:tcBorders>
                  <w:vAlign w:val="center"/>
                </w:tcPr>
                <w:p w14:paraId="2AE4DE9A">
                  <w:pPr>
                    <w:spacing w:line="240" w:lineRule="auto"/>
                    <w:ind w:firstLine="0" w:firstLineChars="0"/>
                    <w:jc w:val="center"/>
                    <w:rPr>
                      <w:rFonts w:ascii="Times New Roman" w:eastAsiaTheme="minorEastAsia"/>
                      <w:sz w:val="21"/>
                      <w:szCs w:val="21"/>
                      <w:u w:val="single"/>
                    </w:rPr>
                  </w:pPr>
                </w:p>
              </w:tc>
              <w:tc>
                <w:tcPr>
                  <w:tcW w:w="1263" w:type="dxa"/>
                  <w:tcBorders>
                    <w:tl2br w:val="nil"/>
                    <w:tr2bl w:val="nil"/>
                  </w:tcBorders>
                  <w:vAlign w:val="center"/>
                </w:tcPr>
                <w:p w14:paraId="0501349C">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第四次</w:t>
                  </w:r>
                </w:p>
              </w:tc>
              <w:tc>
                <w:tcPr>
                  <w:tcW w:w="3742" w:type="dxa"/>
                  <w:tcBorders>
                    <w:tl2br w:val="nil"/>
                    <w:tr2bl w:val="nil"/>
                  </w:tcBorders>
                  <w:vAlign w:val="center"/>
                </w:tcPr>
                <w:p w14:paraId="6CA5881A">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0.52</w:t>
                  </w:r>
                </w:p>
              </w:tc>
            </w:tr>
            <w:tr w14:paraId="20CA4BB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166653FC">
                  <w:pPr>
                    <w:spacing w:line="240" w:lineRule="auto"/>
                    <w:ind w:firstLine="0" w:firstLineChars="0"/>
                    <w:jc w:val="center"/>
                    <w:rPr>
                      <w:rFonts w:ascii="Times New Roman" w:eastAsiaTheme="minorEastAsia"/>
                      <w:sz w:val="21"/>
                      <w:szCs w:val="21"/>
                      <w:u w:val="single"/>
                    </w:rPr>
                  </w:pPr>
                </w:p>
              </w:tc>
              <w:tc>
                <w:tcPr>
                  <w:tcW w:w="953" w:type="dxa"/>
                  <w:vMerge w:val="restart"/>
                  <w:tcBorders>
                    <w:tl2br w:val="nil"/>
                    <w:tr2bl w:val="nil"/>
                  </w:tcBorders>
                  <w:vAlign w:val="center"/>
                </w:tcPr>
                <w:p w14:paraId="5C0288B0">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2023.05.23</w:t>
                  </w:r>
                </w:p>
              </w:tc>
              <w:tc>
                <w:tcPr>
                  <w:tcW w:w="1263" w:type="dxa"/>
                  <w:tcBorders>
                    <w:tl2br w:val="nil"/>
                    <w:tr2bl w:val="nil"/>
                  </w:tcBorders>
                  <w:vAlign w:val="center"/>
                </w:tcPr>
                <w:p w14:paraId="4975C224">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第一次</w:t>
                  </w:r>
                </w:p>
              </w:tc>
              <w:tc>
                <w:tcPr>
                  <w:tcW w:w="3742" w:type="dxa"/>
                  <w:tcBorders>
                    <w:tl2br w:val="nil"/>
                    <w:tr2bl w:val="nil"/>
                  </w:tcBorders>
                  <w:vAlign w:val="center"/>
                </w:tcPr>
                <w:p w14:paraId="7FEF3BDD">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0.50</w:t>
                  </w:r>
                </w:p>
              </w:tc>
            </w:tr>
            <w:tr w14:paraId="19CC21BA">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0062CAD8">
                  <w:pPr>
                    <w:spacing w:line="240" w:lineRule="auto"/>
                    <w:ind w:firstLine="0" w:firstLineChars="0"/>
                    <w:jc w:val="center"/>
                    <w:rPr>
                      <w:rFonts w:ascii="Times New Roman" w:eastAsiaTheme="minorEastAsia"/>
                      <w:sz w:val="21"/>
                      <w:szCs w:val="21"/>
                      <w:u w:val="single"/>
                    </w:rPr>
                  </w:pPr>
                </w:p>
              </w:tc>
              <w:tc>
                <w:tcPr>
                  <w:tcW w:w="953" w:type="dxa"/>
                  <w:vMerge w:val="continue"/>
                  <w:tcBorders>
                    <w:tl2br w:val="nil"/>
                    <w:tr2bl w:val="nil"/>
                  </w:tcBorders>
                  <w:vAlign w:val="center"/>
                </w:tcPr>
                <w:p w14:paraId="4C1D8C45">
                  <w:pPr>
                    <w:spacing w:line="240" w:lineRule="auto"/>
                    <w:ind w:firstLine="0" w:firstLineChars="0"/>
                    <w:jc w:val="center"/>
                    <w:rPr>
                      <w:rFonts w:ascii="Times New Roman" w:eastAsiaTheme="minorEastAsia"/>
                      <w:sz w:val="21"/>
                      <w:szCs w:val="21"/>
                      <w:u w:val="single"/>
                    </w:rPr>
                  </w:pPr>
                </w:p>
              </w:tc>
              <w:tc>
                <w:tcPr>
                  <w:tcW w:w="1263" w:type="dxa"/>
                  <w:tcBorders>
                    <w:tl2br w:val="nil"/>
                    <w:tr2bl w:val="nil"/>
                  </w:tcBorders>
                  <w:vAlign w:val="center"/>
                </w:tcPr>
                <w:p w14:paraId="2B1EAB08">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第二次</w:t>
                  </w:r>
                </w:p>
              </w:tc>
              <w:tc>
                <w:tcPr>
                  <w:tcW w:w="3742" w:type="dxa"/>
                  <w:tcBorders>
                    <w:tl2br w:val="nil"/>
                    <w:tr2bl w:val="nil"/>
                  </w:tcBorders>
                  <w:vAlign w:val="center"/>
                </w:tcPr>
                <w:p w14:paraId="1E91D8E5">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0.53</w:t>
                  </w:r>
                </w:p>
              </w:tc>
            </w:tr>
            <w:tr w14:paraId="3AC7CC9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2388D1C5">
                  <w:pPr>
                    <w:spacing w:line="240" w:lineRule="auto"/>
                    <w:ind w:firstLine="0" w:firstLineChars="0"/>
                    <w:jc w:val="center"/>
                    <w:rPr>
                      <w:rFonts w:ascii="Times New Roman" w:eastAsiaTheme="minorEastAsia"/>
                      <w:sz w:val="21"/>
                      <w:szCs w:val="21"/>
                      <w:u w:val="single"/>
                    </w:rPr>
                  </w:pPr>
                </w:p>
              </w:tc>
              <w:tc>
                <w:tcPr>
                  <w:tcW w:w="953" w:type="dxa"/>
                  <w:vMerge w:val="continue"/>
                  <w:tcBorders>
                    <w:tl2br w:val="nil"/>
                    <w:tr2bl w:val="nil"/>
                  </w:tcBorders>
                  <w:vAlign w:val="center"/>
                </w:tcPr>
                <w:p w14:paraId="4367ED32">
                  <w:pPr>
                    <w:spacing w:line="240" w:lineRule="auto"/>
                    <w:ind w:firstLine="0" w:firstLineChars="0"/>
                    <w:jc w:val="center"/>
                    <w:rPr>
                      <w:rFonts w:ascii="Times New Roman" w:eastAsiaTheme="minorEastAsia"/>
                      <w:sz w:val="21"/>
                      <w:szCs w:val="21"/>
                      <w:u w:val="single"/>
                    </w:rPr>
                  </w:pPr>
                </w:p>
              </w:tc>
              <w:tc>
                <w:tcPr>
                  <w:tcW w:w="1263" w:type="dxa"/>
                  <w:tcBorders>
                    <w:tl2br w:val="nil"/>
                    <w:tr2bl w:val="nil"/>
                  </w:tcBorders>
                  <w:vAlign w:val="center"/>
                </w:tcPr>
                <w:p w14:paraId="59A4B88E">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第三次</w:t>
                  </w:r>
                </w:p>
              </w:tc>
              <w:tc>
                <w:tcPr>
                  <w:tcW w:w="3742" w:type="dxa"/>
                  <w:tcBorders>
                    <w:tl2br w:val="nil"/>
                    <w:tr2bl w:val="nil"/>
                  </w:tcBorders>
                  <w:vAlign w:val="center"/>
                </w:tcPr>
                <w:p w14:paraId="60B3A998">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0.49</w:t>
                  </w:r>
                </w:p>
              </w:tc>
            </w:tr>
            <w:tr w14:paraId="03046D5A">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399091B1">
                  <w:pPr>
                    <w:spacing w:line="240" w:lineRule="auto"/>
                    <w:ind w:firstLine="0" w:firstLineChars="0"/>
                    <w:jc w:val="center"/>
                    <w:rPr>
                      <w:rFonts w:ascii="Times New Roman" w:eastAsiaTheme="minorEastAsia"/>
                      <w:sz w:val="21"/>
                      <w:szCs w:val="21"/>
                      <w:u w:val="single"/>
                    </w:rPr>
                  </w:pPr>
                </w:p>
              </w:tc>
              <w:tc>
                <w:tcPr>
                  <w:tcW w:w="953" w:type="dxa"/>
                  <w:vMerge w:val="continue"/>
                  <w:tcBorders>
                    <w:tl2br w:val="nil"/>
                    <w:tr2bl w:val="nil"/>
                  </w:tcBorders>
                  <w:vAlign w:val="center"/>
                </w:tcPr>
                <w:p w14:paraId="5468CECA">
                  <w:pPr>
                    <w:spacing w:line="240" w:lineRule="auto"/>
                    <w:ind w:firstLine="0" w:firstLineChars="0"/>
                    <w:jc w:val="center"/>
                    <w:rPr>
                      <w:rFonts w:ascii="Times New Roman" w:eastAsiaTheme="minorEastAsia"/>
                      <w:sz w:val="21"/>
                      <w:szCs w:val="21"/>
                      <w:u w:val="single"/>
                    </w:rPr>
                  </w:pPr>
                </w:p>
              </w:tc>
              <w:tc>
                <w:tcPr>
                  <w:tcW w:w="1263" w:type="dxa"/>
                  <w:tcBorders>
                    <w:tl2br w:val="nil"/>
                    <w:tr2bl w:val="nil"/>
                  </w:tcBorders>
                  <w:vAlign w:val="center"/>
                </w:tcPr>
                <w:p w14:paraId="4296C8A9">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第四次</w:t>
                  </w:r>
                </w:p>
              </w:tc>
              <w:tc>
                <w:tcPr>
                  <w:tcW w:w="3742" w:type="dxa"/>
                  <w:tcBorders>
                    <w:tl2br w:val="nil"/>
                    <w:tr2bl w:val="nil"/>
                  </w:tcBorders>
                  <w:vAlign w:val="center"/>
                </w:tcPr>
                <w:p w14:paraId="744F98CA">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0.52</w:t>
                  </w:r>
                </w:p>
              </w:tc>
            </w:tr>
            <w:tr w14:paraId="6382A77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37A1D5A7">
                  <w:pPr>
                    <w:spacing w:line="240" w:lineRule="auto"/>
                    <w:ind w:firstLine="0" w:firstLineChars="0"/>
                    <w:jc w:val="center"/>
                    <w:rPr>
                      <w:rFonts w:ascii="Times New Roman" w:eastAsiaTheme="minorEastAsia"/>
                      <w:sz w:val="21"/>
                      <w:szCs w:val="21"/>
                      <w:u w:val="single"/>
                    </w:rPr>
                  </w:pPr>
                </w:p>
              </w:tc>
              <w:tc>
                <w:tcPr>
                  <w:tcW w:w="953" w:type="dxa"/>
                  <w:vMerge w:val="restart"/>
                  <w:tcBorders>
                    <w:tl2br w:val="nil"/>
                    <w:tr2bl w:val="nil"/>
                  </w:tcBorders>
                  <w:vAlign w:val="center"/>
                </w:tcPr>
                <w:p w14:paraId="7BAA684E">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2023.05.24</w:t>
                  </w:r>
                </w:p>
              </w:tc>
              <w:tc>
                <w:tcPr>
                  <w:tcW w:w="1263" w:type="dxa"/>
                  <w:tcBorders>
                    <w:tl2br w:val="nil"/>
                    <w:tr2bl w:val="nil"/>
                  </w:tcBorders>
                  <w:vAlign w:val="center"/>
                </w:tcPr>
                <w:p w14:paraId="4534BABE">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第一次</w:t>
                  </w:r>
                </w:p>
              </w:tc>
              <w:tc>
                <w:tcPr>
                  <w:tcW w:w="3742" w:type="dxa"/>
                  <w:tcBorders>
                    <w:tl2br w:val="nil"/>
                    <w:tr2bl w:val="nil"/>
                  </w:tcBorders>
                  <w:vAlign w:val="center"/>
                </w:tcPr>
                <w:p w14:paraId="69577C0F">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0.50</w:t>
                  </w:r>
                </w:p>
              </w:tc>
            </w:tr>
            <w:tr w14:paraId="1769B4A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390E9D42">
                  <w:pPr>
                    <w:spacing w:line="240" w:lineRule="auto"/>
                    <w:ind w:firstLine="0" w:firstLineChars="0"/>
                    <w:jc w:val="center"/>
                    <w:rPr>
                      <w:rFonts w:ascii="Times New Roman" w:eastAsiaTheme="minorEastAsia"/>
                      <w:sz w:val="21"/>
                      <w:szCs w:val="21"/>
                      <w:u w:val="single"/>
                    </w:rPr>
                  </w:pPr>
                </w:p>
              </w:tc>
              <w:tc>
                <w:tcPr>
                  <w:tcW w:w="953" w:type="dxa"/>
                  <w:vMerge w:val="continue"/>
                  <w:tcBorders>
                    <w:tl2br w:val="nil"/>
                    <w:tr2bl w:val="nil"/>
                  </w:tcBorders>
                  <w:vAlign w:val="center"/>
                </w:tcPr>
                <w:p w14:paraId="29AEFBB6">
                  <w:pPr>
                    <w:spacing w:line="240" w:lineRule="auto"/>
                    <w:ind w:firstLine="0" w:firstLineChars="0"/>
                    <w:jc w:val="center"/>
                    <w:rPr>
                      <w:rFonts w:ascii="Times New Roman" w:eastAsiaTheme="minorEastAsia"/>
                      <w:sz w:val="21"/>
                      <w:szCs w:val="21"/>
                      <w:u w:val="single"/>
                    </w:rPr>
                  </w:pPr>
                </w:p>
              </w:tc>
              <w:tc>
                <w:tcPr>
                  <w:tcW w:w="1263" w:type="dxa"/>
                  <w:tcBorders>
                    <w:tl2br w:val="nil"/>
                    <w:tr2bl w:val="nil"/>
                  </w:tcBorders>
                  <w:vAlign w:val="center"/>
                </w:tcPr>
                <w:p w14:paraId="336CD312">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第二次</w:t>
                  </w:r>
                </w:p>
              </w:tc>
              <w:tc>
                <w:tcPr>
                  <w:tcW w:w="3742" w:type="dxa"/>
                  <w:tcBorders>
                    <w:tl2br w:val="nil"/>
                    <w:tr2bl w:val="nil"/>
                  </w:tcBorders>
                  <w:vAlign w:val="center"/>
                </w:tcPr>
                <w:p w14:paraId="731FF72B">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0.53</w:t>
                  </w:r>
                </w:p>
              </w:tc>
            </w:tr>
            <w:tr w14:paraId="3F201DE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6896D9F7">
                  <w:pPr>
                    <w:spacing w:line="240" w:lineRule="auto"/>
                    <w:ind w:firstLine="0" w:firstLineChars="0"/>
                    <w:jc w:val="center"/>
                    <w:rPr>
                      <w:rFonts w:ascii="Times New Roman" w:eastAsiaTheme="minorEastAsia"/>
                      <w:sz w:val="21"/>
                      <w:szCs w:val="21"/>
                      <w:u w:val="single"/>
                    </w:rPr>
                  </w:pPr>
                </w:p>
              </w:tc>
              <w:tc>
                <w:tcPr>
                  <w:tcW w:w="953" w:type="dxa"/>
                  <w:vMerge w:val="continue"/>
                  <w:tcBorders>
                    <w:tl2br w:val="nil"/>
                    <w:tr2bl w:val="nil"/>
                  </w:tcBorders>
                  <w:vAlign w:val="center"/>
                </w:tcPr>
                <w:p w14:paraId="769EC806">
                  <w:pPr>
                    <w:spacing w:line="240" w:lineRule="auto"/>
                    <w:ind w:firstLine="0" w:firstLineChars="0"/>
                    <w:jc w:val="center"/>
                    <w:rPr>
                      <w:rFonts w:ascii="Times New Roman" w:eastAsiaTheme="minorEastAsia"/>
                      <w:sz w:val="21"/>
                      <w:szCs w:val="21"/>
                      <w:u w:val="single"/>
                    </w:rPr>
                  </w:pPr>
                </w:p>
              </w:tc>
              <w:tc>
                <w:tcPr>
                  <w:tcW w:w="1263" w:type="dxa"/>
                  <w:tcBorders>
                    <w:tl2br w:val="nil"/>
                    <w:tr2bl w:val="nil"/>
                  </w:tcBorders>
                  <w:vAlign w:val="center"/>
                </w:tcPr>
                <w:p w14:paraId="2810FA2B">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第三次</w:t>
                  </w:r>
                </w:p>
              </w:tc>
              <w:tc>
                <w:tcPr>
                  <w:tcW w:w="3742" w:type="dxa"/>
                  <w:tcBorders>
                    <w:tl2br w:val="nil"/>
                    <w:tr2bl w:val="nil"/>
                  </w:tcBorders>
                  <w:vAlign w:val="center"/>
                </w:tcPr>
                <w:p w14:paraId="1DEAB585">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0.56</w:t>
                  </w:r>
                </w:p>
              </w:tc>
            </w:tr>
            <w:tr w14:paraId="6590191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6F33A69C">
                  <w:pPr>
                    <w:spacing w:line="240" w:lineRule="auto"/>
                    <w:ind w:firstLine="0" w:firstLineChars="0"/>
                    <w:jc w:val="center"/>
                    <w:rPr>
                      <w:rFonts w:ascii="Times New Roman" w:eastAsiaTheme="minorEastAsia"/>
                      <w:sz w:val="21"/>
                      <w:szCs w:val="21"/>
                      <w:u w:val="single"/>
                    </w:rPr>
                  </w:pPr>
                </w:p>
              </w:tc>
              <w:tc>
                <w:tcPr>
                  <w:tcW w:w="953" w:type="dxa"/>
                  <w:vMerge w:val="continue"/>
                  <w:tcBorders>
                    <w:tl2br w:val="nil"/>
                    <w:tr2bl w:val="nil"/>
                  </w:tcBorders>
                  <w:vAlign w:val="center"/>
                </w:tcPr>
                <w:p w14:paraId="05DAA0DA">
                  <w:pPr>
                    <w:spacing w:line="240" w:lineRule="auto"/>
                    <w:ind w:firstLine="0" w:firstLineChars="0"/>
                    <w:jc w:val="center"/>
                    <w:rPr>
                      <w:rFonts w:ascii="Times New Roman" w:eastAsiaTheme="minorEastAsia"/>
                      <w:sz w:val="21"/>
                      <w:szCs w:val="21"/>
                      <w:u w:val="single"/>
                    </w:rPr>
                  </w:pPr>
                </w:p>
              </w:tc>
              <w:tc>
                <w:tcPr>
                  <w:tcW w:w="1263" w:type="dxa"/>
                  <w:tcBorders>
                    <w:tl2br w:val="nil"/>
                    <w:tr2bl w:val="nil"/>
                  </w:tcBorders>
                  <w:vAlign w:val="center"/>
                </w:tcPr>
                <w:p w14:paraId="68747CB3">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第四次</w:t>
                  </w:r>
                </w:p>
              </w:tc>
              <w:tc>
                <w:tcPr>
                  <w:tcW w:w="3742" w:type="dxa"/>
                  <w:tcBorders>
                    <w:tl2br w:val="nil"/>
                    <w:tr2bl w:val="nil"/>
                  </w:tcBorders>
                  <w:vAlign w:val="center"/>
                </w:tcPr>
                <w:p w14:paraId="22BE6B6D">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0.54</w:t>
                  </w:r>
                </w:p>
              </w:tc>
            </w:tr>
            <w:tr w14:paraId="45A0055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68AAA8B1">
                  <w:pPr>
                    <w:spacing w:line="240" w:lineRule="auto"/>
                    <w:ind w:firstLine="0" w:firstLineChars="0"/>
                    <w:jc w:val="center"/>
                    <w:rPr>
                      <w:rFonts w:ascii="Times New Roman" w:eastAsiaTheme="minorEastAsia"/>
                      <w:sz w:val="21"/>
                      <w:szCs w:val="21"/>
                      <w:u w:val="single"/>
                    </w:rPr>
                  </w:pPr>
                </w:p>
              </w:tc>
              <w:tc>
                <w:tcPr>
                  <w:tcW w:w="953" w:type="dxa"/>
                  <w:vMerge w:val="restart"/>
                  <w:tcBorders>
                    <w:tl2br w:val="nil"/>
                    <w:tr2bl w:val="nil"/>
                  </w:tcBorders>
                  <w:vAlign w:val="center"/>
                </w:tcPr>
                <w:p w14:paraId="34C65525">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2023.05.25</w:t>
                  </w:r>
                </w:p>
              </w:tc>
              <w:tc>
                <w:tcPr>
                  <w:tcW w:w="1263" w:type="dxa"/>
                  <w:tcBorders>
                    <w:tl2br w:val="nil"/>
                    <w:tr2bl w:val="nil"/>
                  </w:tcBorders>
                  <w:vAlign w:val="center"/>
                </w:tcPr>
                <w:p w14:paraId="4CAA934C">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第一次</w:t>
                  </w:r>
                </w:p>
              </w:tc>
              <w:tc>
                <w:tcPr>
                  <w:tcW w:w="3742" w:type="dxa"/>
                  <w:tcBorders>
                    <w:tl2br w:val="nil"/>
                    <w:tr2bl w:val="nil"/>
                  </w:tcBorders>
                  <w:vAlign w:val="center"/>
                </w:tcPr>
                <w:p w14:paraId="029EFCF4">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0.46</w:t>
                  </w:r>
                </w:p>
              </w:tc>
            </w:tr>
            <w:tr w14:paraId="768D7F5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01C90646">
                  <w:pPr>
                    <w:spacing w:line="240" w:lineRule="auto"/>
                    <w:ind w:firstLine="0" w:firstLineChars="0"/>
                    <w:jc w:val="center"/>
                    <w:rPr>
                      <w:rFonts w:ascii="Times New Roman" w:eastAsiaTheme="minorEastAsia"/>
                      <w:sz w:val="21"/>
                      <w:szCs w:val="21"/>
                      <w:u w:val="single"/>
                    </w:rPr>
                  </w:pPr>
                </w:p>
              </w:tc>
              <w:tc>
                <w:tcPr>
                  <w:tcW w:w="953" w:type="dxa"/>
                  <w:vMerge w:val="continue"/>
                  <w:tcBorders>
                    <w:tl2br w:val="nil"/>
                    <w:tr2bl w:val="nil"/>
                  </w:tcBorders>
                  <w:vAlign w:val="center"/>
                </w:tcPr>
                <w:p w14:paraId="01AF91CF">
                  <w:pPr>
                    <w:spacing w:line="240" w:lineRule="auto"/>
                    <w:ind w:firstLine="0" w:firstLineChars="0"/>
                    <w:jc w:val="center"/>
                    <w:rPr>
                      <w:rFonts w:ascii="Times New Roman" w:eastAsiaTheme="minorEastAsia"/>
                      <w:sz w:val="21"/>
                      <w:szCs w:val="21"/>
                      <w:u w:val="single"/>
                    </w:rPr>
                  </w:pPr>
                </w:p>
              </w:tc>
              <w:tc>
                <w:tcPr>
                  <w:tcW w:w="1263" w:type="dxa"/>
                  <w:tcBorders>
                    <w:tl2br w:val="nil"/>
                    <w:tr2bl w:val="nil"/>
                  </w:tcBorders>
                  <w:vAlign w:val="center"/>
                </w:tcPr>
                <w:p w14:paraId="646CD7B3">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第二次</w:t>
                  </w:r>
                </w:p>
              </w:tc>
              <w:tc>
                <w:tcPr>
                  <w:tcW w:w="3742" w:type="dxa"/>
                  <w:tcBorders>
                    <w:tl2br w:val="nil"/>
                    <w:tr2bl w:val="nil"/>
                  </w:tcBorders>
                  <w:vAlign w:val="center"/>
                </w:tcPr>
                <w:p w14:paraId="2B0D4440">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0.54</w:t>
                  </w:r>
                </w:p>
              </w:tc>
            </w:tr>
            <w:tr w14:paraId="37A2969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2E27BAE8">
                  <w:pPr>
                    <w:spacing w:line="240" w:lineRule="auto"/>
                    <w:ind w:firstLine="0" w:firstLineChars="0"/>
                    <w:jc w:val="center"/>
                    <w:rPr>
                      <w:rFonts w:ascii="Times New Roman" w:eastAsiaTheme="minorEastAsia"/>
                      <w:sz w:val="21"/>
                      <w:szCs w:val="21"/>
                      <w:u w:val="single"/>
                    </w:rPr>
                  </w:pPr>
                </w:p>
              </w:tc>
              <w:tc>
                <w:tcPr>
                  <w:tcW w:w="953" w:type="dxa"/>
                  <w:vMerge w:val="continue"/>
                  <w:tcBorders>
                    <w:tl2br w:val="nil"/>
                    <w:tr2bl w:val="nil"/>
                  </w:tcBorders>
                  <w:vAlign w:val="center"/>
                </w:tcPr>
                <w:p w14:paraId="724D5104">
                  <w:pPr>
                    <w:spacing w:line="240" w:lineRule="auto"/>
                    <w:ind w:firstLine="0" w:firstLineChars="0"/>
                    <w:jc w:val="center"/>
                    <w:rPr>
                      <w:rFonts w:ascii="Times New Roman" w:eastAsiaTheme="minorEastAsia"/>
                      <w:sz w:val="21"/>
                      <w:szCs w:val="21"/>
                      <w:u w:val="single"/>
                    </w:rPr>
                  </w:pPr>
                </w:p>
              </w:tc>
              <w:tc>
                <w:tcPr>
                  <w:tcW w:w="1263" w:type="dxa"/>
                  <w:tcBorders>
                    <w:tl2br w:val="nil"/>
                    <w:tr2bl w:val="nil"/>
                  </w:tcBorders>
                  <w:vAlign w:val="center"/>
                </w:tcPr>
                <w:p w14:paraId="65022B58">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第三次</w:t>
                  </w:r>
                </w:p>
              </w:tc>
              <w:tc>
                <w:tcPr>
                  <w:tcW w:w="3742" w:type="dxa"/>
                  <w:tcBorders>
                    <w:tl2br w:val="nil"/>
                    <w:tr2bl w:val="nil"/>
                  </w:tcBorders>
                  <w:vAlign w:val="center"/>
                </w:tcPr>
                <w:p w14:paraId="03BB1850">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0.49</w:t>
                  </w:r>
                </w:p>
              </w:tc>
            </w:tr>
            <w:tr w14:paraId="39BFB68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4429C4DD">
                  <w:pPr>
                    <w:spacing w:line="240" w:lineRule="auto"/>
                    <w:ind w:firstLine="0" w:firstLineChars="0"/>
                    <w:jc w:val="center"/>
                    <w:rPr>
                      <w:rFonts w:ascii="Times New Roman" w:eastAsiaTheme="minorEastAsia"/>
                      <w:sz w:val="21"/>
                      <w:szCs w:val="21"/>
                      <w:u w:val="single"/>
                    </w:rPr>
                  </w:pPr>
                </w:p>
              </w:tc>
              <w:tc>
                <w:tcPr>
                  <w:tcW w:w="953" w:type="dxa"/>
                  <w:vMerge w:val="continue"/>
                  <w:tcBorders>
                    <w:tl2br w:val="nil"/>
                    <w:tr2bl w:val="nil"/>
                  </w:tcBorders>
                  <w:vAlign w:val="center"/>
                </w:tcPr>
                <w:p w14:paraId="2B9F6ED5">
                  <w:pPr>
                    <w:spacing w:line="240" w:lineRule="auto"/>
                    <w:ind w:firstLine="0" w:firstLineChars="0"/>
                    <w:jc w:val="center"/>
                    <w:rPr>
                      <w:rFonts w:ascii="Times New Roman" w:eastAsiaTheme="minorEastAsia"/>
                      <w:sz w:val="21"/>
                      <w:szCs w:val="21"/>
                      <w:u w:val="single"/>
                    </w:rPr>
                  </w:pPr>
                </w:p>
              </w:tc>
              <w:tc>
                <w:tcPr>
                  <w:tcW w:w="1263" w:type="dxa"/>
                  <w:tcBorders>
                    <w:tl2br w:val="nil"/>
                    <w:tr2bl w:val="nil"/>
                  </w:tcBorders>
                  <w:vAlign w:val="center"/>
                </w:tcPr>
                <w:p w14:paraId="2436F371">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第四次</w:t>
                  </w:r>
                </w:p>
              </w:tc>
              <w:tc>
                <w:tcPr>
                  <w:tcW w:w="3742" w:type="dxa"/>
                  <w:tcBorders>
                    <w:tl2br w:val="nil"/>
                    <w:tr2bl w:val="nil"/>
                  </w:tcBorders>
                  <w:vAlign w:val="center"/>
                </w:tcPr>
                <w:p w14:paraId="09CD8B1D">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0.52</w:t>
                  </w:r>
                </w:p>
              </w:tc>
            </w:tr>
            <w:tr w14:paraId="6ACA8D9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0C2B1B88">
                  <w:pPr>
                    <w:spacing w:line="240" w:lineRule="auto"/>
                    <w:ind w:firstLine="0" w:firstLineChars="0"/>
                    <w:jc w:val="center"/>
                    <w:rPr>
                      <w:rFonts w:ascii="Times New Roman" w:eastAsiaTheme="minorEastAsia"/>
                      <w:sz w:val="21"/>
                      <w:szCs w:val="21"/>
                      <w:u w:val="single"/>
                    </w:rPr>
                  </w:pPr>
                </w:p>
              </w:tc>
              <w:tc>
                <w:tcPr>
                  <w:tcW w:w="953" w:type="dxa"/>
                  <w:vMerge w:val="restart"/>
                  <w:tcBorders>
                    <w:tl2br w:val="nil"/>
                    <w:tr2bl w:val="nil"/>
                  </w:tcBorders>
                  <w:vAlign w:val="center"/>
                </w:tcPr>
                <w:p w14:paraId="3BAFF447">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2023.05.26</w:t>
                  </w:r>
                </w:p>
              </w:tc>
              <w:tc>
                <w:tcPr>
                  <w:tcW w:w="1263" w:type="dxa"/>
                  <w:tcBorders>
                    <w:tl2br w:val="nil"/>
                    <w:tr2bl w:val="nil"/>
                  </w:tcBorders>
                  <w:vAlign w:val="center"/>
                </w:tcPr>
                <w:p w14:paraId="03AD1782">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第一次</w:t>
                  </w:r>
                </w:p>
              </w:tc>
              <w:tc>
                <w:tcPr>
                  <w:tcW w:w="3742" w:type="dxa"/>
                  <w:tcBorders>
                    <w:tl2br w:val="nil"/>
                    <w:tr2bl w:val="nil"/>
                  </w:tcBorders>
                  <w:vAlign w:val="center"/>
                </w:tcPr>
                <w:p w14:paraId="140F9C2E">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0.55</w:t>
                  </w:r>
                </w:p>
              </w:tc>
            </w:tr>
            <w:tr w14:paraId="57D65A5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67CCDC24">
                  <w:pPr>
                    <w:spacing w:line="240" w:lineRule="auto"/>
                    <w:ind w:firstLine="0" w:firstLineChars="0"/>
                    <w:jc w:val="center"/>
                    <w:rPr>
                      <w:rFonts w:ascii="Times New Roman" w:eastAsiaTheme="minorEastAsia"/>
                      <w:sz w:val="21"/>
                      <w:szCs w:val="21"/>
                      <w:u w:val="single"/>
                    </w:rPr>
                  </w:pPr>
                </w:p>
              </w:tc>
              <w:tc>
                <w:tcPr>
                  <w:tcW w:w="953" w:type="dxa"/>
                  <w:vMerge w:val="continue"/>
                  <w:tcBorders>
                    <w:tl2br w:val="nil"/>
                    <w:tr2bl w:val="nil"/>
                  </w:tcBorders>
                  <w:vAlign w:val="center"/>
                </w:tcPr>
                <w:p w14:paraId="3A5588F5">
                  <w:pPr>
                    <w:spacing w:line="240" w:lineRule="auto"/>
                    <w:ind w:firstLine="0" w:firstLineChars="0"/>
                    <w:jc w:val="center"/>
                    <w:rPr>
                      <w:rFonts w:ascii="Times New Roman" w:eastAsiaTheme="minorEastAsia"/>
                      <w:sz w:val="21"/>
                      <w:szCs w:val="21"/>
                      <w:u w:val="single"/>
                    </w:rPr>
                  </w:pPr>
                </w:p>
              </w:tc>
              <w:tc>
                <w:tcPr>
                  <w:tcW w:w="1263" w:type="dxa"/>
                  <w:tcBorders>
                    <w:tl2br w:val="nil"/>
                    <w:tr2bl w:val="nil"/>
                  </w:tcBorders>
                  <w:vAlign w:val="center"/>
                </w:tcPr>
                <w:p w14:paraId="3DED4DCA">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第二次</w:t>
                  </w:r>
                </w:p>
              </w:tc>
              <w:tc>
                <w:tcPr>
                  <w:tcW w:w="3742" w:type="dxa"/>
                  <w:tcBorders>
                    <w:tl2br w:val="nil"/>
                    <w:tr2bl w:val="nil"/>
                  </w:tcBorders>
                  <w:vAlign w:val="center"/>
                </w:tcPr>
                <w:p w14:paraId="63DE5687">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0.52</w:t>
                  </w:r>
                </w:p>
              </w:tc>
            </w:tr>
            <w:tr w14:paraId="32C1E76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46ED453E">
                  <w:pPr>
                    <w:spacing w:line="240" w:lineRule="auto"/>
                    <w:ind w:firstLine="0" w:firstLineChars="0"/>
                    <w:jc w:val="center"/>
                    <w:rPr>
                      <w:rFonts w:ascii="Times New Roman" w:eastAsiaTheme="minorEastAsia"/>
                      <w:sz w:val="21"/>
                      <w:szCs w:val="21"/>
                      <w:u w:val="single"/>
                    </w:rPr>
                  </w:pPr>
                </w:p>
              </w:tc>
              <w:tc>
                <w:tcPr>
                  <w:tcW w:w="953" w:type="dxa"/>
                  <w:vMerge w:val="continue"/>
                  <w:tcBorders>
                    <w:tl2br w:val="nil"/>
                    <w:tr2bl w:val="nil"/>
                  </w:tcBorders>
                  <w:vAlign w:val="center"/>
                </w:tcPr>
                <w:p w14:paraId="51DB39A0">
                  <w:pPr>
                    <w:spacing w:line="240" w:lineRule="auto"/>
                    <w:ind w:firstLine="0" w:firstLineChars="0"/>
                    <w:jc w:val="center"/>
                    <w:rPr>
                      <w:rFonts w:ascii="Times New Roman" w:eastAsiaTheme="minorEastAsia"/>
                      <w:sz w:val="21"/>
                      <w:szCs w:val="21"/>
                      <w:u w:val="single"/>
                    </w:rPr>
                  </w:pPr>
                </w:p>
              </w:tc>
              <w:tc>
                <w:tcPr>
                  <w:tcW w:w="1263" w:type="dxa"/>
                  <w:tcBorders>
                    <w:tl2br w:val="nil"/>
                    <w:tr2bl w:val="nil"/>
                  </w:tcBorders>
                  <w:vAlign w:val="center"/>
                </w:tcPr>
                <w:p w14:paraId="1DE5DD16">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第三次</w:t>
                  </w:r>
                </w:p>
              </w:tc>
              <w:tc>
                <w:tcPr>
                  <w:tcW w:w="3742" w:type="dxa"/>
                  <w:tcBorders>
                    <w:tl2br w:val="nil"/>
                    <w:tr2bl w:val="nil"/>
                  </w:tcBorders>
                  <w:vAlign w:val="center"/>
                </w:tcPr>
                <w:p w14:paraId="33DE7DF9">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0.50</w:t>
                  </w:r>
                </w:p>
              </w:tc>
            </w:tr>
            <w:tr w14:paraId="267A3BE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005A3D0E">
                  <w:pPr>
                    <w:spacing w:line="240" w:lineRule="auto"/>
                    <w:ind w:firstLine="0" w:firstLineChars="0"/>
                    <w:jc w:val="center"/>
                    <w:rPr>
                      <w:rFonts w:ascii="Times New Roman" w:eastAsiaTheme="minorEastAsia"/>
                      <w:sz w:val="21"/>
                      <w:szCs w:val="21"/>
                      <w:u w:val="single"/>
                    </w:rPr>
                  </w:pPr>
                </w:p>
              </w:tc>
              <w:tc>
                <w:tcPr>
                  <w:tcW w:w="953" w:type="dxa"/>
                  <w:vMerge w:val="continue"/>
                  <w:tcBorders>
                    <w:tl2br w:val="nil"/>
                    <w:tr2bl w:val="nil"/>
                  </w:tcBorders>
                  <w:vAlign w:val="center"/>
                </w:tcPr>
                <w:p w14:paraId="49E3F5EA">
                  <w:pPr>
                    <w:spacing w:line="240" w:lineRule="auto"/>
                    <w:ind w:firstLine="0" w:firstLineChars="0"/>
                    <w:jc w:val="center"/>
                    <w:rPr>
                      <w:rFonts w:ascii="Times New Roman" w:eastAsiaTheme="minorEastAsia"/>
                      <w:sz w:val="21"/>
                      <w:szCs w:val="21"/>
                      <w:u w:val="single"/>
                    </w:rPr>
                  </w:pPr>
                </w:p>
              </w:tc>
              <w:tc>
                <w:tcPr>
                  <w:tcW w:w="1263" w:type="dxa"/>
                  <w:tcBorders>
                    <w:tl2br w:val="nil"/>
                    <w:tr2bl w:val="nil"/>
                  </w:tcBorders>
                  <w:vAlign w:val="center"/>
                </w:tcPr>
                <w:p w14:paraId="33C7FC91">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第四次</w:t>
                  </w:r>
                </w:p>
              </w:tc>
              <w:tc>
                <w:tcPr>
                  <w:tcW w:w="3742" w:type="dxa"/>
                  <w:tcBorders>
                    <w:tl2br w:val="nil"/>
                    <w:tr2bl w:val="nil"/>
                  </w:tcBorders>
                  <w:vAlign w:val="center"/>
                </w:tcPr>
                <w:p w14:paraId="166A37E9">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0.54</w:t>
                  </w:r>
                </w:p>
              </w:tc>
            </w:tr>
            <w:tr w14:paraId="7F7B1A5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1587CD21">
                  <w:pPr>
                    <w:spacing w:line="240" w:lineRule="auto"/>
                    <w:ind w:firstLine="0" w:firstLineChars="0"/>
                    <w:jc w:val="center"/>
                    <w:rPr>
                      <w:rFonts w:ascii="Times New Roman" w:eastAsiaTheme="minorEastAsia"/>
                      <w:sz w:val="21"/>
                      <w:szCs w:val="21"/>
                      <w:u w:val="single"/>
                    </w:rPr>
                  </w:pPr>
                </w:p>
              </w:tc>
              <w:tc>
                <w:tcPr>
                  <w:tcW w:w="953" w:type="dxa"/>
                  <w:vMerge w:val="restart"/>
                  <w:tcBorders>
                    <w:tl2br w:val="nil"/>
                    <w:tr2bl w:val="nil"/>
                  </w:tcBorders>
                  <w:vAlign w:val="center"/>
                </w:tcPr>
                <w:p w14:paraId="7F67EE56">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2023.05.27</w:t>
                  </w:r>
                </w:p>
              </w:tc>
              <w:tc>
                <w:tcPr>
                  <w:tcW w:w="1263" w:type="dxa"/>
                  <w:tcBorders>
                    <w:tl2br w:val="nil"/>
                    <w:tr2bl w:val="nil"/>
                  </w:tcBorders>
                  <w:vAlign w:val="center"/>
                </w:tcPr>
                <w:p w14:paraId="6208793F">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第一次</w:t>
                  </w:r>
                </w:p>
              </w:tc>
              <w:tc>
                <w:tcPr>
                  <w:tcW w:w="3742" w:type="dxa"/>
                  <w:tcBorders>
                    <w:tl2br w:val="nil"/>
                    <w:tr2bl w:val="nil"/>
                  </w:tcBorders>
                  <w:vAlign w:val="center"/>
                </w:tcPr>
                <w:p w14:paraId="5ED57D39">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0.55</w:t>
                  </w:r>
                </w:p>
              </w:tc>
            </w:tr>
            <w:tr w14:paraId="734CADE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6458163A">
                  <w:pPr>
                    <w:spacing w:line="240" w:lineRule="auto"/>
                    <w:ind w:firstLine="0" w:firstLineChars="0"/>
                    <w:jc w:val="center"/>
                    <w:rPr>
                      <w:rFonts w:ascii="Times New Roman" w:eastAsiaTheme="minorEastAsia"/>
                      <w:sz w:val="21"/>
                      <w:szCs w:val="21"/>
                      <w:u w:val="single"/>
                    </w:rPr>
                  </w:pPr>
                </w:p>
              </w:tc>
              <w:tc>
                <w:tcPr>
                  <w:tcW w:w="953" w:type="dxa"/>
                  <w:vMerge w:val="continue"/>
                  <w:tcBorders>
                    <w:tl2br w:val="nil"/>
                    <w:tr2bl w:val="nil"/>
                  </w:tcBorders>
                  <w:vAlign w:val="center"/>
                </w:tcPr>
                <w:p w14:paraId="02F275AC">
                  <w:pPr>
                    <w:spacing w:line="240" w:lineRule="auto"/>
                    <w:ind w:firstLine="0" w:firstLineChars="0"/>
                    <w:jc w:val="center"/>
                    <w:rPr>
                      <w:rFonts w:ascii="Times New Roman" w:eastAsiaTheme="minorEastAsia"/>
                      <w:sz w:val="21"/>
                      <w:szCs w:val="21"/>
                      <w:u w:val="single"/>
                    </w:rPr>
                  </w:pPr>
                </w:p>
              </w:tc>
              <w:tc>
                <w:tcPr>
                  <w:tcW w:w="1263" w:type="dxa"/>
                  <w:tcBorders>
                    <w:tl2br w:val="nil"/>
                    <w:tr2bl w:val="nil"/>
                  </w:tcBorders>
                  <w:vAlign w:val="center"/>
                </w:tcPr>
                <w:p w14:paraId="11F5AF82">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第二次</w:t>
                  </w:r>
                </w:p>
              </w:tc>
              <w:tc>
                <w:tcPr>
                  <w:tcW w:w="3742" w:type="dxa"/>
                  <w:tcBorders>
                    <w:tl2br w:val="nil"/>
                    <w:tr2bl w:val="nil"/>
                  </w:tcBorders>
                  <w:vAlign w:val="center"/>
                </w:tcPr>
                <w:p w14:paraId="08D7A3E4">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0.52</w:t>
                  </w:r>
                </w:p>
              </w:tc>
            </w:tr>
            <w:tr w14:paraId="4676B94A">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6265F4FE">
                  <w:pPr>
                    <w:spacing w:line="240" w:lineRule="auto"/>
                    <w:ind w:firstLine="0" w:firstLineChars="0"/>
                    <w:jc w:val="center"/>
                    <w:rPr>
                      <w:rFonts w:ascii="Times New Roman" w:eastAsiaTheme="minorEastAsia"/>
                      <w:sz w:val="21"/>
                      <w:szCs w:val="21"/>
                      <w:u w:val="single"/>
                    </w:rPr>
                  </w:pPr>
                </w:p>
              </w:tc>
              <w:tc>
                <w:tcPr>
                  <w:tcW w:w="953" w:type="dxa"/>
                  <w:vMerge w:val="continue"/>
                  <w:tcBorders>
                    <w:tl2br w:val="nil"/>
                    <w:tr2bl w:val="nil"/>
                  </w:tcBorders>
                  <w:vAlign w:val="center"/>
                </w:tcPr>
                <w:p w14:paraId="3D6EF16A">
                  <w:pPr>
                    <w:spacing w:line="240" w:lineRule="auto"/>
                    <w:ind w:firstLine="0" w:firstLineChars="0"/>
                    <w:jc w:val="center"/>
                    <w:rPr>
                      <w:rFonts w:ascii="Times New Roman" w:eastAsiaTheme="minorEastAsia"/>
                      <w:sz w:val="21"/>
                      <w:szCs w:val="21"/>
                      <w:u w:val="single"/>
                    </w:rPr>
                  </w:pPr>
                </w:p>
              </w:tc>
              <w:tc>
                <w:tcPr>
                  <w:tcW w:w="1263" w:type="dxa"/>
                  <w:tcBorders>
                    <w:tl2br w:val="nil"/>
                    <w:tr2bl w:val="nil"/>
                  </w:tcBorders>
                  <w:vAlign w:val="center"/>
                </w:tcPr>
                <w:p w14:paraId="1B2CA993">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第三次</w:t>
                  </w:r>
                </w:p>
              </w:tc>
              <w:tc>
                <w:tcPr>
                  <w:tcW w:w="3742" w:type="dxa"/>
                  <w:tcBorders>
                    <w:tl2br w:val="nil"/>
                    <w:tr2bl w:val="nil"/>
                  </w:tcBorders>
                  <w:vAlign w:val="center"/>
                </w:tcPr>
                <w:p w14:paraId="35B49377">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0.50</w:t>
                  </w:r>
                </w:p>
              </w:tc>
            </w:tr>
            <w:tr w14:paraId="300C179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582" w:type="dxa"/>
                  <w:vMerge w:val="continue"/>
                  <w:tcBorders>
                    <w:tl2br w:val="nil"/>
                    <w:tr2bl w:val="nil"/>
                  </w:tcBorders>
                  <w:vAlign w:val="center"/>
                </w:tcPr>
                <w:p w14:paraId="3F46726E">
                  <w:pPr>
                    <w:spacing w:line="240" w:lineRule="auto"/>
                    <w:ind w:firstLine="0" w:firstLineChars="0"/>
                    <w:jc w:val="center"/>
                    <w:rPr>
                      <w:rFonts w:ascii="Times New Roman" w:eastAsiaTheme="minorEastAsia"/>
                      <w:sz w:val="21"/>
                      <w:szCs w:val="21"/>
                      <w:u w:val="single"/>
                    </w:rPr>
                  </w:pPr>
                </w:p>
              </w:tc>
              <w:tc>
                <w:tcPr>
                  <w:tcW w:w="953" w:type="dxa"/>
                  <w:vMerge w:val="continue"/>
                  <w:tcBorders>
                    <w:tl2br w:val="nil"/>
                    <w:tr2bl w:val="nil"/>
                  </w:tcBorders>
                  <w:vAlign w:val="center"/>
                </w:tcPr>
                <w:p w14:paraId="3FA51408">
                  <w:pPr>
                    <w:spacing w:line="240" w:lineRule="auto"/>
                    <w:ind w:firstLine="0" w:firstLineChars="0"/>
                    <w:jc w:val="center"/>
                    <w:rPr>
                      <w:rFonts w:ascii="Times New Roman" w:eastAsiaTheme="minorEastAsia"/>
                      <w:sz w:val="21"/>
                      <w:szCs w:val="21"/>
                      <w:u w:val="single"/>
                    </w:rPr>
                  </w:pPr>
                </w:p>
              </w:tc>
              <w:tc>
                <w:tcPr>
                  <w:tcW w:w="1263" w:type="dxa"/>
                  <w:tcBorders>
                    <w:tl2br w:val="nil"/>
                    <w:tr2bl w:val="nil"/>
                  </w:tcBorders>
                  <w:vAlign w:val="center"/>
                </w:tcPr>
                <w:p w14:paraId="092A2652">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第四次</w:t>
                  </w:r>
                </w:p>
              </w:tc>
              <w:tc>
                <w:tcPr>
                  <w:tcW w:w="3742" w:type="dxa"/>
                  <w:tcBorders>
                    <w:tl2br w:val="nil"/>
                    <w:tr2bl w:val="nil"/>
                  </w:tcBorders>
                  <w:vAlign w:val="center"/>
                </w:tcPr>
                <w:p w14:paraId="61EF2F7B">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0.50</w:t>
                  </w:r>
                </w:p>
              </w:tc>
            </w:tr>
            <w:tr w14:paraId="76B9049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3798" w:type="dxa"/>
                  <w:gridSpan w:val="3"/>
                  <w:tcBorders>
                    <w:tl2br w:val="nil"/>
                    <w:tr2bl w:val="nil"/>
                  </w:tcBorders>
                  <w:vAlign w:val="center"/>
                </w:tcPr>
                <w:p w14:paraId="3EA6271E">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参考标准限值</w:t>
                  </w:r>
                </w:p>
              </w:tc>
              <w:tc>
                <w:tcPr>
                  <w:tcW w:w="3742" w:type="dxa"/>
                  <w:tcBorders>
                    <w:tl2br w:val="nil"/>
                    <w:tr2bl w:val="nil"/>
                  </w:tcBorders>
                  <w:vAlign w:val="center"/>
                </w:tcPr>
                <w:p w14:paraId="09693D22">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2</w:t>
                  </w:r>
                </w:p>
              </w:tc>
            </w:tr>
          </w:tbl>
          <w:p w14:paraId="57EF8358">
            <w:pPr>
              <w:numPr>
                <w:ilvl w:val="0"/>
                <w:numId w:val="0"/>
              </w:numPr>
              <w:autoSpaceDE w:val="0"/>
              <w:autoSpaceDN w:val="0"/>
              <w:adjustRightInd w:val="0"/>
              <w:spacing w:line="360" w:lineRule="auto"/>
              <w:ind w:firstLine="480" w:firstLineChars="200"/>
              <w:rPr>
                <w:rFonts w:hint="eastAsia"/>
                <w:sz w:val="24"/>
                <w:szCs w:val="24"/>
                <w:highlight w:val="yellow"/>
                <w:u w:val="single"/>
              </w:rPr>
            </w:pPr>
          </w:p>
          <w:p w14:paraId="144713CC">
            <w:pPr>
              <w:numPr>
                <w:ilvl w:val="0"/>
                <w:numId w:val="0"/>
              </w:numPr>
              <w:autoSpaceDE w:val="0"/>
              <w:autoSpaceDN w:val="0"/>
              <w:adjustRightInd w:val="0"/>
              <w:spacing w:line="360" w:lineRule="auto"/>
              <w:ind w:firstLine="480" w:firstLineChars="200"/>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根据上表可知，区域</w:t>
            </w:r>
            <w:r>
              <w:rPr>
                <w:rFonts w:hint="eastAsia" w:cs="Times New Roman"/>
                <w:color w:val="auto"/>
                <w:sz w:val="24"/>
                <w:highlight w:val="none"/>
                <w:u w:val="single"/>
                <w:lang w:val="en-US" w:eastAsia="zh-CN"/>
              </w:rPr>
              <w:t>非甲烷总烃</w:t>
            </w:r>
            <w:r>
              <w:rPr>
                <w:rFonts w:hint="eastAsia" w:ascii="Times New Roman" w:hAnsi="Times New Roman" w:eastAsia="宋体" w:cs="Times New Roman"/>
                <w:color w:val="auto"/>
                <w:sz w:val="24"/>
                <w:highlight w:val="none"/>
                <w:u w:val="single"/>
                <w:lang w:val="en-US" w:eastAsia="zh-CN"/>
              </w:rPr>
              <w:t>能满足</w:t>
            </w:r>
            <w:r>
              <w:rPr>
                <w:rFonts w:ascii="Times New Roman" w:eastAsiaTheme="minorEastAsia"/>
                <w:sz w:val="24"/>
                <w:u w:val="single"/>
              </w:rPr>
              <w:t>非甲烷总烃满足《大气污染物综合排放标准详解》中标准限值</w:t>
            </w:r>
            <w:r>
              <w:rPr>
                <w:rFonts w:hint="eastAsia" w:ascii="Times New Roman" w:hAnsi="Times New Roman" w:eastAsia="宋体" w:cs="Times New Roman"/>
                <w:color w:val="auto"/>
                <w:sz w:val="24"/>
                <w:highlight w:val="none"/>
                <w:u w:val="single"/>
                <w:lang w:val="en-US" w:eastAsia="zh-CN"/>
              </w:rPr>
              <w:t>。</w:t>
            </w:r>
          </w:p>
          <w:p w14:paraId="0C84EA56">
            <w:pPr>
              <w:numPr>
                <w:ilvl w:val="0"/>
                <w:numId w:val="0"/>
              </w:numPr>
              <w:autoSpaceDE w:val="0"/>
              <w:autoSpaceDN w:val="0"/>
              <w:adjustRightInd w:val="0"/>
              <w:spacing w:line="360" w:lineRule="auto"/>
              <w:ind w:firstLine="480" w:firstLineChars="200"/>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本项目特征污染物</w:t>
            </w:r>
            <w:r>
              <w:rPr>
                <w:rFonts w:hint="default" w:ascii="Times New Roman" w:hAnsi="Times New Roman" w:eastAsia="宋体" w:cs="Times New Roman"/>
                <w:color w:val="auto"/>
                <w:sz w:val="24"/>
                <w:highlight w:val="none"/>
                <w:u w:val="single"/>
                <w:lang w:val="en-US" w:eastAsia="zh-CN"/>
              </w:rPr>
              <w:t>TSP</w:t>
            </w:r>
            <w:r>
              <w:rPr>
                <w:rFonts w:hint="eastAsia" w:ascii="Times New Roman" w:hAnsi="Times New Roman" w:eastAsia="宋体" w:cs="Times New Roman"/>
                <w:color w:val="auto"/>
                <w:sz w:val="24"/>
                <w:highlight w:val="none"/>
                <w:u w:val="single"/>
                <w:lang w:val="en-US" w:eastAsia="zh-CN"/>
              </w:rPr>
              <w:t>引</w:t>
            </w:r>
            <w:r>
              <w:rPr>
                <w:rFonts w:hint="eastAsia" w:cs="Times New Roman"/>
                <w:color w:val="auto"/>
                <w:sz w:val="24"/>
                <w:highlight w:val="none"/>
                <w:u w:val="single"/>
                <w:lang w:val="en-US" w:eastAsia="zh-CN"/>
              </w:rPr>
              <w:t>用</w:t>
            </w:r>
            <w:r>
              <w:rPr>
                <w:rFonts w:hint="eastAsia" w:ascii="Times New Roman" w:hAnsi="Times New Roman" w:eastAsia="宋体" w:cs="Times New Roman"/>
                <w:color w:val="auto"/>
                <w:sz w:val="24"/>
                <w:highlight w:val="none"/>
                <w:u w:val="single"/>
                <w:lang w:val="en-US" w:eastAsia="zh-CN"/>
              </w:rPr>
              <w:t>洪江市高新技术产业开发区于</w:t>
            </w:r>
            <w:r>
              <w:rPr>
                <w:rFonts w:hint="default" w:ascii="Times New Roman" w:hAnsi="Times New Roman" w:eastAsia="宋体" w:cs="Times New Roman"/>
                <w:color w:val="auto"/>
                <w:sz w:val="24"/>
                <w:highlight w:val="none"/>
                <w:u w:val="single"/>
                <w:lang w:val="en-US" w:eastAsia="zh-CN"/>
              </w:rPr>
              <w:t>2023</w:t>
            </w:r>
            <w:r>
              <w:rPr>
                <w:rFonts w:hint="eastAsia" w:ascii="Times New Roman" w:hAnsi="Times New Roman" w:eastAsia="宋体" w:cs="Times New Roman"/>
                <w:color w:val="auto"/>
                <w:sz w:val="24"/>
                <w:highlight w:val="none"/>
                <w:u w:val="single"/>
                <w:lang w:val="en-US" w:eastAsia="zh-CN"/>
              </w:rPr>
              <w:t>年</w:t>
            </w:r>
            <w:r>
              <w:rPr>
                <w:rFonts w:hint="eastAsia" w:cs="Times New Roman"/>
                <w:color w:val="auto"/>
                <w:sz w:val="24"/>
                <w:highlight w:val="none"/>
                <w:u w:val="single"/>
                <w:lang w:val="en-US" w:eastAsia="zh-CN"/>
              </w:rPr>
              <w:t>11</w:t>
            </w:r>
            <w:r>
              <w:rPr>
                <w:rFonts w:hint="eastAsia" w:ascii="Times New Roman" w:hAnsi="Times New Roman" w:eastAsia="宋体" w:cs="Times New Roman"/>
                <w:color w:val="auto"/>
                <w:sz w:val="24"/>
                <w:highlight w:val="none"/>
                <w:u w:val="single"/>
                <w:lang w:val="en-US" w:eastAsia="zh-CN"/>
              </w:rPr>
              <w:t>月</w:t>
            </w:r>
            <w:r>
              <w:rPr>
                <w:rFonts w:hint="eastAsia" w:cs="Times New Roman"/>
                <w:color w:val="auto"/>
                <w:sz w:val="24"/>
                <w:highlight w:val="none"/>
                <w:u w:val="single"/>
                <w:lang w:val="en-US" w:eastAsia="zh-CN"/>
              </w:rPr>
              <w:t>8</w:t>
            </w:r>
            <w:r>
              <w:rPr>
                <w:rFonts w:hint="eastAsia" w:ascii="Times New Roman" w:hAnsi="Times New Roman" w:eastAsia="宋体" w:cs="Times New Roman"/>
                <w:color w:val="auto"/>
                <w:sz w:val="24"/>
                <w:highlight w:val="none"/>
                <w:u w:val="single"/>
                <w:lang w:val="en-US" w:eastAsia="zh-CN"/>
              </w:rPr>
              <w:t>日</w:t>
            </w:r>
            <w:r>
              <w:rPr>
                <w:rFonts w:hint="default" w:ascii="Times New Roman" w:hAnsi="Times New Roman" w:eastAsia="宋体" w:cs="Times New Roman"/>
                <w:color w:val="auto"/>
                <w:sz w:val="24"/>
                <w:highlight w:val="none"/>
                <w:u w:val="single"/>
                <w:lang w:val="en-US" w:eastAsia="zh-CN"/>
              </w:rPr>
              <w:t>-1</w:t>
            </w:r>
            <w:r>
              <w:rPr>
                <w:rFonts w:hint="eastAsia" w:cs="Times New Roman"/>
                <w:color w:val="auto"/>
                <w:sz w:val="24"/>
                <w:highlight w:val="none"/>
                <w:u w:val="single"/>
                <w:lang w:val="en-US" w:eastAsia="zh-CN"/>
              </w:rPr>
              <w:t>4</w:t>
            </w:r>
            <w:r>
              <w:rPr>
                <w:rFonts w:hint="eastAsia" w:ascii="Times New Roman" w:hAnsi="Times New Roman" w:eastAsia="宋体" w:cs="Times New Roman"/>
                <w:color w:val="auto"/>
                <w:sz w:val="24"/>
                <w:highlight w:val="none"/>
                <w:u w:val="single"/>
                <w:lang w:val="en-US" w:eastAsia="zh-CN"/>
              </w:rPr>
              <w:t>日委托湖南</w:t>
            </w:r>
            <w:r>
              <w:rPr>
                <w:rFonts w:hint="eastAsia" w:cs="Times New Roman"/>
                <w:color w:val="auto"/>
                <w:sz w:val="24"/>
                <w:highlight w:val="none"/>
                <w:u w:val="single"/>
                <w:lang w:val="en-US" w:eastAsia="zh-CN"/>
              </w:rPr>
              <w:t>精准通检测</w:t>
            </w:r>
            <w:r>
              <w:rPr>
                <w:rFonts w:hint="eastAsia" w:ascii="Times New Roman" w:hAnsi="Times New Roman" w:eastAsia="宋体" w:cs="Times New Roman"/>
                <w:color w:val="auto"/>
                <w:sz w:val="24"/>
                <w:highlight w:val="none"/>
                <w:u w:val="single"/>
                <w:lang w:val="en-US" w:eastAsia="zh-CN"/>
              </w:rPr>
              <w:t>有限公司进行的环境质量现状监测。</w:t>
            </w:r>
          </w:p>
          <w:p w14:paraId="4EB8C1A8">
            <w:pPr>
              <w:widowControl/>
              <w:ind w:firstLine="422" w:firstLineChars="200"/>
              <w:jc w:val="center"/>
              <w:rPr>
                <w:b/>
                <w:bCs/>
                <w:highlight w:val="none"/>
                <w:u w:val="single"/>
              </w:rPr>
            </w:pPr>
            <w:r>
              <w:rPr>
                <w:b/>
                <w:bCs/>
                <w:highlight w:val="none"/>
                <w:u w:val="single"/>
              </w:rPr>
              <w:t>表3-</w:t>
            </w:r>
            <w:r>
              <w:rPr>
                <w:rFonts w:hint="eastAsia"/>
                <w:b/>
                <w:bCs/>
                <w:highlight w:val="none"/>
                <w:u w:val="single"/>
                <w:lang w:val="en-US" w:eastAsia="zh-CN"/>
              </w:rPr>
              <w:t>3</w:t>
            </w:r>
            <w:r>
              <w:rPr>
                <w:b/>
                <w:bCs/>
                <w:highlight w:val="none"/>
                <w:u w:val="single"/>
              </w:rPr>
              <w:t xml:space="preserve">   </w:t>
            </w:r>
            <w:r>
              <w:rPr>
                <w:rFonts w:hint="eastAsia"/>
                <w:b/>
                <w:bCs/>
                <w:highlight w:val="none"/>
                <w:u w:val="single"/>
                <w:lang w:val="en-US" w:eastAsia="zh-CN"/>
              </w:rPr>
              <w:t>TSP</w:t>
            </w:r>
            <w:r>
              <w:rPr>
                <w:b/>
                <w:bCs/>
                <w:highlight w:val="none"/>
                <w:u w:val="single"/>
              </w:rPr>
              <w:t>现状监测结果表   单位（</w:t>
            </w:r>
            <w:r>
              <w:rPr>
                <w:rFonts w:hint="eastAsia"/>
                <w:b/>
                <w:bCs/>
                <w:highlight w:val="none"/>
                <w:u w:val="single"/>
                <w:lang w:val="en-US" w:eastAsia="zh-CN"/>
              </w:rPr>
              <w:t>m</w:t>
            </w:r>
            <w:r>
              <w:rPr>
                <w:b/>
                <w:bCs/>
                <w:highlight w:val="none"/>
                <w:u w:val="single"/>
              </w:rPr>
              <w:t>g/m</w:t>
            </w:r>
            <w:r>
              <w:rPr>
                <w:b/>
                <w:bCs/>
                <w:highlight w:val="none"/>
                <w:u w:val="single"/>
                <w:vertAlign w:val="superscript"/>
              </w:rPr>
              <w:t>3</w:t>
            </w:r>
            <w:r>
              <w:rPr>
                <w:b/>
                <w:bCs/>
                <w:highlight w:val="none"/>
                <w:u w:val="single"/>
              </w:rPr>
              <w:t>）</w:t>
            </w:r>
          </w:p>
          <w:tbl>
            <w:tblPr>
              <w:tblStyle w:val="21"/>
              <w:tblW w:w="6978"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1161"/>
              <w:gridCol w:w="1378"/>
              <w:gridCol w:w="1091"/>
              <w:gridCol w:w="1745"/>
              <w:gridCol w:w="1603"/>
            </w:tblGrid>
            <w:tr w14:paraId="5D36C53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61" w:type="dxa"/>
                  <w:vMerge w:val="restart"/>
                  <w:tcBorders>
                    <w:tl2br w:val="nil"/>
                    <w:tr2bl w:val="nil"/>
                  </w:tcBorders>
                  <w:vAlign w:val="center"/>
                </w:tcPr>
                <w:p w14:paraId="6875DB96">
                  <w:pPr>
                    <w:spacing w:line="240" w:lineRule="auto"/>
                    <w:ind w:firstLine="0" w:firstLineChars="0"/>
                    <w:contextualSpacing/>
                    <w:jc w:val="center"/>
                    <w:rPr>
                      <w:rFonts w:ascii="Times New Roman" w:eastAsiaTheme="minorEastAsia"/>
                      <w:sz w:val="21"/>
                      <w:szCs w:val="21"/>
                      <w:u w:val="single"/>
                    </w:rPr>
                  </w:pPr>
                  <w:r>
                    <w:rPr>
                      <w:rFonts w:ascii="Times New Roman" w:eastAsiaTheme="minorEastAsia"/>
                      <w:sz w:val="21"/>
                      <w:szCs w:val="21"/>
                      <w:u w:val="single"/>
                    </w:rPr>
                    <w:t>点位名称</w:t>
                  </w:r>
                </w:p>
              </w:tc>
              <w:tc>
                <w:tcPr>
                  <w:tcW w:w="1378" w:type="dxa"/>
                  <w:vMerge w:val="restart"/>
                  <w:tcBorders>
                    <w:tl2br w:val="nil"/>
                    <w:tr2bl w:val="nil"/>
                  </w:tcBorders>
                  <w:vAlign w:val="center"/>
                </w:tcPr>
                <w:p w14:paraId="2A7FD325">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检测日期</w:t>
                  </w:r>
                </w:p>
              </w:tc>
              <w:tc>
                <w:tcPr>
                  <w:tcW w:w="1091" w:type="dxa"/>
                  <w:vMerge w:val="restart"/>
                  <w:tcBorders>
                    <w:tl2br w:val="nil"/>
                    <w:tr2bl w:val="nil"/>
                  </w:tcBorders>
                  <w:vAlign w:val="center"/>
                </w:tcPr>
                <w:p w14:paraId="20EC0391">
                  <w:pPr>
                    <w:spacing w:line="240" w:lineRule="auto"/>
                    <w:ind w:firstLine="0" w:firstLineChars="0"/>
                    <w:jc w:val="center"/>
                    <w:rPr>
                      <w:rFonts w:hint="default" w:ascii="Times New Roman" w:eastAsiaTheme="minorEastAsia"/>
                      <w:sz w:val="21"/>
                      <w:szCs w:val="21"/>
                      <w:u w:val="single"/>
                      <w:lang w:val="en-US" w:eastAsia="zh-CN"/>
                    </w:rPr>
                  </w:pPr>
                  <w:r>
                    <w:rPr>
                      <w:rFonts w:hint="eastAsia" w:eastAsiaTheme="minorEastAsia"/>
                      <w:sz w:val="21"/>
                      <w:szCs w:val="21"/>
                      <w:u w:val="single"/>
                      <w:lang w:val="en-US" w:eastAsia="zh-CN"/>
                    </w:rPr>
                    <w:t>监测项目</w:t>
                  </w:r>
                </w:p>
              </w:tc>
              <w:tc>
                <w:tcPr>
                  <w:tcW w:w="1745" w:type="dxa"/>
                  <w:tcBorders>
                    <w:tl2br w:val="nil"/>
                    <w:tr2bl w:val="nil"/>
                  </w:tcBorders>
                  <w:vAlign w:val="center"/>
                </w:tcPr>
                <w:p w14:paraId="271DCE12">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检测结果（</w:t>
                  </w:r>
                  <w:r>
                    <w:rPr>
                      <w:rFonts w:hint="eastAsia" w:eastAsiaTheme="minorEastAsia"/>
                      <w:sz w:val="21"/>
                      <w:szCs w:val="21"/>
                      <w:u w:val="single"/>
                      <w:lang w:val="en-US" w:eastAsia="zh-CN"/>
                    </w:rPr>
                    <w:t>m</w:t>
                  </w:r>
                  <w:r>
                    <w:rPr>
                      <w:rFonts w:ascii="Times New Roman" w:eastAsiaTheme="minorEastAsia"/>
                      <w:sz w:val="21"/>
                      <w:szCs w:val="21"/>
                      <w:u w:val="single"/>
                    </w:rPr>
                    <w:t>g/m</w:t>
                  </w:r>
                  <w:r>
                    <w:rPr>
                      <w:rFonts w:ascii="Times New Roman" w:eastAsiaTheme="minorEastAsia"/>
                      <w:sz w:val="21"/>
                      <w:szCs w:val="21"/>
                      <w:u w:val="single"/>
                      <w:vertAlign w:val="superscript"/>
                    </w:rPr>
                    <w:t>3</w:t>
                  </w:r>
                  <w:r>
                    <w:rPr>
                      <w:rFonts w:ascii="Times New Roman" w:eastAsiaTheme="minorEastAsia"/>
                      <w:sz w:val="21"/>
                      <w:szCs w:val="21"/>
                      <w:u w:val="single"/>
                    </w:rPr>
                    <w:t>）</w:t>
                  </w:r>
                </w:p>
              </w:tc>
              <w:tc>
                <w:tcPr>
                  <w:tcW w:w="1603" w:type="dxa"/>
                  <w:vMerge w:val="restart"/>
                  <w:tcBorders>
                    <w:tl2br w:val="nil"/>
                    <w:tr2bl w:val="nil"/>
                  </w:tcBorders>
                  <w:vAlign w:val="center"/>
                </w:tcPr>
                <w:p w14:paraId="09C2B413">
                  <w:pPr>
                    <w:spacing w:line="240" w:lineRule="auto"/>
                    <w:ind w:firstLine="0" w:firstLineChars="0"/>
                    <w:jc w:val="center"/>
                    <w:rPr>
                      <w:rFonts w:hint="default" w:ascii="Times New Roman" w:eastAsiaTheme="minorEastAsia"/>
                      <w:sz w:val="21"/>
                      <w:szCs w:val="21"/>
                      <w:u w:val="single"/>
                      <w:lang w:val="en-US" w:eastAsia="zh-CN"/>
                    </w:rPr>
                  </w:pPr>
                  <w:r>
                    <w:rPr>
                      <w:rFonts w:hint="eastAsia" w:eastAsiaTheme="minorEastAsia"/>
                      <w:sz w:val="21"/>
                      <w:szCs w:val="21"/>
                      <w:u w:val="single"/>
                      <w:lang w:val="en-US" w:eastAsia="zh-CN"/>
                    </w:rPr>
                    <w:t>标准限值</w:t>
                  </w:r>
                </w:p>
              </w:tc>
            </w:tr>
            <w:tr w14:paraId="0F65244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1161" w:type="dxa"/>
                  <w:vMerge w:val="continue"/>
                  <w:tcBorders>
                    <w:tl2br w:val="nil"/>
                    <w:tr2bl w:val="nil"/>
                  </w:tcBorders>
                  <w:vAlign w:val="center"/>
                </w:tcPr>
                <w:p w14:paraId="7023FBAF">
                  <w:pPr>
                    <w:spacing w:line="240" w:lineRule="auto"/>
                    <w:ind w:firstLine="0" w:firstLineChars="0"/>
                    <w:jc w:val="center"/>
                    <w:rPr>
                      <w:u w:val="single"/>
                    </w:rPr>
                  </w:pPr>
                </w:p>
              </w:tc>
              <w:tc>
                <w:tcPr>
                  <w:tcW w:w="1378" w:type="dxa"/>
                  <w:vMerge w:val="continue"/>
                  <w:tcBorders>
                    <w:tl2br w:val="nil"/>
                    <w:tr2bl w:val="nil"/>
                  </w:tcBorders>
                  <w:vAlign w:val="center"/>
                </w:tcPr>
                <w:p w14:paraId="58EF90A8">
                  <w:pPr>
                    <w:spacing w:line="240" w:lineRule="auto"/>
                    <w:ind w:firstLine="0" w:firstLineChars="0"/>
                    <w:jc w:val="center"/>
                    <w:rPr>
                      <w:rFonts w:ascii="Times New Roman" w:eastAsiaTheme="minorEastAsia"/>
                      <w:sz w:val="21"/>
                      <w:szCs w:val="21"/>
                      <w:u w:val="single"/>
                    </w:rPr>
                  </w:pPr>
                </w:p>
              </w:tc>
              <w:tc>
                <w:tcPr>
                  <w:tcW w:w="1091" w:type="dxa"/>
                  <w:vMerge w:val="continue"/>
                  <w:tcBorders>
                    <w:tl2br w:val="nil"/>
                    <w:tr2bl w:val="nil"/>
                  </w:tcBorders>
                  <w:vAlign w:val="center"/>
                </w:tcPr>
                <w:p w14:paraId="5860149A">
                  <w:pPr>
                    <w:spacing w:line="240" w:lineRule="auto"/>
                    <w:ind w:firstLine="0" w:firstLineChars="0"/>
                    <w:jc w:val="center"/>
                    <w:rPr>
                      <w:rFonts w:ascii="Times New Roman" w:eastAsiaTheme="minorEastAsia"/>
                      <w:sz w:val="21"/>
                      <w:szCs w:val="21"/>
                      <w:u w:val="single"/>
                    </w:rPr>
                  </w:pPr>
                </w:p>
              </w:tc>
              <w:tc>
                <w:tcPr>
                  <w:tcW w:w="1745" w:type="dxa"/>
                  <w:tcBorders>
                    <w:tl2br w:val="nil"/>
                    <w:tr2bl w:val="nil"/>
                  </w:tcBorders>
                  <w:vAlign w:val="center"/>
                </w:tcPr>
                <w:p w14:paraId="12BA166A">
                  <w:pPr>
                    <w:spacing w:line="240" w:lineRule="auto"/>
                    <w:ind w:firstLine="0" w:firstLineChars="0"/>
                    <w:jc w:val="center"/>
                    <w:rPr>
                      <w:rFonts w:hint="eastAsia" w:ascii="Times New Roman" w:eastAsiaTheme="minorEastAsia"/>
                      <w:sz w:val="21"/>
                      <w:szCs w:val="21"/>
                      <w:u w:val="single"/>
                      <w:lang w:val="en-US" w:eastAsia="zh-CN"/>
                    </w:rPr>
                  </w:pPr>
                  <w:r>
                    <w:rPr>
                      <w:rFonts w:hint="eastAsia" w:eastAsiaTheme="minorEastAsia"/>
                      <w:sz w:val="21"/>
                      <w:szCs w:val="21"/>
                      <w:u w:val="single"/>
                      <w:lang w:val="en-US" w:eastAsia="zh-CN"/>
                    </w:rPr>
                    <w:t>日均值</w:t>
                  </w:r>
                </w:p>
              </w:tc>
              <w:tc>
                <w:tcPr>
                  <w:tcW w:w="1603" w:type="dxa"/>
                  <w:vMerge w:val="continue"/>
                  <w:tcBorders>
                    <w:tl2br w:val="nil"/>
                    <w:tr2bl w:val="nil"/>
                  </w:tcBorders>
                  <w:vAlign w:val="center"/>
                </w:tcPr>
                <w:p w14:paraId="2D47EBDE">
                  <w:pPr>
                    <w:spacing w:line="240" w:lineRule="auto"/>
                    <w:ind w:firstLine="0" w:firstLineChars="0"/>
                    <w:jc w:val="center"/>
                    <w:rPr>
                      <w:rFonts w:hint="eastAsia" w:eastAsiaTheme="minorEastAsia"/>
                      <w:sz w:val="21"/>
                      <w:szCs w:val="21"/>
                      <w:u w:val="single"/>
                      <w:lang w:val="en-US" w:eastAsia="zh-CN"/>
                    </w:rPr>
                  </w:pPr>
                </w:p>
              </w:tc>
            </w:tr>
            <w:tr w14:paraId="386A167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1161" w:type="dxa"/>
                  <w:vMerge w:val="restart"/>
                  <w:tcBorders>
                    <w:tl2br w:val="nil"/>
                    <w:tr2bl w:val="nil"/>
                  </w:tcBorders>
                  <w:vAlign w:val="center"/>
                </w:tcPr>
                <w:p w14:paraId="4D5E8440">
                  <w:pPr>
                    <w:spacing w:line="240" w:lineRule="auto"/>
                    <w:ind w:firstLine="0" w:firstLineChars="0"/>
                    <w:jc w:val="center"/>
                    <w:rPr>
                      <w:rFonts w:hint="default" w:ascii="Times New Roman" w:eastAsia="宋体"/>
                      <w:sz w:val="21"/>
                      <w:szCs w:val="21"/>
                      <w:u w:val="single"/>
                      <w:lang w:val="en-US" w:eastAsia="zh-CN"/>
                    </w:rPr>
                  </w:pPr>
                  <w:r>
                    <w:rPr>
                      <w:rFonts w:ascii="Times New Roman" w:eastAsiaTheme="minorEastAsia"/>
                      <w:sz w:val="21"/>
                      <w:szCs w:val="21"/>
                      <w:u w:val="single"/>
                    </w:rPr>
                    <w:t>G1泥溪村刘家</w:t>
                  </w:r>
                  <w:r>
                    <w:rPr>
                      <w:rFonts w:hint="eastAsia" w:ascii="Times New Roman" w:eastAsiaTheme="minorEastAsia"/>
                      <w:sz w:val="21"/>
                      <w:szCs w:val="21"/>
                      <w:u w:val="single"/>
                      <w:lang w:val="en-US" w:eastAsia="zh-CN"/>
                    </w:rPr>
                    <w:t>湾</w:t>
                  </w:r>
                  <w:r>
                    <w:rPr>
                      <w:rFonts w:ascii="Times New Roman" w:eastAsiaTheme="minorEastAsia"/>
                      <w:sz w:val="21"/>
                      <w:szCs w:val="21"/>
                      <w:u w:val="single"/>
                    </w:rPr>
                    <w:t>，距本</w:t>
                  </w:r>
                  <w:r>
                    <w:rPr>
                      <w:rFonts w:hint="eastAsia" w:ascii="Times New Roman" w:eastAsiaTheme="minorEastAsia"/>
                      <w:sz w:val="21"/>
                      <w:szCs w:val="21"/>
                      <w:u w:val="single"/>
                      <w:lang w:val="en-US" w:eastAsia="zh-CN"/>
                    </w:rPr>
                    <w:t>项目约</w:t>
                  </w:r>
                  <w:r>
                    <w:rPr>
                      <w:rFonts w:hint="eastAsia" w:eastAsiaTheme="minorEastAsia"/>
                      <w:sz w:val="21"/>
                      <w:szCs w:val="21"/>
                      <w:u w:val="single"/>
                      <w:lang w:val="en-US" w:eastAsia="zh-CN"/>
                    </w:rPr>
                    <w:t>808</w:t>
                  </w:r>
                  <w:r>
                    <w:rPr>
                      <w:rFonts w:hint="eastAsia" w:ascii="Times New Roman" w:eastAsiaTheme="minorEastAsia"/>
                      <w:sz w:val="21"/>
                      <w:szCs w:val="21"/>
                      <w:u w:val="single"/>
                      <w:lang w:val="en-US" w:eastAsia="zh-CN"/>
                    </w:rPr>
                    <w:t>m</w:t>
                  </w:r>
                </w:p>
              </w:tc>
              <w:tc>
                <w:tcPr>
                  <w:tcW w:w="1378" w:type="dxa"/>
                  <w:tcBorders>
                    <w:tl2br w:val="nil"/>
                    <w:tr2bl w:val="nil"/>
                  </w:tcBorders>
                  <w:vAlign w:val="center"/>
                </w:tcPr>
                <w:p w14:paraId="451C0960">
                  <w:pPr>
                    <w:spacing w:line="240" w:lineRule="auto"/>
                    <w:ind w:firstLine="0" w:firstLineChars="0"/>
                    <w:jc w:val="center"/>
                    <w:rPr>
                      <w:rFonts w:hint="default" w:ascii="Times New Roman" w:eastAsiaTheme="minorEastAsia"/>
                      <w:sz w:val="21"/>
                      <w:szCs w:val="21"/>
                      <w:u w:val="single"/>
                      <w:lang w:val="en-US" w:eastAsia="zh-CN"/>
                    </w:rPr>
                  </w:pPr>
                  <w:r>
                    <w:rPr>
                      <w:rFonts w:ascii="Times New Roman" w:eastAsiaTheme="minorEastAsia"/>
                      <w:sz w:val="21"/>
                      <w:szCs w:val="21"/>
                      <w:u w:val="single"/>
                    </w:rPr>
                    <w:t>2023.</w:t>
                  </w:r>
                  <w:r>
                    <w:rPr>
                      <w:rFonts w:hint="eastAsia" w:eastAsiaTheme="minorEastAsia"/>
                      <w:sz w:val="21"/>
                      <w:szCs w:val="21"/>
                      <w:u w:val="single"/>
                      <w:lang w:val="en-US" w:eastAsia="zh-CN"/>
                    </w:rPr>
                    <w:t>11</w:t>
                  </w:r>
                  <w:r>
                    <w:rPr>
                      <w:rFonts w:ascii="Times New Roman" w:eastAsiaTheme="minorEastAsia"/>
                      <w:sz w:val="21"/>
                      <w:szCs w:val="21"/>
                      <w:u w:val="single"/>
                    </w:rPr>
                    <w:t>.</w:t>
                  </w:r>
                  <w:r>
                    <w:rPr>
                      <w:rFonts w:hint="eastAsia" w:eastAsiaTheme="minorEastAsia"/>
                      <w:sz w:val="21"/>
                      <w:szCs w:val="21"/>
                      <w:u w:val="single"/>
                      <w:lang w:val="en-US" w:eastAsia="zh-CN"/>
                    </w:rPr>
                    <w:t>8</w:t>
                  </w:r>
                </w:p>
              </w:tc>
              <w:tc>
                <w:tcPr>
                  <w:tcW w:w="1091" w:type="dxa"/>
                  <w:tcBorders>
                    <w:tl2br w:val="nil"/>
                    <w:tr2bl w:val="nil"/>
                  </w:tcBorders>
                  <w:vAlign w:val="center"/>
                </w:tcPr>
                <w:p w14:paraId="2F259882">
                  <w:pPr>
                    <w:spacing w:line="240" w:lineRule="auto"/>
                    <w:ind w:firstLine="0" w:firstLineChars="0"/>
                    <w:jc w:val="center"/>
                    <w:rPr>
                      <w:rFonts w:hint="default" w:ascii="Times New Roman" w:eastAsiaTheme="minorEastAsia"/>
                      <w:sz w:val="21"/>
                      <w:szCs w:val="21"/>
                      <w:u w:val="single"/>
                      <w:lang w:val="en-US" w:eastAsia="zh-CN"/>
                    </w:rPr>
                  </w:pPr>
                  <w:r>
                    <w:rPr>
                      <w:rFonts w:hint="eastAsia" w:eastAsiaTheme="minorEastAsia"/>
                      <w:sz w:val="21"/>
                      <w:szCs w:val="21"/>
                      <w:u w:val="single"/>
                      <w:lang w:val="en-US" w:eastAsia="zh-CN"/>
                    </w:rPr>
                    <w:t>TSP</w:t>
                  </w:r>
                </w:p>
              </w:tc>
              <w:tc>
                <w:tcPr>
                  <w:tcW w:w="1745" w:type="dxa"/>
                  <w:tcBorders>
                    <w:tl2br w:val="nil"/>
                    <w:tr2bl w:val="nil"/>
                  </w:tcBorders>
                  <w:vAlign w:val="center"/>
                </w:tcPr>
                <w:p w14:paraId="2C31B216">
                  <w:pPr>
                    <w:spacing w:line="240" w:lineRule="auto"/>
                    <w:ind w:firstLine="0" w:firstLineChars="0"/>
                    <w:jc w:val="center"/>
                    <w:rPr>
                      <w:rFonts w:hint="default" w:ascii="Times New Roman" w:eastAsiaTheme="minorEastAsia"/>
                      <w:sz w:val="21"/>
                      <w:szCs w:val="21"/>
                      <w:u w:val="single"/>
                      <w:lang w:val="en-US" w:eastAsia="zh-CN"/>
                    </w:rPr>
                  </w:pPr>
                  <w:r>
                    <w:rPr>
                      <w:rFonts w:hint="eastAsia" w:eastAsiaTheme="minorEastAsia"/>
                      <w:sz w:val="21"/>
                      <w:szCs w:val="21"/>
                      <w:u w:val="single"/>
                      <w:lang w:val="en-US" w:eastAsia="zh-CN"/>
                    </w:rPr>
                    <w:t>79</w:t>
                  </w:r>
                </w:p>
              </w:tc>
              <w:tc>
                <w:tcPr>
                  <w:tcW w:w="1603" w:type="dxa"/>
                  <w:tcBorders>
                    <w:tl2br w:val="nil"/>
                    <w:tr2bl w:val="nil"/>
                  </w:tcBorders>
                  <w:vAlign w:val="center"/>
                </w:tcPr>
                <w:p w14:paraId="5488BAA9">
                  <w:pPr>
                    <w:spacing w:line="240" w:lineRule="auto"/>
                    <w:ind w:firstLine="0" w:firstLineChars="0"/>
                    <w:jc w:val="center"/>
                    <w:rPr>
                      <w:rFonts w:hint="default" w:ascii="Times New Roman" w:eastAsiaTheme="minorEastAsia"/>
                      <w:sz w:val="21"/>
                      <w:szCs w:val="21"/>
                      <w:u w:val="single"/>
                      <w:lang w:val="en-US" w:eastAsia="zh-CN"/>
                    </w:rPr>
                  </w:pPr>
                  <w:r>
                    <w:rPr>
                      <w:rFonts w:hint="eastAsia" w:eastAsiaTheme="minorEastAsia"/>
                      <w:sz w:val="21"/>
                      <w:szCs w:val="21"/>
                      <w:u w:val="single"/>
                      <w:lang w:val="en-US" w:eastAsia="zh-CN"/>
                    </w:rPr>
                    <w:t>300</w:t>
                  </w:r>
                </w:p>
              </w:tc>
            </w:tr>
            <w:tr w14:paraId="69B1824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190" w:hRule="atLeast"/>
                <w:jc w:val="center"/>
              </w:trPr>
              <w:tc>
                <w:tcPr>
                  <w:tcW w:w="1161" w:type="dxa"/>
                  <w:vMerge w:val="continue"/>
                  <w:tcBorders>
                    <w:tl2br w:val="nil"/>
                    <w:tr2bl w:val="nil"/>
                  </w:tcBorders>
                  <w:vAlign w:val="center"/>
                </w:tcPr>
                <w:p w14:paraId="71818336">
                  <w:pPr>
                    <w:spacing w:line="240" w:lineRule="auto"/>
                    <w:ind w:firstLine="0" w:firstLineChars="0"/>
                    <w:jc w:val="center"/>
                    <w:rPr>
                      <w:rFonts w:ascii="Times New Roman" w:eastAsiaTheme="minorEastAsia"/>
                      <w:sz w:val="21"/>
                      <w:szCs w:val="21"/>
                      <w:u w:val="single"/>
                    </w:rPr>
                  </w:pPr>
                </w:p>
              </w:tc>
              <w:tc>
                <w:tcPr>
                  <w:tcW w:w="1378" w:type="dxa"/>
                  <w:tcBorders>
                    <w:tl2br w:val="nil"/>
                    <w:tr2bl w:val="nil"/>
                  </w:tcBorders>
                  <w:vAlign w:val="center"/>
                </w:tcPr>
                <w:p w14:paraId="13A1777D">
                  <w:pPr>
                    <w:spacing w:line="240" w:lineRule="auto"/>
                    <w:ind w:firstLine="0" w:firstLineChars="0"/>
                    <w:jc w:val="center"/>
                    <w:rPr>
                      <w:rFonts w:hint="default" w:ascii="Times New Roman" w:eastAsiaTheme="minorEastAsia"/>
                      <w:sz w:val="21"/>
                      <w:szCs w:val="21"/>
                      <w:u w:val="single"/>
                      <w:lang w:val="en-US"/>
                    </w:rPr>
                  </w:pPr>
                  <w:r>
                    <w:rPr>
                      <w:rFonts w:ascii="Times New Roman" w:eastAsiaTheme="minorEastAsia"/>
                      <w:sz w:val="21"/>
                      <w:szCs w:val="21"/>
                      <w:u w:val="single"/>
                    </w:rPr>
                    <w:t>2023.</w:t>
                  </w:r>
                  <w:r>
                    <w:rPr>
                      <w:rFonts w:hint="eastAsia" w:eastAsiaTheme="minorEastAsia"/>
                      <w:sz w:val="21"/>
                      <w:szCs w:val="21"/>
                      <w:u w:val="single"/>
                      <w:lang w:val="en-US" w:eastAsia="zh-CN"/>
                    </w:rPr>
                    <w:t>11.9</w:t>
                  </w:r>
                </w:p>
              </w:tc>
              <w:tc>
                <w:tcPr>
                  <w:tcW w:w="1091" w:type="dxa"/>
                  <w:tcBorders>
                    <w:tl2br w:val="nil"/>
                    <w:tr2bl w:val="nil"/>
                  </w:tcBorders>
                  <w:vAlign w:val="center"/>
                </w:tcPr>
                <w:p w14:paraId="62AFF0A1">
                  <w:pPr>
                    <w:spacing w:line="240" w:lineRule="auto"/>
                    <w:ind w:firstLine="0" w:firstLineChars="0"/>
                    <w:jc w:val="center"/>
                    <w:rPr>
                      <w:rFonts w:ascii="Times New Roman" w:eastAsiaTheme="minorEastAsia"/>
                      <w:sz w:val="21"/>
                      <w:szCs w:val="21"/>
                      <w:u w:val="single"/>
                    </w:rPr>
                  </w:pPr>
                  <w:r>
                    <w:rPr>
                      <w:rFonts w:hint="eastAsia" w:eastAsiaTheme="minorEastAsia"/>
                      <w:sz w:val="21"/>
                      <w:szCs w:val="21"/>
                      <w:u w:val="single"/>
                      <w:lang w:val="en-US" w:eastAsia="zh-CN"/>
                    </w:rPr>
                    <w:t>TSP</w:t>
                  </w:r>
                </w:p>
              </w:tc>
              <w:tc>
                <w:tcPr>
                  <w:tcW w:w="1745" w:type="dxa"/>
                  <w:tcBorders>
                    <w:tl2br w:val="nil"/>
                    <w:tr2bl w:val="nil"/>
                  </w:tcBorders>
                  <w:vAlign w:val="center"/>
                </w:tcPr>
                <w:p w14:paraId="2EF46C4D">
                  <w:pPr>
                    <w:spacing w:line="240" w:lineRule="auto"/>
                    <w:ind w:firstLine="0" w:firstLineChars="0"/>
                    <w:jc w:val="center"/>
                    <w:rPr>
                      <w:rFonts w:hint="default" w:ascii="Times New Roman" w:eastAsiaTheme="minorEastAsia"/>
                      <w:sz w:val="21"/>
                      <w:szCs w:val="21"/>
                      <w:u w:val="single"/>
                      <w:lang w:val="en-US" w:eastAsia="zh-CN"/>
                    </w:rPr>
                  </w:pPr>
                  <w:r>
                    <w:rPr>
                      <w:rFonts w:hint="eastAsia" w:eastAsiaTheme="minorEastAsia"/>
                      <w:sz w:val="21"/>
                      <w:szCs w:val="21"/>
                      <w:u w:val="single"/>
                      <w:lang w:val="en-US" w:eastAsia="zh-CN"/>
                    </w:rPr>
                    <w:t>71</w:t>
                  </w:r>
                </w:p>
              </w:tc>
              <w:tc>
                <w:tcPr>
                  <w:tcW w:w="1603" w:type="dxa"/>
                  <w:tcBorders>
                    <w:tl2br w:val="nil"/>
                    <w:tr2bl w:val="nil"/>
                  </w:tcBorders>
                  <w:vAlign w:val="center"/>
                </w:tcPr>
                <w:p w14:paraId="1FD16120">
                  <w:pPr>
                    <w:spacing w:line="240" w:lineRule="auto"/>
                    <w:ind w:firstLine="0" w:firstLineChars="0"/>
                    <w:jc w:val="center"/>
                    <w:rPr>
                      <w:rFonts w:ascii="Times New Roman" w:eastAsiaTheme="minorEastAsia"/>
                      <w:sz w:val="21"/>
                      <w:szCs w:val="21"/>
                      <w:u w:val="single"/>
                    </w:rPr>
                  </w:pPr>
                  <w:r>
                    <w:rPr>
                      <w:rFonts w:hint="eastAsia" w:eastAsiaTheme="minorEastAsia"/>
                      <w:sz w:val="21"/>
                      <w:szCs w:val="21"/>
                      <w:u w:val="single"/>
                      <w:lang w:val="en-US" w:eastAsia="zh-CN"/>
                    </w:rPr>
                    <w:t>300</w:t>
                  </w:r>
                </w:p>
              </w:tc>
            </w:tr>
            <w:tr w14:paraId="1D57537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1161" w:type="dxa"/>
                  <w:vMerge w:val="continue"/>
                  <w:tcBorders>
                    <w:tl2br w:val="nil"/>
                    <w:tr2bl w:val="nil"/>
                  </w:tcBorders>
                  <w:vAlign w:val="center"/>
                </w:tcPr>
                <w:p w14:paraId="0B993C74">
                  <w:pPr>
                    <w:spacing w:line="240" w:lineRule="auto"/>
                    <w:ind w:firstLine="0" w:firstLineChars="0"/>
                    <w:jc w:val="center"/>
                    <w:rPr>
                      <w:rFonts w:ascii="Times New Roman" w:eastAsiaTheme="minorEastAsia"/>
                      <w:sz w:val="21"/>
                      <w:szCs w:val="21"/>
                      <w:u w:val="single"/>
                    </w:rPr>
                  </w:pPr>
                </w:p>
              </w:tc>
              <w:tc>
                <w:tcPr>
                  <w:tcW w:w="1378" w:type="dxa"/>
                  <w:tcBorders>
                    <w:tl2br w:val="nil"/>
                    <w:tr2bl w:val="nil"/>
                  </w:tcBorders>
                  <w:vAlign w:val="center"/>
                </w:tcPr>
                <w:p w14:paraId="7D697E6C">
                  <w:pPr>
                    <w:spacing w:line="240" w:lineRule="auto"/>
                    <w:ind w:firstLine="0" w:firstLineChars="0"/>
                    <w:jc w:val="center"/>
                    <w:rPr>
                      <w:rFonts w:hint="default" w:eastAsiaTheme="minorEastAsia"/>
                      <w:sz w:val="21"/>
                      <w:szCs w:val="21"/>
                      <w:u w:val="single"/>
                      <w:lang w:val="en-US" w:eastAsia="zh-CN"/>
                    </w:rPr>
                  </w:pPr>
                  <w:r>
                    <w:rPr>
                      <w:rFonts w:hint="eastAsia" w:eastAsiaTheme="minorEastAsia"/>
                      <w:sz w:val="21"/>
                      <w:szCs w:val="21"/>
                      <w:u w:val="single"/>
                      <w:lang w:val="en-US" w:eastAsia="zh-CN"/>
                    </w:rPr>
                    <w:t>2023.11.10</w:t>
                  </w:r>
                </w:p>
              </w:tc>
              <w:tc>
                <w:tcPr>
                  <w:tcW w:w="1091" w:type="dxa"/>
                  <w:tcBorders>
                    <w:tl2br w:val="nil"/>
                    <w:tr2bl w:val="nil"/>
                  </w:tcBorders>
                  <w:vAlign w:val="center"/>
                </w:tcPr>
                <w:p w14:paraId="36738A96">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TSP</w:t>
                  </w:r>
                </w:p>
              </w:tc>
              <w:tc>
                <w:tcPr>
                  <w:tcW w:w="1745" w:type="dxa"/>
                  <w:tcBorders>
                    <w:tl2br w:val="nil"/>
                    <w:tr2bl w:val="nil"/>
                  </w:tcBorders>
                  <w:vAlign w:val="top"/>
                </w:tcPr>
                <w:p w14:paraId="1536AAE5">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82</w:t>
                  </w:r>
                </w:p>
              </w:tc>
              <w:tc>
                <w:tcPr>
                  <w:tcW w:w="1603" w:type="dxa"/>
                  <w:tcBorders>
                    <w:tl2br w:val="nil"/>
                    <w:tr2bl w:val="nil"/>
                  </w:tcBorders>
                  <w:vAlign w:val="center"/>
                </w:tcPr>
                <w:p w14:paraId="6AB3C59C">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300</w:t>
                  </w:r>
                </w:p>
              </w:tc>
            </w:tr>
            <w:tr w14:paraId="4C07DED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161" w:type="dxa"/>
                  <w:vMerge w:val="continue"/>
                  <w:tcBorders>
                    <w:tl2br w:val="nil"/>
                    <w:tr2bl w:val="nil"/>
                  </w:tcBorders>
                  <w:vAlign w:val="center"/>
                </w:tcPr>
                <w:p w14:paraId="387DA423">
                  <w:pPr>
                    <w:spacing w:line="240" w:lineRule="auto"/>
                    <w:ind w:firstLine="0" w:firstLineChars="0"/>
                    <w:jc w:val="center"/>
                    <w:rPr>
                      <w:rFonts w:ascii="Times New Roman" w:eastAsiaTheme="minorEastAsia"/>
                      <w:sz w:val="21"/>
                      <w:szCs w:val="21"/>
                      <w:u w:val="single"/>
                    </w:rPr>
                  </w:pPr>
                </w:p>
              </w:tc>
              <w:tc>
                <w:tcPr>
                  <w:tcW w:w="1378" w:type="dxa"/>
                  <w:tcBorders>
                    <w:tl2br w:val="nil"/>
                    <w:tr2bl w:val="nil"/>
                  </w:tcBorders>
                  <w:vAlign w:val="center"/>
                </w:tcPr>
                <w:p w14:paraId="6C0BCA91">
                  <w:pPr>
                    <w:spacing w:line="240" w:lineRule="auto"/>
                    <w:ind w:firstLine="0" w:firstLineChars="0"/>
                    <w:jc w:val="center"/>
                    <w:rPr>
                      <w:rFonts w:hint="default" w:eastAsiaTheme="minorEastAsia"/>
                      <w:sz w:val="21"/>
                      <w:szCs w:val="21"/>
                      <w:u w:val="single"/>
                      <w:lang w:val="en-US" w:eastAsia="zh-CN"/>
                    </w:rPr>
                  </w:pPr>
                  <w:r>
                    <w:rPr>
                      <w:rFonts w:hint="eastAsia" w:eastAsiaTheme="minorEastAsia"/>
                      <w:sz w:val="21"/>
                      <w:szCs w:val="21"/>
                      <w:u w:val="single"/>
                      <w:lang w:val="en-US" w:eastAsia="zh-CN"/>
                    </w:rPr>
                    <w:t>2023.11.11</w:t>
                  </w:r>
                </w:p>
              </w:tc>
              <w:tc>
                <w:tcPr>
                  <w:tcW w:w="1091" w:type="dxa"/>
                  <w:tcBorders>
                    <w:tl2br w:val="nil"/>
                    <w:tr2bl w:val="nil"/>
                  </w:tcBorders>
                  <w:vAlign w:val="center"/>
                </w:tcPr>
                <w:p w14:paraId="71D438E2">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TSP</w:t>
                  </w:r>
                </w:p>
              </w:tc>
              <w:tc>
                <w:tcPr>
                  <w:tcW w:w="1745" w:type="dxa"/>
                  <w:tcBorders>
                    <w:tl2br w:val="nil"/>
                    <w:tr2bl w:val="nil"/>
                  </w:tcBorders>
                  <w:vAlign w:val="top"/>
                </w:tcPr>
                <w:p w14:paraId="4CB2BBEE">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79</w:t>
                  </w:r>
                </w:p>
              </w:tc>
              <w:tc>
                <w:tcPr>
                  <w:tcW w:w="1603" w:type="dxa"/>
                  <w:tcBorders>
                    <w:tl2br w:val="nil"/>
                    <w:tr2bl w:val="nil"/>
                  </w:tcBorders>
                  <w:vAlign w:val="center"/>
                </w:tcPr>
                <w:p w14:paraId="51F66E02">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300</w:t>
                  </w:r>
                </w:p>
              </w:tc>
            </w:tr>
            <w:tr w14:paraId="329209D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61" w:type="dxa"/>
                  <w:vMerge w:val="continue"/>
                  <w:tcBorders>
                    <w:tl2br w:val="nil"/>
                    <w:tr2bl w:val="nil"/>
                  </w:tcBorders>
                  <w:vAlign w:val="center"/>
                </w:tcPr>
                <w:p w14:paraId="2D66F614">
                  <w:pPr>
                    <w:spacing w:line="240" w:lineRule="auto"/>
                    <w:ind w:firstLine="0" w:firstLineChars="0"/>
                    <w:jc w:val="center"/>
                    <w:rPr>
                      <w:rFonts w:ascii="Times New Roman" w:eastAsiaTheme="minorEastAsia"/>
                      <w:sz w:val="21"/>
                      <w:szCs w:val="21"/>
                      <w:u w:val="single"/>
                    </w:rPr>
                  </w:pPr>
                </w:p>
              </w:tc>
              <w:tc>
                <w:tcPr>
                  <w:tcW w:w="1378" w:type="dxa"/>
                  <w:tcBorders>
                    <w:tl2br w:val="nil"/>
                    <w:tr2bl w:val="nil"/>
                  </w:tcBorders>
                  <w:vAlign w:val="center"/>
                </w:tcPr>
                <w:p w14:paraId="3F7265D6">
                  <w:pPr>
                    <w:spacing w:line="240" w:lineRule="auto"/>
                    <w:ind w:firstLine="0" w:firstLineChars="0"/>
                    <w:jc w:val="center"/>
                    <w:rPr>
                      <w:rFonts w:hint="default" w:eastAsiaTheme="minorEastAsia"/>
                      <w:sz w:val="21"/>
                      <w:szCs w:val="21"/>
                      <w:u w:val="single"/>
                      <w:lang w:val="en-US" w:eastAsia="zh-CN"/>
                    </w:rPr>
                  </w:pPr>
                  <w:r>
                    <w:rPr>
                      <w:rFonts w:hint="eastAsia" w:eastAsiaTheme="minorEastAsia"/>
                      <w:sz w:val="21"/>
                      <w:szCs w:val="21"/>
                      <w:u w:val="single"/>
                      <w:lang w:val="en-US" w:eastAsia="zh-CN"/>
                    </w:rPr>
                    <w:t>2023.11.12</w:t>
                  </w:r>
                </w:p>
              </w:tc>
              <w:tc>
                <w:tcPr>
                  <w:tcW w:w="1091" w:type="dxa"/>
                  <w:tcBorders>
                    <w:tl2br w:val="nil"/>
                    <w:tr2bl w:val="nil"/>
                  </w:tcBorders>
                  <w:vAlign w:val="center"/>
                </w:tcPr>
                <w:p w14:paraId="11F4A3B4">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TSP</w:t>
                  </w:r>
                </w:p>
              </w:tc>
              <w:tc>
                <w:tcPr>
                  <w:tcW w:w="1745" w:type="dxa"/>
                  <w:tcBorders>
                    <w:tl2br w:val="nil"/>
                    <w:tr2bl w:val="nil"/>
                  </w:tcBorders>
                  <w:vAlign w:val="top"/>
                </w:tcPr>
                <w:p w14:paraId="6E310519">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86</w:t>
                  </w:r>
                </w:p>
              </w:tc>
              <w:tc>
                <w:tcPr>
                  <w:tcW w:w="1603" w:type="dxa"/>
                  <w:tcBorders>
                    <w:tl2br w:val="nil"/>
                    <w:tr2bl w:val="nil"/>
                  </w:tcBorders>
                  <w:vAlign w:val="center"/>
                </w:tcPr>
                <w:p w14:paraId="08857876">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300</w:t>
                  </w:r>
                </w:p>
              </w:tc>
            </w:tr>
            <w:tr w14:paraId="51E0DC1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1161" w:type="dxa"/>
                  <w:vMerge w:val="continue"/>
                  <w:tcBorders>
                    <w:tl2br w:val="nil"/>
                    <w:tr2bl w:val="nil"/>
                  </w:tcBorders>
                  <w:vAlign w:val="center"/>
                </w:tcPr>
                <w:p w14:paraId="2D189A85">
                  <w:pPr>
                    <w:spacing w:line="240" w:lineRule="auto"/>
                    <w:ind w:firstLine="0" w:firstLineChars="0"/>
                    <w:jc w:val="center"/>
                    <w:rPr>
                      <w:rFonts w:ascii="Times New Roman" w:eastAsiaTheme="minorEastAsia"/>
                      <w:sz w:val="21"/>
                      <w:szCs w:val="21"/>
                      <w:u w:val="single"/>
                    </w:rPr>
                  </w:pPr>
                </w:p>
              </w:tc>
              <w:tc>
                <w:tcPr>
                  <w:tcW w:w="1378" w:type="dxa"/>
                  <w:tcBorders>
                    <w:tl2br w:val="nil"/>
                    <w:tr2bl w:val="nil"/>
                  </w:tcBorders>
                  <w:vAlign w:val="center"/>
                </w:tcPr>
                <w:p w14:paraId="524C49D9">
                  <w:pPr>
                    <w:spacing w:line="240" w:lineRule="auto"/>
                    <w:ind w:firstLine="0" w:firstLineChars="0"/>
                    <w:jc w:val="center"/>
                    <w:rPr>
                      <w:rFonts w:hint="default" w:eastAsiaTheme="minorEastAsia"/>
                      <w:sz w:val="21"/>
                      <w:szCs w:val="21"/>
                      <w:u w:val="single"/>
                      <w:lang w:val="en-US" w:eastAsia="zh-CN"/>
                    </w:rPr>
                  </w:pPr>
                  <w:r>
                    <w:rPr>
                      <w:rFonts w:hint="eastAsia" w:eastAsiaTheme="minorEastAsia"/>
                      <w:sz w:val="21"/>
                      <w:szCs w:val="21"/>
                      <w:u w:val="single"/>
                      <w:lang w:val="en-US" w:eastAsia="zh-CN"/>
                    </w:rPr>
                    <w:t>2023.11.13</w:t>
                  </w:r>
                </w:p>
              </w:tc>
              <w:tc>
                <w:tcPr>
                  <w:tcW w:w="1091" w:type="dxa"/>
                  <w:tcBorders>
                    <w:tl2br w:val="nil"/>
                    <w:tr2bl w:val="nil"/>
                  </w:tcBorders>
                  <w:vAlign w:val="center"/>
                </w:tcPr>
                <w:p w14:paraId="052EEC53">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TSP</w:t>
                  </w:r>
                </w:p>
              </w:tc>
              <w:tc>
                <w:tcPr>
                  <w:tcW w:w="1745" w:type="dxa"/>
                  <w:tcBorders>
                    <w:tl2br w:val="nil"/>
                    <w:tr2bl w:val="nil"/>
                  </w:tcBorders>
                  <w:vAlign w:val="top"/>
                </w:tcPr>
                <w:p w14:paraId="55F1623D">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85</w:t>
                  </w:r>
                </w:p>
              </w:tc>
              <w:tc>
                <w:tcPr>
                  <w:tcW w:w="1603" w:type="dxa"/>
                  <w:tcBorders>
                    <w:tl2br w:val="nil"/>
                    <w:tr2bl w:val="nil"/>
                  </w:tcBorders>
                  <w:vAlign w:val="center"/>
                </w:tcPr>
                <w:p w14:paraId="25D33C7E">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300</w:t>
                  </w:r>
                </w:p>
              </w:tc>
            </w:tr>
            <w:tr w14:paraId="403991E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161" w:type="dxa"/>
                  <w:vMerge w:val="continue"/>
                  <w:tcBorders>
                    <w:tl2br w:val="nil"/>
                    <w:tr2bl w:val="nil"/>
                  </w:tcBorders>
                  <w:vAlign w:val="center"/>
                </w:tcPr>
                <w:p w14:paraId="5315E5AD">
                  <w:pPr>
                    <w:spacing w:line="240" w:lineRule="auto"/>
                    <w:ind w:firstLine="0" w:firstLineChars="0"/>
                    <w:jc w:val="center"/>
                    <w:rPr>
                      <w:rFonts w:ascii="Times New Roman" w:eastAsiaTheme="minorEastAsia"/>
                      <w:sz w:val="21"/>
                      <w:szCs w:val="21"/>
                      <w:u w:val="single"/>
                    </w:rPr>
                  </w:pPr>
                </w:p>
              </w:tc>
              <w:tc>
                <w:tcPr>
                  <w:tcW w:w="1378" w:type="dxa"/>
                  <w:tcBorders>
                    <w:tl2br w:val="nil"/>
                    <w:tr2bl w:val="nil"/>
                  </w:tcBorders>
                  <w:vAlign w:val="center"/>
                </w:tcPr>
                <w:p w14:paraId="0072B994">
                  <w:pPr>
                    <w:spacing w:line="240" w:lineRule="auto"/>
                    <w:ind w:firstLine="0" w:firstLineChars="0"/>
                    <w:jc w:val="center"/>
                    <w:rPr>
                      <w:rFonts w:hint="default" w:eastAsiaTheme="minorEastAsia"/>
                      <w:sz w:val="21"/>
                      <w:szCs w:val="21"/>
                      <w:u w:val="single"/>
                      <w:lang w:val="en-US" w:eastAsia="zh-CN"/>
                    </w:rPr>
                  </w:pPr>
                  <w:r>
                    <w:rPr>
                      <w:rFonts w:hint="eastAsia" w:eastAsiaTheme="minorEastAsia"/>
                      <w:sz w:val="21"/>
                      <w:szCs w:val="21"/>
                      <w:u w:val="single"/>
                      <w:lang w:val="en-US" w:eastAsia="zh-CN"/>
                    </w:rPr>
                    <w:t>2023.11.14</w:t>
                  </w:r>
                </w:p>
              </w:tc>
              <w:tc>
                <w:tcPr>
                  <w:tcW w:w="1091" w:type="dxa"/>
                  <w:tcBorders>
                    <w:tl2br w:val="nil"/>
                    <w:tr2bl w:val="nil"/>
                  </w:tcBorders>
                  <w:vAlign w:val="center"/>
                </w:tcPr>
                <w:p w14:paraId="34A55474">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TSP</w:t>
                  </w:r>
                </w:p>
              </w:tc>
              <w:tc>
                <w:tcPr>
                  <w:tcW w:w="1745" w:type="dxa"/>
                  <w:tcBorders>
                    <w:tl2br w:val="nil"/>
                    <w:tr2bl w:val="nil"/>
                  </w:tcBorders>
                  <w:vAlign w:val="top"/>
                </w:tcPr>
                <w:p w14:paraId="11E0D185">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83</w:t>
                  </w:r>
                </w:p>
              </w:tc>
              <w:tc>
                <w:tcPr>
                  <w:tcW w:w="1603" w:type="dxa"/>
                  <w:tcBorders>
                    <w:tl2br w:val="nil"/>
                    <w:tr2bl w:val="nil"/>
                  </w:tcBorders>
                  <w:vAlign w:val="center"/>
                </w:tcPr>
                <w:p w14:paraId="274C2967">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300</w:t>
                  </w:r>
                </w:p>
              </w:tc>
            </w:tr>
            <w:tr w14:paraId="02C2608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161" w:type="dxa"/>
                  <w:vMerge w:val="restart"/>
                  <w:tcBorders>
                    <w:tl2br w:val="nil"/>
                    <w:tr2bl w:val="nil"/>
                  </w:tcBorders>
                  <w:vAlign w:val="center"/>
                </w:tcPr>
                <w:p w14:paraId="6A8B78F9">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G4磨里坪村塘冲湾，距本项目</w:t>
                  </w:r>
                </w:p>
                <w:p w14:paraId="55CDE56D">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约</w:t>
                  </w:r>
                  <w:r>
                    <w:rPr>
                      <w:rFonts w:hint="eastAsia" w:eastAsiaTheme="minorEastAsia"/>
                      <w:sz w:val="21"/>
                      <w:szCs w:val="21"/>
                      <w:u w:val="single"/>
                      <w:lang w:val="en-US" w:eastAsia="zh-CN"/>
                    </w:rPr>
                    <w:t>1845</w:t>
                  </w:r>
                  <w:r>
                    <w:rPr>
                      <w:rFonts w:ascii="Times New Roman" w:eastAsiaTheme="minorEastAsia"/>
                      <w:sz w:val="21"/>
                      <w:szCs w:val="21"/>
                      <w:u w:val="single"/>
                    </w:rPr>
                    <w:t>m</w:t>
                  </w:r>
                </w:p>
              </w:tc>
              <w:tc>
                <w:tcPr>
                  <w:tcW w:w="1378" w:type="dxa"/>
                  <w:tcBorders>
                    <w:tl2br w:val="nil"/>
                    <w:tr2bl w:val="nil"/>
                  </w:tcBorders>
                  <w:vAlign w:val="center"/>
                </w:tcPr>
                <w:p w14:paraId="4FA429C1">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2023.11.8</w:t>
                  </w:r>
                </w:p>
              </w:tc>
              <w:tc>
                <w:tcPr>
                  <w:tcW w:w="1091" w:type="dxa"/>
                  <w:tcBorders>
                    <w:tl2br w:val="nil"/>
                    <w:tr2bl w:val="nil"/>
                  </w:tcBorders>
                  <w:vAlign w:val="center"/>
                </w:tcPr>
                <w:p w14:paraId="0A9B5B67">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TSP</w:t>
                  </w:r>
                </w:p>
              </w:tc>
              <w:tc>
                <w:tcPr>
                  <w:tcW w:w="1745" w:type="dxa"/>
                  <w:tcBorders>
                    <w:tl2br w:val="nil"/>
                    <w:tr2bl w:val="nil"/>
                  </w:tcBorders>
                  <w:vAlign w:val="top"/>
                </w:tcPr>
                <w:p w14:paraId="31B2546A">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73</w:t>
                  </w:r>
                </w:p>
              </w:tc>
              <w:tc>
                <w:tcPr>
                  <w:tcW w:w="1603" w:type="dxa"/>
                  <w:tcBorders>
                    <w:tl2br w:val="nil"/>
                    <w:tr2bl w:val="nil"/>
                  </w:tcBorders>
                  <w:vAlign w:val="center"/>
                </w:tcPr>
                <w:p w14:paraId="2C37CFAB">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300</w:t>
                  </w:r>
                </w:p>
              </w:tc>
            </w:tr>
            <w:tr w14:paraId="7912670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161" w:type="dxa"/>
                  <w:vMerge w:val="continue"/>
                  <w:tcBorders>
                    <w:tl2br w:val="nil"/>
                    <w:tr2bl w:val="nil"/>
                  </w:tcBorders>
                  <w:vAlign w:val="center"/>
                </w:tcPr>
                <w:p w14:paraId="4EE073C9">
                  <w:pPr>
                    <w:spacing w:line="240" w:lineRule="auto"/>
                    <w:ind w:firstLine="0" w:firstLineChars="0"/>
                    <w:jc w:val="center"/>
                    <w:rPr>
                      <w:u w:val="single"/>
                    </w:rPr>
                  </w:pPr>
                </w:p>
              </w:tc>
              <w:tc>
                <w:tcPr>
                  <w:tcW w:w="1378" w:type="dxa"/>
                  <w:tcBorders>
                    <w:tl2br w:val="nil"/>
                    <w:tr2bl w:val="nil"/>
                  </w:tcBorders>
                  <w:vAlign w:val="center"/>
                </w:tcPr>
                <w:p w14:paraId="6DC78C4C">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2023.11.9</w:t>
                  </w:r>
                </w:p>
              </w:tc>
              <w:tc>
                <w:tcPr>
                  <w:tcW w:w="1091" w:type="dxa"/>
                  <w:tcBorders>
                    <w:tl2br w:val="nil"/>
                    <w:tr2bl w:val="nil"/>
                  </w:tcBorders>
                  <w:vAlign w:val="center"/>
                </w:tcPr>
                <w:p w14:paraId="1604839A">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TSP</w:t>
                  </w:r>
                </w:p>
              </w:tc>
              <w:tc>
                <w:tcPr>
                  <w:tcW w:w="1745" w:type="dxa"/>
                  <w:tcBorders>
                    <w:tl2br w:val="nil"/>
                    <w:tr2bl w:val="nil"/>
                  </w:tcBorders>
                  <w:vAlign w:val="top"/>
                </w:tcPr>
                <w:p w14:paraId="1259AE21">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70</w:t>
                  </w:r>
                </w:p>
              </w:tc>
              <w:tc>
                <w:tcPr>
                  <w:tcW w:w="1603" w:type="dxa"/>
                  <w:tcBorders>
                    <w:tl2br w:val="nil"/>
                    <w:tr2bl w:val="nil"/>
                  </w:tcBorders>
                  <w:vAlign w:val="center"/>
                </w:tcPr>
                <w:p w14:paraId="20071913">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300</w:t>
                  </w:r>
                </w:p>
              </w:tc>
            </w:tr>
            <w:tr w14:paraId="336CD52A">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161" w:type="dxa"/>
                  <w:vMerge w:val="continue"/>
                  <w:tcBorders>
                    <w:tl2br w:val="nil"/>
                    <w:tr2bl w:val="nil"/>
                  </w:tcBorders>
                  <w:vAlign w:val="center"/>
                </w:tcPr>
                <w:p w14:paraId="61745355">
                  <w:pPr>
                    <w:spacing w:line="240" w:lineRule="auto"/>
                    <w:ind w:firstLine="0" w:firstLineChars="0"/>
                    <w:jc w:val="center"/>
                    <w:rPr>
                      <w:rFonts w:ascii="Times New Roman" w:eastAsiaTheme="minorEastAsia"/>
                      <w:sz w:val="21"/>
                      <w:szCs w:val="21"/>
                      <w:u w:val="single"/>
                    </w:rPr>
                  </w:pPr>
                </w:p>
              </w:tc>
              <w:tc>
                <w:tcPr>
                  <w:tcW w:w="1378" w:type="dxa"/>
                  <w:tcBorders>
                    <w:tl2br w:val="nil"/>
                    <w:tr2bl w:val="nil"/>
                  </w:tcBorders>
                  <w:vAlign w:val="center"/>
                </w:tcPr>
                <w:p w14:paraId="6A5BD140">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2023.11.10</w:t>
                  </w:r>
                </w:p>
              </w:tc>
              <w:tc>
                <w:tcPr>
                  <w:tcW w:w="1091" w:type="dxa"/>
                  <w:tcBorders>
                    <w:tl2br w:val="nil"/>
                    <w:tr2bl w:val="nil"/>
                  </w:tcBorders>
                  <w:vAlign w:val="center"/>
                </w:tcPr>
                <w:p w14:paraId="2941BD0E">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TSP</w:t>
                  </w:r>
                </w:p>
              </w:tc>
              <w:tc>
                <w:tcPr>
                  <w:tcW w:w="1745" w:type="dxa"/>
                  <w:tcBorders>
                    <w:tl2br w:val="nil"/>
                    <w:tr2bl w:val="nil"/>
                  </w:tcBorders>
                  <w:vAlign w:val="top"/>
                </w:tcPr>
                <w:p w14:paraId="4997DCC2">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74</w:t>
                  </w:r>
                </w:p>
              </w:tc>
              <w:tc>
                <w:tcPr>
                  <w:tcW w:w="1603" w:type="dxa"/>
                  <w:tcBorders>
                    <w:tl2br w:val="nil"/>
                    <w:tr2bl w:val="nil"/>
                  </w:tcBorders>
                  <w:vAlign w:val="center"/>
                </w:tcPr>
                <w:p w14:paraId="2DCBC8C1">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300</w:t>
                  </w:r>
                </w:p>
              </w:tc>
            </w:tr>
            <w:tr w14:paraId="0554CD1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161" w:type="dxa"/>
                  <w:vMerge w:val="continue"/>
                  <w:tcBorders>
                    <w:tl2br w:val="nil"/>
                    <w:tr2bl w:val="nil"/>
                  </w:tcBorders>
                  <w:vAlign w:val="center"/>
                </w:tcPr>
                <w:p w14:paraId="52B0494F">
                  <w:pPr>
                    <w:spacing w:line="240" w:lineRule="auto"/>
                    <w:ind w:firstLine="0" w:firstLineChars="0"/>
                    <w:jc w:val="center"/>
                    <w:rPr>
                      <w:rFonts w:ascii="Times New Roman" w:eastAsiaTheme="minorEastAsia"/>
                      <w:sz w:val="21"/>
                      <w:szCs w:val="21"/>
                      <w:u w:val="single"/>
                    </w:rPr>
                  </w:pPr>
                </w:p>
              </w:tc>
              <w:tc>
                <w:tcPr>
                  <w:tcW w:w="1378" w:type="dxa"/>
                  <w:tcBorders>
                    <w:tl2br w:val="nil"/>
                    <w:tr2bl w:val="nil"/>
                  </w:tcBorders>
                  <w:vAlign w:val="center"/>
                </w:tcPr>
                <w:p w14:paraId="5A3457EB">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2023.11.11</w:t>
                  </w:r>
                </w:p>
              </w:tc>
              <w:tc>
                <w:tcPr>
                  <w:tcW w:w="1091" w:type="dxa"/>
                  <w:tcBorders>
                    <w:tl2br w:val="nil"/>
                    <w:tr2bl w:val="nil"/>
                  </w:tcBorders>
                  <w:vAlign w:val="center"/>
                </w:tcPr>
                <w:p w14:paraId="0806CD53">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TSP</w:t>
                  </w:r>
                </w:p>
              </w:tc>
              <w:tc>
                <w:tcPr>
                  <w:tcW w:w="1745" w:type="dxa"/>
                  <w:tcBorders>
                    <w:tl2br w:val="nil"/>
                    <w:tr2bl w:val="nil"/>
                  </w:tcBorders>
                  <w:vAlign w:val="top"/>
                </w:tcPr>
                <w:p w14:paraId="602FD694">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85</w:t>
                  </w:r>
                </w:p>
              </w:tc>
              <w:tc>
                <w:tcPr>
                  <w:tcW w:w="1603" w:type="dxa"/>
                  <w:tcBorders>
                    <w:tl2br w:val="nil"/>
                    <w:tr2bl w:val="nil"/>
                  </w:tcBorders>
                  <w:vAlign w:val="center"/>
                </w:tcPr>
                <w:p w14:paraId="05B86909">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300</w:t>
                  </w:r>
                </w:p>
              </w:tc>
            </w:tr>
            <w:tr w14:paraId="210C1BE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161" w:type="dxa"/>
                  <w:vMerge w:val="continue"/>
                  <w:tcBorders>
                    <w:tl2br w:val="nil"/>
                    <w:tr2bl w:val="nil"/>
                  </w:tcBorders>
                  <w:vAlign w:val="center"/>
                </w:tcPr>
                <w:p w14:paraId="1EBD488A">
                  <w:pPr>
                    <w:spacing w:line="240" w:lineRule="auto"/>
                    <w:ind w:firstLine="0" w:firstLineChars="0"/>
                    <w:jc w:val="center"/>
                    <w:rPr>
                      <w:rFonts w:ascii="Times New Roman" w:eastAsiaTheme="minorEastAsia"/>
                      <w:sz w:val="21"/>
                      <w:szCs w:val="21"/>
                      <w:u w:val="single"/>
                    </w:rPr>
                  </w:pPr>
                </w:p>
              </w:tc>
              <w:tc>
                <w:tcPr>
                  <w:tcW w:w="1378" w:type="dxa"/>
                  <w:tcBorders>
                    <w:tl2br w:val="nil"/>
                    <w:tr2bl w:val="nil"/>
                  </w:tcBorders>
                  <w:vAlign w:val="center"/>
                </w:tcPr>
                <w:p w14:paraId="2890B548">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2023.11.12</w:t>
                  </w:r>
                </w:p>
              </w:tc>
              <w:tc>
                <w:tcPr>
                  <w:tcW w:w="1091" w:type="dxa"/>
                  <w:tcBorders>
                    <w:tl2br w:val="nil"/>
                    <w:tr2bl w:val="nil"/>
                  </w:tcBorders>
                  <w:vAlign w:val="center"/>
                </w:tcPr>
                <w:p w14:paraId="71AB1123">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TSP</w:t>
                  </w:r>
                </w:p>
              </w:tc>
              <w:tc>
                <w:tcPr>
                  <w:tcW w:w="1745" w:type="dxa"/>
                  <w:tcBorders>
                    <w:tl2br w:val="nil"/>
                    <w:tr2bl w:val="nil"/>
                  </w:tcBorders>
                  <w:vAlign w:val="top"/>
                </w:tcPr>
                <w:p w14:paraId="5EA92CC2">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78</w:t>
                  </w:r>
                </w:p>
              </w:tc>
              <w:tc>
                <w:tcPr>
                  <w:tcW w:w="1603" w:type="dxa"/>
                  <w:tcBorders>
                    <w:tl2br w:val="nil"/>
                    <w:tr2bl w:val="nil"/>
                  </w:tcBorders>
                  <w:vAlign w:val="center"/>
                </w:tcPr>
                <w:p w14:paraId="573F85B2">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300</w:t>
                  </w:r>
                </w:p>
              </w:tc>
            </w:tr>
            <w:tr w14:paraId="51AB365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161" w:type="dxa"/>
                  <w:vMerge w:val="continue"/>
                  <w:tcBorders>
                    <w:tl2br w:val="nil"/>
                    <w:tr2bl w:val="nil"/>
                  </w:tcBorders>
                  <w:vAlign w:val="center"/>
                </w:tcPr>
                <w:p w14:paraId="1531DD55">
                  <w:pPr>
                    <w:spacing w:line="240" w:lineRule="auto"/>
                    <w:ind w:firstLine="0" w:firstLineChars="0"/>
                    <w:jc w:val="center"/>
                    <w:rPr>
                      <w:rFonts w:ascii="Times New Roman" w:eastAsiaTheme="minorEastAsia"/>
                      <w:sz w:val="21"/>
                      <w:szCs w:val="21"/>
                      <w:u w:val="single"/>
                    </w:rPr>
                  </w:pPr>
                </w:p>
              </w:tc>
              <w:tc>
                <w:tcPr>
                  <w:tcW w:w="1378" w:type="dxa"/>
                  <w:tcBorders>
                    <w:tl2br w:val="nil"/>
                    <w:tr2bl w:val="nil"/>
                  </w:tcBorders>
                  <w:vAlign w:val="center"/>
                </w:tcPr>
                <w:p w14:paraId="339A3542">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2023.11.13</w:t>
                  </w:r>
                </w:p>
              </w:tc>
              <w:tc>
                <w:tcPr>
                  <w:tcW w:w="1091" w:type="dxa"/>
                  <w:tcBorders>
                    <w:tl2br w:val="nil"/>
                    <w:tr2bl w:val="nil"/>
                  </w:tcBorders>
                  <w:vAlign w:val="center"/>
                </w:tcPr>
                <w:p w14:paraId="370C2045">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TSP</w:t>
                  </w:r>
                </w:p>
              </w:tc>
              <w:tc>
                <w:tcPr>
                  <w:tcW w:w="1745" w:type="dxa"/>
                  <w:tcBorders>
                    <w:tl2br w:val="nil"/>
                    <w:tr2bl w:val="nil"/>
                  </w:tcBorders>
                  <w:vAlign w:val="top"/>
                </w:tcPr>
                <w:p w14:paraId="60909045">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67</w:t>
                  </w:r>
                </w:p>
              </w:tc>
              <w:tc>
                <w:tcPr>
                  <w:tcW w:w="1603" w:type="dxa"/>
                  <w:tcBorders>
                    <w:tl2br w:val="nil"/>
                    <w:tr2bl w:val="nil"/>
                  </w:tcBorders>
                  <w:vAlign w:val="center"/>
                </w:tcPr>
                <w:p w14:paraId="11C6A992">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300</w:t>
                  </w:r>
                </w:p>
              </w:tc>
            </w:tr>
            <w:tr w14:paraId="59B8550A">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161" w:type="dxa"/>
                  <w:vMerge w:val="continue"/>
                  <w:tcBorders>
                    <w:tl2br w:val="nil"/>
                    <w:tr2bl w:val="nil"/>
                  </w:tcBorders>
                  <w:vAlign w:val="center"/>
                </w:tcPr>
                <w:p w14:paraId="51DC636E">
                  <w:pPr>
                    <w:spacing w:line="240" w:lineRule="auto"/>
                    <w:ind w:firstLine="0" w:firstLineChars="0"/>
                    <w:jc w:val="center"/>
                    <w:rPr>
                      <w:rFonts w:ascii="Times New Roman" w:eastAsiaTheme="minorEastAsia"/>
                      <w:sz w:val="21"/>
                      <w:szCs w:val="21"/>
                      <w:u w:val="single"/>
                    </w:rPr>
                  </w:pPr>
                </w:p>
              </w:tc>
              <w:tc>
                <w:tcPr>
                  <w:tcW w:w="1378" w:type="dxa"/>
                  <w:tcBorders>
                    <w:tl2br w:val="nil"/>
                    <w:tr2bl w:val="nil"/>
                  </w:tcBorders>
                  <w:vAlign w:val="center"/>
                </w:tcPr>
                <w:p w14:paraId="010188B8">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2023.11.14</w:t>
                  </w:r>
                </w:p>
              </w:tc>
              <w:tc>
                <w:tcPr>
                  <w:tcW w:w="1091" w:type="dxa"/>
                  <w:tcBorders>
                    <w:tl2br w:val="nil"/>
                    <w:tr2bl w:val="nil"/>
                  </w:tcBorders>
                  <w:vAlign w:val="center"/>
                </w:tcPr>
                <w:p w14:paraId="64753D4C">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TSP</w:t>
                  </w:r>
                </w:p>
              </w:tc>
              <w:tc>
                <w:tcPr>
                  <w:tcW w:w="1745" w:type="dxa"/>
                  <w:tcBorders>
                    <w:tl2br w:val="nil"/>
                    <w:tr2bl w:val="nil"/>
                  </w:tcBorders>
                  <w:vAlign w:val="top"/>
                </w:tcPr>
                <w:p w14:paraId="1DE00192">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89</w:t>
                  </w:r>
                </w:p>
              </w:tc>
              <w:tc>
                <w:tcPr>
                  <w:tcW w:w="1603" w:type="dxa"/>
                  <w:tcBorders>
                    <w:tl2br w:val="nil"/>
                    <w:tr2bl w:val="nil"/>
                  </w:tcBorders>
                  <w:vAlign w:val="center"/>
                </w:tcPr>
                <w:p w14:paraId="5BF80896">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300</w:t>
                  </w:r>
                </w:p>
              </w:tc>
            </w:tr>
            <w:tr w14:paraId="1B1C9B3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161" w:type="dxa"/>
                  <w:vMerge w:val="restart"/>
                  <w:tcBorders>
                    <w:tl2br w:val="nil"/>
                    <w:tr2bl w:val="nil"/>
                  </w:tcBorders>
                  <w:vAlign w:val="center"/>
                </w:tcPr>
                <w:p w14:paraId="3473111E">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G6双溪</w:t>
                  </w:r>
                </w:p>
                <w:p w14:paraId="07229174">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镇政府，</w:t>
                  </w:r>
                </w:p>
                <w:p w14:paraId="68FEB1EA">
                  <w:pPr>
                    <w:spacing w:line="240" w:lineRule="auto"/>
                    <w:ind w:firstLine="0" w:firstLineChars="0"/>
                    <w:jc w:val="both"/>
                    <w:rPr>
                      <w:rFonts w:ascii="Times New Roman" w:eastAsiaTheme="minorEastAsia"/>
                      <w:sz w:val="21"/>
                      <w:szCs w:val="21"/>
                      <w:u w:val="single"/>
                    </w:rPr>
                  </w:pPr>
                  <w:r>
                    <w:rPr>
                      <w:rFonts w:ascii="Times New Roman" w:eastAsiaTheme="minorEastAsia"/>
                      <w:sz w:val="21"/>
                      <w:szCs w:val="21"/>
                      <w:u w:val="single"/>
                    </w:rPr>
                    <w:t>距本项目</w:t>
                  </w:r>
                  <w:r>
                    <w:rPr>
                      <w:rFonts w:hint="eastAsia" w:eastAsiaTheme="minorEastAsia"/>
                      <w:sz w:val="21"/>
                      <w:szCs w:val="21"/>
                      <w:u w:val="single"/>
                      <w:lang w:val="en-US" w:eastAsia="zh-CN"/>
                    </w:rPr>
                    <w:t>534</w:t>
                  </w:r>
                  <w:r>
                    <w:rPr>
                      <w:rFonts w:ascii="Times New Roman" w:eastAsiaTheme="minorEastAsia"/>
                      <w:sz w:val="21"/>
                      <w:szCs w:val="21"/>
                      <w:u w:val="single"/>
                    </w:rPr>
                    <w:t>m</w:t>
                  </w:r>
                </w:p>
              </w:tc>
              <w:tc>
                <w:tcPr>
                  <w:tcW w:w="1378" w:type="dxa"/>
                  <w:tcBorders>
                    <w:tl2br w:val="nil"/>
                    <w:tr2bl w:val="nil"/>
                  </w:tcBorders>
                  <w:vAlign w:val="center"/>
                </w:tcPr>
                <w:p w14:paraId="4E94780B">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2023.11.8</w:t>
                  </w:r>
                </w:p>
              </w:tc>
              <w:tc>
                <w:tcPr>
                  <w:tcW w:w="1091" w:type="dxa"/>
                  <w:tcBorders>
                    <w:tl2br w:val="nil"/>
                    <w:tr2bl w:val="nil"/>
                  </w:tcBorders>
                  <w:vAlign w:val="center"/>
                </w:tcPr>
                <w:p w14:paraId="4CDA01AF">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TSP</w:t>
                  </w:r>
                </w:p>
              </w:tc>
              <w:tc>
                <w:tcPr>
                  <w:tcW w:w="1745" w:type="dxa"/>
                  <w:tcBorders>
                    <w:tl2br w:val="nil"/>
                    <w:tr2bl w:val="nil"/>
                  </w:tcBorders>
                  <w:vAlign w:val="top"/>
                </w:tcPr>
                <w:p w14:paraId="21207ACA">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85</w:t>
                  </w:r>
                </w:p>
              </w:tc>
              <w:tc>
                <w:tcPr>
                  <w:tcW w:w="1603" w:type="dxa"/>
                  <w:tcBorders>
                    <w:tl2br w:val="nil"/>
                    <w:tr2bl w:val="nil"/>
                  </w:tcBorders>
                  <w:vAlign w:val="center"/>
                </w:tcPr>
                <w:p w14:paraId="6C30DBDE">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300</w:t>
                  </w:r>
                </w:p>
              </w:tc>
            </w:tr>
            <w:tr w14:paraId="62E108B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161" w:type="dxa"/>
                  <w:vMerge w:val="continue"/>
                  <w:tcBorders>
                    <w:tl2br w:val="nil"/>
                    <w:tr2bl w:val="nil"/>
                  </w:tcBorders>
                  <w:vAlign w:val="center"/>
                </w:tcPr>
                <w:p w14:paraId="22C8C380">
                  <w:pPr>
                    <w:spacing w:line="240" w:lineRule="auto"/>
                    <w:ind w:firstLine="0" w:firstLineChars="0"/>
                    <w:jc w:val="center"/>
                    <w:rPr>
                      <w:u w:val="single"/>
                    </w:rPr>
                  </w:pPr>
                </w:p>
              </w:tc>
              <w:tc>
                <w:tcPr>
                  <w:tcW w:w="1378" w:type="dxa"/>
                  <w:tcBorders>
                    <w:tl2br w:val="nil"/>
                    <w:tr2bl w:val="nil"/>
                  </w:tcBorders>
                  <w:vAlign w:val="center"/>
                </w:tcPr>
                <w:p w14:paraId="7F8F7632">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2023.11.9</w:t>
                  </w:r>
                </w:p>
              </w:tc>
              <w:tc>
                <w:tcPr>
                  <w:tcW w:w="1091" w:type="dxa"/>
                  <w:tcBorders>
                    <w:tl2br w:val="nil"/>
                    <w:tr2bl w:val="nil"/>
                  </w:tcBorders>
                  <w:vAlign w:val="center"/>
                </w:tcPr>
                <w:p w14:paraId="6798F51B">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TSP</w:t>
                  </w:r>
                </w:p>
              </w:tc>
              <w:tc>
                <w:tcPr>
                  <w:tcW w:w="1745" w:type="dxa"/>
                  <w:tcBorders>
                    <w:tl2br w:val="nil"/>
                    <w:tr2bl w:val="nil"/>
                  </w:tcBorders>
                  <w:vAlign w:val="top"/>
                </w:tcPr>
                <w:p w14:paraId="3C8E3D21">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77</w:t>
                  </w:r>
                </w:p>
              </w:tc>
              <w:tc>
                <w:tcPr>
                  <w:tcW w:w="1603" w:type="dxa"/>
                  <w:tcBorders>
                    <w:tl2br w:val="nil"/>
                    <w:tr2bl w:val="nil"/>
                  </w:tcBorders>
                  <w:vAlign w:val="center"/>
                </w:tcPr>
                <w:p w14:paraId="1141FF0F">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300</w:t>
                  </w:r>
                </w:p>
              </w:tc>
            </w:tr>
            <w:tr w14:paraId="6CF5D780">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161" w:type="dxa"/>
                  <w:vMerge w:val="continue"/>
                  <w:tcBorders>
                    <w:tl2br w:val="nil"/>
                    <w:tr2bl w:val="nil"/>
                  </w:tcBorders>
                  <w:vAlign w:val="center"/>
                </w:tcPr>
                <w:p w14:paraId="5DFCA83F">
                  <w:pPr>
                    <w:spacing w:line="240" w:lineRule="auto"/>
                    <w:ind w:firstLine="0" w:firstLineChars="0"/>
                    <w:jc w:val="center"/>
                    <w:rPr>
                      <w:rFonts w:ascii="Times New Roman" w:eastAsiaTheme="minorEastAsia"/>
                      <w:sz w:val="21"/>
                      <w:szCs w:val="21"/>
                      <w:u w:val="single"/>
                    </w:rPr>
                  </w:pPr>
                </w:p>
              </w:tc>
              <w:tc>
                <w:tcPr>
                  <w:tcW w:w="1378" w:type="dxa"/>
                  <w:tcBorders>
                    <w:tl2br w:val="nil"/>
                    <w:tr2bl w:val="nil"/>
                  </w:tcBorders>
                  <w:vAlign w:val="center"/>
                </w:tcPr>
                <w:p w14:paraId="1DA5DCA9">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2023.11.10</w:t>
                  </w:r>
                </w:p>
              </w:tc>
              <w:tc>
                <w:tcPr>
                  <w:tcW w:w="1091" w:type="dxa"/>
                  <w:tcBorders>
                    <w:tl2br w:val="nil"/>
                    <w:tr2bl w:val="nil"/>
                  </w:tcBorders>
                  <w:vAlign w:val="center"/>
                </w:tcPr>
                <w:p w14:paraId="566DFAE8">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TSP</w:t>
                  </w:r>
                </w:p>
              </w:tc>
              <w:tc>
                <w:tcPr>
                  <w:tcW w:w="1745" w:type="dxa"/>
                  <w:tcBorders>
                    <w:tl2br w:val="nil"/>
                    <w:tr2bl w:val="nil"/>
                  </w:tcBorders>
                  <w:vAlign w:val="top"/>
                </w:tcPr>
                <w:p w14:paraId="28DAE3C7">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71</w:t>
                  </w:r>
                </w:p>
              </w:tc>
              <w:tc>
                <w:tcPr>
                  <w:tcW w:w="1603" w:type="dxa"/>
                  <w:tcBorders>
                    <w:tl2br w:val="nil"/>
                    <w:tr2bl w:val="nil"/>
                  </w:tcBorders>
                  <w:vAlign w:val="center"/>
                </w:tcPr>
                <w:p w14:paraId="3E3F0EBE">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300</w:t>
                  </w:r>
                </w:p>
              </w:tc>
            </w:tr>
            <w:tr w14:paraId="2E0C3FB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161" w:type="dxa"/>
                  <w:vMerge w:val="continue"/>
                  <w:tcBorders>
                    <w:tl2br w:val="nil"/>
                    <w:tr2bl w:val="nil"/>
                  </w:tcBorders>
                  <w:vAlign w:val="center"/>
                </w:tcPr>
                <w:p w14:paraId="31BA3FE1">
                  <w:pPr>
                    <w:spacing w:line="240" w:lineRule="auto"/>
                    <w:ind w:firstLine="0" w:firstLineChars="0"/>
                    <w:jc w:val="center"/>
                    <w:rPr>
                      <w:rFonts w:ascii="Times New Roman" w:eastAsiaTheme="minorEastAsia"/>
                      <w:sz w:val="21"/>
                      <w:szCs w:val="21"/>
                      <w:u w:val="single"/>
                    </w:rPr>
                  </w:pPr>
                </w:p>
              </w:tc>
              <w:tc>
                <w:tcPr>
                  <w:tcW w:w="1378" w:type="dxa"/>
                  <w:tcBorders>
                    <w:tl2br w:val="nil"/>
                    <w:tr2bl w:val="nil"/>
                  </w:tcBorders>
                  <w:vAlign w:val="center"/>
                </w:tcPr>
                <w:p w14:paraId="6D9F6C20">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2023.11.11</w:t>
                  </w:r>
                </w:p>
              </w:tc>
              <w:tc>
                <w:tcPr>
                  <w:tcW w:w="1091" w:type="dxa"/>
                  <w:tcBorders>
                    <w:tl2br w:val="nil"/>
                    <w:tr2bl w:val="nil"/>
                  </w:tcBorders>
                  <w:vAlign w:val="center"/>
                </w:tcPr>
                <w:p w14:paraId="24BB6CD3">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TSP</w:t>
                  </w:r>
                </w:p>
              </w:tc>
              <w:tc>
                <w:tcPr>
                  <w:tcW w:w="1745" w:type="dxa"/>
                  <w:tcBorders>
                    <w:tl2br w:val="nil"/>
                    <w:tr2bl w:val="nil"/>
                  </w:tcBorders>
                  <w:vAlign w:val="top"/>
                </w:tcPr>
                <w:p w14:paraId="22DD54A4">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85</w:t>
                  </w:r>
                </w:p>
              </w:tc>
              <w:tc>
                <w:tcPr>
                  <w:tcW w:w="1603" w:type="dxa"/>
                  <w:tcBorders>
                    <w:tl2br w:val="nil"/>
                    <w:tr2bl w:val="nil"/>
                  </w:tcBorders>
                  <w:vAlign w:val="center"/>
                </w:tcPr>
                <w:p w14:paraId="32CE9F2F">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300</w:t>
                  </w:r>
                </w:p>
              </w:tc>
            </w:tr>
            <w:tr w14:paraId="4DB53EF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161" w:type="dxa"/>
                  <w:vMerge w:val="continue"/>
                  <w:tcBorders>
                    <w:tl2br w:val="nil"/>
                    <w:tr2bl w:val="nil"/>
                  </w:tcBorders>
                  <w:vAlign w:val="center"/>
                </w:tcPr>
                <w:p w14:paraId="148C4964">
                  <w:pPr>
                    <w:spacing w:line="240" w:lineRule="auto"/>
                    <w:ind w:firstLine="0" w:firstLineChars="0"/>
                    <w:jc w:val="center"/>
                    <w:rPr>
                      <w:rFonts w:ascii="Times New Roman" w:eastAsiaTheme="minorEastAsia"/>
                      <w:sz w:val="21"/>
                      <w:szCs w:val="21"/>
                      <w:u w:val="single"/>
                    </w:rPr>
                  </w:pPr>
                </w:p>
              </w:tc>
              <w:tc>
                <w:tcPr>
                  <w:tcW w:w="1378" w:type="dxa"/>
                  <w:tcBorders>
                    <w:tl2br w:val="nil"/>
                    <w:tr2bl w:val="nil"/>
                  </w:tcBorders>
                  <w:vAlign w:val="center"/>
                </w:tcPr>
                <w:p w14:paraId="328A9B59">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2023.11.12</w:t>
                  </w:r>
                </w:p>
              </w:tc>
              <w:tc>
                <w:tcPr>
                  <w:tcW w:w="1091" w:type="dxa"/>
                  <w:tcBorders>
                    <w:tl2br w:val="nil"/>
                    <w:tr2bl w:val="nil"/>
                  </w:tcBorders>
                  <w:vAlign w:val="center"/>
                </w:tcPr>
                <w:p w14:paraId="7CB5B7BE">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TSP</w:t>
                  </w:r>
                </w:p>
              </w:tc>
              <w:tc>
                <w:tcPr>
                  <w:tcW w:w="1745" w:type="dxa"/>
                  <w:tcBorders>
                    <w:tl2br w:val="nil"/>
                    <w:tr2bl w:val="nil"/>
                  </w:tcBorders>
                  <w:vAlign w:val="top"/>
                </w:tcPr>
                <w:p w14:paraId="4DEECB00">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74</w:t>
                  </w:r>
                </w:p>
              </w:tc>
              <w:tc>
                <w:tcPr>
                  <w:tcW w:w="1603" w:type="dxa"/>
                  <w:tcBorders>
                    <w:tl2br w:val="nil"/>
                    <w:tr2bl w:val="nil"/>
                  </w:tcBorders>
                  <w:vAlign w:val="center"/>
                </w:tcPr>
                <w:p w14:paraId="660D9568">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300</w:t>
                  </w:r>
                </w:p>
              </w:tc>
            </w:tr>
            <w:tr w14:paraId="6402AE3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161" w:type="dxa"/>
                  <w:vMerge w:val="continue"/>
                  <w:tcBorders>
                    <w:tl2br w:val="nil"/>
                    <w:tr2bl w:val="nil"/>
                  </w:tcBorders>
                  <w:vAlign w:val="center"/>
                </w:tcPr>
                <w:p w14:paraId="7D2CED0F">
                  <w:pPr>
                    <w:spacing w:line="240" w:lineRule="auto"/>
                    <w:ind w:firstLine="0" w:firstLineChars="0"/>
                    <w:jc w:val="center"/>
                    <w:rPr>
                      <w:rFonts w:ascii="Times New Roman" w:eastAsiaTheme="minorEastAsia"/>
                      <w:sz w:val="21"/>
                      <w:szCs w:val="21"/>
                      <w:u w:val="single"/>
                    </w:rPr>
                  </w:pPr>
                </w:p>
              </w:tc>
              <w:tc>
                <w:tcPr>
                  <w:tcW w:w="1378" w:type="dxa"/>
                  <w:tcBorders>
                    <w:tl2br w:val="nil"/>
                    <w:tr2bl w:val="nil"/>
                  </w:tcBorders>
                  <w:vAlign w:val="center"/>
                </w:tcPr>
                <w:p w14:paraId="6A3CA325">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2023.11.13</w:t>
                  </w:r>
                </w:p>
              </w:tc>
              <w:tc>
                <w:tcPr>
                  <w:tcW w:w="1091" w:type="dxa"/>
                  <w:tcBorders>
                    <w:tl2br w:val="nil"/>
                    <w:tr2bl w:val="nil"/>
                  </w:tcBorders>
                  <w:vAlign w:val="center"/>
                </w:tcPr>
                <w:p w14:paraId="587B99EE">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TSP</w:t>
                  </w:r>
                </w:p>
              </w:tc>
              <w:tc>
                <w:tcPr>
                  <w:tcW w:w="1745" w:type="dxa"/>
                  <w:tcBorders>
                    <w:tl2br w:val="nil"/>
                    <w:tr2bl w:val="nil"/>
                  </w:tcBorders>
                  <w:vAlign w:val="top"/>
                </w:tcPr>
                <w:p w14:paraId="2AA19454">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72</w:t>
                  </w:r>
                </w:p>
              </w:tc>
              <w:tc>
                <w:tcPr>
                  <w:tcW w:w="1603" w:type="dxa"/>
                  <w:tcBorders>
                    <w:tl2br w:val="nil"/>
                    <w:tr2bl w:val="nil"/>
                  </w:tcBorders>
                  <w:vAlign w:val="center"/>
                </w:tcPr>
                <w:p w14:paraId="270E3757">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300</w:t>
                  </w:r>
                </w:p>
              </w:tc>
            </w:tr>
            <w:tr w14:paraId="725C67E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161" w:type="dxa"/>
                  <w:vMerge w:val="continue"/>
                  <w:tcBorders>
                    <w:tl2br w:val="nil"/>
                    <w:tr2bl w:val="nil"/>
                  </w:tcBorders>
                  <w:vAlign w:val="center"/>
                </w:tcPr>
                <w:p w14:paraId="66E96477">
                  <w:pPr>
                    <w:spacing w:line="240" w:lineRule="auto"/>
                    <w:ind w:firstLine="0" w:firstLineChars="0"/>
                    <w:jc w:val="center"/>
                    <w:rPr>
                      <w:rFonts w:ascii="Times New Roman" w:eastAsiaTheme="minorEastAsia"/>
                      <w:sz w:val="21"/>
                      <w:szCs w:val="21"/>
                      <w:u w:val="single"/>
                    </w:rPr>
                  </w:pPr>
                </w:p>
              </w:tc>
              <w:tc>
                <w:tcPr>
                  <w:tcW w:w="1378" w:type="dxa"/>
                  <w:tcBorders>
                    <w:tl2br w:val="nil"/>
                    <w:tr2bl w:val="nil"/>
                  </w:tcBorders>
                  <w:vAlign w:val="center"/>
                </w:tcPr>
                <w:p w14:paraId="7AC14524">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2023.11.14</w:t>
                  </w:r>
                </w:p>
              </w:tc>
              <w:tc>
                <w:tcPr>
                  <w:tcW w:w="1091" w:type="dxa"/>
                  <w:tcBorders>
                    <w:tl2br w:val="nil"/>
                    <w:tr2bl w:val="nil"/>
                  </w:tcBorders>
                  <w:vAlign w:val="center"/>
                </w:tcPr>
                <w:p w14:paraId="1A133171">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TSP</w:t>
                  </w:r>
                </w:p>
              </w:tc>
              <w:tc>
                <w:tcPr>
                  <w:tcW w:w="1745" w:type="dxa"/>
                  <w:tcBorders>
                    <w:tl2br w:val="nil"/>
                    <w:tr2bl w:val="nil"/>
                  </w:tcBorders>
                  <w:vAlign w:val="top"/>
                </w:tcPr>
                <w:p w14:paraId="61B64EE7">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74</w:t>
                  </w:r>
                </w:p>
              </w:tc>
              <w:tc>
                <w:tcPr>
                  <w:tcW w:w="1603" w:type="dxa"/>
                  <w:tcBorders>
                    <w:tl2br w:val="nil"/>
                    <w:tr2bl w:val="nil"/>
                  </w:tcBorders>
                  <w:vAlign w:val="center"/>
                </w:tcPr>
                <w:p w14:paraId="1DDF055F">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300</w:t>
                  </w:r>
                </w:p>
              </w:tc>
            </w:tr>
            <w:tr w14:paraId="50213D31">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1468" w:hRule="atLeast"/>
                <w:jc w:val="center"/>
              </w:trPr>
              <w:tc>
                <w:tcPr>
                  <w:tcW w:w="1161" w:type="dxa"/>
                  <w:tcBorders>
                    <w:tl2br w:val="nil"/>
                    <w:tr2bl w:val="nil"/>
                  </w:tcBorders>
                  <w:vAlign w:val="center"/>
                </w:tcPr>
                <w:p w14:paraId="17A292C9">
                  <w:pPr>
                    <w:spacing w:line="240" w:lineRule="auto"/>
                    <w:ind w:firstLine="0" w:firstLineChars="0"/>
                    <w:jc w:val="center"/>
                    <w:rPr>
                      <w:rFonts w:hint="eastAsia" w:ascii="Times New Roman" w:eastAsiaTheme="minorEastAsia"/>
                      <w:sz w:val="21"/>
                      <w:szCs w:val="21"/>
                      <w:u w:val="single"/>
                      <w:lang w:val="en-US" w:eastAsia="zh-CN"/>
                    </w:rPr>
                  </w:pPr>
                  <w:r>
                    <w:rPr>
                      <w:rFonts w:hint="eastAsia" w:ascii="Times New Roman" w:eastAsiaTheme="minorEastAsia"/>
                      <w:sz w:val="21"/>
                      <w:szCs w:val="21"/>
                      <w:u w:val="single"/>
                      <w:lang w:val="en-US" w:eastAsia="zh-CN"/>
                    </w:rPr>
                    <w:t>备注</w:t>
                  </w:r>
                </w:p>
              </w:tc>
              <w:tc>
                <w:tcPr>
                  <w:tcW w:w="5817" w:type="dxa"/>
                  <w:gridSpan w:val="4"/>
                  <w:tcBorders>
                    <w:tl2br w:val="nil"/>
                    <w:tr2bl w:val="nil"/>
                  </w:tcBorders>
                  <w:vAlign w:val="center"/>
                </w:tcPr>
                <w:p w14:paraId="3BFD0268">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园区本次监测一共设置7个监测点位（G1泥溪村刘家湾、G2 铁坑村向家山、G3株山村郑家园、G4磨里坪村塘冲湾、G5烟溪村火角溪、G6双溪镇政府、G7洪江市人民政府），其中G1、G4、G6位于双溪片区，本次环评引用G1、G4、G6，</w:t>
                  </w:r>
                </w:p>
                <w:p w14:paraId="6102135B">
                  <w:pPr>
                    <w:spacing w:line="240" w:lineRule="auto"/>
                    <w:ind w:firstLine="0" w:firstLineChars="0"/>
                    <w:jc w:val="center"/>
                    <w:rPr>
                      <w:rFonts w:hint="eastAsia" w:eastAsiaTheme="minorEastAsia"/>
                      <w:sz w:val="21"/>
                      <w:szCs w:val="21"/>
                      <w:u w:val="single"/>
                      <w:lang w:val="en-US" w:eastAsia="zh-CN"/>
                    </w:rPr>
                  </w:pPr>
                  <w:r>
                    <w:rPr>
                      <w:rFonts w:hint="eastAsia" w:eastAsiaTheme="minorEastAsia"/>
                      <w:sz w:val="21"/>
                      <w:szCs w:val="21"/>
                      <w:u w:val="single"/>
                      <w:lang w:val="en-US" w:eastAsia="zh-CN"/>
                    </w:rPr>
                    <w:t>3个点位环境空气质量数据</w:t>
                  </w:r>
                </w:p>
              </w:tc>
            </w:tr>
            <w:tr w14:paraId="3CD945C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1161" w:type="dxa"/>
                  <w:tcBorders>
                    <w:tl2br w:val="nil"/>
                    <w:tr2bl w:val="nil"/>
                  </w:tcBorders>
                  <w:vAlign w:val="top"/>
                </w:tcPr>
                <w:p w14:paraId="2EA96519">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执行标准</w:t>
                  </w:r>
                </w:p>
              </w:tc>
              <w:tc>
                <w:tcPr>
                  <w:tcW w:w="5817" w:type="dxa"/>
                  <w:gridSpan w:val="4"/>
                  <w:tcBorders>
                    <w:tl2br w:val="nil"/>
                    <w:tr2bl w:val="nil"/>
                  </w:tcBorders>
                  <w:vAlign w:val="top"/>
                </w:tcPr>
                <w:p w14:paraId="49257D4C">
                  <w:pPr>
                    <w:spacing w:line="240" w:lineRule="auto"/>
                    <w:ind w:firstLine="0" w:firstLineChars="0"/>
                    <w:jc w:val="center"/>
                    <w:rPr>
                      <w:rFonts w:ascii="Times New Roman" w:eastAsiaTheme="minorEastAsia"/>
                      <w:sz w:val="21"/>
                      <w:szCs w:val="21"/>
                      <w:u w:val="single"/>
                    </w:rPr>
                  </w:pPr>
                  <w:r>
                    <w:rPr>
                      <w:rFonts w:ascii="Times New Roman" w:eastAsiaTheme="minorEastAsia"/>
                      <w:sz w:val="21"/>
                      <w:szCs w:val="21"/>
                      <w:u w:val="single"/>
                    </w:rPr>
                    <w:t>TSP参照执行《环境空气质量标准》（GB3095-2012）及2018修改单二级标准要求</w:t>
                  </w:r>
                </w:p>
              </w:tc>
            </w:tr>
          </w:tbl>
          <w:p w14:paraId="3D0366BF">
            <w:pPr>
              <w:numPr>
                <w:ilvl w:val="0"/>
                <w:numId w:val="0"/>
              </w:numPr>
              <w:autoSpaceDE w:val="0"/>
              <w:autoSpaceDN w:val="0"/>
              <w:adjustRightInd w:val="0"/>
              <w:spacing w:line="360" w:lineRule="auto"/>
              <w:ind w:firstLine="480" w:firstLineChars="200"/>
              <w:rPr>
                <w:rFonts w:hint="eastAsia"/>
                <w:sz w:val="24"/>
                <w:szCs w:val="24"/>
                <w:highlight w:val="yellow"/>
                <w:u w:val="single"/>
              </w:rPr>
            </w:pPr>
            <w:r>
              <w:rPr>
                <w:rFonts w:hint="eastAsia" w:ascii="Times New Roman" w:hAnsi="Times New Roman" w:eastAsia="宋体" w:cs="Times New Roman"/>
                <w:color w:val="auto"/>
                <w:sz w:val="24"/>
                <w:highlight w:val="none"/>
                <w:u w:val="single"/>
                <w:lang w:val="en-US" w:eastAsia="zh-CN"/>
              </w:rPr>
              <w:t>根据上表可知，项目</w:t>
            </w:r>
            <w:r>
              <w:rPr>
                <w:rFonts w:hint="eastAsia" w:cs="Times New Roman"/>
                <w:color w:val="auto"/>
                <w:sz w:val="24"/>
                <w:highlight w:val="none"/>
                <w:u w:val="single"/>
                <w:lang w:val="en-US" w:eastAsia="zh-CN"/>
              </w:rPr>
              <w:t>区域</w:t>
            </w:r>
            <w:r>
              <w:rPr>
                <w:rFonts w:hint="eastAsia" w:ascii="Times New Roman" w:hAnsi="Times New Roman" w:eastAsia="宋体" w:cs="Times New Roman"/>
                <w:color w:val="auto"/>
                <w:sz w:val="24"/>
                <w:highlight w:val="none"/>
                <w:u w:val="single"/>
                <w:lang w:val="en-US" w:eastAsia="zh-CN"/>
              </w:rPr>
              <w:t>各监测点</w:t>
            </w:r>
            <w:r>
              <w:rPr>
                <w:rFonts w:hint="default" w:ascii="Times New Roman" w:hAnsi="Times New Roman" w:eastAsia="宋体" w:cs="Times New Roman"/>
                <w:color w:val="auto"/>
                <w:sz w:val="24"/>
                <w:highlight w:val="none"/>
                <w:u w:val="single"/>
                <w:lang w:val="en-US" w:eastAsia="zh-CN"/>
              </w:rPr>
              <w:t>TSP</w:t>
            </w:r>
            <w:r>
              <w:rPr>
                <w:rFonts w:hint="eastAsia" w:ascii="Times New Roman" w:hAnsi="Times New Roman" w:eastAsia="宋体" w:cs="Times New Roman"/>
                <w:color w:val="auto"/>
                <w:sz w:val="24"/>
                <w:highlight w:val="none"/>
                <w:u w:val="single"/>
                <w:lang w:val="en-US" w:eastAsia="zh-CN"/>
              </w:rPr>
              <w:t>符合《环境空气质量标准》（</w:t>
            </w:r>
            <w:r>
              <w:rPr>
                <w:rFonts w:hint="default" w:ascii="Times New Roman" w:hAnsi="Times New Roman" w:eastAsia="宋体" w:cs="Times New Roman"/>
                <w:color w:val="auto"/>
                <w:sz w:val="24"/>
                <w:highlight w:val="none"/>
                <w:u w:val="single"/>
                <w:lang w:val="en-US" w:eastAsia="zh-CN"/>
              </w:rPr>
              <w:t>GB3095-2012</w:t>
            </w:r>
            <w:r>
              <w:rPr>
                <w:rFonts w:hint="eastAsia" w:ascii="Times New Roman" w:hAnsi="Times New Roman" w:eastAsia="宋体" w:cs="Times New Roman"/>
                <w:color w:val="auto"/>
                <w:sz w:val="24"/>
                <w:highlight w:val="none"/>
                <w:u w:val="single"/>
                <w:lang w:val="en-US" w:eastAsia="zh-CN"/>
              </w:rPr>
              <w:t>）中二级标准要求</w:t>
            </w:r>
            <w:r>
              <w:rPr>
                <w:rFonts w:hint="eastAsia" w:cs="Times New Roman"/>
                <w:color w:val="auto"/>
                <w:sz w:val="24"/>
                <w:highlight w:val="none"/>
                <w:u w:val="single"/>
                <w:lang w:val="en-US" w:eastAsia="zh-CN"/>
              </w:rPr>
              <w:t>。</w:t>
            </w:r>
          </w:p>
          <w:p w14:paraId="6CA69B8E">
            <w:pPr>
              <w:numPr>
                <w:ilvl w:val="0"/>
                <w:numId w:val="0"/>
              </w:numPr>
              <w:spacing w:line="360" w:lineRule="auto"/>
              <w:ind w:firstLine="482" w:firstLineChars="200"/>
              <w:rPr>
                <w:rFonts w:hint="eastAsia"/>
                <w:b/>
                <w:bCs/>
                <w:sz w:val="24"/>
                <w:szCs w:val="24"/>
                <w:lang w:val="en-US" w:eastAsia="zh-CN"/>
              </w:rPr>
            </w:pPr>
            <w:r>
              <w:rPr>
                <w:rFonts w:hint="eastAsia"/>
                <w:b/>
                <w:bCs/>
                <w:sz w:val="24"/>
                <w:szCs w:val="24"/>
                <w:lang w:val="en-US" w:eastAsia="zh-CN"/>
              </w:rPr>
              <w:t>3.2地表水环境质量现状</w:t>
            </w:r>
          </w:p>
          <w:p w14:paraId="35041BE2">
            <w:pPr>
              <w:numPr>
                <w:ilvl w:val="0"/>
                <w:numId w:val="0"/>
              </w:numPr>
              <w:autoSpaceDE w:val="0"/>
              <w:autoSpaceDN w:val="0"/>
              <w:adjustRightInd w:val="0"/>
              <w:spacing w:line="360" w:lineRule="auto"/>
              <w:ind w:firstLine="480" w:firstLineChars="200"/>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本项目生产废水全部挥发，仅有生活污水经化粪池预处理后排入</w:t>
            </w:r>
            <w:r>
              <w:rPr>
                <w:rFonts w:hint="eastAsia" w:cs="Times New Roman"/>
                <w:color w:val="auto"/>
                <w:sz w:val="24"/>
                <w:highlight w:val="none"/>
                <w:u w:val="none"/>
                <w:lang w:val="en-US" w:eastAsia="zh-CN"/>
              </w:rPr>
              <w:t>洪江市工业集中区双溪片区</w:t>
            </w:r>
            <w:r>
              <w:rPr>
                <w:rFonts w:hint="default" w:ascii="Times New Roman" w:hAnsi="Times New Roman" w:eastAsia="宋体" w:cs="Times New Roman"/>
                <w:color w:val="auto"/>
                <w:sz w:val="24"/>
                <w:highlight w:val="none"/>
                <w:u w:val="none"/>
                <w:lang w:val="en-US" w:eastAsia="zh-CN"/>
              </w:rPr>
              <w:t>污水处理厂</w:t>
            </w:r>
            <w:r>
              <w:rPr>
                <w:rFonts w:hint="eastAsia" w:cs="Times New Roman"/>
                <w:color w:val="auto"/>
                <w:sz w:val="24"/>
                <w:highlight w:val="none"/>
                <w:u w:val="none"/>
                <w:lang w:val="en-US" w:eastAsia="zh-CN"/>
              </w:rPr>
              <w:t>进一步处理后排入双溪</w:t>
            </w:r>
            <w:r>
              <w:rPr>
                <w:rFonts w:hint="default" w:ascii="Times New Roman" w:hAnsi="Times New Roman" w:eastAsia="宋体" w:cs="Times New Roman"/>
                <w:color w:val="auto"/>
                <w:sz w:val="24"/>
                <w:highlight w:val="none"/>
                <w:u w:val="none"/>
                <w:lang w:val="en-US" w:eastAsia="zh-CN"/>
              </w:rPr>
              <w:t>。根据《建设项目环境影响报告表编制技术指南》（污染影响类）（试行）：地表水环境需引用与建设项目距离近的有效数据，包括近3年的规划环境影响评价的监测数据，所在流域控制单元内国家、地方控制断面监测数据，生态环境主管部门发布的水环境质量数据或地表水达标情况的结论。本次调查根据《湖南省怀化市水环境质量年报（2023年）》内沅水监测数据作为评价依据。</w:t>
            </w:r>
          </w:p>
          <w:p w14:paraId="4C6837B0">
            <w:pPr>
              <w:rPr>
                <w:sz w:val="24"/>
              </w:rPr>
            </w:pPr>
            <w:r>
              <w:rPr>
                <w:sz w:val="24"/>
              </w:rPr>
              <w:drawing>
                <wp:inline distT="0" distB="0" distL="0" distR="0">
                  <wp:extent cx="4869180" cy="4168140"/>
                  <wp:effectExtent l="0" t="0" r="7620" b="3810"/>
                  <wp:docPr id="79338439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384391" name="图片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869180" cy="4168140"/>
                          </a:xfrm>
                          <a:prstGeom prst="rect">
                            <a:avLst/>
                          </a:prstGeom>
                          <a:noFill/>
                          <a:ln>
                            <a:noFill/>
                          </a:ln>
                        </pic:spPr>
                      </pic:pic>
                    </a:graphicData>
                  </a:graphic>
                </wp:inline>
              </w:drawing>
            </w:r>
          </w:p>
          <w:p w14:paraId="00C8713B">
            <w:pPr>
              <w:ind w:firstLine="422" w:firstLineChars="200"/>
              <w:jc w:val="cente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图3-1  《湖南省怀化市水环境质量年报（2023年）》摘录</w:t>
            </w:r>
          </w:p>
          <w:p w14:paraId="35C05F99">
            <w:pPr>
              <w:numPr>
                <w:ilvl w:val="0"/>
                <w:numId w:val="0"/>
              </w:numPr>
              <w:autoSpaceDE w:val="0"/>
              <w:autoSpaceDN w:val="0"/>
              <w:adjustRightInd w:val="0"/>
              <w:spacing w:line="360" w:lineRule="auto"/>
              <w:ind w:firstLine="480" w:firstLineChars="200"/>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依据“年报”，沅江水质状况总体为优，11个考核断面均符合II类水质。依据“年报”沅水流域洪江市境内省控小江村、沙湾、山岩湾断面水质全年满足类Ⅱ类水质，沅江水质因子浓度均达到《地表水环境质量标准》（GB3838-2002）中Ⅱ类水质标准，区域水环境质量良好。</w:t>
            </w:r>
          </w:p>
          <w:p w14:paraId="11D7D67F">
            <w:pPr>
              <w:numPr>
                <w:ilvl w:val="0"/>
                <w:numId w:val="0"/>
              </w:numPr>
              <w:spacing w:line="360" w:lineRule="auto"/>
              <w:ind w:firstLine="482" w:firstLineChars="200"/>
              <w:rPr>
                <w:rFonts w:hint="eastAsia"/>
                <w:b/>
                <w:bCs/>
                <w:sz w:val="24"/>
                <w:szCs w:val="24"/>
                <w:u w:val="single"/>
                <w:lang w:val="en-US" w:eastAsia="zh-CN"/>
              </w:rPr>
            </w:pPr>
            <w:r>
              <w:rPr>
                <w:rFonts w:hint="eastAsia"/>
                <w:b/>
                <w:bCs/>
                <w:sz w:val="24"/>
                <w:szCs w:val="24"/>
                <w:u w:val="single"/>
                <w:lang w:val="en-US" w:eastAsia="zh-CN"/>
              </w:rPr>
              <w:t>3.3声环境质量现状</w:t>
            </w:r>
          </w:p>
          <w:p w14:paraId="509B65D6">
            <w:pPr>
              <w:numPr>
                <w:ilvl w:val="0"/>
                <w:numId w:val="0"/>
              </w:numPr>
              <w:autoSpaceDE w:val="0"/>
              <w:autoSpaceDN w:val="0"/>
              <w:adjustRightInd w:val="0"/>
              <w:spacing w:line="360" w:lineRule="auto"/>
              <w:ind w:firstLine="480" w:firstLineChars="200"/>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根据《建设项目环境影响报告表编制技术指南》（污染影响类）（试行）：厂界外周边50米范围内存在声环境保护目标的建设项目，应监测保护目标声环境质量现状并评价达标情况。各点位应监测昼夜间噪声，监测时间不少于1天，项目夜间不生产则仅监测昼间噪声。</w:t>
            </w:r>
          </w:p>
          <w:p w14:paraId="16E19E42">
            <w:pPr>
              <w:pStyle w:val="28"/>
              <w:wordWrap w:val="0"/>
              <w:spacing w:line="360" w:lineRule="auto"/>
              <w:ind w:firstLine="480" w:firstLineChars="200"/>
              <w:jc w:val="left"/>
              <w:rPr>
                <w:rFonts w:hint="default"/>
                <w:b/>
                <w:bCs/>
                <w:sz w:val="21"/>
                <w:szCs w:val="21"/>
                <w:u w:val="single"/>
                <w:lang w:val="en-US"/>
              </w:rPr>
            </w:pPr>
            <w:r>
              <w:rPr>
                <w:rFonts w:hint="eastAsia" w:ascii="Times New Roman" w:hAnsi="Times New Roman" w:eastAsia="宋体" w:cs="Times New Roman"/>
                <w:color w:val="auto"/>
                <w:sz w:val="24"/>
                <w:highlight w:val="none"/>
                <w:u w:val="single"/>
                <w:lang w:val="en-US" w:eastAsia="zh-CN"/>
              </w:rPr>
              <w:t>本项目周边50m无声环境敏感目标，</w:t>
            </w:r>
            <w:r>
              <w:rPr>
                <w:rFonts w:hint="eastAsia" w:ascii="Times New Roman" w:hAnsi="Times New Roman" w:eastAsia="宋体" w:cs="Times New Roman"/>
                <w:sz w:val="24"/>
                <w:u w:val="single"/>
                <w:lang w:val="en-US" w:eastAsia="zh-CN"/>
              </w:rPr>
              <w:t>因此无需监测</w:t>
            </w:r>
            <w:r>
              <w:rPr>
                <w:rFonts w:hint="eastAsia" w:ascii="Times New Roman" w:hAnsi="Times New Roman" w:cs="Times New Roman"/>
                <w:sz w:val="24"/>
                <w:u w:val="single"/>
                <w:lang w:val="en-US" w:eastAsia="zh-CN"/>
              </w:rPr>
              <w:t>。</w:t>
            </w:r>
          </w:p>
          <w:p w14:paraId="6A33182E">
            <w:pPr>
              <w:numPr>
                <w:ilvl w:val="0"/>
                <w:numId w:val="0"/>
              </w:numPr>
              <w:spacing w:line="360" w:lineRule="auto"/>
              <w:ind w:firstLine="482" w:firstLineChars="200"/>
              <w:rPr>
                <w:rFonts w:hint="eastAsia"/>
                <w:b/>
                <w:bCs/>
                <w:sz w:val="24"/>
                <w:szCs w:val="24"/>
                <w:lang w:val="en-US" w:eastAsia="zh-CN"/>
              </w:rPr>
            </w:pPr>
            <w:r>
              <w:rPr>
                <w:rFonts w:hint="eastAsia"/>
                <w:b/>
                <w:bCs/>
                <w:sz w:val="24"/>
                <w:szCs w:val="24"/>
                <w:lang w:val="en-US" w:eastAsia="zh-CN"/>
              </w:rPr>
              <w:t>3.4生态环境</w:t>
            </w:r>
          </w:p>
          <w:p w14:paraId="59C14E46">
            <w:pPr>
              <w:numPr>
                <w:ilvl w:val="0"/>
                <w:numId w:val="0"/>
              </w:numPr>
              <w:autoSpaceDE w:val="0"/>
              <w:autoSpaceDN w:val="0"/>
              <w:adjustRightInd w:val="0"/>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本项目位于产业园区内，不涉及生态环境敏感目标，根据《建设项目环境影响报告表编制技术指南（污染影响类）》，可不进行生态现状调查。仅对项目地生态环境现状简要调查如下：评价范围内人为开发活动频繁，生态环境受人类活动影响较大，评价范围内原生植被较少，周边植被主要为灌木、乔木等植被，物种较单一。评价范围内野生动物除灌草丛中栖息的昆虫类和偶见少量觅食的麻雀、鼠类外，未见其它野生动物分布，无珍稀濒危保护物种。</w:t>
            </w:r>
          </w:p>
          <w:p w14:paraId="04370531">
            <w:pPr>
              <w:numPr>
                <w:ilvl w:val="0"/>
                <w:numId w:val="0"/>
              </w:numPr>
              <w:spacing w:line="360" w:lineRule="auto"/>
              <w:ind w:firstLine="482" w:firstLineChars="200"/>
              <w:rPr>
                <w:rFonts w:hint="eastAsia"/>
                <w:b/>
                <w:bCs/>
                <w:sz w:val="24"/>
                <w:szCs w:val="24"/>
                <w:lang w:val="en-US" w:eastAsia="zh-CN"/>
              </w:rPr>
            </w:pPr>
            <w:r>
              <w:rPr>
                <w:rFonts w:hint="eastAsia"/>
                <w:b/>
                <w:bCs/>
                <w:sz w:val="24"/>
                <w:szCs w:val="24"/>
                <w:lang w:val="en-US" w:eastAsia="zh-CN"/>
              </w:rPr>
              <w:t>3.5电磁辐射</w:t>
            </w:r>
          </w:p>
          <w:p w14:paraId="60D821EB">
            <w:pPr>
              <w:numPr>
                <w:ilvl w:val="0"/>
                <w:numId w:val="0"/>
              </w:numPr>
              <w:autoSpaceDE w:val="0"/>
              <w:autoSpaceDN w:val="0"/>
              <w:adjustRightInd w:val="0"/>
              <w:spacing w:line="360" w:lineRule="auto"/>
              <w:ind w:firstLine="480" w:firstLineChars="200"/>
              <w:rPr>
                <w:rFonts w:hint="default"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项目主要从事汽车零部件加工，不属于广播电台、差转台、电视塔台、卫星地球上行站、雷达等电磁辐射类项目，无需开展电磁辐射现状开展监测与评价。</w:t>
            </w:r>
          </w:p>
          <w:p w14:paraId="69BF7582">
            <w:pPr>
              <w:numPr>
                <w:ilvl w:val="0"/>
                <w:numId w:val="0"/>
              </w:numPr>
              <w:spacing w:line="360" w:lineRule="auto"/>
              <w:ind w:firstLine="482" w:firstLineChars="200"/>
              <w:rPr>
                <w:rFonts w:hint="eastAsia"/>
                <w:b/>
                <w:bCs/>
                <w:sz w:val="24"/>
                <w:szCs w:val="24"/>
                <w:lang w:val="en-US" w:eastAsia="zh-CN"/>
              </w:rPr>
            </w:pPr>
            <w:r>
              <w:rPr>
                <w:rFonts w:hint="eastAsia"/>
                <w:b/>
                <w:bCs/>
                <w:sz w:val="24"/>
                <w:szCs w:val="24"/>
                <w:lang w:val="en-US" w:eastAsia="zh-CN"/>
              </w:rPr>
              <w:t>3.6地下水</w:t>
            </w:r>
          </w:p>
          <w:p w14:paraId="0F5DB044">
            <w:pPr>
              <w:numPr>
                <w:ilvl w:val="0"/>
                <w:numId w:val="0"/>
              </w:numPr>
              <w:autoSpaceDE w:val="0"/>
              <w:autoSpaceDN w:val="0"/>
              <w:adjustRightInd w:val="0"/>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根据《建设项目环境影响报告表编制技术指南（污染影响类）》，原则上不开展地下水环境质量现状调查。项目所在区域根据现场勘查，用水均由自来水管网供给，区域无地下水取水点等敏感目标，项目建设厂房将对地面进行硬化防渗处理，对地下水环境基本无污染途径。因此，可不开展地下水现状监测。</w:t>
            </w:r>
          </w:p>
          <w:p w14:paraId="21A872E5">
            <w:pPr>
              <w:numPr>
                <w:ilvl w:val="0"/>
                <w:numId w:val="0"/>
              </w:numPr>
              <w:spacing w:line="360" w:lineRule="auto"/>
              <w:ind w:firstLine="482" w:firstLineChars="200"/>
              <w:rPr>
                <w:rFonts w:hint="eastAsia"/>
                <w:b/>
                <w:bCs/>
                <w:sz w:val="24"/>
                <w:szCs w:val="24"/>
                <w:lang w:val="en-US" w:eastAsia="zh-CN"/>
              </w:rPr>
            </w:pPr>
            <w:r>
              <w:rPr>
                <w:rFonts w:hint="eastAsia"/>
                <w:b/>
                <w:bCs/>
                <w:sz w:val="24"/>
                <w:szCs w:val="24"/>
                <w:lang w:val="en-US" w:eastAsia="zh-CN"/>
              </w:rPr>
              <w:t>3.7土壤环境</w:t>
            </w:r>
          </w:p>
          <w:p w14:paraId="54282B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rPr>
            </w:pPr>
            <w:r>
              <w:rPr>
                <w:rFonts w:hint="eastAsia" w:ascii="Times New Roman" w:hAnsi="Times New Roman" w:eastAsia="宋体" w:cs="Times New Roman"/>
                <w:color w:val="auto"/>
                <w:sz w:val="24"/>
                <w:highlight w:val="none"/>
                <w:u w:val="none"/>
                <w:lang w:val="en-US" w:eastAsia="zh-CN"/>
              </w:rPr>
              <w:t>根据《建设项目环境影响报告表编制技术指南（污染影响类）》：“原则上不开展土壤环境质量现状调查”。厂区内生产区域的土地已硬化处理，基本无土壤污染途径，不涉及自然保护区、饮用水源地、学校、居民区、耕地等土壤环境敏感目标，周边土壤环境敏感程度不敏感，因此可不开展土壤环境现状监测。</w:t>
            </w:r>
          </w:p>
        </w:tc>
      </w:tr>
      <w:tr w14:paraId="40C5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14:paraId="2C72C81E">
            <w:pPr>
              <w:jc w:val="center"/>
            </w:pPr>
            <w:r>
              <w:rPr>
                <w:rFonts w:hint="eastAsia" w:ascii="Times New Roman" w:hAnsi="Times New Roman" w:eastAsia="宋体" w:cs="Times New Roman"/>
                <w:color w:val="000000"/>
                <w:kern w:val="2"/>
                <w:sz w:val="24"/>
                <w:szCs w:val="24"/>
                <w:lang w:val="en-US" w:eastAsia="zh-CN" w:bidi="ar-SA"/>
              </w:rPr>
              <w:t>环境保护目标</w:t>
            </w:r>
          </w:p>
        </w:tc>
        <w:tc>
          <w:tcPr>
            <w:tcW w:w="7890" w:type="dxa"/>
          </w:tcPr>
          <w:p w14:paraId="01283657">
            <w:pPr>
              <w:numPr>
                <w:ilvl w:val="0"/>
                <w:numId w:val="0"/>
              </w:numPr>
              <w:autoSpaceDE w:val="0"/>
              <w:autoSpaceDN w:val="0"/>
              <w:adjustRightInd w:val="0"/>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项目</w:t>
            </w:r>
            <w:r>
              <w:rPr>
                <w:rFonts w:hint="default" w:ascii="Times New Roman" w:hAnsi="Times New Roman" w:eastAsia="宋体" w:cs="Times New Roman"/>
                <w:color w:val="auto"/>
                <w:sz w:val="24"/>
                <w:highlight w:val="none"/>
                <w:u w:val="none"/>
                <w:lang w:val="en-US" w:eastAsia="zh-CN"/>
              </w:rPr>
              <w:t>厂界外500m范围内无地下水集中式饮用水水源和热水、矿泉水、温泉等特殊地下水资源；项目位</w:t>
            </w:r>
            <w:r>
              <w:rPr>
                <w:rFonts w:hint="eastAsia" w:ascii="Times New Roman" w:hAnsi="Times New Roman" w:eastAsia="宋体" w:cs="Times New Roman"/>
                <w:color w:val="auto"/>
                <w:sz w:val="24"/>
                <w:highlight w:val="none"/>
                <w:u w:val="none"/>
                <w:lang w:val="en-US" w:eastAsia="zh-CN"/>
              </w:rPr>
              <w:t>于洪江市高新区双溪产业片区，无生态环境保护目标</w:t>
            </w:r>
            <w:r>
              <w:rPr>
                <w:rFonts w:hint="eastAsia" w:cs="Times New Roman"/>
                <w:color w:val="auto"/>
                <w:sz w:val="24"/>
                <w:highlight w:val="none"/>
                <w:u w:val="none"/>
                <w:lang w:val="en-US" w:eastAsia="zh-CN"/>
              </w:rPr>
              <w:t>；</w:t>
            </w:r>
            <w:r>
              <w:rPr>
                <w:rFonts w:hint="eastAsia" w:ascii="Times New Roman" w:hAnsi="Times New Roman" w:eastAsia="宋体" w:cs="Times New Roman"/>
                <w:color w:val="auto"/>
                <w:sz w:val="24"/>
                <w:highlight w:val="none"/>
                <w:u w:val="none"/>
                <w:lang w:val="en-US" w:eastAsia="zh-CN"/>
              </w:rPr>
              <w:t>项目厂界外50m范围内不涉及声环境保护目标。</w:t>
            </w:r>
          </w:p>
          <w:p w14:paraId="63EC37F6">
            <w:pPr>
              <w:numPr>
                <w:ilvl w:val="0"/>
                <w:numId w:val="0"/>
              </w:numPr>
              <w:autoSpaceDE w:val="0"/>
              <w:autoSpaceDN w:val="0"/>
              <w:adjustRightInd w:val="0"/>
              <w:spacing w:line="360" w:lineRule="auto"/>
              <w:ind w:firstLine="480" w:firstLineChars="200"/>
              <w:rPr>
                <w:rFonts w:hint="default"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因此，项目主要环境保护目标为</w:t>
            </w:r>
            <w:r>
              <w:rPr>
                <w:rFonts w:hint="eastAsia" w:cs="Times New Roman"/>
                <w:color w:val="auto"/>
                <w:sz w:val="24"/>
                <w:highlight w:val="none"/>
                <w:u w:val="none"/>
                <w:lang w:val="en-US" w:eastAsia="zh-CN"/>
              </w:rPr>
              <w:t>大气</w:t>
            </w:r>
            <w:r>
              <w:rPr>
                <w:rFonts w:hint="eastAsia" w:ascii="Times New Roman" w:hAnsi="Times New Roman" w:eastAsia="宋体" w:cs="Times New Roman"/>
                <w:color w:val="auto"/>
                <w:sz w:val="24"/>
                <w:highlight w:val="none"/>
                <w:u w:val="none"/>
                <w:lang w:val="en-US" w:eastAsia="zh-CN"/>
              </w:rPr>
              <w:t>环境保护目标，</w:t>
            </w:r>
            <w:r>
              <w:rPr>
                <w:rFonts w:hint="default" w:ascii="Times New Roman" w:hAnsi="Times New Roman" w:eastAsia="宋体" w:cs="Times New Roman"/>
                <w:color w:val="auto"/>
                <w:sz w:val="24"/>
                <w:highlight w:val="none"/>
                <w:u w:val="none"/>
                <w:lang w:val="en-US" w:eastAsia="zh-CN"/>
              </w:rPr>
              <w:t>详见附图3</w:t>
            </w:r>
            <w:r>
              <w:rPr>
                <w:rFonts w:hint="eastAsia" w:ascii="Times New Roman" w:hAnsi="Times New Roman" w:eastAsia="宋体" w:cs="Times New Roman"/>
                <w:color w:val="auto"/>
                <w:sz w:val="24"/>
                <w:highlight w:val="none"/>
                <w:u w:val="none"/>
                <w:lang w:val="en-US" w:eastAsia="zh-CN"/>
              </w:rPr>
              <w:t>。具体如下：</w:t>
            </w:r>
          </w:p>
          <w:p w14:paraId="5B868A5B">
            <w:pPr>
              <w:ind w:firstLine="422" w:firstLineChars="200"/>
              <w:jc w:val="center"/>
              <w:rPr>
                <w:rFonts w:hint="default"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表3-4  项目敏感目标一览表</w:t>
            </w:r>
          </w:p>
          <w:tbl>
            <w:tblPr>
              <w:tblStyle w:val="22"/>
              <w:tblW w:w="7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408"/>
              <w:gridCol w:w="1288"/>
              <w:gridCol w:w="1144"/>
              <w:gridCol w:w="1785"/>
              <w:gridCol w:w="1220"/>
            </w:tblGrid>
            <w:tr w14:paraId="2D59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11" w:type="dxa"/>
                  <w:vAlign w:val="center"/>
                </w:tcPr>
                <w:p w14:paraId="1672B114">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环境要素</w:t>
                  </w:r>
                </w:p>
              </w:tc>
              <w:tc>
                <w:tcPr>
                  <w:tcW w:w="1408" w:type="dxa"/>
                  <w:vAlign w:val="center"/>
                </w:tcPr>
                <w:p w14:paraId="5D2A52AF">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名称</w:t>
                  </w:r>
                </w:p>
              </w:tc>
              <w:tc>
                <w:tcPr>
                  <w:tcW w:w="1288" w:type="dxa"/>
                  <w:vAlign w:val="center"/>
                </w:tcPr>
                <w:p w14:paraId="06939C3F">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方位</w:t>
                  </w:r>
                </w:p>
              </w:tc>
              <w:tc>
                <w:tcPr>
                  <w:tcW w:w="1144" w:type="dxa"/>
                  <w:vAlign w:val="center"/>
                </w:tcPr>
                <w:p w14:paraId="57F6D4E7">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距厂界最近距离</w:t>
                  </w:r>
                </w:p>
              </w:tc>
              <w:tc>
                <w:tcPr>
                  <w:tcW w:w="1785" w:type="dxa"/>
                  <w:vAlign w:val="center"/>
                </w:tcPr>
                <w:p w14:paraId="6B657DC6">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规模</w:t>
                  </w:r>
                </w:p>
              </w:tc>
              <w:tc>
                <w:tcPr>
                  <w:tcW w:w="1220" w:type="dxa"/>
                  <w:vAlign w:val="center"/>
                </w:tcPr>
                <w:p w14:paraId="6DEC1532">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保护等级</w:t>
                  </w:r>
                </w:p>
              </w:tc>
            </w:tr>
            <w:tr w14:paraId="11B8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11" w:type="dxa"/>
                  <w:vMerge w:val="restart"/>
                  <w:vAlign w:val="center"/>
                </w:tcPr>
                <w:p w14:paraId="59A296B7">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lang w:val="en-US" w:eastAsia="zh-CN"/>
                    </w:rPr>
                    <w:t>大气</w:t>
                  </w:r>
                  <w:r>
                    <w:rPr>
                      <w:rFonts w:hint="eastAsia"/>
                      <w:color w:val="000000"/>
                      <w:u w:val="none"/>
                    </w:rPr>
                    <w:t>环境</w:t>
                  </w:r>
                </w:p>
              </w:tc>
              <w:tc>
                <w:tcPr>
                  <w:tcW w:w="1408" w:type="dxa"/>
                  <w:vAlign w:val="center"/>
                </w:tcPr>
                <w:p w14:paraId="74BF032B">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居民区1</w:t>
                  </w:r>
                </w:p>
              </w:tc>
              <w:tc>
                <w:tcPr>
                  <w:tcW w:w="1288" w:type="dxa"/>
                  <w:vAlign w:val="center"/>
                </w:tcPr>
                <w:p w14:paraId="1E551C65">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东南面</w:t>
                  </w:r>
                </w:p>
              </w:tc>
              <w:tc>
                <w:tcPr>
                  <w:tcW w:w="1144" w:type="dxa"/>
                  <w:vAlign w:val="center"/>
                </w:tcPr>
                <w:p w14:paraId="246B330F">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160m</w:t>
                  </w:r>
                </w:p>
              </w:tc>
              <w:tc>
                <w:tcPr>
                  <w:tcW w:w="1785" w:type="dxa"/>
                  <w:vAlign w:val="center"/>
                </w:tcPr>
                <w:p w14:paraId="36C08661">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约40户，150人</w:t>
                  </w:r>
                </w:p>
              </w:tc>
              <w:tc>
                <w:tcPr>
                  <w:tcW w:w="1220" w:type="dxa"/>
                  <w:vMerge w:val="restart"/>
                  <w:vAlign w:val="center"/>
                </w:tcPr>
                <w:p w14:paraId="10055983">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(GB3095)Ⅱ级</w:t>
                  </w:r>
                </w:p>
              </w:tc>
            </w:tr>
            <w:tr w14:paraId="4131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11" w:type="dxa"/>
                  <w:vMerge w:val="continue"/>
                  <w:vAlign w:val="center"/>
                </w:tcPr>
                <w:p w14:paraId="054E7624">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p>
              </w:tc>
              <w:tc>
                <w:tcPr>
                  <w:tcW w:w="1408" w:type="dxa"/>
                  <w:vAlign w:val="center"/>
                </w:tcPr>
                <w:p w14:paraId="3BEC4BCB">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居民区2</w:t>
                  </w:r>
                </w:p>
              </w:tc>
              <w:tc>
                <w:tcPr>
                  <w:tcW w:w="1288" w:type="dxa"/>
                  <w:vAlign w:val="center"/>
                </w:tcPr>
                <w:p w14:paraId="0869D9D3">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东南面</w:t>
                  </w:r>
                </w:p>
              </w:tc>
              <w:tc>
                <w:tcPr>
                  <w:tcW w:w="1144" w:type="dxa"/>
                  <w:vAlign w:val="center"/>
                </w:tcPr>
                <w:p w14:paraId="7F0CDA31">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370m</w:t>
                  </w:r>
                </w:p>
              </w:tc>
              <w:tc>
                <w:tcPr>
                  <w:tcW w:w="1785" w:type="dxa"/>
                  <w:vAlign w:val="center"/>
                </w:tcPr>
                <w:p w14:paraId="09F00F42">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约15户，50人</w:t>
                  </w:r>
                </w:p>
              </w:tc>
              <w:tc>
                <w:tcPr>
                  <w:tcW w:w="1220" w:type="dxa"/>
                  <w:vMerge w:val="continue"/>
                  <w:vAlign w:val="center"/>
                </w:tcPr>
                <w:p w14:paraId="15A9BDF5">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p>
              </w:tc>
            </w:tr>
            <w:tr w14:paraId="2088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11" w:type="dxa"/>
                  <w:vMerge w:val="continue"/>
                  <w:vAlign w:val="center"/>
                </w:tcPr>
                <w:p w14:paraId="7F7D7D44">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p>
              </w:tc>
              <w:tc>
                <w:tcPr>
                  <w:tcW w:w="1408" w:type="dxa"/>
                  <w:vAlign w:val="center"/>
                </w:tcPr>
                <w:p w14:paraId="5066BDE0">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居民区3</w:t>
                  </w:r>
                </w:p>
              </w:tc>
              <w:tc>
                <w:tcPr>
                  <w:tcW w:w="1288" w:type="dxa"/>
                  <w:vAlign w:val="center"/>
                </w:tcPr>
                <w:p w14:paraId="4603F919">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东面、东北面</w:t>
                  </w:r>
                </w:p>
              </w:tc>
              <w:tc>
                <w:tcPr>
                  <w:tcW w:w="1144" w:type="dxa"/>
                  <w:vAlign w:val="center"/>
                </w:tcPr>
                <w:p w14:paraId="57869B7D">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320m</w:t>
                  </w:r>
                </w:p>
              </w:tc>
              <w:tc>
                <w:tcPr>
                  <w:tcW w:w="1785" w:type="dxa"/>
                  <w:vAlign w:val="center"/>
                </w:tcPr>
                <w:p w14:paraId="67EF83D6">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约18户，60人</w:t>
                  </w:r>
                </w:p>
              </w:tc>
              <w:tc>
                <w:tcPr>
                  <w:tcW w:w="1220" w:type="dxa"/>
                  <w:vMerge w:val="continue"/>
                  <w:vAlign w:val="center"/>
                </w:tcPr>
                <w:p w14:paraId="73469080">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p>
              </w:tc>
            </w:tr>
            <w:tr w14:paraId="650F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11" w:type="dxa"/>
                  <w:vMerge w:val="continue"/>
                  <w:vAlign w:val="center"/>
                </w:tcPr>
                <w:p w14:paraId="65638602">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p>
              </w:tc>
              <w:tc>
                <w:tcPr>
                  <w:tcW w:w="1408" w:type="dxa"/>
                  <w:vAlign w:val="center"/>
                </w:tcPr>
                <w:p w14:paraId="06487305">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居民区4</w:t>
                  </w:r>
                </w:p>
              </w:tc>
              <w:tc>
                <w:tcPr>
                  <w:tcW w:w="1288" w:type="dxa"/>
                  <w:vAlign w:val="center"/>
                </w:tcPr>
                <w:p w14:paraId="2D5103D8">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西面</w:t>
                  </w:r>
                </w:p>
              </w:tc>
              <w:tc>
                <w:tcPr>
                  <w:tcW w:w="1144" w:type="dxa"/>
                  <w:vAlign w:val="center"/>
                </w:tcPr>
                <w:p w14:paraId="1F79F691">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470m</w:t>
                  </w:r>
                </w:p>
              </w:tc>
              <w:tc>
                <w:tcPr>
                  <w:tcW w:w="1785" w:type="dxa"/>
                  <w:vAlign w:val="center"/>
                </w:tcPr>
                <w:p w14:paraId="1CA6B56E">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约18户，</w:t>
                  </w:r>
                </w:p>
                <w:p w14:paraId="209D511B">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6人</w:t>
                  </w:r>
                </w:p>
              </w:tc>
              <w:tc>
                <w:tcPr>
                  <w:tcW w:w="1220" w:type="dxa"/>
                  <w:vMerge w:val="continue"/>
                  <w:vAlign w:val="center"/>
                </w:tcPr>
                <w:p w14:paraId="040C783C">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p>
              </w:tc>
            </w:tr>
            <w:tr w14:paraId="2F62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11" w:type="dxa"/>
                  <w:vMerge w:val="continue"/>
                  <w:vAlign w:val="center"/>
                </w:tcPr>
                <w:p w14:paraId="46C8345A">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p>
              </w:tc>
              <w:tc>
                <w:tcPr>
                  <w:tcW w:w="1408" w:type="dxa"/>
                  <w:vAlign w:val="center"/>
                </w:tcPr>
                <w:p w14:paraId="3929A912">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居民区5</w:t>
                  </w:r>
                </w:p>
              </w:tc>
              <w:tc>
                <w:tcPr>
                  <w:tcW w:w="1288" w:type="dxa"/>
                  <w:vAlign w:val="center"/>
                </w:tcPr>
                <w:p w14:paraId="14E98DEB">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西北面</w:t>
                  </w:r>
                </w:p>
              </w:tc>
              <w:tc>
                <w:tcPr>
                  <w:tcW w:w="1144" w:type="dxa"/>
                  <w:vAlign w:val="center"/>
                </w:tcPr>
                <w:p w14:paraId="6FA624C6">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420m</w:t>
                  </w:r>
                </w:p>
              </w:tc>
              <w:tc>
                <w:tcPr>
                  <w:tcW w:w="1785" w:type="dxa"/>
                  <w:vAlign w:val="center"/>
                </w:tcPr>
                <w:p w14:paraId="085FB8B5">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约10户，35人</w:t>
                  </w:r>
                </w:p>
              </w:tc>
              <w:tc>
                <w:tcPr>
                  <w:tcW w:w="1220" w:type="dxa"/>
                  <w:vMerge w:val="continue"/>
                  <w:vAlign w:val="center"/>
                </w:tcPr>
                <w:p w14:paraId="33392EAD">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p>
              </w:tc>
            </w:tr>
            <w:tr w14:paraId="6F77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11" w:type="dxa"/>
                  <w:vMerge w:val="continue"/>
                  <w:vAlign w:val="center"/>
                </w:tcPr>
                <w:p w14:paraId="0E0A3185">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p>
              </w:tc>
              <w:tc>
                <w:tcPr>
                  <w:tcW w:w="1408" w:type="dxa"/>
                  <w:vAlign w:val="center"/>
                </w:tcPr>
                <w:p w14:paraId="27167EFC">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北侧散户</w:t>
                  </w:r>
                </w:p>
              </w:tc>
              <w:tc>
                <w:tcPr>
                  <w:tcW w:w="1288" w:type="dxa"/>
                  <w:vAlign w:val="center"/>
                </w:tcPr>
                <w:p w14:paraId="16EFA5EC">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西北侧</w:t>
                  </w:r>
                </w:p>
              </w:tc>
              <w:tc>
                <w:tcPr>
                  <w:tcW w:w="1144" w:type="dxa"/>
                  <w:vAlign w:val="center"/>
                </w:tcPr>
                <w:p w14:paraId="1F48ACD1">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120m</w:t>
                  </w:r>
                </w:p>
              </w:tc>
              <w:tc>
                <w:tcPr>
                  <w:tcW w:w="1785" w:type="dxa"/>
                  <w:vAlign w:val="center"/>
                </w:tcPr>
                <w:p w14:paraId="09CA13F8">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r>
                    <w:rPr>
                      <w:rFonts w:hint="eastAsia"/>
                      <w:color w:val="000000"/>
                      <w:u w:val="none"/>
                    </w:rPr>
                    <w:t>约4户，12人</w:t>
                  </w:r>
                </w:p>
              </w:tc>
              <w:tc>
                <w:tcPr>
                  <w:tcW w:w="1220" w:type="dxa"/>
                  <w:vMerge w:val="continue"/>
                  <w:vAlign w:val="center"/>
                </w:tcPr>
                <w:p w14:paraId="52487A63">
                  <w:pPr>
                    <w:keepNext w:val="0"/>
                    <w:keepLines w:val="0"/>
                    <w:pageBreakBefore w:val="0"/>
                    <w:widowControl w:val="0"/>
                    <w:kinsoku/>
                    <w:wordWrap/>
                    <w:overflowPunct/>
                    <w:topLinePunct w:val="0"/>
                    <w:autoSpaceDE/>
                    <w:autoSpaceDN/>
                    <w:bidi w:val="0"/>
                    <w:adjustRightInd/>
                    <w:snapToGrid/>
                    <w:jc w:val="center"/>
                    <w:textAlignment w:val="auto"/>
                    <w:rPr>
                      <w:color w:val="000000"/>
                      <w:u w:val="none"/>
                    </w:rPr>
                  </w:pPr>
                </w:p>
              </w:tc>
            </w:tr>
          </w:tbl>
          <w:p w14:paraId="07F8F63B">
            <w:pPr>
              <w:bidi w:val="0"/>
              <w:rPr>
                <w:rFonts w:hint="eastAsia"/>
              </w:rPr>
            </w:pPr>
          </w:p>
        </w:tc>
      </w:tr>
      <w:tr w14:paraId="71E1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3" w:hRule="atLeast"/>
        </w:trPr>
        <w:tc>
          <w:tcPr>
            <w:tcW w:w="632" w:type="dxa"/>
            <w:vAlign w:val="center"/>
          </w:tcPr>
          <w:p w14:paraId="1A11288E">
            <w:pPr>
              <w:widowControl/>
              <w:jc w:val="center"/>
            </w:pPr>
            <w:r>
              <w:rPr>
                <w:rFonts w:hint="eastAsia" w:ascii="Times New Roman" w:hAnsi="Times New Roman" w:eastAsia="宋体" w:cs="Times New Roman"/>
                <w:color w:val="000000"/>
                <w:kern w:val="2"/>
                <w:sz w:val="24"/>
                <w:szCs w:val="24"/>
                <w:lang w:val="en-US" w:eastAsia="zh-CN" w:bidi="ar-SA"/>
              </w:rPr>
              <w:t>污染物排放控制标准</w:t>
            </w:r>
          </w:p>
        </w:tc>
        <w:tc>
          <w:tcPr>
            <w:tcW w:w="7890" w:type="dxa"/>
          </w:tcPr>
          <w:p w14:paraId="1B1346D9">
            <w:pPr>
              <w:numPr>
                <w:ilvl w:val="0"/>
                <w:numId w:val="0"/>
              </w:numPr>
              <w:spacing w:line="360" w:lineRule="auto"/>
              <w:ind w:firstLine="482" w:firstLineChars="200"/>
              <w:rPr>
                <w:rFonts w:hint="default"/>
                <w:b/>
                <w:bCs/>
                <w:sz w:val="24"/>
                <w:szCs w:val="24"/>
                <w:u w:val="single"/>
                <w:lang w:val="en-US" w:eastAsia="zh-CN"/>
              </w:rPr>
            </w:pPr>
            <w:r>
              <w:rPr>
                <w:rFonts w:hint="eastAsia"/>
                <w:b/>
                <w:bCs/>
                <w:sz w:val="24"/>
                <w:szCs w:val="24"/>
                <w:u w:val="single"/>
                <w:lang w:val="en-US" w:eastAsia="zh-CN"/>
              </w:rPr>
              <w:t>1、大气污染物排放标准</w:t>
            </w:r>
          </w:p>
          <w:p w14:paraId="2D6B67C0">
            <w:pPr>
              <w:numPr>
                <w:ilvl w:val="0"/>
                <w:numId w:val="0"/>
              </w:numPr>
              <w:autoSpaceDE w:val="0"/>
              <w:autoSpaceDN w:val="0"/>
              <w:adjustRightInd w:val="0"/>
              <w:spacing w:line="360" w:lineRule="auto"/>
              <w:ind w:firstLine="480" w:firstLineChars="200"/>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营运期有组织颗粒物执行《铸造工业大气污染物排放标准》</w:t>
            </w:r>
            <w:r>
              <w:rPr>
                <w:rFonts w:hint="eastAsia" w:cs="Times New Roman"/>
                <w:color w:val="auto"/>
                <w:sz w:val="24"/>
                <w:highlight w:val="none"/>
                <w:u w:val="single"/>
                <w:lang w:val="en-US" w:eastAsia="zh-CN"/>
              </w:rPr>
              <w:t>（</w:t>
            </w:r>
            <w:r>
              <w:rPr>
                <w:rFonts w:hint="eastAsia" w:ascii="Times New Roman" w:hAnsi="Times New Roman" w:eastAsia="宋体" w:cs="Times New Roman"/>
                <w:color w:val="auto"/>
                <w:sz w:val="24"/>
                <w:highlight w:val="none"/>
                <w:u w:val="single"/>
                <w:lang w:val="en-US" w:eastAsia="zh-CN"/>
              </w:rPr>
              <w:t>GB39726-2020</w:t>
            </w:r>
            <w:r>
              <w:rPr>
                <w:rFonts w:hint="eastAsia" w:cs="Times New Roman"/>
                <w:color w:val="auto"/>
                <w:sz w:val="24"/>
                <w:highlight w:val="none"/>
                <w:u w:val="single"/>
                <w:lang w:val="en-US" w:eastAsia="zh-CN"/>
              </w:rPr>
              <w:t>）</w:t>
            </w:r>
            <w:r>
              <w:rPr>
                <w:rFonts w:hint="eastAsia" w:ascii="Times New Roman" w:hAnsi="Times New Roman" w:eastAsia="宋体" w:cs="Times New Roman"/>
                <w:color w:val="auto"/>
                <w:sz w:val="24"/>
                <w:highlight w:val="none"/>
                <w:u w:val="single"/>
                <w:lang w:val="en-US" w:eastAsia="zh-CN"/>
              </w:rPr>
              <w:t>表1大气污染物排放限值，无组织执行《铸造工业大气污染物排放标准》</w:t>
            </w:r>
            <w:r>
              <w:rPr>
                <w:rFonts w:hint="eastAsia" w:cs="Times New Roman"/>
                <w:color w:val="auto"/>
                <w:sz w:val="24"/>
                <w:highlight w:val="none"/>
                <w:u w:val="single"/>
                <w:lang w:val="en-US" w:eastAsia="zh-CN"/>
              </w:rPr>
              <w:t>（</w:t>
            </w:r>
            <w:r>
              <w:rPr>
                <w:rFonts w:hint="eastAsia" w:ascii="Times New Roman" w:hAnsi="Times New Roman" w:eastAsia="宋体" w:cs="Times New Roman"/>
                <w:color w:val="auto"/>
                <w:sz w:val="24"/>
                <w:highlight w:val="none"/>
                <w:u w:val="single"/>
                <w:lang w:val="en-US" w:eastAsia="zh-CN"/>
              </w:rPr>
              <w:t>GB39726-2020</w:t>
            </w:r>
            <w:r>
              <w:rPr>
                <w:rFonts w:hint="eastAsia" w:cs="Times New Roman"/>
                <w:color w:val="auto"/>
                <w:sz w:val="24"/>
                <w:highlight w:val="none"/>
                <w:u w:val="single"/>
                <w:lang w:val="en-US" w:eastAsia="zh-CN"/>
              </w:rPr>
              <w:t>）</w:t>
            </w:r>
            <w:r>
              <w:rPr>
                <w:rFonts w:hint="eastAsia" w:ascii="Times New Roman" w:hAnsi="Times New Roman" w:eastAsia="宋体" w:cs="Times New Roman"/>
                <w:color w:val="auto"/>
                <w:sz w:val="24"/>
                <w:highlight w:val="none"/>
                <w:u w:val="single"/>
                <w:lang w:val="en-US" w:eastAsia="zh-CN"/>
              </w:rPr>
              <w:t>附录A限值。有组织非甲烷总烃《大气污染物综合排放标准》（GB16297-1996）表2大气污染物排放二级标准，无组织非甲烷总烃执行《大气污染物综合排放标准》（GB16297-1996）中的无组织排放监控浓度限值。</w:t>
            </w:r>
          </w:p>
          <w:p w14:paraId="426003EB">
            <w:pPr>
              <w:ind w:firstLine="422" w:firstLineChars="200"/>
              <w:jc w:val="center"/>
              <w:rPr>
                <w:rFonts w:hint="eastAsia" w:ascii="Times New Roman" w:hAnsi="Times New Roman" w:eastAsia="宋体" w:cs="Times New Roman"/>
                <w:b/>
                <w:bCs/>
                <w:color w:val="auto"/>
                <w:highlight w:val="none"/>
                <w:u w:val="single"/>
              </w:rPr>
            </w:pPr>
            <w:r>
              <w:rPr>
                <w:rFonts w:hint="eastAsia" w:ascii="Times New Roman" w:hAnsi="Times New Roman" w:eastAsia="宋体" w:cs="Times New Roman"/>
                <w:b/>
                <w:bCs/>
                <w:color w:val="auto"/>
                <w:highlight w:val="none"/>
                <w:u w:val="single"/>
              </w:rPr>
              <w:t>表3-</w:t>
            </w:r>
            <w:r>
              <w:rPr>
                <w:rFonts w:hint="eastAsia" w:ascii="Times New Roman" w:hAnsi="Times New Roman" w:cs="Times New Roman"/>
                <w:b/>
                <w:bCs/>
                <w:color w:val="auto"/>
                <w:highlight w:val="none"/>
                <w:u w:val="single"/>
                <w:lang w:val="en-US" w:eastAsia="zh-CN"/>
              </w:rPr>
              <w:t>5</w:t>
            </w:r>
            <w:r>
              <w:rPr>
                <w:rFonts w:hint="eastAsia" w:ascii="Times New Roman" w:hAnsi="Times New Roman" w:eastAsia="宋体" w:cs="Times New Roman"/>
                <w:b/>
                <w:bCs/>
                <w:color w:val="auto"/>
                <w:highlight w:val="none"/>
                <w:u w:val="single"/>
              </w:rPr>
              <w:t xml:space="preserve">  有组织排放控制标准 </w:t>
            </w:r>
          </w:p>
          <w:tbl>
            <w:tblPr>
              <w:tblStyle w:val="22"/>
              <w:tblW w:w="7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916"/>
              <w:gridCol w:w="1136"/>
              <w:gridCol w:w="1472"/>
              <w:gridCol w:w="3163"/>
            </w:tblGrid>
            <w:tr w14:paraId="0825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492" w:type="pct"/>
                  <w:noWrap w:val="0"/>
                  <w:vAlign w:val="center"/>
                </w:tcPr>
                <w:p w14:paraId="7C6D489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u w:val="single"/>
                    </w:rPr>
                  </w:pPr>
                  <w:r>
                    <w:rPr>
                      <w:rFonts w:hint="default" w:ascii="Times New Roman" w:hAnsi="Times New Roman" w:cs="Times New Roman"/>
                      <w:color w:val="000000"/>
                      <w:u w:val="single"/>
                    </w:rPr>
                    <w:t>序号</w:t>
                  </w:r>
                </w:p>
              </w:tc>
              <w:tc>
                <w:tcPr>
                  <w:tcW w:w="617" w:type="pct"/>
                  <w:noWrap w:val="0"/>
                  <w:vAlign w:val="center"/>
                </w:tcPr>
                <w:p w14:paraId="10605D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u w:val="single"/>
                    </w:rPr>
                  </w:pPr>
                  <w:r>
                    <w:rPr>
                      <w:rFonts w:hint="default" w:ascii="Times New Roman" w:hAnsi="Times New Roman" w:cs="Times New Roman"/>
                      <w:color w:val="000000"/>
                      <w:u w:val="single"/>
                    </w:rPr>
                    <w:t>污染物</w:t>
                  </w:r>
                </w:p>
              </w:tc>
              <w:tc>
                <w:tcPr>
                  <w:tcW w:w="765" w:type="pct"/>
                  <w:noWrap w:val="0"/>
                  <w:vAlign w:val="center"/>
                </w:tcPr>
                <w:p w14:paraId="3AF6394B">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000000"/>
                      <w:u w:val="single"/>
                      <w:lang w:eastAsia="zh-CN"/>
                    </w:rPr>
                  </w:pPr>
                  <w:r>
                    <w:rPr>
                      <w:rFonts w:hint="default" w:ascii="Times New Roman" w:hAnsi="Times New Roman" w:cs="Times New Roman"/>
                      <w:color w:val="000000"/>
                      <w:u w:val="single"/>
                    </w:rPr>
                    <w:t>最高允许排放浓度</w:t>
                  </w:r>
                  <w:r>
                    <w:rPr>
                      <w:rFonts w:hint="eastAsia" w:ascii="Times New Roman" w:hAnsi="Times New Roman" w:cs="Times New Roman"/>
                      <w:color w:val="000000"/>
                      <w:u w:val="single"/>
                      <w:lang w:eastAsia="zh-CN"/>
                    </w:rPr>
                    <w:t>（</w:t>
                  </w:r>
                  <w:r>
                    <w:rPr>
                      <w:rFonts w:hint="default" w:ascii="Times New Roman" w:hAnsi="Times New Roman" w:cs="Times New Roman"/>
                      <w:color w:val="000000"/>
                      <w:u w:val="single"/>
                    </w:rPr>
                    <w:t>mg/m</w:t>
                  </w:r>
                  <w:r>
                    <w:rPr>
                      <w:rFonts w:hint="default" w:ascii="Times New Roman" w:hAnsi="Times New Roman" w:cs="Times New Roman"/>
                      <w:color w:val="000000"/>
                      <w:u w:val="single"/>
                      <w:vertAlign w:val="superscript"/>
                    </w:rPr>
                    <w:t>3</w:t>
                  </w:r>
                  <w:r>
                    <w:rPr>
                      <w:rFonts w:hint="eastAsia" w:ascii="Times New Roman" w:hAnsi="Times New Roman" w:cs="Times New Roman"/>
                      <w:color w:val="000000"/>
                      <w:u w:val="single"/>
                      <w:lang w:eastAsia="zh-CN"/>
                    </w:rPr>
                    <w:t>）</w:t>
                  </w:r>
                </w:p>
              </w:tc>
              <w:tc>
                <w:tcPr>
                  <w:tcW w:w="992" w:type="pct"/>
                  <w:noWrap w:val="0"/>
                  <w:vAlign w:val="center"/>
                </w:tcPr>
                <w:p w14:paraId="4F8FD76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u w:val="single"/>
                    </w:rPr>
                  </w:pPr>
                  <w:r>
                    <w:rPr>
                      <w:rFonts w:hint="default" w:ascii="Times New Roman" w:hAnsi="Times New Roman" w:cs="Times New Roman"/>
                      <w:color w:val="000000"/>
                      <w:u w:val="single"/>
                    </w:rPr>
                    <w:t>最高允许排放速率（kg/h）</w:t>
                  </w:r>
                </w:p>
              </w:tc>
              <w:tc>
                <w:tcPr>
                  <w:tcW w:w="2131" w:type="pct"/>
                  <w:noWrap w:val="0"/>
                  <w:vAlign w:val="center"/>
                </w:tcPr>
                <w:p w14:paraId="3841DC8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u w:val="single"/>
                      <w:lang w:val="en-US" w:eastAsia="zh-CN"/>
                    </w:rPr>
                  </w:pPr>
                  <w:r>
                    <w:rPr>
                      <w:rFonts w:hint="eastAsia" w:ascii="Times New Roman" w:hAnsi="Times New Roman" w:cs="Times New Roman"/>
                      <w:color w:val="000000"/>
                      <w:u w:val="single"/>
                      <w:lang w:val="en-US" w:eastAsia="zh-CN"/>
                    </w:rPr>
                    <w:t>排放标准</w:t>
                  </w:r>
                </w:p>
              </w:tc>
            </w:tr>
            <w:tr w14:paraId="39D4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92" w:type="pct"/>
                  <w:noWrap w:val="0"/>
                  <w:vAlign w:val="center"/>
                </w:tcPr>
                <w:p w14:paraId="1D2092E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u w:val="single"/>
                    </w:rPr>
                  </w:pPr>
                  <w:r>
                    <w:rPr>
                      <w:rFonts w:hint="default" w:ascii="Times New Roman" w:hAnsi="Times New Roman" w:cs="Times New Roman"/>
                      <w:color w:val="000000"/>
                      <w:u w:val="single"/>
                    </w:rPr>
                    <w:t>1</w:t>
                  </w:r>
                </w:p>
              </w:tc>
              <w:tc>
                <w:tcPr>
                  <w:tcW w:w="617" w:type="pct"/>
                  <w:noWrap w:val="0"/>
                  <w:vAlign w:val="center"/>
                </w:tcPr>
                <w:p w14:paraId="081CCA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u w:val="single"/>
                    </w:rPr>
                  </w:pPr>
                  <w:r>
                    <w:rPr>
                      <w:rFonts w:hint="default" w:ascii="Times New Roman" w:hAnsi="Times New Roman" w:cs="Times New Roman"/>
                      <w:color w:val="000000"/>
                      <w:u w:val="single"/>
                    </w:rPr>
                    <w:t>非甲烷总烃</w:t>
                  </w:r>
                </w:p>
              </w:tc>
              <w:tc>
                <w:tcPr>
                  <w:tcW w:w="765" w:type="pct"/>
                  <w:noWrap w:val="0"/>
                  <w:vAlign w:val="center"/>
                </w:tcPr>
                <w:p w14:paraId="04C3539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u w:val="single"/>
                    </w:rPr>
                  </w:pPr>
                  <w:r>
                    <w:rPr>
                      <w:rFonts w:hint="default" w:ascii="Times New Roman" w:hAnsi="Times New Roman" w:cs="Times New Roman"/>
                      <w:color w:val="000000"/>
                      <w:u w:val="single"/>
                    </w:rPr>
                    <w:t>120</w:t>
                  </w:r>
                </w:p>
              </w:tc>
              <w:tc>
                <w:tcPr>
                  <w:tcW w:w="992" w:type="pct"/>
                  <w:noWrap w:val="0"/>
                  <w:vAlign w:val="center"/>
                </w:tcPr>
                <w:p w14:paraId="719DD8F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u w:val="single"/>
                    </w:rPr>
                  </w:pPr>
                  <w:r>
                    <w:rPr>
                      <w:rFonts w:hint="default" w:ascii="Times New Roman" w:hAnsi="Times New Roman" w:cs="Times New Roman"/>
                      <w:color w:val="000000"/>
                      <w:u w:val="single"/>
                    </w:rPr>
                    <w:t>10</w:t>
                  </w:r>
                </w:p>
              </w:tc>
              <w:tc>
                <w:tcPr>
                  <w:tcW w:w="2131" w:type="pct"/>
                  <w:noWrap w:val="0"/>
                  <w:vAlign w:val="center"/>
                </w:tcPr>
                <w:p w14:paraId="16487AE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u w:val="single"/>
                    </w:rPr>
                  </w:pPr>
                  <w:r>
                    <w:rPr>
                      <w:rFonts w:hint="eastAsia" w:cs="Times New Roman"/>
                      <w:u w:val="single"/>
                      <w:lang w:val="en-US" w:eastAsia="zh-CN"/>
                    </w:rPr>
                    <w:t>《大气污染物综合排放标准》（GB16297-1996）表2大气污染物排放二级标准</w:t>
                  </w:r>
                </w:p>
              </w:tc>
            </w:tr>
            <w:tr w14:paraId="5446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92" w:type="pct"/>
                  <w:noWrap w:val="0"/>
                  <w:vAlign w:val="center"/>
                </w:tcPr>
                <w:p w14:paraId="4C026008">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000000"/>
                      <w:u w:val="single"/>
                      <w:lang w:val="en-US" w:eastAsia="zh-CN"/>
                    </w:rPr>
                  </w:pPr>
                  <w:r>
                    <w:rPr>
                      <w:rFonts w:hint="eastAsia" w:ascii="Times New Roman" w:hAnsi="Times New Roman" w:cs="Times New Roman"/>
                      <w:color w:val="000000"/>
                      <w:u w:val="single"/>
                      <w:lang w:val="en-US" w:eastAsia="zh-CN"/>
                    </w:rPr>
                    <w:t>2</w:t>
                  </w:r>
                </w:p>
              </w:tc>
              <w:tc>
                <w:tcPr>
                  <w:tcW w:w="617" w:type="pct"/>
                  <w:noWrap w:val="0"/>
                  <w:vAlign w:val="center"/>
                </w:tcPr>
                <w:p w14:paraId="1336CA08">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000000"/>
                      <w:u w:val="single"/>
                      <w:lang w:val="en-US" w:eastAsia="zh-CN"/>
                    </w:rPr>
                  </w:pPr>
                  <w:r>
                    <w:rPr>
                      <w:rFonts w:hint="eastAsia" w:ascii="Times New Roman" w:hAnsi="Times New Roman" w:cs="Times New Roman"/>
                      <w:color w:val="000000"/>
                      <w:u w:val="single"/>
                      <w:lang w:val="en-US" w:eastAsia="zh-CN"/>
                    </w:rPr>
                    <w:t>颗粒物</w:t>
                  </w:r>
                </w:p>
              </w:tc>
              <w:tc>
                <w:tcPr>
                  <w:tcW w:w="765" w:type="pct"/>
                  <w:noWrap w:val="0"/>
                  <w:vAlign w:val="center"/>
                </w:tcPr>
                <w:p w14:paraId="2D76B84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u w:val="single"/>
                      <w:lang w:val="en-US" w:eastAsia="zh-CN"/>
                    </w:rPr>
                  </w:pPr>
                  <w:r>
                    <w:rPr>
                      <w:rFonts w:hint="eastAsia" w:ascii="Times New Roman" w:hAnsi="Times New Roman" w:cs="Times New Roman"/>
                      <w:color w:val="000000"/>
                      <w:u w:val="single"/>
                      <w:lang w:val="en-US" w:eastAsia="zh-CN"/>
                    </w:rPr>
                    <w:t>30</w:t>
                  </w:r>
                </w:p>
              </w:tc>
              <w:tc>
                <w:tcPr>
                  <w:tcW w:w="992" w:type="pct"/>
                  <w:noWrap w:val="0"/>
                  <w:vAlign w:val="center"/>
                </w:tcPr>
                <w:p w14:paraId="66903CCD">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000000"/>
                      <w:u w:val="single"/>
                      <w:lang w:val="en-US" w:eastAsia="zh-CN"/>
                    </w:rPr>
                  </w:pPr>
                  <w:r>
                    <w:rPr>
                      <w:rFonts w:hint="eastAsia" w:ascii="Times New Roman" w:hAnsi="Times New Roman" w:cs="Times New Roman"/>
                      <w:color w:val="000000"/>
                      <w:u w:val="single"/>
                      <w:lang w:val="en-US" w:eastAsia="zh-CN"/>
                    </w:rPr>
                    <w:t>/</w:t>
                  </w:r>
                </w:p>
              </w:tc>
              <w:tc>
                <w:tcPr>
                  <w:tcW w:w="2131" w:type="pct"/>
                  <w:noWrap w:val="0"/>
                  <w:vAlign w:val="center"/>
                </w:tcPr>
                <w:p w14:paraId="745A068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u w:val="single"/>
                    </w:rPr>
                  </w:pPr>
                  <w:r>
                    <w:rPr>
                      <w:rFonts w:hint="eastAsia" w:ascii="Times New Roman" w:hAnsi="Times New Roman" w:cs="Times New Roman"/>
                      <w:color w:val="000000"/>
                      <w:u w:val="single"/>
                      <w:lang w:val="en-US" w:eastAsia="zh-CN"/>
                    </w:rPr>
                    <w:t>《铸造工业大气污染物排放标准》（GB39726-2020）表1大气污染物排放限值</w:t>
                  </w:r>
                </w:p>
              </w:tc>
            </w:tr>
          </w:tbl>
          <w:p w14:paraId="634CCD25">
            <w:pPr>
              <w:ind w:firstLine="422" w:firstLineChars="200"/>
              <w:jc w:val="center"/>
              <w:rPr>
                <w:rFonts w:hint="eastAsia" w:ascii="Times New Roman" w:hAnsi="Times New Roman" w:eastAsia="宋体" w:cs="Times New Roman"/>
                <w:b/>
                <w:bCs/>
                <w:color w:val="auto"/>
                <w:highlight w:val="none"/>
                <w:u w:val="single"/>
              </w:rPr>
            </w:pPr>
            <w:r>
              <w:rPr>
                <w:rFonts w:hint="eastAsia" w:ascii="Times New Roman" w:hAnsi="Times New Roman" w:eastAsia="宋体" w:cs="Times New Roman"/>
                <w:b/>
                <w:bCs/>
                <w:color w:val="auto"/>
                <w:highlight w:val="none"/>
                <w:u w:val="single"/>
              </w:rPr>
              <w:t>表3-</w:t>
            </w:r>
            <w:r>
              <w:rPr>
                <w:rFonts w:hint="eastAsia" w:ascii="Times New Roman" w:hAnsi="Times New Roman" w:cs="Times New Roman"/>
                <w:b/>
                <w:bCs/>
                <w:color w:val="auto"/>
                <w:highlight w:val="none"/>
                <w:u w:val="single"/>
                <w:lang w:val="en-US" w:eastAsia="zh-CN"/>
              </w:rPr>
              <w:t>6</w:t>
            </w:r>
            <w:r>
              <w:rPr>
                <w:rFonts w:hint="eastAsia" w:ascii="Times New Roman" w:hAnsi="Times New Roman" w:eastAsia="宋体" w:cs="Times New Roman"/>
                <w:b/>
                <w:bCs/>
                <w:color w:val="auto"/>
                <w:highlight w:val="none"/>
                <w:u w:val="single"/>
              </w:rPr>
              <w:t xml:space="preserve">  厂区内无组织排放限值 mg/m</w:t>
            </w:r>
            <w:r>
              <w:rPr>
                <w:rFonts w:hint="eastAsia" w:ascii="Times New Roman" w:hAnsi="Times New Roman" w:eastAsia="宋体" w:cs="Times New Roman"/>
                <w:b/>
                <w:bCs/>
                <w:color w:val="auto"/>
                <w:highlight w:val="none"/>
                <w:u w:val="single"/>
                <w:vertAlign w:val="superscript"/>
              </w:rPr>
              <w:t>3</w:t>
            </w:r>
          </w:p>
          <w:tbl>
            <w:tblPr>
              <w:tblStyle w:val="22"/>
              <w:tblW w:w="48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283"/>
              <w:gridCol w:w="1851"/>
              <w:gridCol w:w="2645"/>
            </w:tblGrid>
            <w:tr w14:paraId="4AD9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35" w:type="pct"/>
                  <w:noWrap w:val="0"/>
                  <w:vAlign w:val="center"/>
                </w:tcPr>
                <w:p w14:paraId="1E1E2163">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000000"/>
                      <w:u w:val="single"/>
                    </w:rPr>
                  </w:pPr>
                  <w:r>
                    <w:rPr>
                      <w:rFonts w:hint="eastAsia" w:ascii="Times New Roman" w:hAnsi="Times New Roman" w:cs="Times New Roman"/>
                      <w:color w:val="000000"/>
                      <w:u w:val="single"/>
                    </w:rPr>
                    <w:t>污染物项目</w:t>
                  </w:r>
                </w:p>
              </w:tc>
              <w:tc>
                <w:tcPr>
                  <w:tcW w:w="857" w:type="pct"/>
                  <w:noWrap w:val="0"/>
                  <w:vAlign w:val="center"/>
                </w:tcPr>
                <w:p w14:paraId="22CB0634">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000000"/>
                      <w:u w:val="single"/>
                    </w:rPr>
                  </w:pPr>
                  <w:r>
                    <w:rPr>
                      <w:rFonts w:hint="eastAsia" w:ascii="Times New Roman" w:hAnsi="Times New Roman" w:cs="Times New Roman"/>
                      <w:color w:val="000000"/>
                      <w:u w:val="single"/>
                    </w:rPr>
                    <w:t>排放限值</w:t>
                  </w:r>
                </w:p>
              </w:tc>
              <w:tc>
                <w:tcPr>
                  <w:tcW w:w="1237" w:type="pct"/>
                  <w:noWrap w:val="0"/>
                  <w:vAlign w:val="center"/>
                </w:tcPr>
                <w:p w14:paraId="53688C2D">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000000"/>
                      <w:u w:val="single"/>
                    </w:rPr>
                  </w:pPr>
                  <w:r>
                    <w:rPr>
                      <w:rFonts w:hint="eastAsia" w:ascii="Times New Roman" w:hAnsi="Times New Roman" w:cs="Times New Roman"/>
                      <w:color w:val="000000"/>
                      <w:u w:val="single"/>
                    </w:rPr>
                    <w:t>限值含义</w:t>
                  </w:r>
                </w:p>
              </w:tc>
              <w:tc>
                <w:tcPr>
                  <w:tcW w:w="1768" w:type="pct"/>
                  <w:noWrap w:val="0"/>
                  <w:vAlign w:val="center"/>
                </w:tcPr>
                <w:p w14:paraId="2F54B250">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000000"/>
                      <w:u w:val="single"/>
                    </w:rPr>
                  </w:pPr>
                  <w:r>
                    <w:rPr>
                      <w:rFonts w:hint="eastAsia" w:ascii="Times New Roman" w:hAnsi="Times New Roman" w:cs="Times New Roman"/>
                      <w:color w:val="000000"/>
                      <w:u w:val="single"/>
                    </w:rPr>
                    <w:t>无组织排放监控位置</w:t>
                  </w:r>
                </w:p>
              </w:tc>
            </w:tr>
            <w:tr w14:paraId="1924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35" w:type="pct"/>
                  <w:noWrap w:val="0"/>
                  <w:vAlign w:val="center"/>
                </w:tcPr>
                <w:p w14:paraId="78D19975">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000000"/>
                      <w:u w:val="single"/>
                    </w:rPr>
                  </w:pPr>
                  <w:r>
                    <w:rPr>
                      <w:rFonts w:hint="eastAsia" w:ascii="Times New Roman" w:hAnsi="Times New Roman" w:cs="Times New Roman"/>
                      <w:color w:val="000000"/>
                      <w:u w:val="single"/>
                    </w:rPr>
                    <w:t>NMHC</w:t>
                  </w:r>
                </w:p>
              </w:tc>
              <w:tc>
                <w:tcPr>
                  <w:tcW w:w="857" w:type="pct"/>
                  <w:noWrap w:val="0"/>
                  <w:vAlign w:val="center"/>
                </w:tcPr>
                <w:p w14:paraId="7DA34E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u w:val="single"/>
                      <w:lang w:val="en-US" w:eastAsia="zh-CN"/>
                    </w:rPr>
                  </w:pPr>
                  <w:r>
                    <w:rPr>
                      <w:rFonts w:hint="eastAsia" w:ascii="Times New Roman" w:hAnsi="Times New Roman" w:cs="Times New Roman"/>
                      <w:color w:val="000000"/>
                      <w:u w:val="single"/>
                      <w:lang w:val="en-US" w:eastAsia="zh-CN"/>
                    </w:rPr>
                    <w:t>4.0</w:t>
                  </w:r>
                </w:p>
              </w:tc>
              <w:tc>
                <w:tcPr>
                  <w:tcW w:w="1237" w:type="pct"/>
                  <w:noWrap w:val="0"/>
                  <w:vAlign w:val="center"/>
                </w:tcPr>
                <w:p w14:paraId="2CD26DA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u w:val="single"/>
                      <w:lang w:val="en-US" w:eastAsia="zh-CN"/>
                    </w:rPr>
                  </w:pPr>
                  <w:r>
                    <w:rPr>
                      <w:rFonts w:hint="eastAsia" w:ascii="Times New Roman" w:hAnsi="Times New Roman" w:cs="Times New Roman"/>
                      <w:color w:val="000000"/>
                      <w:u w:val="single"/>
                      <w:lang w:val="en-US" w:eastAsia="zh-CN"/>
                    </w:rPr>
                    <w:t>/</w:t>
                  </w:r>
                </w:p>
              </w:tc>
              <w:tc>
                <w:tcPr>
                  <w:tcW w:w="1768" w:type="pct"/>
                  <w:vMerge w:val="restart"/>
                  <w:noWrap w:val="0"/>
                  <w:vAlign w:val="center"/>
                </w:tcPr>
                <w:p w14:paraId="4937C1B6">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000000"/>
                      <w:u w:val="single"/>
                    </w:rPr>
                  </w:pPr>
                  <w:r>
                    <w:rPr>
                      <w:rFonts w:hint="eastAsia" w:ascii="Times New Roman" w:hAnsi="Times New Roman" w:cs="Times New Roman"/>
                      <w:color w:val="000000"/>
                      <w:u w:val="single"/>
                    </w:rPr>
                    <w:t>在厂房外设置监控点</w:t>
                  </w:r>
                </w:p>
              </w:tc>
            </w:tr>
            <w:tr w14:paraId="6322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pct"/>
                  <w:noWrap w:val="0"/>
                  <w:vAlign w:val="center"/>
                </w:tcPr>
                <w:p w14:paraId="26CACA77">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000000"/>
                      <w:u w:val="single"/>
                      <w:lang w:val="en-US" w:eastAsia="zh-CN"/>
                    </w:rPr>
                  </w:pPr>
                  <w:r>
                    <w:rPr>
                      <w:rFonts w:hint="eastAsia" w:ascii="Times New Roman" w:hAnsi="Times New Roman" w:cs="Times New Roman"/>
                      <w:color w:val="000000"/>
                      <w:u w:val="single"/>
                      <w:lang w:val="en-US" w:eastAsia="zh-CN"/>
                    </w:rPr>
                    <w:t>颗粒物</w:t>
                  </w:r>
                </w:p>
              </w:tc>
              <w:tc>
                <w:tcPr>
                  <w:tcW w:w="857" w:type="pct"/>
                  <w:noWrap w:val="0"/>
                  <w:vAlign w:val="center"/>
                </w:tcPr>
                <w:p w14:paraId="502F9E8F">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000000"/>
                      <w:u w:val="single"/>
                      <w:lang w:val="en-US" w:eastAsia="zh-CN"/>
                    </w:rPr>
                  </w:pPr>
                  <w:r>
                    <w:rPr>
                      <w:rFonts w:hint="eastAsia" w:ascii="Times New Roman" w:hAnsi="Times New Roman" w:cs="Times New Roman"/>
                      <w:color w:val="000000"/>
                      <w:u w:val="single"/>
                      <w:lang w:val="en-US" w:eastAsia="zh-CN"/>
                    </w:rPr>
                    <w:t>5</w:t>
                  </w:r>
                </w:p>
              </w:tc>
              <w:tc>
                <w:tcPr>
                  <w:tcW w:w="1237" w:type="pct"/>
                  <w:noWrap w:val="0"/>
                  <w:vAlign w:val="center"/>
                </w:tcPr>
                <w:p w14:paraId="41C77D1F">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000000"/>
                      <w:u w:val="single"/>
                    </w:rPr>
                  </w:pPr>
                  <w:r>
                    <w:rPr>
                      <w:rFonts w:hint="eastAsia" w:ascii="Times New Roman" w:hAnsi="Times New Roman" w:cs="Times New Roman"/>
                      <w:color w:val="000000"/>
                      <w:u w:val="single"/>
                    </w:rPr>
                    <w:t>监控点处1h平均浓度值</w:t>
                  </w:r>
                </w:p>
              </w:tc>
              <w:tc>
                <w:tcPr>
                  <w:tcW w:w="1768" w:type="pct"/>
                  <w:vMerge w:val="continue"/>
                  <w:noWrap w:val="0"/>
                  <w:vAlign w:val="center"/>
                </w:tcPr>
                <w:p w14:paraId="67421FE6">
                  <w:pPr>
                    <w:rPr>
                      <w:color w:val="000000"/>
                      <w:szCs w:val="21"/>
                      <w:u w:val="single"/>
                    </w:rPr>
                  </w:pPr>
                </w:p>
              </w:tc>
            </w:tr>
          </w:tbl>
          <w:p w14:paraId="5EFB5F94">
            <w:pPr>
              <w:numPr>
                <w:ilvl w:val="0"/>
                <w:numId w:val="0"/>
              </w:numPr>
              <w:spacing w:line="360" w:lineRule="auto"/>
              <w:ind w:firstLine="482" w:firstLineChars="200"/>
              <w:rPr>
                <w:rFonts w:hint="default"/>
                <w:b/>
                <w:bCs/>
                <w:sz w:val="24"/>
                <w:szCs w:val="24"/>
                <w:lang w:val="en-US" w:eastAsia="zh-CN"/>
              </w:rPr>
            </w:pPr>
            <w:r>
              <w:rPr>
                <w:rFonts w:hint="eastAsia"/>
                <w:b/>
                <w:bCs/>
                <w:sz w:val="24"/>
                <w:szCs w:val="24"/>
                <w:lang w:val="en-US" w:eastAsia="zh-CN"/>
              </w:rPr>
              <w:t>2、废水污染物排放标准</w:t>
            </w:r>
          </w:p>
          <w:p w14:paraId="304C82B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本项目无生产废水，员工</w:t>
            </w:r>
            <w:r>
              <w:rPr>
                <w:rFonts w:hint="eastAsia" w:cs="Times New Roman"/>
                <w:color w:val="auto"/>
                <w:sz w:val="24"/>
                <w:highlight w:val="none"/>
                <w:u w:val="none"/>
                <w:lang w:val="en-US" w:eastAsia="zh-CN"/>
              </w:rPr>
              <w:t>生活污水</w:t>
            </w:r>
            <w:r>
              <w:rPr>
                <w:rFonts w:hint="eastAsia" w:ascii="Times New Roman" w:hAnsi="Times New Roman" w:eastAsia="宋体" w:cs="Times New Roman"/>
                <w:color w:val="auto"/>
                <w:sz w:val="24"/>
                <w:highlight w:val="none"/>
                <w:u w:val="none"/>
                <w:lang w:val="en-US" w:eastAsia="zh-CN"/>
              </w:rPr>
              <w:t>经化粪池预处理后，排入园区污水处理厂，执行《污水综合排放标准》</w:t>
            </w:r>
            <w:r>
              <w:rPr>
                <w:rFonts w:hint="eastAsia" w:cs="Times New Roman"/>
                <w:color w:val="auto"/>
                <w:sz w:val="24"/>
                <w:highlight w:val="none"/>
                <w:u w:val="none"/>
                <w:lang w:val="en-US" w:eastAsia="zh-CN"/>
              </w:rPr>
              <w:t>（</w:t>
            </w:r>
            <w:r>
              <w:rPr>
                <w:rFonts w:hint="default" w:ascii="Times New Roman" w:hAnsi="Times New Roman" w:eastAsia="宋体" w:cs="Times New Roman"/>
                <w:color w:val="auto"/>
                <w:sz w:val="24"/>
                <w:highlight w:val="none"/>
                <w:u w:val="none"/>
                <w:lang w:val="en-US" w:eastAsia="zh-CN"/>
              </w:rPr>
              <w:t>GB8978-1996</w:t>
            </w:r>
            <w:r>
              <w:rPr>
                <w:rFonts w:hint="eastAsia" w:cs="Times New Roman"/>
                <w:color w:val="auto"/>
                <w:sz w:val="24"/>
                <w:highlight w:val="none"/>
                <w:u w:val="none"/>
                <w:lang w:val="en-US" w:eastAsia="zh-CN"/>
              </w:rPr>
              <w:t>）</w:t>
            </w:r>
            <w:r>
              <w:rPr>
                <w:rFonts w:hint="eastAsia" w:ascii="Times New Roman" w:hAnsi="Times New Roman" w:eastAsia="宋体" w:cs="Times New Roman"/>
                <w:color w:val="auto"/>
                <w:sz w:val="24"/>
                <w:highlight w:val="none"/>
                <w:u w:val="none"/>
                <w:lang w:val="en-US" w:eastAsia="zh-CN"/>
              </w:rPr>
              <w:t>中三级标准。</w:t>
            </w:r>
          </w:p>
          <w:p w14:paraId="38D37F89">
            <w:pPr>
              <w:ind w:firstLine="422" w:firstLineChars="200"/>
              <w:jc w:val="center"/>
              <w:rPr>
                <w:b/>
                <w:bCs/>
              </w:rPr>
            </w:pPr>
            <w:r>
              <w:rPr>
                <w:b/>
                <w:bCs/>
              </w:rPr>
              <w:t>表</w:t>
            </w:r>
            <w:r>
              <w:rPr>
                <w:rFonts w:hint="eastAsia"/>
                <w:b/>
                <w:bCs/>
              </w:rPr>
              <w:t>3-</w:t>
            </w:r>
            <w:r>
              <w:rPr>
                <w:b/>
                <w:bCs/>
              </w:rPr>
              <w:t>7  《污水综合排放标准》（GB8978-1996）单位：mg/L（pH除外）</w:t>
            </w:r>
          </w:p>
          <w:tbl>
            <w:tblPr>
              <w:tblStyle w:val="2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72"/>
              <w:gridCol w:w="727"/>
              <w:gridCol w:w="787"/>
              <w:gridCol w:w="802"/>
              <w:gridCol w:w="752"/>
              <w:gridCol w:w="862"/>
              <w:gridCol w:w="890"/>
              <w:gridCol w:w="903"/>
            </w:tblGrid>
            <w:tr w14:paraId="220EF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1372" w:type="dxa"/>
                  <w:tcBorders>
                    <w:tl2br w:val="single" w:color="auto" w:sz="4" w:space="0"/>
                  </w:tcBorders>
                  <w:noWrap w:val="0"/>
                  <w:vAlign w:val="center"/>
                </w:tcPr>
                <w:p w14:paraId="7EBCDD04">
                  <w:pPr>
                    <w:jc w:val="center"/>
                  </w:pPr>
                  <w:r>
                    <w:rPr>
                      <w:rFonts w:hint="eastAsia"/>
                    </w:rPr>
                    <w:t xml:space="preserve"> </w:t>
                  </w:r>
                  <w:r>
                    <w:t xml:space="preserve"> 项目</w:t>
                  </w:r>
                </w:p>
                <w:p w14:paraId="562D0F46">
                  <w:pPr>
                    <w:snapToGrid w:val="0"/>
                    <w:jc w:val="center"/>
                  </w:pPr>
                </w:p>
                <w:p w14:paraId="48C23D8F">
                  <w:pPr>
                    <w:snapToGrid w:val="0"/>
                  </w:pPr>
                  <w:r>
                    <w:rPr>
                      <w:rFonts w:hint="eastAsia"/>
                    </w:rPr>
                    <w:t>标准</w:t>
                  </w:r>
                </w:p>
                <w:p w14:paraId="38E3DF51">
                  <w:pPr>
                    <w:jc w:val="both"/>
                  </w:pPr>
                </w:p>
              </w:tc>
              <w:tc>
                <w:tcPr>
                  <w:tcW w:w="727" w:type="dxa"/>
                  <w:noWrap w:val="0"/>
                  <w:vAlign w:val="center"/>
                </w:tcPr>
                <w:p w14:paraId="3461E22B">
                  <w:pPr>
                    <w:jc w:val="center"/>
                  </w:pPr>
                  <w:r>
                    <w:t>pH值</w:t>
                  </w:r>
                </w:p>
              </w:tc>
              <w:tc>
                <w:tcPr>
                  <w:tcW w:w="787" w:type="dxa"/>
                  <w:noWrap w:val="0"/>
                  <w:vAlign w:val="center"/>
                </w:tcPr>
                <w:p w14:paraId="1D606BA9">
                  <w:pPr>
                    <w:jc w:val="center"/>
                    <w:rPr>
                      <w:sz w:val="18"/>
                      <w:szCs w:val="18"/>
                    </w:rPr>
                  </w:pPr>
                  <w:r>
                    <w:rPr>
                      <w:sz w:val="18"/>
                      <w:szCs w:val="18"/>
                    </w:rPr>
                    <w:t>CODcr</w:t>
                  </w:r>
                </w:p>
              </w:tc>
              <w:tc>
                <w:tcPr>
                  <w:tcW w:w="802" w:type="dxa"/>
                  <w:noWrap w:val="0"/>
                  <w:vAlign w:val="center"/>
                </w:tcPr>
                <w:p w14:paraId="42787F14">
                  <w:pPr>
                    <w:jc w:val="center"/>
                  </w:pPr>
                  <w:r>
                    <w:t>BOD</w:t>
                  </w:r>
                  <w:r>
                    <w:rPr>
                      <w:vertAlign w:val="subscript"/>
                    </w:rPr>
                    <w:t>5</w:t>
                  </w:r>
                </w:p>
              </w:tc>
              <w:tc>
                <w:tcPr>
                  <w:tcW w:w="752" w:type="dxa"/>
                  <w:noWrap w:val="0"/>
                  <w:vAlign w:val="center"/>
                </w:tcPr>
                <w:p w14:paraId="109135C2">
                  <w:pPr>
                    <w:jc w:val="center"/>
                  </w:pPr>
                  <w:r>
                    <w:t>SS</w:t>
                  </w:r>
                </w:p>
              </w:tc>
              <w:tc>
                <w:tcPr>
                  <w:tcW w:w="862" w:type="dxa"/>
                  <w:noWrap w:val="0"/>
                  <w:vAlign w:val="center"/>
                </w:tcPr>
                <w:p w14:paraId="615AD94E">
                  <w:pPr>
                    <w:jc w:val="center"/>
                  </w:pPr>
                  <w:r>
                    <w:t>NH</w:t>
                  </w:r>
                  <w:r>
                    <w:rPr>
                      <w:vertAlign w:val="subscript"/>
                    </w:rPr>
                    <w:t>3</w:t>
                  </w:r>
                  <w:r>
                    <w:t>-N</w:t>
                  </w:r>
                </w:p>
              </w:tc>
              <w:tc>
                <w:tcPr>
                  <w:tcW w:w="890" w:type="dxa"/>
                  <w:noWrap w:val="0"/>
                  <w:vAlign w:val="center"/>
                </w:tcPr>
                <w:p w14:paraId="5AD43826">
                  <w:pPr>
                    <w:jc w:val="center"/>
                  </w:pPr>
                  <w:r>
                    <w:t>石油类</w:t>
                  </w:r>
                </w:p>
              </w:tc>
              <w:tc>
                <w:tcPr>
                  <w:tcW w:w="903" w:type="dxa"/>
                  <w:noWrap w:val="0"/>
                  <w:vAlign w:val="center"/>
                </w:tcPr>
                <w:p w14:paraId="45D223D4">
                  <w:pPr>
                    <w:jc w:val="center"/>
                  </w:pPr>
                  <w:r>
                    <w:t>动植物油</w:t>
                  </w:r>
                </w:p>
              </w:tc>
            </w:tr>
            <w:tr w14:paraId="4DFF1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1372" w:type="dxa"/>
                  <w:noWrap w:val="0"/>
                  <w:vAlign w:val="center"/>
                </w:tcPr>
                <w:p w14:paraId="77A30A2B">
                  <w:pPr>
                    <w:jc w:val="center"/>
                  </w:pPr>
                  <w:r>
                    <w:t>《污水综合排放标准》（GB8978-1996）</w:t>
                  </w:r>
                  <w:r>
                    <w:rPr>
                      <w:rFonts w:hint="eastAsia"/>
                    </w:rPr>
                    <w:t>三</w:t>
                  </w:r>
                  <w:r>
                    <w:t>级标准</w:t>
                  </w:r>
                </w:p>
              </w:tc>
              <w:tc>
                <w:tcPr>
                  <w:tcW w:w="727" w:type="dxa"/>
                  <w:noWrap w:val="0"/>
                  <w:vAlign w:val="center"/>
                </w:tcPr>
                <w:p w14:paraId="7243633B">
                  <w:pPr>
                    <w:jc w:val="center"/>
                  </w:pPr>
                  <w:r>
                    <w:t>6-9</w:t>
                  </w:r>
                </w:p>
              </w:tc>
              <w:tc>
                <w:tcPr>
                  <w:tcW w:w="787" w:type="dxa"/>
                  <w:noWrap w:val="0"/>
                  <w:vAlign w:val="center"/>
                </w:tcPr>
                <w:p w14:paraId="3A140F8E">
                  <w:pPr>
                    <w:spacing w:line="400" w:lineRule="exact"/>
                    <w:jc w:val="center"/>
                  </w:pPr>
                  <w:r>
                    <w:t>≤</w:t>
                  </w:r>
                  <w:r>
                    <w:rPr>
                      <w:rFonts w:hint="eastAsia"/>
                    </w:rPr>
                    <w:t>500</w:t>
                  </w:r>
                </w:p>
              </w:tc>
              <w:tc>
                <w:tcPr>
                  <w:tcW w:w="802" w:type="dxa"/>
                  <w:noWrap w:val="0"/>
                  <w:vAlign w:val="center"/>
                </w:tcPr>
                <w:p w14:paraId="7BDE8017">
                  <w:pPr>
                    <w:spacing w:line="400" w:lineRule="exact"/>
                    <w:jc w:val="center"/>
                  </w:pPr>
                  <w:r>
                    <w:t>≤</w:t>
                  </w:r>
                  <w:r>
                    <w:rPr>
                      <w:rFonts w:hint="eastAsia"/>
                    </w:rPr>
                    <w:t>300</w:t>
                  </w:r>
                </w:p>
              </w:tc>
              <w:tc>
                <w:tcPr>
                  <w:tcW w:w="752" w:type="dxa"/>
                  <w:noWrap w:val="0"/>
                  <w:vAlign w:val="center"/>
                </w:tcPr>
                <w:p w14:paraId="53EB2B60">
                  <w:pPr>
                    <w:spacing w:line="400" w:lineRule="exact"/>
                    <w:jc w:val="center"/>
                  </w:pPr>
                  <w:r>
                    <w:t>≤</w:t>
                  </w:r>
                  <w:r>
                    <w:rPr>
                      <w:rFonts w:hint="eastAsia"/>
                    </w:rPr>
                    <w:t>400</w:t>
                  </w:r>
                </w:p>
              </w:tc>
              <w:tc>
                <w:tcPr>
                  <w:tcW w:w="862" w:type="dxa"/>
                  <w:noWrap w:val="0"/>
                  <w:vAlign w:val="center"/>
                </w:tcPr>
                <w:p w14:paraId="104190C3">
                  <w:pPr>
                    <w:spacing w:line="400" w:lineRule="exact"/>
                    <w:jc w:val="center"/>
                  </w:pPr>
                  <w:r>
                    <w:t>≤</w:t>
                  </w:r>
                  <w:r>
                    <w:rPr>
                      <w:rFonts w:hint="eastAsia"/>
                    </w:rPr>
                    <w:t>45</w:t>
                  </w:r>
                </w:p>
              </w:tc>
              <w:tc>
                <w:tcPr>
                  <w:tcW w:w="890" w:type="dxa"/>
                  <w:noWrap w:val="0"/>
                  <w:vAlign w:val="center"/>
                </w:tcPr>
                <w:p w14:paraId="553B6CA8">
                  <w:pPr>
                    <w:spacing w:line="400" w:lineRule="exact"/>
                    <w:jc w:val="center"/>
                  </w:pPr>
                  <w:r>
                    <w:t>≤</w:t>
                  </w:r>
                  <w:r>
                    <w:rPr>
                      <w:rFonts w:hint="eastAsia"/>
                    </w:rPr>
                    <w:t>20</w:t>
                  </w:r>
                </w:p>
              </w:tc>
              <w:tc>
                <w:tcPr>
                  <w:tcW w:w="903" w:type="dxa"/>
                  <w:noWrap w:val="0"/>
                  <w:vAlign w:val="center"/>
                </w:tcPr>
                <w:p w14:paraId="6753D38F">
                  <w:pPr>
                    <w:jc w:val="center"/>
                  </w:pPr>
                  <w:r>
                    <w:t>≤10</w:t>
                  </w:r>
                  <w:r>
                    <w:rPr>
                      <w:rFonts w:hint="eastAsia"/>
                    </w:rPr>
                    <w:t>0</w:t>
                  </w:r>
                </w:p>
              </w:tc>
            </w:tr>
          </w:tbl>
          <w:p w14:paraId="2C5F75B3">
            <w:pPr>
              <w:numPr>
                <w:ilvl w:val="0"/>
                <w:numId w:val="0"/>
              </w:numPr>
              <w:spacing w:line="360" w:lineRule="auto"/>
              <w:ind w:firstLine="482" w:firstLineChars="200"/>
              <w:rPr>
                <w:rFonts w:hint="default"/>
                <w:b/>
                <w:bCs/>
                <w:sz w:val="24"/>
                <w:szCs w:val="24"/>
                <w:lang w:val="en-US" w:eastAsia="zh-CN"/>
              </w:rPr>
            </w:pPr>
            <w:r>
              <w:rPr>
                <w:rFonts w:hint="eastAsia"/>
                <w:b/>
                <w:bCs/>
                <w:sz w:val="24"/>
                <w:szCs w:val="24"/>
                <w:lang w:val="en-US" w:eastAsia="zh-CN"/>
              </w:rPr>
              <w:t>3、噪声排放标准</w:t>
            </w:r>
          </w:p>
          <w:p w14:paraId="4DC1F3E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项目营运期执行《工业企业厂界环境噪声排放标准》（GB12348-2008）中的3类排放限值。</w:t>
            </w:r>
          </w:p>
          <w:p w14:paraId="0C216401">
            <w:pPr>
              <w:jc w:val="center"/>
              <w:rPr>
                <w:b/>
              </w:rPr>
            </w:pPr>
            <w:r>
              <w:rPr>
                <w:b/>
              </w:rPr>
              <w:t>表</w:t>
            </w:r>
            <w:r>
              <w:rPr>
                <w:rFonts w:hint="eastAsia"/>
                <w:b/>
              </w:rPr>
              <w:t xml:space="preserve">3-14 </w:t>
            </w:r>
            <w:r>
              <w:rPr>
                <w:b/>
              </w:rPr>
              <w:t xml:space="preserve"> 《工业企业厂界环境噪声排放标准》(GB12348-2008)   单位：dB(A)</w:t>
            </w:r>
          </w:p>
          <w:tbl>
            <w:tblPr>
              <w:tblStyle w:val="21"/>
              <w:tblW w:w="76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05"/>
              <w:gridCol w:w="2746"/>
              <w:gridCol w:w="2423"/>
            </w:tblGrid>
            <w:tr w14:paraId="12F24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05" w:type="dxa"/>
                  <w:vMerge w:val="restart"/>
                  <w:tcBorders>
                    <w:top w:val="single" w:color="auto" w:sz="6" w:space="0"/>
                    <w:left w:val="single" w:color="auto" w:sz="6" w:space="0"/>
                    <w:bottom w:val="single" w:color="auto" w:sz="4" w:space="0"/>
                    <w:right w:val="single" w:color="auto" w:sz="4" w:space="0"/>
                  </w:tcBorders>
                  <w:noWrap w:val="0"/>
                  <w:vAlign w:val="center"/>
                </w:tcPr>
                <w:p w14:paraId="0C60FA9B">
                  <w:pPr>
                    <w:tabs>
                      <w:tab w:val="left" w:pos="360"/>
                    </w:tabs>
                    <w:adjustRightInd w:val="0"/>
                    <w:snapToGrid w:val="0"/>
                    <w:spacing w:line="300" w:lineRule="exact"/>
                    <w:jc w:val="center"/>
                  </w:pPr>
                  <w:r>
                    <w:t>声环境功能区类别</w:t>
                  </w:r>
                </w:p>
              </w:tc>
              <w:tc>
                <w:tcPr>
                  <w:tcW w:w="5169" w:type="dxa"/>
                  <w:gridSpan w:val="2"/>
                  <w:tcBorders>
                    <w:top w:val="single" w:color="auto" w:sz="6" w:space="0"/>
                    <w:left w:val="single" w:color="auto" w:sz="4" w:space="0"/>
                    <w:bottom w:val="single" w:color="auto" w:sz="4" w:space="0"/>
                    <w:right w:val="single" w:color="auto" w:sz="6" w:space="0"/>
                  </w:tcBorders>
                  <w:noWrap w:val="0"/>
                  <w:vAlign w:val="center"/>
                </w:tcPr>
                <w:p w14:paraId="2CEE9683">
                  <w:pPr>
                    <w:tabs>
                      <w:tab w:val="left" w:pos="360"/>
                    </w:tabs>
                    <w:adjustRightInd w:val="0"/>
                    <w:snapToGrid w:val="0"/>
                    <w:spacing w:line="300" w:lineRule="exact"/>
                    <w:jc w:val="center"/>
                  </w:pPr>
                  <w:r>
                    <w:t>时段</w:t>
                  </w:r>
                </w:p>
              </w:tc>
            </w:tr>
            <w:tr w14:paraId="5ABC3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05" w:type="dxa"/>
                  <w:vMerge w:val="continue"/>
                  <w:tcBorders>
                    <w:top w:val="single" w:color="auto" w:sz="4" w:space="0"/>
                    <w:left w:val="single" w:color="auto" w:sz="6" w:space="0"/>
                    <w:bottom w:val="single" w:color="auto" w:sz="4" w:space="0"/>
                    <w:right w:val="single" w:color="auto" w:sz="4" w:space="0"/>
                  </w:tcBorders>
                  <w:noWrap w:val="0"/>
                  <w:vAlign w:val="center"/>
                </w:tcPr>
                <w:p w14:paraId="0AC984FA">
                  <w:pPr>
                    <w:tabs>
                      <w:tab w:val="left" w:pos="360"/>
                    </w:tabs>
                    <w:adjustRightInd w:val="0"/>
                    <w:snapToGrid w:val="0"/>
                    <w:spacing w:line="300" w:lineRule="exact"/>
                    <w:jc w:val="center"/>
                  </w:pPr>
                </w:p>
              </w:tc>
              <w:tc>
                <w:tcPr>
                  <w:tcW w:w="2746" w:type="dxa"/>
                  <w:tcBorders>
                    <w:top w:val="single" w:color="auto" w:sz="4" w:space="0"/>
                    <w:left w:val="single" w:color="auto" w:sz="4" w:space="0"/>
                    <w:bottom w:val="single" w:color="auto" w:sz="4" w:space="0"/>
                    <w:right w:val="single" w:color="auto" w:sz="4" w:space="0"/>
                  </w:tcBorders>
                  <w:noWrap w:val="0"/>
                  <w:vAlign w:val="center"/>
                </w:tcPr>
                <w:p w14:paraId="7A2F7D2C">
                  <w:pPr>
                    <w:tabs>
                      <w:tab w:val="left" w:pos="360"/>
                    </w:tabs>
                    <w:adjustRightInd w:val="0"/>
                    <w:snapToGrid w:val="0"/>
                    <w:spacing w:line="300" w:lineRule="exact"/>
                    <w:jc w:val="center"/>
                  </w:pPr>
                  <w:r>
                    <w:t>昼间</w:t>
                  </w:r>
                </w:p>
              </w:tc>
              <w:tc>
                <w:tcPr>
                  <w:tcW w:w="2423" w:type="dxa"/>
                  <w:tcBorders>
                    <w:top w:val="single" w:color="auto" w:sz="4" w:space="0"/>
                    <w:left w:val="single" w:color="auto" w:sz="4" w:space="0"/>
                    <w:bottom w:val="single" w:color="auto" w:sz="4" w:space="0"/>
                    <w:right w:val="single" w:color="auto" w:sz="6" w:space="0"/>
                  </w:tcBorders>
                  <w:noWrap w:val="0"/>
                  <w:vAlign w:val="center"/>
                </w:tcPr>
                <w:p w14:paraId="527E5B84">
                  <w:pPr>
                    <w:tabs>
                      <w:tab w:val="left" w:pos="360"/>
                    </w:tabs>
                    <w:adjustRightInd w:val="0"/>
                    <w:snapToGrid w:val="0"/>
                    <w:spacing w:line="300" w:lineRule="exact"/>
                    <w:jc w:val="center"/>
                  </w:pPr>
                  <w:r>
                    <w:t>夜间</w:t>
                  </w:r>
                </w:p>
              </w:tc>
            </w:tr>
            <w:tr w14:paraId="2B1D8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05" w:type="dxa"/>
                  <w:tcBorders>
                    <w:top w:val="single" w:color="auto" w:sz="4" w:space="0"/>
                    <w:left w:val="single" w:color="auto" w:sz="6" w:space="0"/>
                    <w:bottom w:val="single" w:color="auto" w:sz="4" w:space="0"/>
                    <w:right w:val="single" w:color="auto" w:sz="4" w:space="0"/>
                  </w:tcBorders>
                  <w:noWrap w:val="0"/>
                  <w:vAlign w:val="center"/>
                </w:tcPr>
                <w:p w14:paraId="34F1BE64">
                  <w:pPr>
                    <w:tabs>
                      <w:tab w:val="left" w:pos="360"/>
                    </w:tabs>
                    <w:spacing w:line="300" w:lineRule="exact"/>
                    <w:jc w:val="center"/>
                  </w:pPr>
                  <w:r>
                    <w:rPr>
                      <w:rFonts w:hint="eastAsia"/>
                    </w:rPr>
                    <w:t>3</w:t>
                  </w:r>
                  <w:r>
                    <w:t>类</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355D6D5A">
                  <w:pPr>
                    <w:tabs>
                      <w:tab w:val="left" w:pos="360"/>
                    </w:tabs>
                    <w:spacing w:line="300" w:lineRule="exact"/>
                    <w:jc w:val="center"/>
                  </w:pPr>
                  <w:r>
                    <w:rPr>
                      <w:rFonts w:hint="eastAsia"/>
                    </w:rPr>
                    <w:t>65</w:t>
                  </w:r>
                </w:p>
              </w:tc>
              <w:tc>
                <w:tcPr>
                  <w:tcW w:w="2423" w:type="dxa"/>
                  <w:tcBorders>
                    <w:top w:val="single" w:color="auto" w:sz="4" w:space="0"/>
                    <w:left w:val="single" w:color="auto" w:sz="4" w:space="0"/>
                    <w:bottom w:val="single" w:color="auto" w:sz="4" w:space="0"/>
                    <w:right w:val="single" w:color="auto" w:sz="6" w:space="0"/>
                  </w:tcBorders>
                  <w:noWrap w:val="0"/>
                  <w:vAlign w:val="center"/>
                </w:tcPr>
                <w:p w14:paraId="75408A19">
                  <w:pPr>
                    <w:tabs>
                      <w:tab w:val="left" w:pos="360"/>
                    </w:tabs>
                    <w:spacing w:line="300" w:lineRule="exact"/>
                    <w:jc w:val="center"/>
                  </w:pPr>
                  <w:r>
                    <w:rPr>
                      <w:rFonts w:hint="eastAsia"/>
                    </w:rPr>
                    <w:t>55</w:t>
                  </w:r>
                </w:p>
              </w:tc>
            </w:tr>
          </w:tbl>
          <w:p w14:paraId="1AA215EF">
            <w:pPr>
              <w:numPr>
                <w:ilvl w:val="0"/>
                <w:numId w:val="0"/>
              </w:numPr>
              <w:spacing w:line="360" w:lineRule="auto"/>
              <w:ind w:firstLine="482" w:firstLineChars="200"/>
              <w:rPr>
                <w:rFonts w:hint="default"/>
                <w:b/>
                <w:bCs/>
                <w:sz w:val="24"/>
                <w:szCs w:val="24"/>
                <w:lang w:val="en-US" w:eastAsia="zh-CN"/>
              </w:rPr>
            </w:pPr>
            <w:r>
              <w:rPr>
                <w:rFonts w:hint="eastAsia"/>
                <w:b/>
                <w:bCs/>
                <w:sz w:val="24"/>
                <w:szCs w:val="24"/>
                <w:lang w:val="en-US" w:eastAsia="zh-CN"/>
              </w:rPr>
              <w:t>4、固废执行标准</w:t>
            </w:r>
          </w:p>
          <w:p w14:paraId="291C25C9">
            <w:pPr>
              <w:numPr>
                <w:ilvl w:val="0"/>
                <w:numId w:val="0"/>
              </w:numPr>
              <w:autoSpaceDE w:val="0"/>
              <w:autoSpaceDN w:val="0"/>
              <w:adjustRightInd w:val="0"/>
              <w:spacing w:line="360" w:lineRule="auto"/>
              <w:ind w:firstLine="480" w:firstLineChars="200"/>
              <w:rPr>
                <w:rFonts w:hint="default"/>
              </w:rPr>
            </w:pPr>
            <w:r>
              <w:rPr>
                <w:rFonts w:hint="eastAsia" w:ascii="Times New Roman" w:hAnsi="Times New Roman" w:eastAsia="宋体" w:cs="Times New Roman"/>
                <w:color w:val="auto"/>
                <w:sz w:val="24"/>
                <w:highlight w:val="none"/>
                <w:u w:val="none"/>
                <w:lang w:val="en-US" w:eastAsia="zh-CN"/>
              </w:rPr>
              <w:t>一般工业固废贮存场所执行《一般工业固体废物贮存和填埋污染控制标准》（GB18599-2020）的要求，危险废物贮存场所执行《危险废物贮存污染控制标准》（GB18597-2023）的要求。</w:t>
            </w:r>
          </w:p>
        </w:tc>
      </w:tr>
      <w:tr w14:paraId="61AB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632" w:type="dxa"/>
            <w:vAlign w:val="center"/>
          </w:tcPr>
          <w:p w14:paraId="278B0974">
            <w:pPr>
              <w:jc w:val="center"/>
            </w:pPr>
            <w:r>
              <w:rPr>
                <w:rFonts w:hint="eastAsia" w:ascii="Times New Roman" w:hAnsi="Times New Roman" w:eastAsia="宋体" w:cs="Times New Roman"/>
                <w:color w:val="000000"/>
                <w:kern w:val="2"/>
                <w:sz w:val="24"/>
                <w:szCs w:val="24"/>
                <w:lang w:val="en-US" w:eastAsia="zh-CN" w:bidi="ar-SA"/>
              </w:rPr>
              <w:t>总量控制指标</w:t>
            </w:r>
          </w:p>
        </w:tc>
        <w:tc>
          <w:tcPr>
            <w:tcW w:w="7890" w:type="dxa"/>
          </w:tcPr>
          <w:p w14:paraId="23C195F3">
            <w:pPr>
              <w:spacing w:line="360" w:lineRule="auto"/>
              <w:ind w:firstLine="480" w:firstLineChars="200"/>
              <w:jc w:val="left"/>
              <w:rPr>
                <w:rFonts w:hint="eastAsia"/>
                <w:color w:val="auto"/>
                <w:sz w:val="24"/>
                <w:highlight w:val="none"/>
                <w:u w:val="none"/>
              </w:rPr>
            </w:pPr>
            <w:r>
              <w:rPr>
                <w:rFonts w:hint="eastAsia"/>
                <w:color w:val="auto"/>
                <w:sz w:val="24"/>
                <w:highlight w:val="none"/>
                <w:u w:val="none"/>
                <w:lang w:val="en-US" w:eastAsia="zh-CN"/>
              </w:rPr>
              <w:t>1、</w:t>
            </w:r>
            <w:r>
              <w:rPr>
                <w:rFonts w:hint="eastAsia"/>
                <w:color w:val="auto"/>
                <w:sz w:val="24"/>
                <w:highlight w:val="none"/>
                <w:u w:val="none"/>
              </w:rPr>
              <w:t>水污染控制指标</w:t>
            </w:r>
          </w:p>
          <w:p w14:paraId="6A820FE2">
            <w:pPr>
              <w:spacing w:line="360" w:lineRule="auto"/>
              <w:ind w:firstLine="480" w:firstLineChars="200"/>
              <w:jc w:val="left"/>
              <w:rPr>
                <w:rFonts w:hint="default"/>
                <w:color w:val="auto"/>
                <w:sz w:val="24"/>
                <w:highlight w:val="none"/>
                <w:u w:val="single"/>
                <w:lang w:val="en-US"/>
              </w:rPr>
            </w:pPr>
            <w:r>
              <w:rPr>
                <w:rFonts w:hint="eastAsia"/>
                <w:color w:val="auto"/>
                <w:sz w:val="24"/>
                <w:highlight w:val="none"/>
                <w:u w:val="none"/>
                <w:lang w:val="en-US" w:eastAsia="zh-CN"/>
              </w:rPr>
              <w:t>本项目无生产废水产生，只有生活污水。本项目生活污水产生量608t/a，经隔油池、化粪池处理后排入洪江市工业集中区双溪片区污水处理厂处理达到《城镇污水处理厂污染物排放标准》（GB18918-2002）一级A标准后排入双溪，最终汇入舞，因此不需要申请控制指标</w:t>
            </w:r>
          </w:p>
          <w:p w14:paraId="32C5A5F1">
            <w:pPr>
              <w:spacing w:line="360" w:lineRule="auto"/>
              <w:ind w:firstLine="480" w:firstLineChars="200"/>
              <w:jc w:val="left"/>
              <w:rPr>
                <w:rFonts w:hint="eastAsia"/>
                <w:color w:val="auto"/>
                <w:sz w:val="24"/>
                <w:highlight w:val="none"/>
                <w:u w:val="single"/>
              </w:rPr>
            </w:pPr>
            <w:r>
              <w:rPr>
                <w:rFonts w:hint="eastAsia"/>
                <w:color w:val="auto"/>
                <w:sz w:val="24"/>
                <w:highlight w:val="none"/>
                <w:u w:val="single"/>
                <w:lang w:val="en-US" w:eastAsia="zh-CN"/>
              </w:rPr>
              <w:t>2、</w:t>
            </w:r>
            <w:r>
              <w:rPr>
                <w:rFonts w:hint="eastAsia"/>
                <w:color w:val="auto"/>
                <w:sz w:val="24"/>
                <w:highlight w:val="none"/>
                <w:u w:val="single"/>
              </w:rPr>
              <w:t>大气污染物控制指标</w:t>
            </w:r>
          </w:p>
          <w:p w14:paraId="75A6DCBE">
            <w:pPr>
              <w:spacing w:line="360" w:lineRule="auto"/>
              <w:ind w:firstLine="480" w:firstLineChars="200"/>
              <w:jc w:val="left"/>
              <w:rPr>
                <w:color w:val="auto"/>
                <w:kern w:val="0"/>
                <w:sz w:val="24"/>
                <w:szCs w:val="24"/>
                <w:highlight w:val="none"/>
                <w:u w:val="single"/>
              </w:rPr>
            </w:pPr>
            <w:r>
              <w:rPr>
                <w:rFonts w:hint="eastAsia"/>
                <w:color w:val="auto"/>
                <w:kern w:val="0"/>
                <w:sz w:val="24"/>
                <w:szCs w:val="24"/>
                <w:highlight w:val="none"/>
                <w:u w:val="single"/>
              </w:rPr>
              <w:t>本项目不涉及SO</w:t>
            </w:r>
            <w:r>
              <w:rPr>
                <w:rFonts w:hint="eastAsia"/>
                <w:color w:val="auto"/>
                <w:kern w:val="0"/>
                <w:sz w:val="24"/>
                <w:szCs w:val="24"/>
                <w:highlight w:val="none"/>
                <w:u w:val="single"/>
                <w:vertAlign w:val="subscript"/>
              </w:rPr>
              <w:t>2</w:t>
            </w:r>
            <w:r>
              <w:rPr>
                <w:rFonts w:hint="eastAsia"/>
                <w:color w:val="auto"/>
                <w:kern w:val="0"/>
                <w:sz w:val="24"/>
                <w:szCs w:val="24"/>
                <w:highlight w:val="none"/>
                <w:u w:val="single"/>
              </w:rPr>
              <w:t>、NOx控制指标，项目生产过程中会产生VOC</w:t>
            </w:r>
            <w:r>
              <w:rPr>
                <w:rFonts w:hint="eastAsia"/>
                <w:color w:val="auto"/>
                <w:kern w:val="0"/>
                <w:sz w:val="24"/>
                <w:szCs w:val="24"/>
                <w:highlight w:val="none"/>
                <w:u w:val="single"/>
                <w:vertAlign w:val="subscript"/>
              </w:rPr>
              <w:t>S</w:t>
            </w:r>
            <w:r>
              <w:rPr>
                <w:rFonts w:hint="eastAsia"/>
                <w:color w:val="auto"/>
                <w:kern w:val="0"/>
                <w:sz w:val="24"/>
                <w:szCs w:val="24"/>
                <w:highlight w:val="none"/>
                <w:u w:val="single"/>
              </w:rPr>
              <w:t>废气，全厂VOC</w:t>
            </w:r>
            <w:r>
              <w:rPr>
                <w:rFonts w:hint="eastAsia"/>
                <w:color w:val="auto"/>
                <w:kern w:val="0"/>
                <w:sz w:val="24"/>
                <w:szCs w:val="24"/>
                <w:highlight w:val="none"/>
                <w:u w:val="single"/>
                <w:vertAlign w:val="subscript"/>
              </w:rPr>
              <w:t>S</w:t>
            </w:r>
            <w:r>
              <w:rPr>
                <w:rFonts w:hint="eastAsia"/>
                <w:color w:val="auto"/>
                <w:kern w:val="0"/>
                <w:sz w:val="24"/>
                <w:szCs w:val="24"/>
                <w:highlight w:val="none"/>
                <w:u w:val="single"/>
                <w:vertAlign w:val="baseline"/>
                <w:lang w:val="en-US" w:eastAsia="zh-CN"/>
              </w:rPr>
              <w:t>排放量</w:t>
            </w:r>
            <w:r>
              <w:rPr>
                <w:rFonts w:hint="eastAsia"/>
                <w:color w:val="auto"/>
                <w:kern w:val="0"/>
                <w:sz w:val="24"/>
                <w:szCs w:val="24"/>
                <w:highlight w:val="none"/>
                <w:u w:val="single"/>
              </w:rPr>
              <w:t>为</w:t>
            </w:r>
            <w:r>
              <w:rPr>
                <w:rFonts w:hint="eastAsia"/>
                <w:color w:val="auto"/>
                <w:kern w:val="0"/>
                <w:sz w:val="24"/>
                <w:szCs w:val="24"/>
                <w:highlight w:val="none"/>
                <w:u w:val="single"/>
                <w:lang w:val="en-US" w:eastAsia="zh-CN"/>
              </w:rPr>
              <w:t>1.10</w:t>
            </w:r>
            <w:r>
              <w:rPr>
                <w:rFonts w:hint="eastAsia"/>
                <w:color w:val="auto"/>
                <w:kern w:val="0"/>
                <w:sz w:val="24"/>
                <w:szCs w:val="24"/>
                <w:highlight w:val="none"/>
                <w:u w:val="single"/>
              </w:rPr>
              <w:t>t/a（有组织</w:t>
            </w:r>
            <w:r>
              <w:rPr>
                <w:rFonts w:hint="eastAsia"/>
                <w:color w:val="auto"/>
                <w:kern w:val="0"/>
                <w:sz w:val="24"/>
                <w:szCs w:val="24"/>
                <w:highlight w:val="none"/>
                <w:u w:val="single"/>
                <w:lang w:val="en-US" w:eastAsia="zh-CN"/>
              </w:rPr>
              <w:t>0.95</w:t>
            </w:r>
            <w:r>
              <w:rPr>
                <w:rFonts w:hint="eastAsia"/>
                <w:color w:val="auto"/>
                <w:kern w:val="0"/>
                <w:sz w:val="24"/>
                <w:szCs w:val="24"/>
                <w:highlight w:val="none"/>
                <w:u w:val="single"/>
              </w:rPr>
              <w:t>，无组织</w:t>
            </w:r>
            <w:r>
              <w:rPr>
                <w:rFonts w:hint="eastAsia"/>
                <w:color w:val="auto"/>
                <w:kern w:val="0"/>
                <w:sz w:val="24"/>
                <w:szCs w:val="24"/>
                <w:highlight w:val="none"/>
                <w:u w:val="single"/>
                <w:lang w:val="en-US" w:eastAsia="zh-CN"/>
              </w:rPr>
              <w:t>0.14</w:t>
            </w:r>
            <w:r>
              <w:rPr>
                <w:rFonts w:hint="eastAsia"/>
                <w:color w:val="auto"/>
                <w:kern w:val="0"/>
                <w:sz w:val="24"/>
                <w:szCs w:val="24"/>
                <w:highlight w:val="none"/>
                <w:u w:val="single"/>
              </w:rPr>
              <w:t>）。</w:t>
            </w:r>
          </w:p>
          <w:p w14:paraId="751AC8E1">
            <w:pPr>
              <w:spacing w:line="360" w:lineRule="auto"/>
              <w:ind w:firstLine="480" w:firstLineChars="200"/>
              <w:jc w:val="left"/>
              <w:rPr>
                <w:kern w:val="0"/>
                <w:sz w:val="24"/>
                <w:szCs w:val="24"/>
                <w:highlight w:val="none"/>
                <w:u w:val="single"/>
              </w:rPr>
            </w:pPr>
            <w:r>
              <w:rPr>
                <w:rFonts w:hint="eastAsia"/>
                <w:kern w:val="0"/>
                <w:sz w:val="24"/>
                <w:szCs w:val="24"/>
                <w:highlight w:val="none"/>
                <w:u w:val="single"/>
              </w:rPr>
              <w:t>建议总量控制指标来源由排污权交易获得。</w:t>
            </w:r>
          </w:p>
          <w:p w14:paraId="1DF9A0E5">
            <w:pPr>
              <w:adjustRightInd w:val="0"/>
              <w:snapToGrid w:val="0"/>
              <w:spacing w:line="360" w:lineRule="auto"/>
              <w:ind w:firstLine="420" w:firstLineChars="200"/>
              <w:jc w:val="left"/>
            </w:pPr>
          </w:p>
        </w:tc>
      </w:tr>
    </w:tbl>
    <w:p w14:paraId="36CE797D">
      <w:p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01A7C8A">
      <w:pPr>
        <w:pStyle w:val="4"/>
      </w:pPr>
      <w:bookmarkStart w:id="6" w:name="_Toc10536"/>
      <w:r>
        <w:rPr>
          <w:rFonts w:hint="eastAsia"/>
        </w:rPr>
        <w:t>四、主要环境影响和保护措施</w:t>
      </w:r>
      <w:bookmarkEnd w:id="6"/>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890"/>
      </w:tblGrid>
      <w:tr w14:paraId="2E07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14:paraId="608CC101">
            <w:pPr>
              <w:jc w:val="center"/>
            </w:pPr>
            <w:r>
              <w:rPr>
                <w:rFonts w:hint="eastAsia" w:ascii="Times New Roman" w:hAnsi="Times New Roman" w:eastAsia="宋体" w:cs="Times New Roman"/>
                <w:color w:val="000000"/>
                <w:kern w:val="2"/>
                <w:sz w:val="24"/>
                <w:szCs w:val="24"/>
                <w:lang w:val="en-US" w:eastAsia="zh-CN" w:bidi="ar-SA"/>
              </w:rPr>
              <w:t>施工期环境保护措施</w:t>
            </w:r>
          </w:p>
        </w:tc>
        <w:tc>
          <w:tcPr>
            <w:tcW w:w="7890" w:type="dxa"/>
          </w:tcPr>
          <w:p w14:paraId="5CF1224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本项目已完成厂房建设（办公生活楼目前未建），已安装部分生产设备。目前正在完成厂区内的收尾工作，如绿化、亮化、硬化等。</w:t>
            </w:r>
          </w:p>
          <w:p w14:paraId="2A54A74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b/>
                <w:bCs/>
                <w:kern w:val="2"/>
                <w:sz w:val="24"/>
                <w:szCs w:val="24"/>
                <w:highlight w:val="yellow"/>
              </w:rPr>
            </w:pPr>
            <w:r>
              <w:rPr>
                <w:rFonts w:hint="eastAsia" w:ascii="Times New Roman" w:hAnsi="Times New Roman" w:eastAsia="宋体" w:cs="Times New Roman"/>
                <w:color w:val="auto"/>
                <w:sz w:val="24"/>
                <w:highlight w:val="none"/>
                <w:u w:val="none"/>
                <w:lang w:val="en-US" w:eastAsia="zh-CN"/>
              </w:rPr>
              <w:t>针对剩余的设备安装、施工现场扫尾工作、今后办公生活楼的建设对环境影响范围小、持续时间短的特点，本次环评提出</w:t>
            </w:r>
            <w:r>
              <w:rPr>
                <w:rFonts w:hint="eastAsia" w:cs="Times New Roman"/>
                <w:color w:val="auto"/>
                <w:sz w:val="24"/>
                <w:highlight w:val="none"/>
                <w:u w:val="none"/>
                <w:lang w:val="en-US" w:eastAsia="zh-CN"/>
              </w:rPr>
              <w:t>以</w:t>
            </w:r>
            <w:r>
              <w:rPr>
                <w:rFonts w:hint="eastAsia" w:ascii="Times New Roman" w:hAnsi="Times New Roman" w:eastAsia="宋体" w:cs="Times New Roman"/>
                <w:color w:val="auto"/>
                <w:sz w:val="24"/>
                <w:highlight w:val="none"/>
                <w:u w:val="none"/>
                <w:lang w:val="en-US" w:eastAsia="zh-CN"/>
              </w:rPr>
              <w:t>下环保措施要求：</w:t>
            </w:r>
          </w:p>
          <w:p w14:paraId="5C9A088F">
            <w:pPr>
              <w:numPr>
                <w:ilvl w:val="0"/>
                <w:numId w:val="0"/>
              </w:numPr>
              <w:spacing w:line="360" w:lineRule="auto"/>
              <w:ind w:firstLine="482" w:firstLineChars="200"/>
              <w:rPr>
                <w:rFonts w:hint="eastAsia"/>
                <w:b/>
                <w:bCs/>
                <w:sz w:val="24"/>
                <w:szCs w:val="24"/>
                <w:lang w:val="en-US" w:eastAsia="zh-CN"/>
              </w:rPr>
            </w:pPr>
            <w:r>
              <w:rPr>
                <w:rFonts w:hint="eastAsia"/>
                <w:b/>
                <w:bCs/>
                <w:sz w:val="24"/>
                <w:szCs w:val="24"/>
                <w:lang w:val="en-US" w:eastAsia="zh-CN"/>
              </w:rPr>
              <w:t>1.1废气污染物防治措施</w:t>
            </w:r>
          </w:p>
          <w:p w14:paraId="5B2B83A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施工期间对环境空气影响最主要的是扬尘。厂房建设、基础设施建设等过程中产生的施工扬尘；建材运输等过程中产生的道路扬尘。拟采取的污染防治措施如下：</w:t>
            </w:r>
          </w:p>
          <w:p w14:paraId="6F131056">
            <w:pPr>
              <w:numPr>
                <w:ilvl w:val="0"/>
                <w:numId w:val="0"/>
              </w:numPr>
              <w:spacing w:line="360" w:lineRule="auto"/>
              <w:ind w:firstLine="482" w:firstLineChars="200"/>
              <w:rPr>
                <w:rFonts w:hint="eastAsia"/>
                <w:b/>
                <w:bCs/>
                <w:sz w:val="24"/>
                <w:szCs w:val="24"/>
                <w:lang w:val="en-US" w:eastAsia="zh-CN"/>
              </w:rPr>
            </w:pPr>
            <w:r>
              <w:rPr>
                <w:rFonts w:hint="eastAsia"/>
                <w:b/>
                <w:bCs/>
                <w:sz w:val="24"/>
                <w:szCs w:val="24"/>
                <w:lang w:val="en-US" w:eastAsia="zh-CN"/>
              </w:rPr>
              <w:t>1.1.1施工扬尘防治措施</w:t>
            </w:r>
          </w:p>
          <w:p w14:paraId="0AAAD45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highlight w:val="none"/>
                <w:u w:val="none"/>
                <w:lang w:val="en-US" w:eastAsia="zh-CN"/>
              </w:rPr>
            </w:pPr>
            <w:r>
              <w:rPr>
                <w:rFonts w:hint="eastAsia" w:cs="Times New Roman"/>
                <w:color w:val="auto"/>
                <w:sz w:val="24"/>
                <w:highlight w:val="none"/>
                <w:u w:val="none"/>
                <w:lang w:val="en-US" w:eastAsia="zh-CN"/>
              </w:rPr>
              <w:t>（1）</w:t>
            </w:r>
            <w:r>
              <w:rPr>
                <w:rFonts w:hint="eastAsia" w:ascii="Times New Roman" w:hAnsi="Times New Roman" w:eastAsia="宋体" w:cs="Times New Roman"/>
                <w:color w:val="auto"/>
                <w:sz w:val="24"/>
                <w:highlight w:val="none"/>
                <w:u w:val="none"/>
                <w:lang w:val="en-US" w:eastAsia="zh-CN"/>
              </w:rPr>
              <w:t>在施工过程中，作业场地应采取围挡、围护以减少扬尘扩散。在施工现场周围，应设置不低于1.5m高的围挡，以避免对周围环境（单位和居民）造成影响；</w:t>
            </w:r>
          </w:p>
          <w:p w14:paraId="2E973EB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highlight w:val="none"/>
                <w:u w:val="none"/>
                <w:lang w:val="en-US" w:eastAsia="zh-CN"/>
              </w:rPr>
            </w:pPr>
            <w:r>
              <w:rPr>
                <w:rFonts w:hint="eastAsia" w:cs="Times New Roman"/>
                <w:color w:val="auto"/>
                <w:sz w:val="24"/>
                <w:highlight w:val="none"/>
                <w:u w:val="none"/>
                <w:lang w:val="en-US" w:eastAsia="zh-CN"/>
              </w:rPr>
              <w:t>（2）</w:t>
            </w:r>
            <w:r>
              <w:rPr>
                <w:rFonts w:hint="eastAsia" w:ascii="Times New Roman" w:hAnsi="Times New Roman" w:eastAsia="宋体" w:cs="Times New Roman"/>
                <w:color w:val="auto"/>
                <w:sz w:val="24"/>
                <w:highlight w:val="none"/>
                <w:u w:val="none"/>
                <w:lang w:val="en-US" w:eastAsia="zh-CN"/>
              </w:rPr>
              <w:t>在施工场地安排施工人员定期对施工场地洒水以减少扬尘量，洒水次数根据天气状况而定，一般每天洒水1</w:t>
            </w:r>
            <w:r>
              <w:rPr>
                <w:rFonts w:hint="eastAsia" w:cs="Times New Roman"/>
                <w:color w:val="auto"/>
                <w:sz w:val="24"/>
                <w:highlight w:val="none"/>
                <w:u w:val="none"/>
                <w:lang w:val="en-US" w:eastAsia="zh-CN"/>
              </w:rPr>
              <w:t>～</w:t>
            </w:r>
            <w:r>
              <w:rPr>
                <w:rFonts w:hint="eastAsia" w:ascii="Times New Roman" w:hAnsi="Times New Roman" w:eastAsia="宋体" w:cs="Times New Roman"/>
                <w:color w:val="auto"/>
                <w:sz w:val="24"/>
                <w:highlight w:val="none"/>
                <w:u w:val="none"/>
                <w:lang w:val="en-US" w:eastAsia="zh-CN"/>
              </w:rPr>
              <w:t>2次，若遇到大风或干燥天气可适当增加洒水次数；</w:t>
            </w:r>
          </w:p>
          <w:p w14:paraId="09DE247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highlight w:val="none"/>
                <w:u w:val="none"/>
                <w:lang w:val="en-US" w:eastAsia="zh-CN"/>
              </w:rPr>
            </w:pPr>
            <w:r>
              <w:rPr>
                <w:rFonts w:hint="eastAsia" w:cs="Times New Roman"/>
                <w:color w:val="auto"/>
                <w:sz w:val="24"/>
                <w:highlight w:val="none"/>
                <w:u w:val="none"/>
                <w:lang w:val="en-US" w:eastAsia="zh-CN"/>
              </w:rPr>
              <w:t>（3）</w:t>
            </w:r>
            <w:r>
              <w:rPr>
                <w:rFonts w:hint="eastAsia" w:ascii="Times New Roman" w:hAnsi="Times New Roman" w:eastAsia="宋体" w:cs="Times New Roman"/>
                <w:color w:val="auto"/>
                <w:sz w:val="24"/>
                <w:highlight w:val="none"/>
                <w:u w:val="none"/>
                <w:lang w:val="en-US" w:eastAsia="zh-CN"/>
              </w:rPr>
              <w:t>尽量避免在大风天气下进行施工作业；</w:t>
            </w:r>
          </w:p>
          <w:p w14:paraId="59BCE23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highlight w:val="none"/>
                <w:u w:val="none"/>
                <w:lang w:val="en-US" w:eastAsia="zh-CN"/>
              </w:rPr>
            </w:pPr>
            <w:r>
              <w:rPr>
                <w:rFonts w:hint="eastAsia" w:cs="Times New Roman"/>
                <w:color w:val="auto"/>
                <w:sz w:val="24"/>
                <w:highlight w:val="none"/>
                <w:u w:val="none"/>
                <w:lang w:val="en-US" w:eastAsia="zh-CN"/>
              </w:rPr>
              <w:t>（4）</w:t>
            </w:r>
            <w:r>
              <w:rPr>
                <w:rFonts w:hint="eastAsia" w:ascii="Times New Roman" w:hAnsi="Times New Roman" w:eastAsia="宋体" w:cs="Times New Roman"/>
                <w:color w:val="auto"/>
                <w:sz w:val="24"/>
                <w:highlight w:val="none"/>
                <w:u w:val="none"/>
                <w:lang w:val="en-US" w:eastAsia="zh-CN"/>
              </w:rPr>
              <w:t>施工现场必须做到“六个100%”，即100%标准化围蔽、工地砂土不用时必须100%覆盖、工地路面必须100%硬地化、拆除工程必须100%洒水压尘、出工地车辆必须100%冲净车轮车身、施工现场长期裸土必须100%覆盖或绿化。</w:t>
            </w:r>
          </w:p>
          <w:p w14:paraId="2BA6A70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kern w:val="2"/>
                <w:sz w:val="24"/>
                <w:szCs w:val="24"/>
                <w:highlight w:val="yellow"/>
              </w:rPr>
            </w:pPr>
            <w:r>
              <w:rPr>
                <w:rFonts w:hint="eastAsia" w:cs="Times New Roman"/>
                <w:color w:val="auto"/>
                <w:sz w:val="24"/>
                <w:highlight w:val="none"/>
                <w:u w:val="none"/>
                <w:lang w:val="en-US" w:eastAsia="zh-CN"/>
              </w:rPr>
              <w:t>（5）</w:t>
            </w:r>
            <w:r>
              <w:rPr>
                <w:rFonts w:hint="eastAsia" w:ascii="Times New Roman" w:hAnsi="Times New Roman" w:eastAsia="宋体" w:cs="Times New Roman"/>
                <w:color w:val="auto"/>
                <w:sz w:val="24"/>
                <w:highlight w:val="none"/>
                <w:u w:val="none"/>
                <w:lang w:val="en-US" w:eastAsia="zh-CN"/>
              </w:rPr>
              <w:t>对建筑垃圾及弃土应及时处理、清理、以减少占地，防止扬尘污染，改善施工场地的环境。在施工场地设置专人负责弃土、建筑垃圾、建筑材料的处置、清运和堆放，堆放场地加盖篷布或洒水，</w:t>
            </w:r>
            <w:r>
              <w:rPr>
                <w:rFonts w:hint="eastAsia" w:cs="Times New Roman"/>
                <w:color w:val="auto"/>
                <w:sz w:val="24"/>
                <w:highlight w:val="none"/>
                <w:u w:val="none"/>
                <w:lang w:val="en-US" w:eastAsia="zh-CN"/>
              </w:rPr>
              <w:t>防止</w:t>
            </w:r>
            <w:r>
              <w:rPr>
                <w:rFonts w:hint="eastAsia" w:ascii="Times New Roman" w:hAnsi="Times New Roman" w:eastAsia="宋体" w:cs="Times New Roman"/>
                <w:color w:val="auto"/>
                <w:sz w:val="24"/>
                <w:highlight w:val="none"/>
                <w:u w:val="none"/>
                <w:lang w:val="en-US" w:eastAsia="zh-CN"/>
              </w:rPr>
              <w:t>二次</w:t>
            </w:r>
            <w:r>
              <w:rPr>
                <w:rFonts w:hint="eastAsia" w:cs="Times New Roman"/>
                <w:color w:val="auto"/>
                <w:sz w:val="24"/>
                <w:highlight w:val="none"/>
                <w:u w:val="none"/>
                <w:lang w:val="en-US" w:eastAsia="zh-CN"/>
              </w:rPr>
              <w:t>扬尘</w:t>
            </w:r>
            <w:r>
              <w:rPr>
                <w:rFonts w:hint="eastAsia" w:ascii="Times New Roman" w:hAnsi="Times New Roman" w:eastAsia="宋体" w:cs="Times New Roman"/>
                <w:color w:val="auto"/>
                <w:sz w:val="24"/>
                <w:highlight w:val="none"/>
                <w:u w:val="none"/>
                <w:lang w:val="en-US" w:eastAsia="zh-CN"/>
              </w:rPr>
              <w:t>。</w:t>
            </w:r>
          </w:p>
          <w:p w14:paraId="1401CFCD">
            <w:pPr>
              <w:numPr>
                <w:ilvl w:val="0"/>
                <w:numId w:val="0"/>
              </w:numPr>
              <w:spacing w:line="360" w:lineRule="auto"/>
              <w:ind w:firstLine="482" w:firstLineChars="200"/>
              <w:rPr>
                <w:rFonts w:hint="eastAsia"/>
                <w:b/>
                <w:bCs/>
                <w:sz w:val="24"/>
                <w:szCs w:val="24"/>
                <w:lang w:val="en-US" w:eastAsia="zh-CN"/>
              </w:rPr>
            </w:pPr>
            <w:r>
              <w:rPr>
                <w:rFonts w:hint="eastAsia"/>
                <w:b/>
                <w:bCs/>
                <w:sz w:val="24"/>
                <w:szCs w:val="24"/>
                <w:lang w:val="en-US" w:eastAsia="zh-CN"/>
              </w:rPr>
              <w:t>1.1.2道路扬尘防治措施</w:t>
            </w:r>
          </w:p>
          <w:p w14:paraId="4FDBEEE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highlight w:val="none"/>
                <w:u w:val="none"/>
                <w:lang w:val="en-US" w:eastAsia="zh-CN"/>
              </w:rPr>
            </w:pPr>
            <w:r>
              <w:rPr>
                <w:rFonts w:hint="eastAsia" w:cs="Times New Roman"/>
                <w:color w:val="auto"/>
                <w:sz w:val="24"/>
                <w:highlight w:val="none"/>
                <w:u w:val="none"/>
                <w:lang w:val="en-US" w:eastAsia="zh-CN"/>
              </w:rPr>
              <w:t>（1）</w:t>
            </w:r>
            <w:r>
              <w:rPr>
                <w:rFonts w:hint="eastAsia" w:ascii="Times New Roman" w:hAnsi="Times New Roman" w:eastAsia="宋体" w:cs="Times New Roman"/>
                <w:color w:val="auto"/>
                <w:sz w:val="24"/>
                <w:highlight w:val="none"/>
                <w:u w:val="none"/>
                <w:lang w:val="en-US" w:eastAsia="zh-CN"/>
              </w:rPr>
              <w:t>建筑工地出口内侧设置洗车平台，车辆驶离工地前应对轮胎及车身进行清洗，不得带泥上路；工地外铺装道路上可见粘带泥土不得超过10m，并应及时清扫；</w:t>
            </w:r>
          </w:p>
          <w:p w14:paraId="5A0CE49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highlight w:val="none"/>
                <w:u w:val="none"/>
                <w:lang w:val="en-US" w:eastAsia="zh-CN"/>
              </w:rPr>
            </w:pPr>
            <w:r>
              <w:rPr>
                <w:rFonts w:hint="eastAsia" w:cs="Times New Roman"/>
                <w:color w:val="auto"/>
                <w:sz w:val="24"/>
                <w:highlight w:val="none"/>
                <w:u w:val="none"/>
                <w:lang w:val="en-US" w:eastAsia="zh-CN"/>
              </w:rPr>
              <w:t>（2）</w:t>
            </w:r>
            <w:r>
              <w:rPr>
                <w:rFonts w:hint="eastAsia" w:ascii="Times New Roman" w:hAnsi="Times New Roman" w:eastAsia="宋体" w:cs="Times New Roman"/>
                <w:color w:val="auto"/>
                <w:sz w:val="24"/>
                <w:highlight w:val="none"/>
                <w:u w:val="none"/>
                <w:lang w:val="en-US" w:eastAsia="zh-CN"/>
              </w:rPr>
              <w:t>运输车辆应根据核定的载重量装载渣土，对在运输过程中可能产生扬尘的渣土应采取篷布遮盖措施，防止运输过程中的洒落，避免在大风天气时运输渣土；</w:t>
            </w:r>
          </w:p>
          <w:p w14:paraId="18FA171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highlight w:val="none"/>
                <w:u w:val="none"/>
                <w:lang w:val="en-US" w:eastAsia="zh-CN"/>
              </w:rPr>
            </w:pPr>
            <w:r>
              <w:rPr>
                <w:rFonts w:hint="eastAsia" w:cs="Times New Roman"/>
                <w:color w:val="auto"/>
                <w:sz w:val="24"/>
                <w:highlight w:val="none"/>
                <w:u w:val="none"/>
                <w:lang w:val="en-US" w:eastAsia="zh-CN"/>
              </w:rPr>
              <w:t>（3）</w:t>
            </w:r>
            <w:r>
              <w:rPr>
                <w:rFonts w:hint="eastAsia" w:ascii="Times New Roman" w:hAnsi="Times New Roman" w:eastAsia="宋体" w:cs="Times New Roman"/>
                <w:color w:val="auto"/>
                <w:sz w:val="24"/>
                <w:highlight w:val="none"/>
                <w:u w:val="none"/>
                <w:lang w:val="en-US" w:eastAsia="zh-CN"/>
              </w:rPr>
              <w:t>对工地附近的道路环境实行保洁制度，及时清扫，尽量减少扬尘对环境的影响；</w:t>
            </w:r>
          </w:p>
          <w:p w14:paraId="431E2992">
            <w:pPr>
              <w:numPr>
                <w:ilvl w:val="0"/>
                <w:numId w:val="0"/>
              </w:numPr>
              <w:spacing w:line="360" w:lineRule="auto"/>
              <w:ind w:firstLine="482" w:firstLineChars="200"/>
              <w:rPr>
                <w:rFonts w:hint="eastAsia"/>
                <w:b/>
                <w:bCs/>
                <w:sz w:val="24"/>
                <w:szCs w:val="24"/>
                <w:lang w:val="en-US" w:eastAsia="zh-CN"/>
              </w:rPr>
            </w:pPr>
            <w:r>
              <w:rPr>
                <w:rFonts w:hint="eastAsia"/>
                <w:b/>
                <w:bCs/>
                <w:sz w:val="24"/>
                <w:szCs w:val="24"/>
                <w:lang w:val="en-US" w:eastAsia="zh-CN"/>
              </w:rPr>
              <w:t>1.2施工期水污染物治理措施</w:t>
            </w:r>
          </w:p>
          <w:p w14:paraId="622B7B4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施工期废水主要是施工过程中产生的建筑施工废水和施工人员临时产生的生活污水。</w:t>
            </w:r>
          </w:p>
          <w:p w14:paraId="69E8491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建筑施工废水主要是施工过程中产生的混凝土养护废水和车辆冲洗废水等，主要污染物为SS，产生量不大，经过沉淀池处理排入市政污水管网；生活污水经化粪池预处理后排入园区污水管网。</w:t>
            </w:r>
          </w:p>
          <w:p w14:paraId="1807A45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本项目施工期产生的废水处理处置方式合理，处理后废水排放去向明确，施工期结束后其影响也随之消失，不会对周围环境造成影响。</w:t>
            </w:r>
          </w:p>
          <w:p w14:paraId="42B827EE">
            <w:pPr>
              <w:numPr>
                <w:ilvl w:val="0"/>
                <w:numId w:val="0"/>
              </w:numPr>
              <w:spacing w:line="360" w:lineRule="auto"/>
              <w:ind w:firstLine="482" w:firstLineChars="200"/>
              <w:rPr>
                <w:rFonts w:hint="eastAsia"/>
                <w:b/>
                <w:bCs/>
                <w:sz w:val="24"/>
                <w:szCs w:val="24"/>
                <w:lang w:val="en-US" w:eastAsia="zh-CN"/>
              </w:rPr>
            </w:pPr>
            <w:r>
              <w:rPr>
                <w:rFonts w:hint="eastAsia"/>
                <w:b/>
                <w:bCs/>
                <w:sz w:val="24"/>
                <w:szCs w:val="24"/>
                <w:lang w:val="en-US" w:eastAsia="zh-CN"/>
              </w:rPr>
              <w:t>1.3施工期声环境治理措施</w:t>
            </w:r>
          </w:p>
          <w:p w14:paraId="0A94002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项目施工过程中应采取有效的噪声污染防治措施，将施工噪声影响降低至最小，具体噪声防治措施为：</w:t>
            </w:r>
          </w:p>
          <w:p w14:paraId="0981205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highlight w:val="none"/>
                <w:u w:val="none"/>
                <w:lang w:val="en-US" w:eastAsia="zh-CN"/>
              </w:rPr>
            </w:pPr>
            <w:r>
              <w:rPr>
                <w:rFonts w:hint="eastAsia" w:cs="Times New Roman"/>
                <w:color w:val="auto"/>
                <w:sz w:val="24"/>
                <w:highlight w:val="none"/>
                <w:u w:val="none"/>
                <w:lang w:val="en-US" w:eastAsia="zh-CN"/>
              </w:rPr>
              <w:t>（1）</w:t>
            </w:r>
            <w:r>
              <w:rPr>
                <w:rFonts w:hint="eastAsia" w:ascii="Times New Roman" w:hAnsi="Times New Roman" w:eastAsia="宋体" w:cs="Times New Roman"/>
                <w:color w:val="auto"/>
                <w:sz w:val="24"/>
                <w:highlight w:val="none"/>
                <w:u w:val="none"/>
                <w:lang w:val="en-US" w:eastAsia="zh-CN"/>
              </w:rPr>
              <w:t>严格按照《建筑施工场界环境噪声排放标准》（GB12523-2011）中对建筑施工的有关管理规定和要求，严禁在中午</w:t>
            </w:r>
            <w:r>
              <w:rPr>
                <w:rFonts w:hint="eastAsia" w:cs="Times New Roman"/>
                <w:color w:val="auto"/>
                <w:sz w:val="24"/>
                <w:highlight w:val="none"/>
                <w:u w:val="none"/>
                <w:lang w:val="en-US" w:eastAsia="zh-CN"/>
              </w:rPr>
              <w:t>（</w:t>
            </w:r>
            <w:r>
              <w:rPr>
                <w:rFonts w:hint="eastAsia" w:ascii="Times New Roman" w:hAnsi="Times New Roman" w:eastAsia="宋体" w:cs="Times New Roman"/>
                <w:color w:val="auto"/>
                <w:sz w:val="24"/>
                <w:highlight w:val="none"/>
                <w:u w:val="none"/>
                <w:lang w:val="en-US" w:eastAsia="zh-CN"/>
              </w:rPr>
              <w:t>12:00～14:00</w:t>
            </w:r>
            <w:r>
              <w:rPr>
                <w:rFonts w:hint="eastAsia" w:cs="Times New Roman"/>
                <w:color w:val="auto"/>
                <w:sz w:val="24"/>
                <w:highlight w:val="none"/>
                <w:u w:val="none"/>
                <w:lang w:val="en-US" w:eastAsia="zh-CN"/>
              </w:rPr>
              <w:t>）</w:t>
            </w:r>
            <w:r>
              <w:rPr>
                <w:rFonts w:hint="eastAsia" w:ascii="Times New Roman" w:hAnsi="Times New Roman" w:eastAsia="宋体" w:cs="Times New Roman"/>
                <w:color w:val="auto"/>
                <w:sz w:val="24"/>
                <w:highlight w:val="none"/>
                <w:u w:val="none"/>
                <w:lang w:val="en-US" w:eastAsia="zh-CN"/>
              </w:rPr>
              <w:t>和夜间</w:t>
            </w:r>
            <w:r>
              <w:rPr>
                <w:rFonts w:hint="eastAsia" w:cs="Times New Roman"/>
                <w:color w:val="auto"/>
                <w:sz w:val="24"/>
                <w:highlight w:val="none"/>
                <w:u w:val="none"/>
                <w:lang w:val="en-US" w:eastAsia="zh-CN"/>
              </w:rPr>
              <w:t>（</w:t>
            </w:r>
            <w:r>
              <w:rPr>
                <w:rFonts w:hint="eastAsia" w:ascii="Times New Roman" w:hAnsi="Times New Roman" w:eastAsia="宋体" w:cs="Times New Roman"/>
                <w:color w:val="auto"/>
                <w:sz w:val="24"/>
                <w:highlight w:val="none"/>
                <w:u w:val="none"/>
                <w:lang w:val="en-US" w:eastAsia="zh-CN"/>
              </w:rPr>
              <w:t>22:00～次日早上6:00</w:t>
            </w:r>
            <w:r>
              <w:rPr>
                <w:rFonts w:hint="eastAsia" w:cs="Times New Roman"/>
                <w:color w:val="auto"/>
                <w:sz w:val="24"/>
                <w:highlight w:val="none"/>
                <w:u w:val="none"/>
                <w:lang w:val="en-US" w:eastAsia="zh-CN"/>
              </w:rPr>
              <w:t>）</w:t>
            </w:r>
            <w:r>
              <w:rPr>
                <w:rFonts w:hint="eastAsia" w:ascii="Times New Roman" w:hAnsi="Times New Roman" w:eastAsia="宋体" w:cs="Times New Roman"/>
                <w:color w:val="auto"/>
                <w:sz w:val="24"/>
                <w:highlight w:val="none"/>
                <w:u w:val="none"/>
                <w:lang w:val="en-US" w:eastAsia="zh-CN"/>
              </w:rPr>
              <w:t>期间作业；</w:t>
            </w:r>
          </w:p>
          <w:p w14:paraId="3D81C64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highlight w:val="none"/>
                <w:u w:val="none"/>
                <w:lang w:val="en-US" w:eastAsia="zh-CN"/>
              </w:rPr>
            </w:pPr>
            <w:r>
              <w:rPr>
                <w:rFonts w:hint="eastAsia" w:cs="Times New Roman"/>
                <w:color w:val="auto"/>
                <w:sz w:val="24"/>
                <w:highlight w:val="none"/>
                <w:u w:val="none"/>
                <w:lang w:val="en-US" w:eastAsia="zh-CN"/>
              </w:rPr>
              <w:t>（2）</w:t>
            </w:r>
            <w:r>
              <w:rPr>
                <w:rFonts w:hint="eastAsia" w:ascii="Times New Roman" w:hAnsi="Times New Roman" w:eastAsia="宋体" w:cs="Times New Roman"/>
                <w:color w:val="auto"/>
                <w:sz w:val="24"/>
                <w:highlight w:val="none"/>
                <w:u w:val="none"/>
                <w:lang w:val="en-US" w:eastAsia="zh-CN"/>
              </w:rPr>
              <w:t>对人为的施工噪声有相关的降噪措施和管理制度，并进行严格控制，最大限度地减少噪声扰民；</w:t>
            </w:r>
          </w:p>
          <w:p w14:paraId="6C98C03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highlight w:val="none"/>
                <w:u w:val="none"/>
                <w:lang w:val="en-US" w:eastAsia="zh-CN"/>
              </w:rPr>
            </w:pPr>
            <w:r>
              <w:rPr>
                <w:rFonts w:hint="eastAsia" w:cs="Times New Roman"/>
                <w:color w:val="auto"/>
                <w:sz w:val="24"/>
                <w:highlight w:val="none"/>
                <w:u w:val="none"/>
                <w:lang w:val="en-US" w:eastAsia="zh-CN"/>
              </w:rPr>
              <w:t>（3）</w:t>
            </w:r>
            <w:r>
              <w:rPr>
                <w:rFonts w:hint="eastAsia" w:ascii="Times New Roman" w:hAnsi="Times New Roman" w:eastAsia="宋体" w:cs="Times New Roman"/>
                <w:color w:val="auto"/>
                <w:sz w:val="24"/>
                <w:highlight w:val="none"/>
                <w:u w:val="none"/>
                <w:lang w:val="en-US" w:eastAsia="zh-CN"/>
              </w:rPr>
              <w:t>从声源上控制：①选用低噪声、低振动设备，采用低噪声、低振动施工工艺；②改造施工方法和操作方法，防止产生高噪声、高振动；③采取消声减振措施，努力使噪声、振动降低到对人体无害的水平。</w:t>
            </w:r>
          </w:p>
          <w:p w14:paraId="2C4B329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由于项目施工期短，施工噪声随施工期结束而消失，在采取以上治理措施后对区域声环境产生的不利影响较小。</w:t>
            </w:r>
          </w:p>
          <w:p w14:paraId="38603DB1">
            <w:pPr>
              <w:numPr>
                <w:ilvl w:val="0"/>
                <w:numId w:val="0"/>
              </w:numPr>
              <w:spacing w:line="360" w:lineRule="auto"/>
              <w:ind w:firstLine="482" w:firstLineChars="200"/>
              <w:rPr>
                <w:rFonts w:hint="eastAsia"/>
                <w:b/>
                <w:bCs/>
                <w:sz w:val="24"/>
                <w:szCs w:val="24"/>
                <w:lang w:val="en-US" w:eastAsia="zh-CN"/>
              </w:rPr>
            </w:pPr>
            <w:r>
              <w:rPr>
                <w:rFonts w:hint="eastAsia"/>
                <w:b/>
                <w:bCs/>
                <w:sz w:val="24"/>
                <w:szCs w:val="24"/>
                <w:lang w:val="en-US" w:eastAsia="zh-CN"/>
              </w:rPr>
              <w:t>1.4固体废物治理措施</w:t>
            </w:r>
          </w:p>
          <w:p w14:paraId="4273863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施工期固体废物主要为本项目建设过程中产生的施工渣土、建筑垃圾、废土石方、施工人员产生的生活垃圾，采取的污染防治措施如下：</w:t>
            </w:r>
          </w:p>
          <w:p w14:paraId="06EF71D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（1）建筑材料应按用量进行调配，尽量做到不洒、不漏、不剩、不倒；</w:t>
            </w:r>
          </w:p>
          <w:p w14:paraId="2A3DE75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（2）建筑垃圾与生活垃圾应分类收集，分类堆放；由市政部门负责处置。</w:t>
            </w:r>
          </w:p>
          <w:p w14:paraId="466340B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kern w:val="2"/>
                <w:sz w:val="24"/>
                <w:szCs w:val="24"/>
              </w:rPr>
            </w:pPr>
            <w:r>
              <w:rPr>
                <w:rFonts w:hint="eastAsia" w:ascii="Times New Roman" w:hAnsi="Times New Roman" w:eastAsia="宋体" w:cs="Times New Roman"/>
                <w:color w:val="auto"/>
                <w:sz w:val="24"/>
                <w:highlight w:val="none"/>
                <w:u w:val="none"/>
                <w:lang w:val="en-US" w:eastAsia="zh-CN"/>
              </w:rPr>
              <w:t>（3）生活垃圾及时收集在垃圾桶，由施工单位集中收集后清运至环卫部门指定地点集中处置；</w:t>
            </w:r>
          </w:p>
        </w:tc>
      </w:tr>
      <w:tr w14:paraId="188F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7" w:hRule="atLeast"/>
        </w:trPr>
        <w:tc>
          <w:tcPr>
            <w:tcW w:w="632" w:type="dxa"/>
            <w:vAlign w:val="center"/>
          </w:tcPr>
          <w:p w14:paraId="413436A2">
            <w:pPr>
              <w:widowControl/>
              <w:jc w:val="center"/>
              <w:rPr>
                <w:u w:val="single"/>
              </w:rPr>
            </w:pPr>
            <w:r>
              <w:rPr>
                <w:rFonts w:hint="eastAsia" w:ascii="宋体" w:hAnsi="宋体" w:cs="宋体"/>
                <w:color w:val="000000"/>
                <w:kern w:val="0"/>
                <w:sz w:val="20"/>
                <w:szCs w:val="20"/>
                <w:u w:val="single"/>
                <w:lang w:bidi="ar"/>
              </w:rPr>
              <w:t>运营期环境影响和保护措施</w:t>
            </w:r>
          </w:p>
        </w:tc>
        <w:tc>
          <w:tcPr>
            <w:tcW w:w="7890" w:type="dxa"/>
          </w:tcPr>
          <w:p w14:paraId="61FEFBE3">
            <w:pPr>
              <w:numPr>
                <w:ilvl w:val="0"/>
                <w:numId w:val="0"/>
              </w:numPr>
              <w:spacing w:line="360" w:lineRule="auto"/>
              <w:ind w:firstLine="482" w:firstLineChars="200"/>
              <w:rPr>
                <w:rFonts w:hint="default"/>
                <w:b/>
                <w:bCs/>
                <w:sz w:val="24"/>
                <w:szCs w:val="24"/>
                <w:u w:val="single"/>
                <w:lang w:val="en-US" w:eastAsia="zh-CN"/>
              </w:rPr>
            </w:pPr>
            <w:r>
              <w:rPr>
                <w:rFonts w:hint="eastAsia"/>
                <w:b/>
                <w:bCs/>
                <w:sz w:val="24"/>
                <w:szCs w:val="24"/>
                <w:u w:val="single"/>
                <w:lang w:val="en-US" w:eastAsia="zh-CN"/>
              </w:rPr>
              <w:t>4.2运营期环境影响和保护措施</w:t>
            </w:r>
          </w:p>
          <w:p w14:paraId="4C2A7100">
            <w:pPr>
              <w:numPr>
                <w:ilvl w:val="0"/>
                <w:numId w:val="0"/>
              </w:numPr>
              <w:spacing w:line="360" w:lineRule="auto"/>
              <w:ind w:firstLine="482" w:firstLineChars="200"/>
              <w:rPr>
                <w:rFonts w:hint="eastAsia"/>
                <w:b/>
                <w:bCs/>
                <w:sz w:val="24"/>
                <w:szCs w:val="24"/>
                <w:u w:val="single"/>
                <w:lang w:val="en-US" w:eastAsia="zh-CN"/>
              </w:rPr>
            </w:pPr>
            <w:r>
              <w:rPr>
                <w:rFonts w:hint="eastAsia"/>
                <w:b/>
                <w:bCs/>
                <w:sz w:val="24"/>
                <w:szCs w:val="24"/>
                <w:u w:val="single"/>
                <w:lang w:val="en-US" w:eastAsia="zh-CN"/>
              </w:rPr>
              <w:t>4.2.1大气环境影响及保护措施</w:t>
            </w:r>
          </w:p>
          <w:p w14:paraId="6BFF260C">
            <w:pPr>
              <w:numPr>
                <w:ilvl w:val="0"/>
                <w:numId w:val="0"/>
              </w:numPr>
              <w:spacing w:line="360" w:lineRule="auto"/>
              <w:ind w:firstLine="482" w:firstLineChars="200"/>
              <w:rPr>
                <w:rFonts w:hint="default"/>
                <w:b/>
                <w:bCs/>
                <w:sz w:val="24"/>
                <w:szCs w:val="24"/>
                <w:u w:val="single"/>
                <w:lang w:val="en-US" w:eastAsia="zh-CN"/>
              </w:rPr>
            </w:pPr>
            <w:r>
              <w:rPr>
                <w:rFonts w:hint="eastAsia"/>
                <w:b/>
                <w:bCs/>
                <w:sz w:val="24"/>
                <w:szCs w:val="24"/>
                <w:u w:val="single"/>
                <w:lang w:val="en-US" w:eastAsia="zh-CN"/>
              </w:rPr>
              <w:t>1、废气污染物产排情况</w:t>
            </w:r>
          </w:p>
          <w:p w14:paraId="3DE0E35D">
            <w:pPr>
              <w:keepNext w:val="0"/>
              <w:keepLines w:val="0"/>
              <w:pageBreakBefore w:val="0"/>
              <w:widowControl w:val="0"/>
              <w:tabs>
                <w:tab w:val="left" w:pos="1440"/>
                <w:tab w:val="left" w:pos="1800"/>
              </w:tabs>
              <w:kinsoku/>
              <w:wordWrap/>
              <w:overflowPunct/>
              <w:topLinePunct w:val="0"/>
              <w:autoSpaceDE/>
              <w:autoSpaceDN/>
              <w:bidi w:val="0"/>
              <w:adjustRightInd/>
              <w:snapToGrid/>
              <w:spacing w:line="360" w:lineRule="auto"/>
              <w:ind w:firstLine="360" w:firstLineChars="150"/>
              <w:textAlignment w:val="auto"/>
              <w:rPr>
                <w:rFonts w:hint="eastAsia" w:eastAsia="宋体"/>
                <w:sz w:val="24"/>
                <w:u w:val="single"/>
                <w:lang w:val="en-US" w:eastAsia="zh-CN"/>
              </w:rPr>
            </w:pPr>
            <w:r>
              <w:rPr>
                <w:rFonts w:hint="eastAsia"/>
                <w:sz w:val="24"/>
                <w:u w:val="single"/>
              </w:rPr>
              <w:t>本</w:t>
            </w:r>
            <w:r>
              <w:rPr>
                <w:rFonts w:hint="eastAsia"/>
                <w:sz w:val="24"/>
                <w:u w:val="single"/>
                <w:lang w:val="en-US" w:eastAsia="zh-CN"/>
              </w:rPr>
              <w:t>项目生产过程中</w:t>
            </w:r>
            <w:r>
              <w:rPr>
                <w:rFonts w:hint="eastAsia"/>
                <w:sz w:val="24"/>
                <w:u w:val="single"/>
              </w:rPr>
              <w:t>废气</w:t>
            </w:r>
            <w:r>
              <w:rPr>
                <w:rFonts w:hint="eastAsia"/>
                <w:sz w:val="24"/>
                <w:u w:val="single"/>
                <w:lang w:val="en-US" w:eastAsia="zh-CN"/>
              </w:rPr>
              <w:t>污染源主要有</w:t>
            </w:r>
            <w:r>
              <w:rPr>
                <w:rFonts w:hint="eastAsia"/>
                <w:sz w:val="24"/>
                <w:u w:val="single"/>
              </w:rPr>
              <w:t>熔炼废气、</w:t>
            </w:r>
            <w:r>
              <w:rPr>
                <w:rFonts w:hint="eastAsia"/>
                <w:sz w:val="24"/>
                <w:u w:val="single"/>
                <w:lang w:val="en-US" w:eastAsia="zh-CN"/>
              </w:rPr>
              <w:t>混</w:t>
            </w:r>
            <w:r>
              <w:rPr>
                <w:rFonts w:hint="eastAsia"/>
                <w:sz w:val="24"/>
                <w:u w:val="single"/>
              </w:rPr>
              <w:t>砂废气、造型废气、抛丸废气、制芯废气、</w:t>
            </w:r>
            <w:r>
              <w:rPr>
                <w:rFonts w:hint="eastAsia"/>
                <w:sz w:val="24"/>
                <w:u w:val="single"/>
                <w:lang w:eastAsia="zh-CN"/>
              </w:rPr>
              <w:t>浇注</w:t>
            </w:r>
            <w:r>
              <w:rPr>
                <w:rFonts w:hint="eastAsia"/>
                <w:sz w:val="24"/>
                <w:u w:val="single"/>
              </w:rPr>
              <w:t>废气</w:t>
            </w:r>
            <w:r>
              <w:rPr>
                <w:rFonts w:hint="eastAsia"/>
                <w:sz w:val="24"/>
                <w:u w:val="single"/>
                <w:lang w:eastAsia="zh-CN"/>
              </w:rPr>
              <w:t>、</w:t>
            </w:r>
            <w:r>
              <w:rPr>
                <w:rFonts w:hint="eastAsia"/>
                <w:sz w:val="24"/>
                <w:u w:val="single"/>
                <w:lang w:val="en-US" w:eastAsia="zh-CN"/>
              </w:rPr>
              <w:t>落砂废气</w:t>
            </w:r>
            <w:r>
              <w:rPr>
                <w:rFonts w:hint="eastAsia"/>
                <w:sz w:val="24"/>
                <w:u w:val="single"/>
                <w:lang w:eastAsia="zh-CN"/>
              </w:rPr>
              <w:t>、</w:t>
            </w:r>
            <w:r>
              <w:rPr>
                <w:rFonts w:hint="eastAsia"/>
                <w:sz w:val="24"/>
                <w:u w:val="single"/>
                <w:lang w:val="en-US" w:eastAsia="zh-CN"/>
              </w:rPr>
              <w:t>食堂油烟</w:t>
            </w:r>
            <w:r>
              <w:rPr>
                <w:rFonts w:hint="eastAsia"/>
                <w:sz w:val="24"/>
                <w:u w:val="single"/>
              </w:rPr>
              <w:t>，其中熔炼废气</w:t>
            </w:r>
            <w:r>
              <w:rPr>
                <w:rFonts w:hint="eastAsia"/>
                <w:sz w:val="24"/>
                <w:u w:val="single"/>
                <w:lang w:eastAsia="zh-CN"/>
              </w:rPr>
              <w:t>、</w:t>
            </w:r>
            <w:r>
              <w:rPr>
                <w:rFonts w:hint="eastAsia"/>
                <w:sz w:val="24"/>
                <w:u w:val="single"/>
                <w:lang w:val="en-US" w:eastAsia="zh-CN"/>
              </w:rPr>
              <w:t>抛丸废气中含颗粒物，</w:t>
            </w:r>
            <w:r>
              <w:rPr>
                <w:rFonts w:hint="eastAsia"/>
                <w:sz w:val="24"/>
                <w:u w:val="single"/>
              </w:rPr>
              <w:t>砂处理废气</w:t>
            </w:r>
            <w:r>
              <w:rPr>
                <w:rFonts w:hint="eastAsia"/>
                <w:sz w:val="24"/>
                <w:u w:val="single"/>
                <w:lang w:eastAsia="zh-CN"/>
              </w:rPr>
              <w:t>、</w:t>
            </w:r>
            <w:r>
              <w:rPr>
                <w:rFonts w:hint="eastAsia"/>
                <w:sz w:val="24"/>
                <w:u w:val="single"/>
              </w:rPr>
              <w:t>造型废气</w:t>
            </w:r>
            <w:r>
              <w:rPr>
                <w:rFonts w:hint="eastAsia"/>
                <w:sz w:val="24"/>
                <w:u w:val="single"/>
                <w:lang w:eastAsia="zh-CN"/>
              </w:rPr>
              <w:t>、</w:t>
            </w:r>
            <w:r>
              <w:rPr>
                <w:rFonts w:hint="eastAsia"/>
                <w:sz w:val="24"/>
                <w:u w:val="single"/>
              </w:rPr>
              <w:t>制芯废气、</w:t>
            </w:r>
            <w:r>
              <w:rPr>
                <w:rFonts w:hint="eastAsia"/>
                <w:sz w:val="24"/>
                <w:u w:val="single"/>
                <w:lang w:eastAsia="zh-CN"/>
              </w:rPr>
              <w:t>浇注</w:t>
            </w:r>
            <w:r>
              <w:rPr>
                <w:rFonts w:hint="eastAsia"/>
                <w:sz w:val="24"/>
                <w:u w:val="single"/>
              </w:rPr>
              <w:t>废气</w:t>
            </w:r>
            <w:r>
              <w:rPr>
                <w:rFonts w:hint="eastAsia"/>
                <w:sz w:val="24"/>
                <w:u w:val="single"/>
                <w:lang w:val="en-US" w:eastAsia="zh-CN"/>
              </w:rPr>
              <w:t>等废气</w:t>
            </w:r>
            <w:r>
              <w:rPr>
                <w:rFonts w:hint="eastAsia"/>
                <w:sz w:val="24"/>
                <w:u w:val="single"/>
              </w:rPr>
              <w:t>含颗粒物及VOCs（以非甲烷总烃计）</w:t>
            </w:r>
            <w:r>
              <w:rPr>
                <w:rFonts w:hint="eastAsia"/>
                <w:sz w:val="24"/>
                <w:u w:val="single"/>
                <w:lang w:eastAsia="zh-CN"/>
              </w:rPr>
              <w:t>。</w:t>
            </w:r>
          </w:p>
          <w:p w14:paraId="012DC0B1">
            <w:pPr>
              <w:numPr>
                <w:ilvl w:val="0"/>
                <w:numId w:val="0"/>
              </w:numPr>
              <w:tabs>
                <w:tab w:val="left" w:pos="1440"/>
                <w:tab w:val="left" w:pos="1800"/>
              </w:tabs>
              <w:spacing w:line="360" w:lineRule="auto"/>
              <w:ind w:firstLine="361" w:firstLineChars="150"/>
              <w:rPr>
                <w:rFonts w:hint="eastAsia"/>
                <w:b/>
                <w:bCs/>
                <w:sz w:val="24"/>
                <w:szCs w:val="24"/>
                <w:u w:val="single"/>
                <w:lang w:val="en-US" w:eastAsia="zh-CN"/>
              </w:rPr>
            </w:pPr>
            <w:r>
              <w:rPr>
                <w:rFonts w:hint="eastAsia" w:ascii="Times New Roman" w:hAnsi="Times New Roman" w:eastAsia="宋体" w:cs="Times New Roman"/>
                <w:b/>
                <w:bCs/>
                <w:kern w:val="2"/>
                <w:sz w:val="24"/>
                <w:szCs w:val="24"/>
                <w:u w:val="single"/>
                <w:lang w:val="en-US" w:eastAsia="zh-CN" w:bidi="ar-SA"/>
              </w:rPr>
              <w:t>（1）</w:t>
            </w:r>
            <w:r>
              <w:rPr>
                <w:rFonts w:hint="eastAsia"/>
                <w:b/>
                <w:bCs/>
                <w:sz w:val="24"/>
                <w:szCs w:val="24"/>
                <w:u w:val="single"/>
                <w:lang w:val="en-US" w:eastAsia="zh-CN"/>
              </w:rPr>
              <w:t>熔炼废气</w:t>
            </w:r>
          </w:p>
          <w:p w14:paraId="07FCC5DD">
            <w:pPr>
              <w:spacing w:line="360" w:lineRule="auto"/>
              <w:ind w:firstLine="480" w:firstLineChars="200"/>
              <w:rPr>
                <w:rFonts w:hint="default" w:ascii="Times New Roman" w:hAnsi="Times New Roman" w:eastAsia="宋体" w:cs="Times New Roman"/>
                <w:kern w:val="0"/>
                <w:sz w:val="24"/>
                <w:u w:val="single"/>
                <w:lang w:val="en-US" w:eastAsia="zh-CN"/>
              </w:rPr>
            </w:pPr>
            <w:r>
              <w:rPr>
                <w:rFonts w:hint="eastAsia"/>
                <w:sz w:val="24"/>
                <w:u w:val="single"/>
                <w:lang w:val="en-US" w:eastAsia="zh-CN"/>
              </w:rPr>
              <w:t>本项目年产</w:t>
            </w:r>
            <w:r>
              <w:rPr>
                <w:rFonts w:hint="eastAsia"/>
                <w:sz w:val="24"/>
                <w:u w:val="single"/>
              </w:rPr>
              <w:t>汽车制动盘、皮带轮、风叶轮等</w:t>
            </w:r>
            <w:r>
              <w:rPr>
                <w:rFonts w:hint="eastAsia"/>
                <w:sz w:val="24"/>
                <w:u w:val="single"/>
                <w:lang w:val="en-US" w:eastAsia="zh-CN"/>
              </w:rPr>
              <w:t>6000t，熔炼过程中会产生颗粒物，参考《排放源统计调查产排污核算方法和系数手册2021》（生态环境部）中的“机械行业产排污量核算系数手册（33）”中“铸造”工艺中生铁、废钢等采用</w:t>
            </w:r>
            <w:r>
              <w:rPr>
                <w:rFonts w:hint="eastAsia"/>
                <w:sz w:val="24"/>
                <w:u w:val="single"/>
              </w:rPr>
              <w:t>感应电炉/电阻炉及其他</w:t>
            </w:r>
            <w:r>
              <w:rPr>
                <w:rFonts w:hint="eastAsia"/>
                <w:sz w:val="24"/>
                <w:u w:val="single"/>
                <w:lang w:val="en-US" w:eastAsia="zh-CN"/>
              </w:rPr>
              <w:t>进行熔炼的产污系数：颗粒物0.479kg/t-产品，则熔炼过程产生的颗粒物为2.874t/a，</w:t>
            </w:r>
            <w:r>
              <w:rPr>
                <w:rFonts w:hint="eastAsia"/>
                <w:sz w:val="24"/>
                <w:u w:val="single"/>
              </w:rPr>
              <w:t>电炉上方投料口处</w:t>
            </w:r>
            <w:r>
              <w:rPr>
                <w:rFonts w:hint="eastAsia"/>
                <w:sz w:val="24"/>
                <w:u w:val="single"/>
                <w:lang w:val="en-US" w:eastAsia="zh-CN"/>
              </w:rPr>
              <w:t>设置</w:t>
            </w:r>
            <w:r>
              <w:rPr>
                <w:rFonts w:hint="eastAsia"/>
                <w:sz w:val="24"/>
                <w:u w:val="single"/>
              </w:rPr>
              <w:t>可移动式封盖，投料时封盖转开，投料完毕后转回炉顶，封盖顶设管道连接引风机</w:t>
            </w:r>
            <w:r>
              <w:rPr>
                <w:rFonts w:hint="eastAsia"/>
                <w:sz w:val="24"/>
                <w:u w:val="single"/>
                <w:lang w:eastAsia="zh-CN"/>
              </w:rPr>
              <w:t>（</w:t>
            </w:r>
            <w:r>
              <w:rPr>
                <w:rFonts w:hint="eastAsia"/>
                <w:sz w:val="24"/>
                <w:u w:val="single"/>
              </w:rPr>
              <w:t>收集效率</w:t>
            </w:r>
            <w:r>
              <w:rPr>
                <w:rFonts w:hint="default"/>
                <w:sz w:val="24"/>
                <w:u w:val="single"/>
              </w:rPr>
              <w:t>≥</w:t>
            </w:r>
            <w:r>
              <w:rPr>
                <w:rFonts w:hint="eastAsia"/>
                <w:sz w:val="24"/>
                <w:u w:val="single"/>
              </w:rPr>
              <w:t>9</w:t>
            </w:r>
            <w:r>
              <w:rPr>
                <w:rFonts w:hint="eastAsia"/>
                <w:sz w:val="24"/>
                <w:u w:val="single"/>
                <w:lang w:val="en-US" w:eastAsia="zh-CN"/>
              </w:rPr>
              <w:t>0</w:t>
            </w:r>
            <w:r>
              <w:rPr>
                <w:rFonts w:hint="eastAsia"/>
                <w:sz w:val="24"/>
                <w:u w:val="single"/>
              </w:rPr>
              <w:t>%</w:t>
            </w:r>
            <w:r>
              <w:rPr>
                <w:rFonts w:hint="eastAsia"/>
                <w:sz w:val="24"/>
                <w:u w:val="single"/>
                <w:lang w:eastAsia="zh-CN"/>
              </w:rPr>
              <w:t>）</w:t>
            </w:r>
            <w:r>
              <w:rPr>
                <w:rFonts w:hint="eastAsia"/>
                <w:sz w:val="24"/>
                <w:u w:val="single"/>
              </w:rPr>
              <w:t>将颗粒物收集后经</w:t>
            </w:r>
            <w:r>
              <w:rPr>
                <w:rFonts w:hint="eastAsia"/>
                <w:sz w:val="24"/>
                <w:u w:val="single"/>
                <w:lang w:val="en-US" w:eastAsia="zh-CN"/>
              </w:rPr>
              <w:t>脉冲</w:t>
            </w:r>
            <w:r>
              <w:rPr>
                <w:rFonts w:hint="eastAsia"/>
                <w:sz w:val="24"/>
                <w:u w:val="single"/>
              </w:rPr>
              <w:t>布袋除尘器</w:t>
            </w:r>
            <w:r>
              <w:rPr>
                <w:rFonts w:hint="eastAsia"/>
                <w:sz w:val="24"/>
                <w:u w:val="single"/>
                <w:lang w:val="en-US" w:eastAsia="zh-CN"/>
              </w:rPr>
              <w:t>（TA001，除尘效率99.8%）</w:t>
            </w:r>
            <w:r>
              <w:rPr>
                <w:rFonts w:hint="eastAsia"/>
                <w:sz w:val="24"/>
                <w:u w:val="single"/>
              </w:rPr>
              <w:t>处理</w:t>
            </w:r>
            <w:r>
              <w:rPr>
                <w:rFonts w:hint="eastAsia"/>
                <w:sz w:val="24"/>
                <w:u w:val="single"/>
                <w:lang w:val="en-US" w:eastAsia="zh-CN"/>
              </w:rPr>
              <w:t>后通过</w:t>
            </w:r>
            <w:r>
              <w:rPr>
                <w:rFonts w:hint="eastAsia"/>
                <w:sz w:val="24"/>
                <w:u w:val="single"/>
              </w:rPr>
              <w:t>15m高排气筒</w:t>
            </w:r>
            <w:r>
              <w:rPr>
                <w:rFonts w:hint="eastAsia"/>
                <w:sz w:val="24"/>
                <w:u w:val="single"/>
                <w:lang w:eastAsia="zh-CN"/>
              </w:rPr>
              <w:t>（</w:t>
            </w:r>
            <w:r>
              <w:rPr>
                <w:rFonts w:hint="eastAsia"/>
                <w:sz w:val="24"/>
                <w:u w:val="single"/>
                <w:lang w:val="en-US" w:eastAsia="zh-CN"/>
              </w:rPr>
              <w:t>DA001）</w:t>
            </w:r>
            <w:r>
              <w:rPr>
                <w:rFonts w:hint="eastAsia"/>
                <w:sz w:val="24"/>
                <w:u w:val="single"/>
              </w:rPr>
              <w:t>排放</w:t>
            </w:r>
            <w:r>
              <w:rPr>
                <w:rFonts w:hint="eastAsia"/>
                <w:sz w:val="24"/>
                <w:u w:val="single"/>
                <w:lang w:eastAsia="zh-CN"/>
              </w:rPr>
              <w:t>，</w:t>
            </w:r>
            <w:r>
              <w:rPr>
                <w:rFonts w:hint="eastAsia" w:ascii="Times New Roman" w:hAnsi="Times New Roman" w:eastAsia="宋体" w:cs="Times New Roman"/>
                <w:kern w:val="0"/>
                <w:sz w:val="24"/>
                <w:u w:val="single"/>
                <w:lang w:val="en-US" w:eastAsia="zh-CN"/>
              </w:rPr>
              <w:t>风机风量</w:t>
            </w:r>
            <w:r>
              <w:rPr>
                <w:rFonts w:hint="eastAsia" w:cs="Times New Roman"/>
                <w:kern w:val="0"/>
                <w:sz w:val="24"/>
                <w:u w:val="single"/>
                <w:lang w:val="en-US" w:eastAsia="zh-CN"/>
              </w:rPr>
              <w:t>12000</w:t>
            </w:r>
            <w:r>
              <w:rPr>
                <w:rFonts w:hint="default" w:ascii="Times New Roman" w:hAnsi="Times New Roman" w:eastAsia="宋体" w:cs="Times New Roman"/>
                <w:sz w:val="24"/>
                <w:szCs w:val="24"/>
                <w:u w:val="single"/>
                <w:lang w:val="en-US" w:eastAsia="zh-CN"/>
              </w:rPr>
              <w:t>m</w:t>
            </w:r>
            <w:r>
              <w:rPr>
                <w:rFonts w:hint="default" w:ascii="Times New Roman" w:hAnsi="Times New Roman" w:eastAsia="宋体" w:cs="Times New Roman"/>
                <w:sz w:val="24"/>
                <w:szCs w:val="24"/>
                <w:u w:val="single"/>
                <w:vertAlign w:val="superscript"/>
                <w:lang w:val="en-US" w:eastAsia="zh-CN"/>
              </w:rPr>
              <w:t>3</w:t>
            </w:r>
            <w:r>
              <w:rPr>
                <w:rFonts w:hint="default" w:ascii="Times New Roman" w:hAnsi="Times New Roman" w:eastAsia="宋体" w:cs="Times New Roman"/>
                <w:sz w:val="24"/>
                <w:szCs w:val="24"/>
                <w:u w:val="single"/>
                <w:lang w:val="en-US" w:eastAsia="zh-CN"/>
              </w:rPr>
              <w:t>/h</w:t>
            </w:r>
            <w:r>
              <w:rPr>
                <w:rFonts w:hint="eastAsia" w:ascii="Times New Roman" w:hAnsi="Times New Roman" w:eastAsia="宋体" w:cs="Times New Roman"/>
                <w:sz w:val="24"/>
                <w:szCs w:val="24"/>
                <w:u w:val="single"/>
                <w:lang w:val="en-US" w:eastAsia="zh-CN"/>
              </w:rPr>
              <w:t>，</w:t>
            </w:r>
            <w:r>
              <w:rPr>
                <w:rFonts w:hint="default" w:ascii="Times New Roman" w:hAnsi="Times New Roman" w:eastAsia="宋体" w:cs="Times New Roman"/>
                <w:kern w:val="0"/>
                <w:sz w:val="24"/>
                <w:u w:val="single"/>
                <w:lang w:val="en-US" w:eastAsia="zh-CN"/>
              </w:rPr>
              <w:t>则</w:t>
            </w:r>
            <w:r>
              <w:rPr>
                <w:rFonts w:hint="eastAsia" w:cs="Times New Roman"/>
                <w:kern w:val="0"/>
                <w:sz w:val="24"/>
                <w:u w:val="single"/>
                <w:lang w:val="en-US" w:eastAsia="zh-CN"/>
              </w:rPr>
              <w:t>熔炼</w:t>
            </w:r>
            <w:r>
              <w:rPr>
                <w:rFonts w:hint="default" w:ascii="Times New Roman" w:hAnsi="Times New Roman" w:eastAsia="宋体" w:cs="Times New Roman"/>
                <w:kern w:val="0"/>
                <w:sz w:val="24"/>
                <w:u w:val="single"/>
                <w:lang w:val="en-US" w:eastAsia="zh-CN"/>
              </w:rPr>
              <w:t>废气产排情况详见表</w:t>
            </w:r>
            <w:r>
              <w:rPr>
                <w:rFonts w:hint="eastAsia" w:cs="Times New Roman"/>
                <w:kern w:val="0"/>
                <w:sz w:val="24"/>
                <w:u w:val="single"/>
                <w:lang w:val="en-US" w:eastAsia="zh-CN"/>
              </w:rPr>
              <w:t>4-1</w:t>
            </w:r>
            <w:r>
              <w:rPr>
                <w:rFonts w:hint="default" w:ascii="Times New Roman" w:hAnsi="Times New Roman" w:eastAsia="宋体" w:cs="Times New Roman"/>
                <w:kern w:val="0"/>
                <w:sz w:val="24"/>
                <w:u w:val="single"/>
                <w:lang w:val="en-US" w:eastAsia="zh-CN"/>
              </w:rPr>
              <w:t>。</w:t>
            </w:r>
          </w:p>
          <w:p w14:paraId="1BA65CEC">
            <w:pPr>
              <w:jc w:val="center"/>
              <w:rPr>
                <w:rFonts w:hint="eastAsia"/>
                <w:b/>
                <w:u w:val="single"/>
                <w:lang w:val="en-US" w:eastAsia="zh-CN"/>
              </w:rPr>
            </w:pPr>
            <w:r>
              <w:rPr>
                <w:rFonts w:hint="eastAsia"/>
                <w:b/>
                <w:u w:val="single"/>
                <w:lang w:val="en-US" w:eastAsia="zh-CN"/>
              </w:rPr>
              <w:t>表4-1  熔炼废气产排情况表</w:t>
            </w:r>
          </w:p>
          <w:tbl>
            <w:tblPr>
              <w:tblStyle w:val="38"/>
              <w:tblW w:w="76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
              <w:gridCol w:w="396"/>
              <w:gridCol w:w="510"/>
              <w:gridCol w:w="449"/>
              <w:gridCol w:w="817"/>
              <w:gridCol w:w="714"/>
              <w:gridCol w:w="604"/>
              <w:gridCol w:w="929"/>
              <w:gridCol w:w="828"/>
              <w:gridCol w:w="848"/>
              <w:gridCol w:w="603"/>
              <w:gridCol w:w="587"/>
            </w:tblGrid>
            <w:tr w14:paraId="73EB4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jc w:val="center"/>
              </w:trPr>
              <w:tc>
                <w:tcPr>
                  <w:tcW w:w="411" w:type="dxa"/>
                  <w:vMerge w:val="restart"/>
                  <w:tcBorders>
                    <w:tl2br w:val="nil"/>
                    <w:tr2bl w:val="nil"/>
                  </w:tcBorders>
                  <w:noWrap w:val="0"/>
                  <w:vAlign w:val="top"/>
                </w:tcPr>
                <w:p w14:paraId="0DDBF795">
                  <w:pPr>
                    <w:jc w:val="center"/>
                    <w:rPr>
                      <w:rFonts w:hint="default" w:ascii="Times New Roman" w:hAnsi="Times New Roman" w:eastAsia="宋体" w:cs="Times New Roman"/>
                      <w:u w:val="single"/>
                      <w:lang w:val="en-US" w:eastAsia="zh-CN"/>
                    </w:rPr>
                  </w:pPr>
                </w:p>
                <w:p w14:paraId="2A2F66CC">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 源</w:t>
                  </w:r>
                </w:p>
              </w:tc>
              <w:tc>
                <w:tcPr>
                  <w:tcW w:w="396" w:type="dxa"/>
                  <w:vMerge w:val="restart"/>
                  <w:tcBorders>
                    <w:tl2br w:val="nil"/>
                    <w:tr2bl w:val="nil"/>
                  </w:tcBorders>
                  <w:noWrap w:val="0"/>
                  <w:vAlign w:val="top"/>
                </w:tcPr>
                <w:p w14:paraId="16A36815">
                  <w:pPr>
                    <w:jc w:val="center"/>
                    <w:rPr>
                      <w:rFonts w:hint="default" w:ascii="Times New Roman" w:hAnsi="Times New Roman" w:eastAsia="宋体" w:cs="Times New Roman"/>
                      <w:u w:val="single"/>
                      <w:lang w:val="en-US" w:eastAsia="zh-CN"/>
                    </w:rPr>
                  </w:pPr>
                </w:p>
                <w:p w14:paraId="4BA5A30D">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w:t>
                  </w:r>
                </w:p>
                <w:p w14:paraId="705FA698">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物</w:t>
                  </w:r>
                </w:p>
              </w:tc>
              <w:tc>
                <w:tcPr>
                  <w:tcW w:w="510" w:type="dxa"/>
                  <w:vMerge w:val="restart"/>
                  <w:tcBorders>
                    <w:tl2br w:val="nil"/>
                    <w:tr2bl w:val="nil"/>
                  </w:tcBorders>
                  <w:noWrap w:val="0"/>
                  <w:vAlign w:val="top"/>
                </w:tcPr>
                <w:p w14:paraId="37016C10">
                  <w:pPr>
                    <w:jc w:val="center"/>
                    <w:rPr>
                      <w:rFonts w:hint="default" w:ascii="Times New Roman" w:hAnsi="Times New Roman" w:eastAsia="宋体" w:cs="Times New Roman"/>
                      <w:u w:val="single"/>
                      <w:lang w:val="en-US" w:eastAsia="zh-CN"/>
                    </w:rPr>
                  </w:pPr>
                </w:p>
                <w:p w14:paraId="78946C6D">
                  <w:pPr>
                    <w:jc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风量</w:t>
                  </w:r>
                  <w:r>
                    <w:rPr>
                      <w:rFonts w:hint="default" w:ascii="Times New Roman" w:hAnsi="Times New Roman" w:eastAsia="宋体" w:cs="Times New Roman"/>
                      <w:u w:val="single"/>
                      <w:lang w:val="en-US" w:eastAsia="zh-CN"/>
                    </w:rPr>
                    <w:t>m</w:t>
                  </w:r>
                  <w:r>
                    <w:rPr>
                      <w:rFonts w:hint="default" w:ascii="Times New Roman" w:hAnsi="Times New Roman" w:eastAsia="宋体" w:cs="Times New Roman"/>
                      <w:u w:val="single"/>
                      <w:vertAlign w:val="superscript"/>
                      <w:lang w:val="en-US" w:eastAsia="zh-CN"/>
                    </w:rPr>
                    <w:t>3</w:t>
                  </w:r>
                  <w:r>
                    <w:rPr>
                      <w:rFonts w:hint="default" w:ascii="Times New Roman" w:hAnsi="Times New Roman" w:eastAsia="宋体" w:cs="Times New Roman"/>
                      <w:u w:val="single"/>
                      <w:lang w:val="en-US" w:eastAsia="zh-CN"/>
                    </w:rPr>
                    <w:t>/h</w:t>
                  </w:r>
                </w:p>
              </w:tc>
              <w:tc>
                <w:tcPr>
                  <w:tcW w:w="449" w:type="dxa"/>
                  <w:vMerge w:val="restart"/>
                  <w:tcBorders>
                    <w:tl2br w:val="nil"/>
                    <w:tr2bl w:val="nil"/>
                  </w:tcBorders>
                  <w:noWrap w:val="0"/>
                  <w:vAlign w:val="center"/>
                </w:tcPr>
                <w:p w14:paraId="1692AD23">
                  <w:pPr>
                    <w:jc w:val="center"/>
                    <w:rPr>
                      <w:rFonts w:hint="default" w:ascii="Times New Roman" w:hAnsi="Times New Roman" w:eastAsia="宋体" w:cs="Times New Roman"/>
                      <w:u w:val="single"/>
                      <w:lang w:val="en-US" w:eastAsia="zh-CN"/>
                    </w:rPr>
                  </w:pPr>
                  <w:r>
                    <w:rPr>
                      <w:rFonts w:hint="eastAsia" w:cs="Times New Roman"/>
                      <w:u w:val="single"/>
                      <w:lang w:val="en-US" w:eastAsia="zh-CN"/>
                    </w:rPr>
                    <w:t>排放形式</w:t>
                  </w:r>
                </w:p>
              </w:tc>
              <w:tc>
                <w:tcPr>
                  <w:tcW w:w="2135" w:type="dxa"/>
                  <w:gridSpan w:val="3"/>
                  <w:tcBorders>
                    <w:tl2br w:val="nil"/>
                    <w:tr2bl w:val="nil"/>
                  </w:tcBorders>
                  <w:noWrap w:val="0"/>
                  <w:vAlign w:val="top"/>
                </w:tcPr>
                <w:p w14:paraId="45DF6A5B">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污染物产生情况</w:t>
                  </w:r>
                </w:p>
              </w:tc>
              <w:tc>
                <w:tcPr>
                  <w:tcW w:w="1757" w:type="dxa"/>
                  <w:gridSpan w:val="2"/>
                  <w:tcBorders>
                    <w:tl2br w:val="nil"/>
                    <w:tr2bl w:val="nil"/>
                  </w:tcBorders>
                  <w:noWrap w:val="0"/>
                  <w:vAlign w:val="top"/>
                </w:tcPr>
                <w:p w14:paraId="651DBD29">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主要污染治理设施</w:t>
                  </w:r>
                </w:p>
              </w:tc>
              <w:tc>
                <w:tcPr>
                  <w:tcW w:w="2038" w:type="dxa"/>
                  <w:gridSpan w:val="3"/>
                  <w:tcBorders>
                    <w:tl2br w:val="nil"/>
                    <w:tr2bl w:val="nil"/>
                  </w:tcBorders>
                  <w:noWrap w:val="0"/>
                  <w:vAlign w:val="top"/>
                </w:tcPr>
                <w:p w14:paraId="7BCE6670">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污染物排放情况</w:t>
                  </w:r>
                </w:p>
              </w:tc>
            </w:tr>
            <w:tr w14:paraId="3E487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jc w:val="center"/>
              </w:trPr>
              <w:tc>
                <w:tcPr>
                  <w:tcW w:w="411" w:type="dxa"/>
                  <w:vMerge w:val="continue"/>
                  <w:tcBorders>
                    <w:tl2br w:val="nil"/>
                    <w:tr2bl w:val="nil"/>
                  </w:tcBorders>
                  <w:noWrap w:val="0"/>
                  <w:vAlign w:val="top"/>
                </w:tcPr>
                <w:p w14:paraId="35494D53">
                  <w:pPr>
                    <w:jc w:val="center"/>
                    <w:rPr>
                      <w:rFonts w:hint="default" w:ascii="Times New Roman" w:hAnsi="Times New Roman" w:eastAsia="宋体" w:cs="Times New Roman"/>
                      <w:u w:val="single"/>
                      <w:lang w:val="en-US" w:eastAsia="zh-CN"/>
                    </w:rPr>
                  </w:pPr>
                </w:p>
              </w:tc>
              <w:tc>
                <w:tcPr>
                  <w:tcW w:w="396" w:type="dxa"/>
                  <w:vMerge w:val="continue"/>
                  <w:tcBorders>
                    <w:tl2br w:val="nil"/>
                    <w:tr2bl w:val="nil"/>
                  </w:tcBorders>
                  <w:noWrap w:val="0"/>
                  <w:vAlign w:val="top"/>
                </w:tcPr>
                <w:p w14:paraId="382A01C6">
                  <w:pPr>
                    <w:jc w:val="center"/>
                    <w:rPr>
                      <w:rFonts w:hint="default" w:ascii="Times New Roman" w:hAnsi="Times New Roman" w:eastAsia="宋体" w:cs="Times New Roman"/>
                      <w:u w:val="single"/>
                      <w:lang w:val="en-US" w:eastAsia="zh-CN"/>
                    </w:rPr>
                  </w:pPr>
                </w:p>
              </w:tc>
              <w:tc>
                <w:tcPr>
                  <w:tcW w:w="510" w:type="dxa"/>
                  <w:vMerge w:val="continue"/>
                  <w:tcBorders>
                    <w:tl2br w:val="nil"/>
                    <w:tr2bl w:val="nil"/>
                  </w:tcBorders>
                  <w:noWrap w:val="0"/>
                  <w:vAlign w:val="top"/>
                </w:tcPr>
                <w:p w14:paraId="0A9204C8">
                  <w:pPr>
                    <w:jc w:val="center"/>
                    <w:rPr>
                      <w:rFonts w:hint="default" w:ascii="Times New Roman" w:hAnsi="Times New Roman" w:eastAsia="宋体" w:cs="Times New Roman"/>
                      <w:u w:val="single"/>
                      <w:lang w:val="en-US" w:eastAsia="zh-CN"/>
                    </w:rPr>
                  </w:pPr>
                </w:p>
              </w:tc>
              <w:tc>
                <w:tcPr>
                  <w:tcW w:w="449" w:type="dxa"/>
                  <w:vMerge w:val="continue"/>
                  <w:tcBorders>
                    <w:tl2br w:val="nil"/>
                    <w:tr2bl w:val="nil"/>
                  </w:tcBorders>
                  <w:noWrap w:val="0"/>
                  <w:vAlign w:val="top"/>
                </w:tcPr>
                <w:p w14:paraId="24E75CAD">
                  <w:pPr>
                    <w:jc w:val="center"/>
                    <w:rPr>
                      <w:rFonts w:hint="default" w:ascii="Times New Roman" w:hAnsi="Times New Roman" w:eastAsia="宋体" w:cs="Times New Roman"/>
                      <w:u w:val="single"/>
                      <w:lang w:val="en-US" w:eastAsia="zh-CN"/>
                    </w:rPr>
                  </w:pPr>
                </w:p>
              </w:tc>
              <w:tc>
                <w:tcPr>
                  <w:tcW w:w="817" w:type="dxa"/>
                  <w:tcBorders>
                    <w:tl2br w:val="nil"/>
                    <w:tr2bl w:val="nil"/>
                  </w:tcBorders>
                  <w:noWrap w:val="0"/>
                  <w:vAlign w:val="top"/>
                </w:tcPr>
                <w:p w14:paraId="645F6968">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产生浓度mg/m</w:t>
                  </w:r>
                  <w:r>
                    <w:rPr>
                      <w:rFonts w:hint="default" w:ascii="Times New Roman" w:hAnsi="Times New Roman" w:eastAsia="宋体" w:cs="Times New Roman"/>
                      <w:u w:val="single"/>
                      <w:vertAlign w:val="superscript"/>
                      <w:lang w:val="en-US" w:eastAsia="zh-CN"/>
                    </w:rPr>
                    <w:t>3</w:t>
                  </w:r>
                </w:p>
              </w:tc>
              <w:tc>
                <w:tcPr>
                  <w:tcW w:w="714" w:type="dxa"/>
                  <w:tcBorders>
                    <w:tl2br w:val="nil"/>
                    <w:tr2bl w:val="nil"/>
                  </w:tcBorders>
                  <w:noWrap w:val="0"/>
                  <w:vAlign w:val="top"/>
                </w:tcPr>
                <w:p w14:paraId="15460AB0">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产生速 率kg/h</w:t>
                  </w:r>
                </w:p>
              </w:tc>
              <w:tc>
                <w:tcPr>
                  <w:tcW w:w="604" w:type="dxa"/>
                  <w:tcBorders>
                    <w:tl2br w:val="nil"/>
                    <w:tr2bl w:val="nil"/>
                  </w:tcBorders>
                  <w:noWrap w:val="0"/>
                  <w:vAlign w:val="top"/>
                </w:tcPr>
                <w:p w14:paraId="47864930">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产生量t/a</w:t>
                  </w:r>
                </w:p>
              </w:tc>
              <w:tc>
                <w:tcPr>
                  <w:tcW w:w="929" w:type="dxa"/>
                  <w:tcBorders>
                    <w:tl2br w:val="nil"/>
                    <w:tr2bl w:val="nil"/>
                  </w:tcBorders>
                  <w:noWrap w:val="0"/>
                  <w:vAlign w:val="top"/>
                </w:tcPr>
                <w:p w14:paraId="5768FC02">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治理措施</w:t>
                  </w:r>
                </w:p>
              </w:tc>
              <w:tc>
                <w:tcPr>
                  <w:tcW w:w="828" w:type="dxa"/>
                  <w:tcBorders>
                    <w:tl2br w:val="nil"/>
                    <w:tr2bl w:val="nil"/>
                  </w:tcBorders>
                  <w:noWrap w:val="0"/>
                  <w:vAlign w:val="top"/>
                </w:tcPr>
                <w:p w14:paraId="7C842675">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处理效</w:t>
                  </w:r>
                </w:p>
                <w:p w14:paraId="18957283">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率%</w:t>
                  </w:r>
                </w:p>
              </w:tc>
              <w:tc>
                <w:tcPr>
                  <w:tcW w:w="848" w:type="dxa"/>
                  <w:tcBorders>
                    <w:tl2br w:val="nil"/>
                    <w:tr2bl w:val="nil"/>
                  </w:tcBorders>
                  <w:noWrap w:val="0"/>
                  <w:vAlign w:val="top"/>
                </w:tcPr>
                <w:p w14:paraId="725E9F10">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排放浓度mg/m</w:t>
                  </w:r>
                  <w:r>
                    <w:rPr>
                      <w:rFonts w:hint="default" w:ascii="Times New Roman" w:hAnsi="Times New Roman" w:eastAsia="宋体" w:cs="Times New Roman"/>
                      <w:u w:val="single"/>
                      <w:vertAlign w:val="superscript"/>
                      <w:lang w:val="en-US" w:eastAsia="zh-CN"/>
                    </w:rPr>
                    <w:t>3</w:t>
                  </w:r>
                </w:p>
              </w:tc>
              <w:tc>
                <w:tcPr>
                  <w:tcW w:w="603" w:type="dxa"/>
                  <w:tcBorders>
                    <w:tl2br w:val="nil"/>
                    <w:tr2bl w:val="nil"/>
                  </w:tcBorders>
                  <w:noWrap w:val="0"/>
                  <w:vAlign w:val="top"/>
                </w:tcPr>
                <w:p w14:paraId="3F3CAA29">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排放速率kg/h</w:t>
                  </w:r>
                </w:p>
              </w:tc>
              <w:tc>
                <w:tcPr>
                  <w:tcW w:w="587" w:type="dxa"/>
                  <w:tcBorders>
                    <w:tl2br w:val="nil"/>
                    <w:tr2bl w:val="nil"/>
                  </w:tcBorders>
                  <w:noWrap w:val="0"/>
                  <w:vAlign w:val="top"/>
                </w:tcPr>
                <w:p w14:paraId="19497320">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排放量t/a</w:t>
                  </w:r>
                </w:p>
              </w:tc>
            </w:tr>
            <w:tr w14:paraId="08ED1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jc w:val="center"/>
              </w:trPr>
              <w:tc>
                <w:tcPr>
                  <w:tcW w:w="411" w:type="dxa"/>
                  <w:vMerge w:val="restart"/>
                  <w:tcBorders>
                    <w:tl2br w:val="nil"/>
                    <w:tr2bl w:val="nil"/>
                  </w:tcBorders>
                  <w:noWrap w:val="0"/>
                  <w:vAlign w:val="center"/>
                </w:tcPr>
                <w:p w14:paraId="656443E4">
                  <w:pPr>
                    <w:jc w:val="center"/>
                    <w:rPr>
                      <w:rFonts w:hint="default" w:ascii="Times New Roman" w:hAnsi="Times New Roman" w:eastAsia="宋体" w:cs="Times New Roman"/>
                      <w:u w:val="single"/>
                      <w:lang w:val="en-US" w:eastAsia="zh-CN"/>
                    </w:rPr>
                  </w:pPr>
                  <w:r>
                    <w:rPr>
                      <w:rFonts w:hint="eastAsia" w:cs="Times New Roman"/>
                      <w:u w:val="single"/>
                      <w:lang w:val="en-US" w:eastAsia="zh-CN"/>
                    </w:rPr>
                    <w:t>熔炼</w:t>
                  </w:r>
                </w:p>
              </w:tc>
              <w:tc>
                <w:tcPr>
                  <w:tcW w:w="396" w:type="dxa"/>
                  <w:vMerge w:val="restart"/>
                  <w:tcBorders>
                    <w:tl2br w:val="nil"/>
                    <w:tr2bl w:val="nil"/>
                  </w:tcBorders>
                  <w:noWrap w:val="0"/>
                  <w:vAlign w:val="center"/>
                </w:tcPr>
                <w:p w14:paraId="7A04EF37">
                  <w:pPr>
                    <w:jc w:val="center"/>
                    <w:rPr>
                      <w:rFonts w:hint="default" w:ascii="Times New Roman" w:hAnsi="Times New Roman" w:eastAsia="宋体" w:cs="Times New Roman"/>
                      <w:u w:val="single"/>
                      <w:lang w:val="en-US" w:eastAsia="zh-CN"/>
                    </w:rPr>
                  </w:pPr>
                  <w:r>
                    <w:rPr>
                      <w:rFonts w:hint="eastAsia" w:cs="Times New Roman"/>
                      <w:u w:val="single"/>
                      <w:lang w:val="en-US" w:eastAsia="zh-CN"/>
                    </w:rPr>
                    <w:t>颗粒物</w:t>
                  </w:r>
                </w:p>
              </w:tc>
              <w:tc>
                <w:tcPr>
                  <w:tcW w:w="510" w:type="dxa"/>
                  <w:tcBorders>
                    <w:tl2br w:val="nil"/>
                    <w:tr2bl w:val="nil"/>
                  </w:tcBorders>
                  <w:noWrap w:val="0"/>
                  <w:vAlign w:val="center"/>
                </w:tcPr>
                <w:p w14:paraId="4BD87D5F">
                  <w:pPr>
                    <w:jc w:val="center"/>
                    <w:rPr>
                      <w:rFonts w:hint="default" w:ascii="Times New Roman" w:hAnsi="Times New Roman" w:eastAsia="宋体" w:cs="Times New Roman"/>
                      <w:u w:val="single"/>
                      <w:lang w:val="en-US" w:eastAsia="zh-CN"/>
                    </w:rPr>
                  </w:pPr>
                  <w:r>
                    <w:rPr>
                      <w:rFonts w:hint="eastAsia" w:cs="Times New Roman"/>
                      <w:u w:val="single"/>
                      <w:lang w:val="en-US" w:eastAsia="zh-CN"/>
                    </w:rPr>
                    <w:t>12000</w:t>
                  </w:r>
                </w:p>
              </w:tc>
              <w:tc>
                <w:tcPr>
                  <w:tcW w:w="449" w:type="dxa"/>
                  <w:tcBorders>
                    <w:tl2br w:val="nil"/>
                    <w:tr2bl w:val="nil"/>
                  </w:tcBorders>
                  <w:noWrap w:val="0"/>
                  <w:vAlign w:val="center"/>
                </w:tcPr>
                <w:p w14:paraId="71F27C6C">
                  <w:pPr>
                    <w:jc w:val="center"/>
                    <w:rPr>
                      <w:rFonts w:hint="eastAsia" w:cs="Times New Roman"/>
                      <w:u w:val="single"/>
                      <w:lang w:val="en-US" w:eastAsia="zh-CN"/>
                    </w:rPr>
                  </w:pPr>
                  <w:r>
                    <w:rPr>
                      <w:rFonts w:hint="eastAsia" w:cs="Times New Roman"/>
                      <w:u w:val="single"/>
                      <w:lang w:val="en-US" w:eastAsia="zh-CN"/>
                    </w:rPr>
                    <w:t>有组织</w:t>
                  </w:r>
                </w:p>
              </w:tc>
              <w:tc>
                <w:tcPr>
                  <w:tcW w:w="817" w:type="dxa"/>
                  <w:tcBorders>
                    <w:tl2br w:val="nil"/>
                    <w:tr2bl w:val="nil"/>
                  </w:tcBorders>
                  <w:noWrap w:val="0"/>
                  <w:vAlign w:val="center"/>
                </w:tcPr>
                <w:p w14:paraId="44B5FE74">
                  <w:pPr>
                    <w:jc w:val="center"/>
                    <w:rPr>
                      <w:rFonts w:hint="default" w:ascii="Times New Roman" w:hAnsi="Times New Roman" w:eastAsia="宋体" w:cs="Times New Roman"/>
                      <w:u w:val="single"/>
                      <w:lang w:val="en-US" w:eastAsia="zh-CN"/>
                    </w:rPr>
                  </w:pPr>
                  <w:r>
                    <w:rPr>
                      <w:rFonts w:hint="eastAsia" w:cs="Times New Roman"/>
                      <w:u w:val="single"/>
                      <w:lang w:val="en-US" w:eastAsia="zh-CN"/>
                    </w:rPr>
                    <w:t>85.76</w:t>
                  </w:r>
                </w:p>
              </w:tc>
              <w:tc>
                <w:tcPr>
                  <w:tcW w:w="714" w:type="dxa"/>
                  <w:tcBorders>
                    <w:tl2br w:val="nil"/>
                    <w:tr2bl w:val="nil"/>
                  </w:tcBorders>
                  <w:noWrap w:val="0"/>
                  <w:vAlign w:val="center"/>
                </w:tcPr>
                <w:p w14:paraId="193DD203">
                  <w:pPr>
                    <w:jc w:val="center"/>
                    <w:rPr>
                      <w:rFonts w:hint="default" w:ascii="Times New Roman" w:hAnsi="Times New Roman" w:eastAsia="宋体" w:cs="Times New Roman"/>
                      <w:u w:val="single"/>
                      <w:lang w:val="en-US" w:eastAsia="zh-CN"/>
                    </w:rPr>
                  </w:pPr>
                  <w:r>
                    <w:rPr>
                      <w:rFonts w:hint="eastAsia" w:cs="Times New Roman"/>
                      <w:u w:val="single"/>
                      <w:lang w:val="en-US" w:eastAsia="zh-CN"/>
                    </w:rPr>
                    <w:t>1.03</w:t>
                  </w:r>
                </w:p>
              </w:tc>
              <w:tc>
                <w:tcPr>
                  <w:tcW w:w="604" w:type="dxa"/>
                  <w:tcBorders>
                    <w:tl2br w:val="nil"/>
                    <w:tr2bl w:val="nil"/>
                  </w:tcBorders>
                  <w:noWrap w:val="0"/>
                  <w:vAlign w:val="center"/>
                </w:tcPr>
                <w:p w14:paraId="3657A1BE">
                  <w:pPr>
                    <w:jc w:val="center"/>
                    <w:rPr>
                      <w:rFonts w:hint="default" w:ascii="Times New Roman" w:hAnsi="Times New Roman" w:eastAsia="宋体" w:cs="Times New Roman"/>
                      <w:u w:val="single"/>
                      <w:lang w:val="en-US" w:eastAsia="zh-CN"/>
                    </w:rPr>
                  </w:pPr>
                  <w:r>
                    <w:rPr>
                      <w:rFonts w:hint="eastAsia" w:cs="Times New Roman"/>
                      <w:u w:val="single"/>
                      <w:lang w:val="en-US" w:eastAsia="zh-CN"/>
                    </w:rPr>
                    <w:t>2.5866</w:t>
                  </w:r>
                </w:p>
              </w:tc>
              <w:tc>
                <w:tcPr>
                  <w:tcW w:w="929" w:type="dxa"/>
                  <w:tcBorders>
                    <w:tl2br w:val="nil"/>
                    <w:tr2bl w:val="nil"/>
                  </w:tcBorders>
                  <w:noWrap w:val="0"/>
                  <w:vAlign w:val="center"/>
                </w:tcPr>
                <w:p w14:paraId="5CA47EC6">
                  <w:pPr>
                    <w:jc w:val="center"/>
                    <w:rPr>
                      <w:rFonts w:hint="default" w:ascii="Times New Roman" w:hAnsi="Times New Roman" w:eastAsia="宋体" w:cs="Times New Roman"/>
                      <w:u w:val="single"/>
                      <w:lang w:val="en-US" w:eastAsia="zh-CN"/>
                    </w:rPr>
                  </w:pPr>
                  <w:r>
                    <w:rPr>
                      <w:rFonts w:hint="eastAsia" w:cs="Times New Roman"/>
                      <w:u w:val="single"/>
                      <w:lang w:val="en-US" w:eastAsia="zh-CN"/>
                    </w:rPr>
                    <w:t>脉冲布袋</w:t>
                  </w:r>
                  <w:r>
                    <w:rPr>
                      <w:rFonts w:hint="eastAsia" w:ascii="Times New Roman" w:hAnsi="Times New Roman" w:eastAsia="宋体" w:cs="Times New Roman"/>
                      <w:u w:val="single"/>
                      <w:lang w:val="en-US" w:eastAsia="zh-CN"/>
                    </w:rPr>
                    <w:t>除尘器</w:t>
                  </w:r>
                  <w:r>
                    <w:rPr>
                      <w:rFonts w:hint="default" w:ascii="Times New Roman" w:hAnsi="Times New Roman" w:eastAsia="宋体" w:cs="Times New Roman"/>
                      <w:u w:val="single"/>
                      <w:lang w:val="en-US" w:eastAsia="zh-CN"/>
                    </w:rPr>
                    <w:t>+15m高排气筒</w:t>
                  </w:r>
                </w:p>
              </w:tc>
              <w:tc>
                <w:tcPr>
                  <w:tcW w:w="828" w:type="dxa"/>
                  <w:tcBorders>
                    <w:tl2br w:val="nil"/>
                    <w:tr2bl w:val="nil"/>
                  </w:tcBorders>
                  <w:noWrap w:val="0"/>
                  <w:vAlign w:val="center"/>
                </w:tcPr>
                <w:p w14:paraId="47F94D1E">
                  <w:pPr>
                    <w:jc w:val="center"/>
                    <w:rPr>
                      <w:rFonts w:hint="default" w:ascii="Times New Roman" w:hAnsi="Times New Roman" w:eastAsia="宋体" w:cs="Times New Roman"/>
                      <w:u w:val="single"/>
                      <w:lang w:val="en-US" w:eastAsia="zh-CN"/>
                    </w:rPr>
                  </w:pPr>
                  <w:r>
                    <w:rPr>
                      <w:rFonts w:hint="eastAsia" w:cs="Times New Roman"/>
                      <w:u w:val="single"/>
                      <w:lang w:val="en-US" w:eastAsia="zh-CN"/>
                    </w:rPr>
                    <w:t>99.8</w:t>
                  </w:r>
                </w:p>
              </w:tc>
              <w:tc>
                <w:tcPr>
                  <w:tcW w:w="848" w:type="dxa"/>
                  <w:tcBorders>
                    <w:tl2br w:val="nil"/>
                    <w:tr2bl w:val="nil"/>
                  </w:tcBorders>
                  <w:noWrap w:val="0"/>
                  <w:vAlign w:val="center"/>
                </w:tcPr>
                <w:p w14:paraId="585506B9">
                  <w:pPr>
                    <w:jc w:val="center"/>
                    <w:rPr>
                      <w:rFonts w:hint="default" w:ascii="Times New Roman" w:hAnsi="Times New Roman" w:eastAsia="宋体" w:cs="Times New Roman"/>
                      <w:u w:val="single"/>
                      <w:lang w:val="en-US" w:eastAsia="zh-CN"/>
                    </w:rPr>
                  </w:pPr>
                  <w:r>
                    <w:rPr>
                      <w:rFonts w:hint="eastAsia" w:cs="Times New Roman"/>
                      <w:u w:val="single"/>
                      <w:lang w:val="en-US" w:eastAsia="zh-CN"/>
                    </w:rPr>
                    <w:t>0.17</w:t>
                  </w:r>
                </w:p>
              </w:tc>
              <w:tc>
                <w:tcPr>
                  <w:tcW w:w="603" w:type="dxa"/>
                  <w:tcBorders>
                    <w:tl2br w:val="nil"/>
                    <w:tr2bl w:val="nil"/>
                  </w:tcBorders>
                  <w:noWrap w:val="0"/>
                  <w:vAlign w:val="center"/>
                </w:tcPr>
                <w:p w14:paraId="65565E93">
                  <w:pPr>
                    <w:jc w:val="center"/>
                    <w:rPr>
                      <w:rFonts w:hint="default" w:ascii="Times New Roman" w:hAnsi="Times New Roman" w:eastAsia="宋体" w:cs="Times New Roman"/>
                      <w:u w:val="single"/>
                      <w:lang w:val="en-US" w:eastAsia="zh-CN"/>
                    </w:rPr>
                  </w:pPr>
                  <w:r>
                    <w:rPr>
                      <w:rFonts w:hint="eastAsia" w:cs="Times New Roman"/>
                      <w:u w:val="single"/>
                      <w:lang w:val="en-US" w:eastAsia="zh-CN"/>
                    </w:rPr>
                    <w:t>0.0021</w:t>
                  </w:r>
                </w:p>
              </w:tc>
              <w:tc>
                <w:tcPr>
                  <w:tcW w:w="587" w:type="dxa"/>
                  <w:tcBorders>
                    <w:tl2br w:val="nil"/>
                    <w:tr2bl w:val="nil"/>
                  </w:tcBorders>
                  <w:noWrap w:val="0"/>
                  <w:vAlign w:val="center"/>
                </w:tcPr>
                <w:p w14:paraId="015B135A">
                  <w:pPr>
                    <w:jc w:val="center"/>
                    <w:rPr>
                      <w:rFonts w:hint="default" w:ascii="Times New Roman" w:hAnsi="Times New Roman" w:eastAsia="宋体" w:cs="Times New Roman"/>
                      <w:sz w:val="20"/>
                      <w:szCs w:val="20"/>
                      <w:u w:val="single"/>
                      <w:lang w:val="en-US" w:eastAsia="zh-CN"/>
                    </w:rPr>
                  </w:pPr>
                  <w:r>
                    <w:rPr>
                      <w:rFonts w:hint="eastAsia" w:eastAsia="宋体" w:cs="Times New Roman"/>
                      <w:sz w:val="20"/>
                      <w:szCs w:val="20"/>
                      <w:u w:val="single"/>
                      <w:lang w:val="en-US" w:eastAsia="zh-CN"/>
                    </w:rPr>
                    <w:t>0.005</w:t>
                  </w:r>
                </w:p>
              </w:tc>
            </w:tr>
            <w:tr w14:paraId="00F94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411" w:type="dxa"/>
                  <w:vMerge w:val="continue"/>
                  <w:tcBorders>
                    <w:tl2br w:val="nil"/>
                    <w:tr2bl w:val="nil"/>
                  </w:tcBorders>
                  <w:noWrap w:val="0"/>
                  <w:vAlign w:val="center"/>
                </w:tcPr>
                <w:p w14:paraId="612DFA6E">
                  <w:pPr>
                    <w:jc w:val="center"/>
                    <w:rPr>
                      <w:rFonts w:hint="eastAsia" w:cs="Times New Roman"/>
                      <w:u w:val="single"/>
                      <w:lang w:val="en-US" w:eastAsia="zh-CN"/>
                    </w:rPr>
                  </w:pPr>
                </w:p>
              </w:tc>
              <w:tc>
                <w:tcPr>
                  <w:tcW w:w="396" w:type="dxa"/>
                  <w:vMerge w:val="continue"/>
                  <w:tcBorders>
                    <w:tl2br w:val="nil"/>
                    <w:tr2bl w:val="nil"/>
                  </w:tcBorders>
                  <w:noWrap w:val="0"/>
                  <w:vAlign w:val="center"/>
                </w:tcPr>
                <w:p w14:paraId="1BD2B9BE">
                  <w:pPr>
                    <w:jc w:val="center"/>
                    <w:rPr>
                      <w:rFonts w:hint="eastAsia" w:cs="Times New Roman"/>
                      <w:u w:val="single"/>
                      <w:lang w:val="en-US" w:eastAsia="zh-CN"/>
                    </w:rPr>
                  </w:pPr>
                </w:p>
              </w:tc>
              <w:tc>
                <w:tcPr>
                  <w:tcW w:w="510" w:type="dxa"/>
                  <w:tcBorders>
                    <w:tl2br w:val="nil"/>
                    <w:tr2bl w:val="nil"/>
                  </w:tcBorders>
                  <w:noWrap w:val="0"/>
                  <w:vAlign w:val="center"/>
                </w:tcPr>
                <w:p w14:paraId="7D559A9D">
                  <w:pPr>
                    <w:jc w:val="center"/>
                    <w:rPr>
                      <w:rFonts w:hint="eastAsia" w:cs="Times New Roman"/>
                      <w:u w:val="single"/>
                      <w:lang w:val="en-US" w:eastAsia="zh-CN"/>
                    </w:rPr>
                  </w:pPr>
                  <w:r>
                    <w:rPr>
                      <w:rFonts w:hint="eastAsia" w:cs="Times New Roman"/>
                      <w:u w:val="single"/>
                      <w:lang w:val="en-US" w:eastAsia="zh-CN"/>
                    </w:rPr>
                    <w:t>/</w:t>
                  </w:r>
                </w:p>
              </w:tc>
              <w:tc>
                <w:tcPr>
                  <w:tcW w:w="449" w:type="dxa"/>
                  <w:tcBorders>
                    <w:tl2br w:val="nil"/>
                    <w:tr2bl w:val="nil"/>
                  </w:tcBorders>
                  <w:noWrap w:val="0"/>
                  <w:vAlign w:val="center"/>
                </w:tcPr>
                <w:p w14:paraId="689935A5">
                  <w:pPr>
                    <w:jc w:val="center"/>
                    <w:rPr>
                      <w:rFonts w:hint="default" w:cs="Times New Roman"/>
                      <w:u w:val="single"/>
                      <w:lang w:val="en-US" w:eastAsia="zh-CN"/>
                    </w:rPr>
                  </w:pPr>
                  <w:r>
                    <w:rPr>
                      <w:rFonts w:hint="eastAsia" w:cs="Times New Roman"/>
                      <w:u w:val="single"/>
                      <w:lang w:val="en-US" w:eastAsia="zh-CN"/>
                    </w:rPr>
                    <w:t>无组织</w:t>
                  </w:r>
                </w:p>
              </w:tc>
              <w:tc>
                <w:tcPr>
                  <w:tcW w:w="817" w:type="dxa"/>
                  <w:tcBorders>
                    <w:tl2br w:val="nil"/>
                    <w:tr2bl w:val="nil"/>
                  </w:tcBorders>
                  <w:noWrap w:val="0"/>
                  <w:vAlign w:val="center"/>
                </w:tcPr>
                <w:p w14:paraId="4F1882F1">
                  <w:pPr>
                    <w:jc w:val="center"/>
                    <w:rPr>
                      <w:rFonts w:hint="default" w:cs="Times New Roman"/>
                      <w:u w:val="single"/>
                      <w:lang w:val="en-US" w:eastAsia="zh-CN"/>
                    </w:rPr>
                  </w:pPr>
                  <w:r>
                    <w:rPr>
                      <w:rFonts w:hint="eastAsia" w:cs="Times New Roman"/>
                      <w:u w:val="single"/>
                      <w:lang w:val="en-US" w:eastAsia="zh-CN"/>
                    </w:rPr>
                    <w:t>/</w:t>
                  </w:r>
                </w:p>
              </w:tc>
              <w:tc>
                <w:tcPr>
                  <w:tcW w:w="714" w:type="dxa"/>
                  <w:tcBorders>
                    <w:tl2br w:val="nil"/>
                    <w:tr2bl w:val="nil"/>
                  </w:tcBorders>
                  <w:noWrap w:val="0"/>
                  <w:vAlign w:val="center"/>
                </w:tcPr>
                <w:p w14:paraId="73942692">
                  <w:pPr>
                    <w:jc w:val="center"/>
                    <w:rPr>
                      <w:rFonts w:hint="default" w:cs="Times New Roman"/>
                      <w:u w:val="single"/>
                      <w:lang w:val="en-US" w:eastAsia="zh-CN"/>
                    </w:rPr>
                  </w:pPr>
                  <w:r>
                    <w:rPr>
                      <w:rFonts w:hint="eastAsia" w:cs="Times New Roman"/>
                      <w:u w:val="single"/>
                      <w:lang w:val="en-US" w:eastAsia="zh-CN"/>
                    </w:rPr>
                    <w:t>0.115</w:t>
                  </w:r>
                </w:p>
              </w:tc>
              <w:tc>
                <w:tcPr>
                  <w:tcW w:w="604" w:type="dxa"/>
                  <w:tcBorders>
                    <w:tl2br w:val="nil"/>
                    <w:tr2bl w:val="nil"/>
                  </w:tcBorders>
                  <w:noWrap w:val="0"/>
                  <w:vAlign w:val="center"/>
                </w:tcPr>
                <w:p w14:paraId="53C7FF85">
                  <w:pPr>
                    <w:jc w:val="center"/>
                    <w:rPr>
                      <w:rFonts w:hint="default" w:cs="Times New Roman"/>
                      <w:u w:val="single"/>
                      <w:lang w:val="en-US" w:eastAsia="zh-CN"/>
                    </w:rPr>
                  </w:pPr>
                  <w:r>
                    <w:rPr>
                      <w:rFonts w:hint="eastAsia" w:cs="Times New Roman"/>
                      <w:u w:val="single"/>
                      <w:lang w:val="en-US" w:eastAsia="zh-CN"/>
                    </w:rPr>
                    <w:t>0.2874</w:t>
                  </w:r>
                </w:p>
              </w:tc>
              <w:tc>
                <w:tcPr>
                  <w:tcW w:w="929" w:type="dxa"/>
                  <w:tcBorders>
                    <w:tl2br w:val="nil"/>
                    <w:tr2bl w:val="nil"/>
                  </w:tcBorders>
                  <w:noWrap w:val="0"/>
                  <w:vAlign w:val="center"/>
                </w:tcPr>
                <w:p w14:paraId="2EC596EF">
                  <w:pPr>
                    <w:jc w:val="center"/>
                    <w:rPr>
                      <w:rFonts w:hint="default" w:cs="Times New Roman"/>
                      <w:u w:val="single"/>
                      <w:lang w:val="en-US" w:eastAsia="zh-CN"/>
                    </w:rPr>
                  </w:pPr>
                  <w:r>
                    <w:rPr>
                      <w:rFonts w:hint="eastAsia" w:cs="Times New Roman"/>
                      <w:u w:val="single"/>
                      <w:lang w:val="en-US" w:eastAsia="zh-CN"/>
                    </w:rPr>
                    <w:t>/</w:t>
                  </w:r>
                </w:p>
              </w:tc>
              <w:tc>
                <w:tcPr>
                  <w:tcW w:w="828" w:type="dxa"/>
                  <w:tcBorders>
                    <w:tl2br w:val="nil"/>
                    <w:tr2bl w:val="nil"/>
                  </w:tcBorders>
                  <w:noWrap w:val="0"/>
                  <w:vAlign w:val="center"/>
                </w:tcPr>
                <w:p w14:paraId="28F61626">
                  <w:pPr>
                    <w:jc w:val="center"/>
                    <w:rPr>
                      <w:rFonts w:hint="default" w:cs="Times New Roman"/>
                      <w:u w:val="single"/>
                      <w:lang w:val="en-US" w:eastAsia="zh-CN"/>
                    </w:rPr>
                  </w:pPr>
                  <w:r>
                    <w:rPr>
                      <w:rFonts w:hint="eastAsia" w:cs="Times New Roman"/>
                      <w:u w:val="single"/>
                      <w:lang w:val="en-US" w:eastAsia="zh-CN"/>
                    </w:rPr>
                    <w:t>/</w:t>
                  </w:r>
                </w:p>
              </w:tc>
              <w:tc>
                <w:tcPr>
                  <w:tcW w:w="848" w:type="dxa"/>
                  <w:tcBorders>
                    <w:tl2br w:val="nil"/>
                    <w:tr2bl w:val="nil"/>
                  </w:tcBorders>
                  <w:noWrap w:val="0"/>
                  <w:vAlign w:val="center"/>
                </w:tcPr>
                <w:p w14:paraId="7BC8B2C6">
                  <w:pPr>
                    <w:jc w:val="center"/>
                    <w:rPr>
                      <w:rFonts w:hint="default" w:cs="Times New Roman"/>
                      <w:u w:val="single"/>
                      <w:lang w:val="en-US" w:eastAsia="zh-CN"/>
                    </w:rPr>
                  </w:pPr>
                  <w:r>
                    <w:rPr>
                      <w:rFonts w:hint="eastAsia" w:cs="Times New Roman"/>
                      <w:u w:val="single"/>
                      <w:lang w:val="en-US" w:eastAsia="zh-CN"/>
                    </w:rPr>
                    <w:t>/</w:t>
                  </w:r>
                </w:p>
              </w:tc>
              <w:tc>
                <w:tcPr>
                  <w:tcW w:w="603" w:type="dxa"/>
                  <w:tcBorders>
                    <w:tl2br w:val="nil"/>
                    <w:tr2bl w:val="nil"/>
                  </w:tcBorders>
                  <w:noWrap w:val="0"/>
                  <w:vAlign w:val="center"/>
                </w:tcPr>
                <w:p w14:paraId="53311AFD">
                  <w:pPr>
                    <w:jc w:val="center"/>
                    <w:rPr>
                      <w:rFonts w:hint="default" w:cs="Times New Roman"/>
                      <w:u w:val="single"/>
                      <w:lang w:val="en-US" w:eastAsia="zh-CN"/>
                    </w:rPr>
                  </w:pPr>
                  <w:r>
                    <w:rPr>
                      <w:rFonts w:hint="eastAsia" w:cs="Times New Roman"/>
                      <w:u w:val="single"/>
                      <w:lang w:val="en-US" w:eastAsia="zh-CN"/>
                    </w:rPr>
                    <w:t>0.115</w:t>
                  </w:r>
                </w:p>
              </w:tc>
              <w:tc>
                <w:tcPr>
                  <w:tcW w:w="587" w:type="dxa"/>
                  <w:tcBorders>
                    <w:tl2br w:val="nil"/>
                    <w:tr2bl w:val="nil"/>
                  </w:tcBorders>
                  <w:noWrap w:val="0"/>
                  <w:vAlign w:val="center"/>
                </w:tcPr>
                <w:p w14:paraId="248A164B">
                  <w:pPr>
                    <w:jc w:val="center"/>
                    <w:rPr>
                      <w:rFonts w:hint="eastAsia" w:eastAsia="宋体" w:cs="Times New Roman"/>
                      <w:sz w:val="20"/>
                      <w:szCs w:val="20"/>
                      <w:u w:val="single"/>
                      <w:lang w:val="en-US" w:eastAsia="zh-CN"/>
                    </w:rPr>
                  </w:pPr>
                  <w:r>
                    <w:rPr>
                      <w:rFonts w:hint="eastAsia" w:cs="Times New Roman"/>
                      <w:u w:val="single"/>
                      <w:lang w:val="en-US" w:eastAsia="zh-CN"/>
                    </w:rPr>
                    <w:t>0.2874</w:t>
                  </w:r>
                </w:p>
              </w:tc>
            </w:tr>
          </w:tbl>
          <w:p w14:paraId="74993D1B">
            <w:pPr>
              <w:numPr>
                <w:ilvl w:val="0"/>
                <w:numId w:val="0"/>
              </w:numPr>
              <w:tabs>
                <w:tab w:val="left" w:pos="1440"/>
                <w:tab w:val="left" w:pos="1800"/>
              </w:tabs>
              <w:spacing w:line="360" w:lineRule="auto"/>
              <w:ind w:firstLine="361" w:firstLineChars="150"/>
              <w:rPr>
                <w:rFonts w:hint="eastAsia"/>
                <w:b/>
                <w:bCs/>
                <w:sz w:val="24"/>
                <w:szCs w:val="24"/>
                <w:u w:val="single"/>
                <w:lang w:val="en-US" w:eastAsia="zh-CN"/>
              </w:rPr>
            </w:pPr>
            <w:r>
              <w:rPr>
                <w:rFonts w:hint="eastAsia" w:ascii="Times New Roman" w:hAnsi="Times New Roman" w:eastAsia="宋体" w:cs="Times New Roman"/>
                <w:b/>
                <w:bCs/>
                <w:kern w:val="2"/>
                <w:sz w:val="24"/>
                <w:szCs w:val="24"/>
                <w:u w:val="single"/>
                <w:lang w:val="en-US" w:eastAsia="zh-CN" w:bidi="ar-SA"/>
              </w:rPr>
              <w:t>（</w:t>
            </w:r>
            <w:r>
              <w:rPr>
                <w:rFonts w:hint="eastAsia" w:cs="Times New Roman"/>
                <w:b/>
                <w:bCs/>
                <w:kern w:val="2"/>
                <w:sz w:val="24"/>
                <w:szCs w:val="24"/>
                <w:u w:val="single"/>
                <w:lang w:val="en-US" w:eastAsia="zh-CN" w:bidi="ar-SA"/>
              </w:rPr>
              <w:t>2</w:t>
            </w:r>
            <w:r>
              <w:rPr>
                <w:rFonts w:hint="eastAsia" w:ascii="Times New Roman" w:hAnsi="Times New Roman" w:eastAsia="宋体" w:cs="Times New Roman"/>
                <w:b/>
                <w:bCs/>
                <w:kern w:val="2"/>
                <w:sz w:val="24"/>
                <w:szCs w:val="24"/>
                <w:u w:val="single"/>
                <w:lang w:val="en-US" w:eastAsia="zh-CN" w:bidi="ar-SA"/>
              </w:rPr>
              <w:t>）</w:t>
            </w:r>
            <w:r>
              <w:rPr>
                <w:rFonts w:hint="eastAsia" w:cs="Times New Roman"/>
                <w:b/>
                <w:bCs/>
                <w:kern w:val="2"/>
                <w:sz w:val="24"/>
                <w:szCs w:val="24"/>
                <w:u w:val="single"/>
                <w:lang w:val="en-US" w:eastAsia="zh-CN" w:bidi="ar-SA"/>
              </w:rPr>
              <w:t>混砂</w:t>
            </w:r>
            <w:r>
              <w:rPr>
                <w:rFonts w:hint="eastAsia"/>
                <w:b/>
                <w:bCs/>
                <w:sz w:val="24"/>
                <w:szCs w:val="24"/>
                <w:u w:val="single"/>
                <w:lang w:val="en-US" w:eastAsia="zh-CN"/>
              </w:rPr>
              <w:t>废气</w:t>
            </w:r>
          </w:p>
          <w:p w14:paraId="49BB7EF6">
            <w:pPr>
              <w:spacing w:line="360" w:lineRule="auto"/>
              <w:ind w:firstLine="480" w:firstLineChars="200"/>
              <w:rPr>
                <w:rFonts w:hint="default" w:ascii="Times New Roman" w:hAnsi="Times New Roman" w:eastAsia="宋体" w:cs="Times New Roman"/>
                <w:kern w:val="0"/>
                <w:sz w:val="24"/>
                <w:highlight w:val="none"/>
                <w:u w:val="single"/>
                <w:shd w:val="clear"/>
                <w:lang w:val="en-US" w:eastAsia="zh-CN"/>
              </w:rPr>
            </w:pPr>
            <w:r>
              <w:rPr>
                <w:rFonts w:hint="eastAsia"/>
                <w:sz w:val="24"/>
                <w:u w:val="single"/>
                <w:lang w:val="en-US" w:eastAsia="zh-CN"/>
              </w:rPr>
              <w:t>粘土砂造型过程混砂工序会产生颗粒物，参考《排放源统计调查产排污核算方法和系数手册2021》（生态环境部）中的“机械行业产排污量核算系数手册（33）”中“铸造”工艺中使用</w:t>
            </w:r>
            <w:r>
              <w:rPr>
                <w:rFonts w:ascii="宋体" w:hAnsi="宋体" w:eastAsia="宋体" w:cs="宋体"/>
                <w:sz w:val="24"/>
                <w:szCs w:val="24"/>
                <w:u w:val="single"/>
              </w:rPr>
              <w:t>原砂、再生砂、水、膨润土、煤粉、其他辅助材料</w:t>
            </w:r>
            <w:r>
              <w:rPr>
                <w:rFonts w:hint="eastAsia"/>
                <w:sz w:val="24"/>
                <w:u w:val="single"/>
                <w:lang w:val="en-US" w:eastAsia="zh-CN"/>
              </w:rPr>
              <w:t>等进行砂处理的产污系数：颗粒物17.2kg/t-产品，本项目年产</w:t>
            </w:r>
            <w:r>
              <w:rPr>
                <w:rFonts w:hint="eastAsia"/>
                <w:sz w:val="24"/>
                <w:u w:val="single"/>
              </w:rPr>
              <w:t>汽车制动盘、皮带轮、风叶轮等</w:t>
            </w:r>
            <w:r>
              <w:rPr>
                <w:rFonts w:hint="eastAsia"/>
                <w:sz w:val="24"/>
                <w:u w:val="single"/>
                <w:lang w:val="en-US" w:eastAsia="zh-CN"/>
              </w:rPr>
              <w:t>6000t，则混砂工序产生的颗粒物总量约为103.2ta。</w:t>
            </w:r>
            <w:r>
              <w:rPr>
                <w:rFonts w:hint="eastAsia"/>
                <w:sz w:val="24"/>
                <w:highlight w:val="none"/>
                <w:u w:val="single"/>
                <w:lang w:val="en-US" w:eastAsia="zh-CN"/>
              </w:rPr>
              <w:t>混砂机密闭运行并设置集气管道对混砂颗粒物进行收集（收集效率98%），</w:t>
            </w:r>
            <w:r>
              <w:rPr>
                <w:rFonts w:hint="eastAsia"/>
                <w:sz w:val="24"/>
                <w:highlight w:val="none"/>
                <w:u w:val="single"/>
              </w:rPr>
              <w:t>收集后经布袋除尘器</w:t>
            </w:r>
            <w:r>
              <w:rPr>
                <w:rFonts w:hint="eastAsia"/>
                <w:sz w:val="24"/>
                <w:highlight w:val="none"/>
                <w:u w:val="single"/>
                <w:lang w:val="en-US" w:eastAsia="zh-CN"/>
              </w:rPr>
              <w:t>（TA003，</w:t>
            </w:r>
            <w:r>
              <w:rPr>
                <w:rFonts w:hint="eastAsia"/>
                <w:sz w:val="24"/>
                <w:highlight w:val="none"/>
                <w:u w:val="single"/>
                <w:shd w:val="clear"/>
                <w:lang w:val="en-US" w:eastAsia="zh-CN"/>
              </w:rPr>
              <w:t>除尘效率99.8%）</w:t>
            </w:r>
            <w:r>
              <w:rPr>
                <w:rFonts w:hint="eastAsia"/>
                <w:sz w:val="24"/>
                <w:highlight w:val="none"/>
                <w:u w:val="single"/>
                <w:shd w:val="clear"/>
              </w:rPr>
              <w:t>处理</w:t>
            </w:r>
            <w:r>
              <w:rPr>
                <w:rFonts w:hint="eastAsia"/>
                <w:sz w:val="24"/>
                <w:highlight w:val="none"/>
                <w:u w:val="single"/>
                <w:shd w:val="clear"/>
                <w:lang w:val="en-US" w:eastAsia="zh-CN"/>
              </w:rPr>
              <w:t>后通过</w:t>
            </w:r>
            <w:r>
              <w:rPr>
                <w:rFonts w:hint="eastAsia"/>
                <w:sz w:val="24"/>
                <w:highlight w:val="none"/>
                <w:u w:val="single"/>
                <w:shd w:val="clear"/>
              </w:rPr>
              <w:t>15m高排气筒</w:t>
            </w:r>
            <w:r>
              <w:rPr>
                <w:rFonts w:hint="eastAsia"/>
                <w:sz w:val="24"/>
                <w:highlight w:val="none"/>
                <w:u w:val="single"/>
                <w:shd w:val="clear"/>
                <w:lang w:eastAsia="zh-CN"/>
              </w:rPr>
              <w:t>（</w:t>
            </w:r>
            <w:r>
              <w:rPr>
                <w:rFonts w:hint="eastAsia"/>
                <w:sz w:val="24"/>
                <w:highlight w:val="none"/>
                <w:u w:val="single"/>
                <w:shd w:val="clear"/>
                <w:lang w:val="en-US" w:eastAsia="zh-CN"/>
              </w:rPr>
              <w:t>DA002）</w:t>
            </w:r>
            <w:r>
              <w:rPr>
                <w:rFonts w:hint="eastAsia"/>
                <w:sz w:val="24"/>
                <w:highlight w:val="none"/>
                <w:u w:val="single"/>
                <w:shd w:val="clear"/>
              </w:rPr>
              <w:t>排放</w:t>
            </w:r>
            <w:r>
              <w:rPr>
                <w:rFonts w:hint="eastAsia"/>
                <w:sz w:val="24"/>
                <w:highlight w:val="none"/>
                <w:u w:val="single"/>
                <w:shd w:val="clear"/>
                <w:lang w:eastAsia="zh-CN"/>
              </w:rPr>
              <w:t>，</w:t>
            </w:r>
            <w:r>
              <w:rPr>
                <w:rFonts w:hint="eastAsia" w:ascii="Times New Roman" w:hAnsi="Times New Roman" w:eastAsia="宋体" w:cs="Times New Roman"/>
                <w:kern w:val="0"/>
                <w:sz w:val="24"/>
                <w:highlight w:val="none"/>
                <w:u w:val="single"/>
                <w:shd w:val="clear"/>
                <w:lang w:val="en-US" w:eastAsia="zh-CN"/>
              </w:rPr>
              <w:t>风机风量取</w:t>
            </w:r>
            <w:r>
              <w:rPr>
                <w:rFonts w:hint="eastAsia" w:cs="Times New Roman"/>
                <w:kern w:val="0"/>
                <w:sz w:val="24"/>
                <w:highlight w:val="none"/>
                <w:u w:val="single"/>
                <w:shd w:val="clear"/>
                <w:lang w:val="en-US" w:eastAsia="zh-CN"/>
              </w:rPr>
              <w:t>16000</w:t>
            </w:r>
            <w:r>
              <w:rPr>
                <w:rFonts w:hint="default" w:ascii="Times New Roman" w:hAnsi="Times New Roman" w:eastAsia="宋体" w:cs="Times New Roman"/>
                <w:sz w:val="24"/>
                <w:szCs w:val="24"/>
                <w:highlight w:val="none"/>
                <w:u w:val="single"/>
                <w:shd w:val="clear"/>
                <w:lang w:val="en-US" w:eastAsia="zh-CN"/>
              </w:rPr>
              <w:t>m</w:t>
            </w:r>
            <w:r>
              <w:rPr>
                <w:rFonts w:hint="default" w:ascii="Times New Roman" w:hAnsi="Times New Roman" w:eastAsia="宋体" w:cs="Times New Roman"/>
                <w:sz w:val="24"/>
                <w:szCs w:val="24"/>
                <w:highlight w:val="none"/>
                <w:u w:val="single"/>
                <w:shd w:val="clear"/>
                <w:vertAlign w:val="superscript"/>
                <w:lang w:val="en-US" w:eastAsia="zh-CN"/>
              </w:rPr>
              <w:t>3</w:t>
            </w:r>
            <w:r>
              <w:rPr>
                <w:rFonts w:hint="default" w:ascii="Times New Roman" w:hAnsi="Times New Roman" w:eastAsia="宋体" w:cs="Times New Roman"/>
                <w:sz w:val="24"/>
                <w:szCs w:val="24"/>
                <w:highlight w:val="none"/>
                <w:u w:val="single"/>
                <w:shd w:val="clear"/>
                <w:lang w:val="en-US" w:eastAsia="zh-CN"/>
              </w:rPr>
              <w:t>/h</w:t>
            </w:r>
            <w:r>
              <w:rPr>
                <w:rFonts w:hint="eastAsia" w:cs="Times New Roman"/>
                <w:sz w:val="24"/>
                <w:szCs w:val="24"/>
                <w:highlight w:val="none"/>
                <w:u w:val="single"/>
                <w:shd w:val="clear"/>
                <w:lang w:val="en-US" w:eastAsia="zh-CN"/>
              </w:rPr>
              <w:t>，</w:t>
            </w:r>
            <w:r>
              <w:rPr>
                <w:rFonts w:hint="default" w:ascii="Times New Roman" w:hAnsi="Times New Roman" w:eastAsia="宋体" w:cs="Times New Roman"/>
                <w:kern w:val="0"/>
                <w:sz w:val="24"/>
                <w:highlight w:val="none"/>
                <w:u w:val="single"/>
                <w:shd w:val="clear"/>
                <w:lang w:val="en-US" w:eastAsia="zh-CN"/>
              </w:rPr>
              <w:t>则</w:t>
            </w:r>
            <w:r>
              <w:rPr>
                <w:rFonts w:hint="eastAsia" w:cs="Times New Roman"/>
                <w:kern w:val="0"/>
                <w:sz w:val="24"/>
                <w:highlight w:val="none"/>
                <w:u w:val="single"/>
                <w:shd w:val="clear"/>
                <w:lang w:val="en-US" w:eastAsia="zh-CN"/>
              </w:rPr>
              <w:t>混砂</w:t>
            </w:r>
            <w:r>
              <w:rPr>
                <w:rFonts w:hint="default" w:ascii="Times New Roman" w:hAnsi="Times New Roman" w:eastAsia="宋体" w:cs="Times New Roman"/>
                <w:kern w:val="0"/>
                <w:sz w:val="24"/>
                <w:highlight w:val="none"/>
                <w:u w:val="single"/>
                <w:shd w:val="clear"/>
                <w:lang w:val="en-US" w:eastAsia="zh-CN"/>
              </w:rPr>
              <w:t>废气产排情况详见表</w:t>
            </w:r>
            <w:r>
              <w:rPr>
                <w:rFonts w:hint="eastAsia" w:cs="Times New Roman"/>
                <w:kern w:val="0"/>
                <w:sz w:val="24"/>
                <w:highlight w:val="none"/>
                <w:u w:val="single"/>
                <w:shd w:val="clear"/>
                <w:lang w:val="en-US" w:eastAsia="zh-CN"/>
              </w:rPr>
              <w:t>4-2</w:t>
            </w:r>
            <w:r>
              <w:rPr>
                <w:rFonts w:hint="default" w:ascii="Times New Roman" w:hAnsi="Times New Roman" w:eastAsia="宋体" w:cs="Times New Roman"/>
                <w:kern w:val="0"/>
                <w:sz w:val="24"/>
                <w:highlight w:val="none"/>
                <w:u w:val="single"/>
                <w:shd w:val="clear"/>
                <w:lang w:val="en-US" w:eastAsia="zh-CN"/>
              </w:rPr>
              <w:t>。</w:t>
            </w:r>
          </w:p>
          <w:p w14:paraId="1E148503">
            <w:pPr>
              <w:jc w:val="center"/>
              <w:rPr>
                <w:rFonts w:hint="eastAsia"/>
                <w:b/>
                <w:u w:val="single"/>
                <w:lang w:val="en-US" w:eastAsia="zh-CN"/>
              </w:rPr>
            </w:pPr>
            <w:r>
              <w:rPr>
                <w:rFonts w:hint="eastAsia"/>
                <w:b/>
                <w:u w:val="single"/>
                <w:lang w:val="en-US" w:eastAsia="zh-CN"/>
              </w:rPr>
              <w:t>表4-2  混砂废气产排情况表</w:t>
            </w:r>
          </w:p>
          <w:tbl>
            <w:tblPr>
              <w:tblStyle w:val="38"/>
              <w:tblW w:w="76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
              <w:gridCol w:w="396"/>
              <w:gridCol w:w="510"/>
              <w:gridCol w:w="449"/>
              <w:gridCol w:w="817"/>
              <w:gridCol w:w="714"/>
              <w:gridCol w:w="604"/>
              <w:gridCol w:w="929"/>
              <w:gridCol w:w="828"/>
              <w:gridCol w:w="848"/>
              <w:gridCol w:w="603"/>
              <w:gridCol w:w="587"/>
            </w:tblGrid>
            <w:tr w14:paraId="31CFE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jc w:val="center"/>
              </w:trPr>
              <w:tc>
                <w:tcPr>
                  <w:tcW w:w="411" w:type="dxa"/>
                  <w:vMerge w:val="restart"/>
                  <w:tcBorders>
                    <w:tl2br w:val="nil"/>
                    <w:tr2bl w:val="nil"/>
                  </w:tcBorders>
                  <w:noWrap w:val="0"/>
                  <w:vAlign w:val="top"/>
                </w:tcPr>
                <w:p w14:paraId="22DE6737">
                  <w:pPr>
                    <w:jc w:val="center"/>
                    <w:rPr>
                      <w:rFonts w:hint="default" w:ascii="Times New Roman" w:hAnsi="Times New Roman" w:eastAsia="宋体" w:cs="Times New Roman"/>
                      <w:u w:val="single"/>
                      <w:lang w:val="en-US" w:eastAsia="zh-CN"/>
                    </w:rPr>
                  </w:pPr>
                </w:p>
                <w:p w14:paraId="7EACC5D5">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 源</w:t>
                  </w:r>
                </w:p>
              </w:tc>
              <w:tc>
                <w:tcPr>
                  <w:tcW w:w="396" w:type="dxa"/>
                  <w:vMerge w:val="restart"/>
                  <w:tcBorders>
                    <w:tl2br w:val="nil"/>
                    <w:tr2bl w:val="nil"/>
                  </w:tcBorders>
                  <w:noWrap w:val="0"/>
                  <w:vAlign w:val="top"/>
                </w:tcPr>
                <w:p w14:paraId="73FF6B50">
                  <w:pPr>
                    <w:jc w:val="center"/>
                    <w:rPr>
                      <w:rFonts w:hint="default" w:ascii="Times New Roman" w:hAnsi="Times New Roman" w:eastAsia="宋体" w:cs="Times New Roman"/>
                      <w:u w:val="single"/>
                      <w:lang w:val="en-US" w:eastAsia="zh-CN"/>
                    </w:rPr>
                  </w:pPr>
                </w:p>
                <w:p w14:paraId="49B0236F">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w:t>
                  </w:r>
                </w:p>
                <w:p w14:paraId="721D2DC3">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物</w:t>
                  </w:r>
                </w:p>
              </w:tc>
              <w:tc>
                <w:tcPr>
                  <w:tcW w:w="510" w:type="dxa"/>
                  <w:vMerge w:val="restart"/>
                  <w:tcBorders>
                    <w:tl2br w:val="nil"/>
                    <w:tr2bl w:val="nil"/>
                  </w:tcBorders>
                  <w:noWrap w:val="0"/>
                  <w:vAlign w:val="top"/>
                </w:tcPr>
                <w:p w14:paraId="1E1FBBB2">
                  <w:pPr>
                    <w:jc w:val="center"/>
                    <w:rPr>
                      <w:rFonts w:hint="default" w:ascii="Times New Roman" w:hAnsi="Times New Roman" w:eastAsia="宋体" w:cs="Times New Roman"/>
                      <w:u w:val="single"/>
                      <w:lang w:val="en-US" w:eastAsia="zh-CN"/>
                    </w:rPr>
                  </w:pPr>
                </w:p>
                <w:p w14:paraId="36A4F072">
                  <w:pPr>
                    <w:jc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风量</w:t>
                  </w:r>
                  <w:r>
                    <w:rPr>
                      <w:rFonts w:hint="default" w:ascii="Times New Roman" w:hAnsi="Times New Roman" w:eastAsia="宋体" w:cs="Times New Roman"/>
                      <w:u w:val="single"/>
                      <w:lang w:val="en-US" w:eastAsia="zh-CN"/>
                    </w:rPr>
                    <w:t>m</w:t>
                  </w:r>
                  <w:r>
                    <w:rPr>
                      <w:rFonts w:hint="default" w:ascii="Times New Roman" w:hAnsi="Times New Roman" w:eastAsia="宋体" w:cs="Times New Roman"/>
                      <w:u w:val="single"/>
                      <w:vertAlign w:val="superscript"/>
                      <w:lang w:val="en-US" w:eastAsia="zh-CN"/>
                    </w:rPr>
                    <w:t>3</w:t>
                  </w:r>
                  <w:r>
                    <w:rPr>
                      <w:rFonts w:hint="default" w:ascii="Times New Roman" w:hAnsi="Times New Roman" w:eastAsia="宋体" w:cs="Times New Roman"/>
                      <w:u w:val="single"/>
                      <w:lang w:val="en-US" w:eastAsia="zh-CN"/>
                    </w:rPr>
                    <w:t>/h</w:t>
                  </w:r>
                </w:p>
              </w:tc>
              <w:tc>
                <w:tcPr>
                  <w:tcW w:w="449" w:type="dxa"/>
                  <w:vMerge w:val="restart"/>
                  <w:tcBorders>
                    <w:tl2br w:val="nil"/>
                    <w:tr2bl w:val="nil"/>
                  </w:tcBorders>
                  <w:noWrap w:val="0"/>
                  <w:vAlign w:val="center"/>
                </w:tcPr>
                <w:p w14:paraId="7AA90A29">
                  <w:pPr>
                    <w:jc w:val="center"/>
                    <w:rPr>
                      <w:rFonts w:hint="default" w:ascii="Times New Roman" w:hAnsi="Times New Roman" w:eastAsia="宋体" w:cs="Times New Roman"/>
                      <w:u w:val="single"/>
                      <w:lang w:val="en-US" w:eastAsia="zh-CN"/>
                    </w:rPr>
                  </w:pPr>
                  <w:r>
                    <w:rPr>
                      <w:rFonts w:hint="eastAsia" w:cs="Times New Roman"/>
                      <w:u w:val="single"/>
                      <w:lang w:val="en-US" w:eastAsia="zh-CN"/>
                    </w:rPr>
                    <w:t>排放形式</w:t>
                  </w:r>
                </w:p>
              </w:tc>
              <w:tc>
                <w:tcPr>
                  <w:tcW w:w="2135" w:type="dxa"/>
                  <w:gridSpan w:val="3"/>
                  <w:tcBorders>
                    <w:tl2br w:val="nil"/>
                    <w:tr2bl w:val="nil"/>
                  </w:tcBorders>
                  <w:noWrap w:val="0"/>
                  <w:vAlign w:val="top"/>
                </w:tcPr>
                <w:p w14:paraId="24EB052E">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污染物产生情况</w:t>
                  </w:r>
                </w:p>
              </w:tc>
              <w:tc>
                <w:tcPr>
                  <w:tcW w:w="1757" w:type="dxa"/>
                  <w:gridSpan w:val="2"/>
                  <w:tcBorders>
                    <w:tl2br w:val="nil"/>
                    <w:tr2bl w:val="nil"/>
                  </w:tcBorders>
                  <w:noWrap w:val="0"/>
                  <w:vAlign w:val="top"/>
                </w:tcPr>
                <w:p w14:paraId="2B446141">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主要污染治理设施</w:t>
                  </w:r>
                </w:p>
              </w:tc>
              <w:tc>
                <w:tcPr>
                  <w:tcW w:w="2038" w:type="dxa"/>
                  <w:gridSpan w:val="3"/>
                  <w:tcBorders>
                    <w:tl2br w:val="nil"/>
                    <w:tr2bl w:val="nil"/>
                  </w:tcBorders>
                  <w:noWrap w:val="0"/>
                  <w:vAlign w:val="top"/>
                </w:tcPr>
                <w:p w14:paraId="57FDF50E">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污染物排放情况</w:t>
                  </w:r>
                </w:p>
              </w:tc>
            </w:tr>
            <w:tr w14:paraId="51666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jc w:val="center"/>
              </w:trPr>
              <w:tc>
                <w:tcPr>
                  <w:tcW w:w="411" w:type="dxa"/>
                  <w:vMerge w:val="continue"/>
                  <w:tcBorders>
                    <w:tl2br w:val="nil"/>
                    <w:tr2bl w:val="nil"/>
                  </w:tcBorders>
                  <w:noWrap w:val="0"/>
                  <w:vAlign w:val="top"/>
                </w:tcPr>
                <w:p w14:paraId="15EF3755">
                  <w:pPr>
                    <w:jc w:val="center"/>
                    <w:rPr>
                      <w:rFonts w:hint="default" w:ascii="Times New Roman" w:hAnsi="Times New Roman" w:eastAsia="宋体" w:cs="Times New Roman"/>
                      <w:u w:val="single"/>
                      <w:lang w:val="en-US" w:eastAsia="zh-CN"/>
                    </w:rPr>
                  </w:pPr>
                </w:p>
              </w:tc>
              <w:tc>
                <w:tcPr>
                  <w:tcW w:w="396" w:type="dxa"/>
                  <w:vMerge w:val="continue"/>
                  <w:tcBorders>
                    <w:tl2br w:val="nil"/>
                    <w:tr2bl w:val="nil"/>
                  </w:tcBorders>
                  <w:noWrap w:val="0"/>
                  <w:vAlign w:val="top"/>
                </w:tcPr>
                <w:p w14:paraId="5DC9D3C1">
                  <w:pPr>
                    <w:jc w:val="center"/>
                    <w:rPr>
                      <w:rFonts w:hint="default" w:ascii="Times New Roman" w:hAnsi="Times New Roman" w:eastAsia="宋体" w:cs="Times New Roman"/>
                      <w:u w:val="single"/>
                      <w:lang w:val="en-US" w:eastAsia="zh-CN"/>
                    </w:rPr>
                  </w:pPr>
                </w:p>
              </w:tc>
              <w:tc>
                <w:tcPr>
                  <w:tcW w:w="510" w:type="dxa"/>
                  <w:vMerge w:val="continue"/>
                  <w:tcBorders>
                    <w:tl2br w:val="nil"/>
                    <w:tr2bl w:val="nil"/>
                  </w:tcBorders>
                  <w:noWrap w:val="0"/>
                  <w:vAlign w:val="top"/>
                </w:tcPr>
                <w:p w14:paraId="3CD9800D">
                  <w:pPr>
                    <w:jc w:val="center"/>
                    <w:rPr>
                      <w:rFonts w:hint="default" w:ascii="Times New Roman" w:hAnsi="Times New Roman" w:eastAsia="宋体" w:cs="Times New Roman"/>
                      <w:u w:val="single"/>
                      <w:lang w:val="en-US" w:eastAsia="zh-CN"/>
                    </w:rPr>
                  </w:pPr>
                </w:p>
              </w:tc>
              <w:tc>
                <w:tcPr>
                  <w:tcW w:w="449" w:type="dxa"/>
                  <w:vMerge w:val="continue"/>
                  <w:tcBorders>
                    <w:tl2br w:val="nil"/>
                    <w:tr2bl w:val="nil"/>
                  </w:tcBorders>
                  <w:noWrap w:val="0"/>
                  <w:vAlign w:val="top"/>
                </w:tcPr>
                <w:p w14:paraId="0998B683">
                  <w:pPr>
                    <w:jc w:val="center"/>
                    <w:rPr>
                      <w:rFonts w:hint="default" w:ascii="Times New Roman" w:hAnsi="Times New Roman" w:eastAsia="宋体" w:cs="Times New Roman"/>
                      <w:u w:val="single"/>
                      <w:lang w:val="en-US" w:eastAsia="zh-CN"/>
                    </w:rPr>
                  </w:pPr>
                </w:p>
              </w:tc>
              <w:tc>
                <w:tcPr>
                  <w:tcW w:w="817" w:type="dxa"/>
                  <w:tcBorders>
                    <w:tl2br w:val="nil"/>
                    <w:tr2bl w:val="nil"/>
                  </w:tcBorders>
                  <w:noWrap w:val="0"/>
                  <w:vAlign w:val="top"/>
                </w:tcPr>
                <w:p w14:paraId="3B25BDA4">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产生浓度mg/m</w:t>
                  </w:r>
                  <w:r>
                    <w:rPr>
                      <w:rFonts w:hint="default" w:ascii="Times New Roman" w:hAnsi="Times New Roman" w:eastAsia="宋体" w:cs="Times New Roman"/>
                      <w:u w:val="single"/>
                      <w:vertAlign w:val="superscript"/>
                      <w:lang w:val="en-US" w:eastAsia="zh-CN"/>
                    </w:rPr>
                    <w:t>3</w:t>
                  </w:r>
                </w:p>
              </w:tc>
              <w:tc>
                <w:tcPr>
                  <w:tcW w:w="714" w:type="dxa"/>
                  <w:tcBorders>
                    <w:tl2br w:val="nil"/>
                    <w:tr2bl w:val="nil"/>
                  </w:tcBorders>
                  <w:noWrap w:val="0"/>
                  <w:vAlign w:val="top"/>
                </w:tcPr>
                <w:p w14:paraId="57DE0082">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产生速 率kg/h</w:t>
                  </w:r>
                </w:p>
              </w:tc>
              <w:tc>
                <w:tcPr>
                  <w:tcW w:w="604" w:type="dxa"/>
                  <w:tcBorders>
                    <w:tl2br w:val="nil"/>
                    <w:tr2bl w:val="nil"/>
                  </w:tcBorders>
                  <w:noWrap w:val="0"/>
                  <w:vAlign w:val="top"/>
                </w:tcPr>
                <w:p w14:paraId="28ECF14F">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产生量t/a</w:t>
                  </w:r>
                </w:p>
              </w:tc>
              <w:tc>
                <w:tcPr>
                  <w:tcW w:w="929" w:type="dxa"/>
                  <w:tcBorders>
                    <w:tl2br w:val="nil"/>
                    <w:tr2bl w:val="nil"/>
                  </w:tcBorders>
                  <w:noWrap w:val="0"/>
                  <w:vAlign w:val="top"/>
                </w:tcPr>
                <w:p w14:paraId="01FDBE71">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治理措施</w:t>
                  </w:r>
                </w:p>
              </w:tc>
              <w:tc>
                <w:tcPr>
                  <w:tcW w:w="828" w:type="dxa"/>
                  <w:tcBorders>
                    <w:tl2br w:val="nil"/>
                    <w:tr2bl w:val="nil"/>
                  </w:tcBorders>
                  <w:noWrap w:val="0"/>
                  <w:vAlign w:val="top"/>
                </w:tcPr>
                <w:p w14:paraId="2FC65ECC">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处理效</w:t>
                  </w:r>
                </w:p>
                <w:p w14:paraId="1A72EDF4">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率%</w:t>
                  </w:r>
                </w:p>
              </w:tc>
              <w:tc>
                <w:tcPr>
                  <w:tcW w:w="848" w:type="dxa"/>
                  <w:tcBorders>
                    <w:tl2br w:val="nil"/>
                    <w:tr2bl w:val="nil"/>
                  </w:tcBorders>
                  <w:noWrap w:val="0"/>
                  <w:vAlign w:val="top"/>
                </w:tcPr>
                <w:p w14:paraId="1FC469B4">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排放浓度mg/m</w:t>
                  </w:r>
                  <w:r>
                    <w:rPr>
                      <w:rFonts w:hint="default" w:ascii="Times New Roman" w:hAnsi="Times New Roman" w:eastAsia="宋体" w:cs="Times New Roman"/>
                      <w:u w:val="single"/>
                      <w:vertAlign w:val="superscript"/>
                      <w:lang w:val="en-US" w:eastAsia="zh-CN"/>
                    </w:rPr>
                    <w:t>3</w:t>
                  </w:r>
                </w:p>
              </w:tc>
              <w:tc>
                <w:tcPr>
                  <w:tcW w:w="603" w:type="dxa"/>
                  <w:tcBorders>
                    <w:tl2br w:val="nil"/>
                    <w:tr2bl w:val="nil"/>
                  </w:tcBorders>
                  <w:noWrap w:val="0"/>
                  <w:vAlign w:val="top"/>
                </w:tcPr>
                <w:p w14:paraId="728853FB">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排放速率kg/h</w:t>
                  </w:r>
                </w:p>
              </w:tc>
              <w:tc>
                <w:tcPr>
                  <w:tcW w:w="587" w:type="dxa"/>
                  <w:tcBorders>
                    <w:tl2br w:val="nil"/>
                    <w:tr2bl w:val="nil"/>
                  </w:tcBorders>
                  <w:noWrap w:val="0"/>
                  <w:vAlign w:val="top"/>
                </w:tcPr>
                <w:p w14:paraId="2AC7904E">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排放量t/a</w:t>
                  </w:r>
                </w:p>
              </w:tc>
            </w:tr>
            <w:tr w14:paraId="76151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jc w:val="center"/>
              </w:trPr>
              <w:tc>
                <w:tcPr>
                  <w:tcW w:w="411" w:type="dxa"/>
                  <w:vMerge w:val="restart"/>
                  <w:tcBorders>
                    <w:tl2br w:val="nil"/>
                    <w:tr2bl w:val="nil"/>
                  </w:tcBorders>
                  <w:noWrap w:val="0"/>
                  <w:vAlign w:val="center"/>
                </w:tcPr>
                <w:p w14:paraId="014F197A">
                  <w:pPr>
                    <w:jc w:val="center"/>
                    <w:rPr>
                      <w:rFonts w:hint="default" w:ascii="Times New Roman" w:hAnsi="Times New Roman" w:eastAsia="宋体" w:cs="Times New Roman"/>
                      <w:u w:val="single"/>
                      <w:lang w:val="en-US" w:eastAsia="zh-CN"/>
                    </w:rPr>
                  </w:pPr>
                  <w:r>
                    <w:rPr>
                      <w:rFonts w:hint="eastAsia" w:cs="Times New Roman"/>
                      <w:u w:val="single"/>
                      <w:lang w:val="en-US" w:eastAsia="zh-CN"/>
                    </w:rPr>
                    <w:t>混砂</w:t>
                  </w:r>
                </w:p>
              </w:tc>
              <w:tc>
                <w:tcPr>
                  <w:tcW w:w="396" w:type="dxa"/>
                  <w:vMerge w:val="restart"/>
                  <w:tcBorders>
                    <w:tl2br w:val="nil"/>
                    <w:tr2bl w:val="nil"/>
                  </w:tcBorders>
                  <w:noWrap w:val="0"/>
                  <w:vAlign w:val="center"/>
                </w:tcPr>
                <w:p w14:paraId="39CFAA68">
                  <w:pPr>
                    <w:jc w:val="center"/>
                    <w:rPr>
                      <w:rFonts w:hint="default" w:ascii="Times New Roman" w:hAnsi="Times New Roman" w:eastAsia="宋体" w:cs="Times New Roman"/>
                      <w:u w:val="single"/>
                      <w:lang w:val="en-US" w:eastAsia="zh-CN"/>
                    </w:rPr>
                  </w:pPr>
                  <w:r>
                    <w:rPr>
                      <w:rFonts w:hint="eastAsia" w:cs="Times New Roman"/>
                      <w:u w:val="single"/>
                      <w:lang w:val="en-US" w:eastAsia="zh-CN"/>
                    </w:rPr>
                    <w:t>颗粒物</w:t>
                  </w:r>
                </w:p>
              </w:tc>
              <w:tc>
                <w:tcPr>
                  <w:tcW w:w="510" w:type="dxa"/>
                  <w:tcBorders>
                    <w:tl2br w:val="nil"/>
                    <w:tr2bl w:val="nil"/>
                  </w:tcBorders>
                  <w:noWrap w:val="0"/>
                  <w:vAlign w:val="center"/>
                </w:tcPr>
                <w:p w14:paraId="109910D5">
                  <w:pPr>
                    <w:jc w:val="center"/>
                    <w:rPr>
                      <w:rFonts w:hint="default" w:ascii="Times New Roman" w:hAnsi="Times New Roman" w:eastAsia="宋体" w:cs="Times New Roman"/>
                      <w:u w:val="single"/>
                      <w:lang w:val="en-US" w:eastAsia="zh-CN"/>
                    </w:rPr>
                  </w:pPr>
                  <w:r>
                    <w:rPr>
                      <w:rFonts w:hint="eastAsia" w:cs="Times New Roman"/>
                      <w:highlight w:val="none"/>
                      <w:u w:val="single"/>
                      <w:lang w:val="en-US" w:eastAsia="zh-CN"/>
                    </w:rPr>
                    <w:t>16000</w:t>
                  </w:r>
                </w:p>
              </w:tc>
              <w:tc>
                <w:tcPr>
                  <w:tcW w:w="449" w:type="dxa"/>
                  <w:tcBorders>
                    <w:tl2br w:val="nil"/>
                    <w:tr2bl w:val="nil"/>
                  </w:tcBorders>
                  <w:noWrap w:val="0"/>
                  <w:vAlign w:val="center"/>
                </w:tcPr>
                <w:p w14:paraId="7E1EB3FD">
                  <w:pPr>
                    <w:jc w:val="center"/>
                    <w:rPr>
                      <w:rFonts w:hint="eastAsia" w:cs="Times New Roman"/>
                      <w:u w:val="single"/>
                      <w:lang w:val="en-US" w:eastAsia="zh-CN"/>
                    </w:rPr>
                  </w:pPr>
                  <w:r>
                    <w:rPr>
                      <w:rFonts w:hint="eastAsia" w:cs="Times New Roman"/>
                      <w:u w:val="single"/>
                      <w:lang w:val="en-US" w:eastAsia="zh-CN"/>
                    </w:rPr>
                    <w:t>有组织</w:t>
                  </w:r>
                </w:p>
              </w:tc>
              <w:tc>
                <w:tcPr>
                  <w:tcW w:w="817" w:type="dxa"/>
                  <w:tcBorders>
                    <w:tl2br w:val="nil"/>
                    <w:tr2bl w:val="nil"/>
                  </w:tcBorders>
                  <w:noWrap w:val="0"/>
                  <w:vAlign w:val="center"/>
                </w:tcPr>
                <w:p w14:paraId="09D0ACEF">
                  <w:pPr>
                    <w:keepNext w:val="0"/>
                    <w:keepLines w:val="0"/>
                    <w:widowControl/>
                    <w:suppressLineNumbers w:val="0"/>
                    <w:jc w:val="center"/>
                    <w:textAlignment w:val="center"/>
                    <w:rPr>
                      <w:rFonts w:hint="default" w:ascii="Times New Roman" w:hAnsi="Times New Roman" w:eastAsia="宋体" w:cs="Times New Roman"/>
                      <w:highlight w:val="yellow"/>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2532.45</w:t>
                  </w:r>
                </w:p>
              </w:tc>
              <w:tc>
                <w:tcPr>
                  <w:tcW w:w="714" w:type="dxa"/>
                  <w:tcBorders>
                    <w:tl2br w:val="nil"/>
                    <w:tr2bl w:val="nil"/>
                  </w:tcBorders>
                  <w:noWrap w:val="0"/>
                  <w:vAlign w:val="center"/>
                </w:tcPr>
                <w:p w14:paraId="4A0D74A9">
                  <w:pPr>
                    <w:keepNext w:val="0"/>
                    <w:keepLines w:val="0"/>
                    <w:widowControl/>
                    <w:suppressLineNumbers w:val="0"/>
                    <w:jc w:val="center"/>
                    <w:textAlignment w:val="center"/>
                    <w:rPr>
                      <w:rFonts w:hint="default" w:ascii="Times New Roman" w:hAnsi="Times New Roman" w:eastAsia="宋体" w:cs="Times New Roman"/>
                      <w:highlight w:val="yellow"/>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40.52</w:t>
                  </w:r>
                </w:p>
              </w:tc>
              <w:tc>
                <w:tcPr>
                  <w:tcW w:w="604" w:type="dxa"/>
                  <w:tcBorders>
                    <w:tl2br w:val="nil"/>
                    <w:tr2bl w:val="nil"/>
                  </w:tcBorders>
                  <w:noWrap w:val="0"/>
                  <w:vAlign w:val="center"/>
                </w:tcPr>
                <w:p w14:paraId="179688D4">
                  <w:pPr>
                    <w:keepNext w:val="0"/>
                    <w:keepLines w:val="0"/>
                    <w:widowControl/>
                    <w:suppressLineNumbers w:val="0"/>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101.136</w:t>
                  </w:r>
                </w:p>
              </w:tc>
              <w:tc>
                <w:tcPr>
                  <w:tcW w:w="929" w:type="dxa"/>
                  <w:tcBorders>
                    <w:tl2br w:val="nil"/>
                    <w:tr2bl w:val="nil"/>
                  </w:tcBorders>
                  <w:noWrap w:val="0"/>
                  <w:vAlign w:val="center"/>
                </w:tcPr>
                <w:p w14:paraId="651AE898">
                  <w:pPr>
                    <w:jc w:val="center"/>
                    <w:rPr>
                      <w:rFonts w:hint="default" w:ascii="Times New Roman" w:hAnsi="Times New Roman" w:eastAsia="宋体" w:cs="Times New Roman"/>
                      <w:u w:val="single"/>
                      <w:lang w:val="en-US" w:eastAsia="zh-CN"/>
                    </w:rPr>
                  </w:pPr>
                  <w:r>
                    <w:rPr>
                      <w:rFonts w:hint="eastAsia" w:cs="Times New Roman"/>
                      <w:u w:val="single"/>
                      <w:lang w:val="en-US" w:eastAsia="zh-CN"/>
                    </w:rPr>
                    <w:t>脉冲布袋</w:t>
                  </w:r>
                  <w:r>
                    <w:rPr>
                      <w:rFonts w:hint="eastAsia" w:ascii="Times New Roman" w:hAnsi="Times New Roman" w:eastAsia="宋体" w:cs="Times New Roman"/>
                      <w:u w:val="single"/>
                      <w:lang w:val="en-US" w:eastAsia="zh-CN"/>
                    </w:rPr>
                    <w:t>除尘器</w:t>
                  </w:r>
                  <w:r>
                    <w:rPr>
                      <w:rFonts w:hint="default" w:ascii="Times New Roman" w:hAnsi="Times New Roman" w:eastAsia="宋体" w:cs="Times New Roman"/>
                      <w:u w:val="single"/>
                      <w:lang w:val="en-US" w:eastAsia="zh-CN"/>
                    </w:rPr>
                    <w:t>+15m高排气筒</w:t>
                  </w:r>
                </w:p>
              </w:tc>
              <w:tc>
                <w:tcPr>
                  <w:tcW w:w="828" w:type="dxa"/>
                  <w:tcBorders>
                    <w:tl2br w:val="nil"/>
                    <w:tr2bl w:val="nil"/>
                  </w:tcBorders>
                  <w:noWrap w:val="0"/>
                  <w:vAlign w:val="center"/>
                </w:tcPr>
                <w:p w14:paraId="653A3D4F">
                  <w:pPr>
                    <w:jc w:val="center"/>
                    <w:rPr>
                      <w:rFonts w:hint="default" w:ascii="Times New Roman" w:hAnsi="Times New Roman" w:eastAsia="宋体" w:cs="Times New Roman"/>
                      <w:highlight w:val="yellow"/>
                      <w:u w:val="single"/>
                      <w:lang w:val="en-US" w:eastAsia="zh-CN"/>
                    </w:rPr>
                  </w:pPr>
                  <w:r>
                    <w:rPr>
                      <w:rFonts w:hint="eastAsia" w:cs="Times New Roman"/>
                      <w:highlight w:val="none"/>
                      <w:u w:val="single"/>
                      <w:lang w:val="en-US" w:eastAsia="zh-CN"/>
                    </w:rPr>
                    <w:t>99.8</w:t>
                  </w:r>
                </w:p>
              </w:tc>
              <w:tc>
                <w:tcPr>
                  <w:tcW w:w="848" w:type="dxa"/>
                  <w:tcBorders>
                    <w:tl2br w:val="nil"/>
                    <w:tr2bl w:val="nil"/>
                  </w:tcBorders>
                  <w:noWrap w:val="0"/>
                  <w:vAlign w:val="center"/>
                </w:tcPr>
                <w:p w14:paraId="426FE978">
                  <w:pPr>
                    <w:keepNext w:val="0"/>
                    <w:keepLines w:val="0"/>
                    <w:widowControl/>
                    <w:suppressLineNumbers w:val="0"/>
                    <w:jc w:val="center"/>
                    <w:textAlignment w:val="center"/>
                    <w:rPr>
                      <w:rFonts w:hint="default" w:ascii="Times New Roman" w:hAnsi="Times New Roman" w:eastAsia="宋体" w:cs="Times New Roman"/>
                      <w:highlight w:val="yellow"/>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5.06</w:t>
                  </w:r>
                </w:p>
              </w:tc>
              <w:tc>
                <w:tcPr>
                  <w:tcW w:w="603" w:type="dxa"/>
                  <w:tcBorders>
                    <w:tl2br w:val="nil"/>
                    <w:tr2bl w:val="nil"/>
                  </w:tcBorders>
                  <w:noWrap w:val="0"/>
                  <w:vAlign w:val="center"/>
                </w:tcPr>
                <w:p w14:paraId="750EBCEF">
                  <w:pPr>
                    <w:keepNext w:val="0"/>
                    <w:keepLines w:val="0"/>
                    <w:widowControl/>
                    <w:suppressLineNumbers w:val="0"/>
                    <w:jc w:val="center"/>
                    <w:textAlignment w:val="center"/>
                    <w:rPr>
                      <w:rFonts w:hint="default" w:ascii="Times New Roman" w:hAnsi="Times New Roman" w:eastAsia="宋体" w:cs="Times New Roman"/>
                      <w:highlight w:val="yellow"/>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0.081</w:t>
                  </w:r>
                </w:p>
              </w:tc>
              <w:tc>
                <w:tcPr>
                  <w:tcW w:w="587" w:type="dxa"/>
                  <w:tcBorders>
                    <w:tl2br w:val="nil"/>
                    <w:tr2bl w:val="nil"/>
                  </w:tcBorders>
                  <w:noWrap w:val="0"/>
                  <w:vAlign w:val="center"/>
                </w:tcPr>
                <w:p w14:paraId="01229FE4">
                  <w:pPr>
                    <w:keepNext w:val="0"/>
                    <w:keepLines w:val="0"/>
                    <w:widowControl/>
                    <w:suppressLineNumbers w:val="0"/>
                    <w:jc w:val="center"/>
                    <w:textAlignment w:val="center"/>
                    <w:rPr>
                      <w:rFonts w:hint="default" w:ascii="Times New Roman" w:hAnsi="Times New Roman" w:eastAsia="宋体" w:cs="Times New Roman"/>
                      <w:sz w:val="20"/>
                      <w:szCs w:val="20"/>
                      <w:highlight w:val="yellow"/>
                      <w:u w:val="single"/>
                      <w:lang w:val="en-US" w:eastAsia="zh-CN"/>
                    </w:rPr>
                  </w:pPr>
                  <w:r>
                    <w:rPr>
                      <w:rFonts w:hint="default" w:ascii="Times New Roman" w:hAnsi="Times New Roman" w:eastAsia="宋体" w:cs="Times New Roman"/>
                      <w:i w:val="0"/>
                      <w:iCs w:val="0"/>
                      <w:color w:val="000000"/>
                      <w:kern w:val="0"/>
                      <w:sz w:val="20"/>
                      <w:szCs w:val="20"/>
                      <w:u w:val="single"/>
                      <w:lang w:val="en-US" w:eastAsia="zh-CN" w:bidi="ar"/>
                    </w:rPr>
                    <w:t>0.202</w:t>
                  </w:r>
                </w:p>
              </w:tc>
            </w:tr>
            <w:tr w14:paraId="3128D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411" w:type="dxa"/>
                  <w:vMerge w:val="continue"/>
                  <w:tcBorders>
                    <w:tl2br w:val="nil"/>
                    <w:tr2bl w:val="nil"/>
                  </w:tcBorders>
                  <w:noWrap w:val="0"/>
                  <w:vAlign w:val="center"/>
                </w:tcPr>
                <w:p w14:paraId="10027B05">
                  <w:pPr>
                    <w:jc w:val="center"/>
                    <w:rPr>
                      <w:rFonts w:hint="eastAsia" w:cs="Times New Roman"/>
                      <w:u w:val="single"/>
                      <w:lang w:val="en-US" w:eastAsia="zh-CN"/>
                    </w:rPr>
                  </w:pPr>
                </w:p>
              </w:tc>
              <w:tc>
                <w:tcPr>
                  <w:tcW w:w="396" w:type="dxa"/>
                  <w:vMerge w:val="continue"/>
                  <w:tcBorders>
                    <w:tl2br w:val="nil"/>
                    <w:tr2bl w:val="nil"/>
                  </w:tcBorders>
                  <w:noWrap w:val="0"/>
                  <w:vAlign w:val="center"/>
                </w:tcPr>
                <w:p w14:paraId="0153BF2D">
                  <w:pPr>
                    <w:jc w:val="center"/>
                    <w:rPr>
                      <w:rFonts w:hint="eastAsia" w:cs="Times New Roman"/>
                      <w:u w:val="single"/>
                      <w:lang w:val="en-US" w:eastAsia="zh-CN"/>
                    </w:rPr>
                  </w:pPr>
                </w:p>
              </w:tc>
              <w:tc>
                <w:tcPr>
                  <w:tcW w:w="510" w:type="dxa"/>
                  <w:tcBorders>
                    <w:tl2br w:val="nil"/>
                    <w:tr2bl w:val="nil"/>
                  </w:tcBorders>
                  <w:noWrap w:val="0"/>
                  <w:vAlign w:val="center"/>
                </w:tcPr>
                <w:p w14:paraId="04946D7B">
                  <w:pPr>
                    <w:jc w:val="center"/>
                    <w:rPr>
                      <w:rFonts w:hint="eastAsia" w:cs="Times New Roman"/>
                      <w:u w:val="single"/>
                      <w:lang w:val="en-US" w:eastAsia="zh-CN"/>
                    </w:rPr>
                  </w:pPr>
                  <w:r>
                    <w:rPr>
                      <w:rFonts w:hint="eastAsia" w:cs="Times New Roman"/>
                      <w:u w:val="single"/>
                      <w:lang w:val="en-US" w:eastAsia="zh-CN"/>
                    </w:rPr>
                    <w:t>/</w:t>
                  </w:r>
                </w:p>
              </w:tc>
              <w:tc>
                <w:tcPr>
                  <w:tcW w:w="449" w:type="dxa"/>
                  <w:tcBorders>
                    <w:tl2br w:val="nil"/>
                    <w:tr2bl w:val="nil"/>
                  </w:tcBorders>
                  <w:noWrap w:val="0"/>
                  <w:vAlign w:val="center"/>
                </w:tcPr>
                <w:p w14:paraId="66401473">
                  <w:pPr>
                    <w:jc w:val="center"/>
                    <w:rPr>
                      <w:rFonts w:hint="default" w:cs="Times New Roman"/>
                      <w:u w:val="single"/>
                      <w:lang w:val="en-US" w:eastAsia="zh-CN"/>
                    </w:rPr>
                  </w:pPr>
                  <w:r>
                    <w:rPr>
                      <w:rFonts w:hint="eastAsia" w:cs="Times New Roman"/>
                      <w:u w:val="single"/>
                      <w:lang w:val="en-US" w:eastAsia="zh-CN"/>
                    </w:rPr>
                    <w:t>无组织</w:t>
                  </w:r>
                </w:p>
              </w:tc>
              <w:tc>
                <w:tcPr>
                  <w:tcW w:w="817" w:type="dxa"/>
                  <w:tcBorders>
                    <w:tl2br w:val="nil"/>
                    <w:tr2bl w:val="nil"/>
                  </w:tcBorders>
                  <w:noWrap w:val="0"/>
                  <w:vAlign w:val="center"/>
                </w:tcPr>
                <w:p w14:paraId="64EF4072">
                  <w:pPr>
                    <w:jc w:val="center"/>
                    <w:rPr>
                      <w:rFonts w:hint="default" w:cs="Times New Roman"/>
                      <w:u w:val="single"/>
                      <w:lang w:val="en-US" w:eastAsia="zh-CN"/>
                    </w:rPr>
                  </w:pPr>
                  <w:r>
                    <w:rPr>
                      <w:rFonts w:hint="eastAsia" w:cs="Times New Roman"/>
                      <w:u w:val="single"/>
                      <w:lang w:val="en-US" w:eastAsia="zh-CN"/>
                    </w:rPr>
                    <w:t>/</w:t>
                  </w:r>
                </w:p>
              </w:tc>
              <w:tc>
                <w:tcPr>
                  <w:tcW w:w="714" w:type="dxa"/>
                  <w:tcBorders>
                    <w:tl2br w:val="nil"/>
                    <w:tr2bl w:val="nil"/>
                  </w:tcBorders>
                  <w:noWrap w:val="0"/>
                  <w:vAlign w:val="center"/>
                </w:tcPr>
                <w:p w14:paraId="6FD4B7A0">
                  <w:pPr>
                    <w:jc w:val="center"/>
                    <w:rPr>
                      <w:rFonts w:hint="default" w:cs="Times New Roman"/>
                      <w:u w:val="single"/>
                      <w:lang w:val="en-US" w:eastAsia="zh-CN"/>
                    </w:rPr>
                  </w:pPr>
                  <w:r>
                    <w:rPr>
                      <w:rFonts w:hint="eastAsia" w:cs="Times New Roman"/>
                      <w:u w:val="single"/>
                      <w:lang w:val="en-US" w:eastAsia="zh-CN"/>
                    </w:rPr>
                    <w:t>0.83</w:t>
                  </w:r>
                </w:p>
              </w:tc>
              <w:tc>
                <w:tcPr>
                  <w:tcW w:w="604" w:type="dxa"/>
                  <w:tcBorders>
                    <w:tl2br w:val="nil"/>
                    <w:tr2bl w:val="nil"/>
                  </w:tcBorders>
                  <w:noWrap w:val="0"/>
                  <w:vAlign w:val="center"/>
                </w:tcPr>
                <w:p w14:paraId="03D7E402">
                  <w:pPr>
                    <w:jc w:val="center"/>
                    <w:rPr>
                      <w:rFonts w:hint="default" w:cs="Times New Roman"/>
                      <w:u w:val="single"/>
                      <w:lang w:val="en-US" w:eastAsia="zh-CN"/>
                    </w:rPr>
                  </w:pPr>
                  <w:r>
                    <w:rPr>
                      <w:rFonts w:hint="eastAsia" w:cs="Times New Roman"/>
                      <w:u w:val="single"/>
                      <w:lang w:val="en-US" w:eastAsia="zh-CN"/>
                    </w:rPr>
                    <w:t>2.064</w:t>
                  </w:r>
                </w:p>
              </w:tc>
              <w:tc>
                <w:tcPr>
                  <w:tcW w:w="929" w:type="dxa"/>
                  <w:tcBorders>
                    <w:tl2br w:val="nil"/>
                    <w:tr2bl w:val="nil"/>
                  </w:tcBorders>
                  <w:noWrap w:val="0"/>
                  <w:vAlign w:val="center"/>
                </w:tcPr>
                <w:p w14:paraId="173C3678">
                  <w:pPr>
                    <w:jc w:val="center"/>
                    <w:rPr>
                      <w:rFonts w:hint="default" w:cs="Times New Roman"/>
                      <w:u w:val="single"/>
                      <w:lang w:val="en-US" w:eastAsia="zh-CN"/>
                    </w:rPr>
                  </w:pPr>
                  <w:r>
                    <w:rPr>
                      <w:rFonts w:hint="eastAsia" w:cs="Times New Roman"/>
                      <w:u w:val="single"/>
                      <w:lang w:val="en-US" w:eastAsia="zh-CN"/>
                    </w:rPr>
                    <w:t>/</w:t>
                  </w:r>
                </w:p>
              </w:tc>
              <w:tc>
                <w:tcPr>
                  <w:tcW w:w="828" w:type="dxa"/>
                  <w:tcBorders>
                    <w:tl2br w:val="nil"/>
                    <w:tr2bl w:val="nil"/>
                  </w:tcBorders>
                  <w:noWrap w:val="0"/>
                  <w:vAlign w:val="center"/>
                </w:tcPr>
                <w:p w14:paraId="70632948">
                  <w:pPr>
                    <w:jc w:val="center"/>
                    <w:rPr>
                      <w:rFonts w:hint="default" w:cs="Times New Roman"/>
                      <w:u w:val="single"/>
                      <w:lang w:val="en-US" w:eastAsia="zh-CN"/>
                    </w:rPr>
                  </w:pPr>
                  <w:r>
                    <w:rPr>
                      <w:rFonts w:hint="eastAsia" w:cs="Times New Roman"/>
                      <w:u w:val="single"/>
                      <w:lang w:val="en-US" w:eastAsia="zh-CN"/>
                    </w:rPr>
                    <w:t>/</w:t>
                  </w:r>
                </w:p>
              </w:tc>
              <w:tc>
                <w:tcPr>
                  <w:tcW w:w="848" w:type="dxa"/>
                  <w:tcBorders>
                    <w:tl2br w:val="nil"/>
                    <w:tr2bl w:val="nil"/>
                  </w:tcBorders>
                  <w:noWrap w:val="0"/>
                  <w:vAlign w:val="center"/>
                </w:tcPr>
                <w:p w14:paraId="762EBC23">
                  <w:pPr>
                    <w:jc w:val="center"/>
                    <w:rPr>
                      <w:rFonts w:hint="default" w:cs="Times New Roman"/>
                      <w:u w:val="single"/>
                      <w:lang w:val="en-US" w:eastAsia="zh-CN"/>
                    </w:rPr>
                  </w:pPr>
                  <w:r>
                    <w:rPr>
                      <w:rFonts w:hint="eastAsia" w:cs="Times New Roman"/>
                      <w:u w:val="single"/>
                      <w:lang w:val="en-US" w:eastAsia="zh-CN"/>
                    </w:rPr>
                    <w:t>/</w:t>
                  </w:r>
                </w:p>
              </w:tc>
              <w:tc>
                <w:tcPr>
                  <w:tcW w:w="603" w:type="dxa"/>
                  <w:tcBorders>
                    <w:tl2br w:val="nil"/>
                    <w:tr2bl w:val="nil"/>
                  </w:tcBorders>
                  <w:noWrap w:val="0"/>
                  <w:vAlign w:val="center"/>
                </w:tcPr>
                <w:p w14:paraId="590246BB">
                  <w:pPr>
                    <w:jc w:val="center"/>
                    <w:rPr>
                      <w:rFonts w:hint="default" w:cs="Times New Roman"/>
                      <w:u w:val="single"/>
                      <w:lang w:val="en-US" w:eastAsia="zh-CN"/>
                    </w:rPr>
                  </w:pPr>
                  <w:r>
                    <w:rPr>
                      <w:rFonts w:hint="eastAsia" w:cs="Times New Roman"/>
                      <w:u w:val="single"/>
                      <w:lang w:val="en-US" w:eastAsia="zh-CN"/>
                    </w:rPr>
                    <w:t>0.83</w:t>
                  </w:r>
                </w:p>
              </w:tc>
              <w:tc>
                <w:tcPr>
                  <w:tcW w:w="587" w:type="dxa"/>
                  <w:tcBorders>
                    <w:tl2br w:val="nil"/>
                    <w:tr2bl w:val="nil"/>
                  </w:tcBorders>
                  <w:noWrap w:val="0"/>
                  <w:vAlign w:val="center"/>
                </w:tcPr>
                <w:p w14:paraId="7009BA4E">
                  <w:pPr>
                    <w:jc w:val="center"/>
                    <w:rPr>
                      <w:rFonts w:hint="eastAsia" w:eastAsia="宋体" w:cs="Times New Roman"/>
                      <w:sz w:val="20"/>
                      <w:szCs w:val="20"/>
                      <w:u w:val="single"/>
                      <w:lang w:val="en-US" w:eastAsia="zh-CN"/>
                    </w:rPr>
                  </w:pPr>
                  <w:r>
                    <w:rPr>
                      <w:rFonts w:hint="eastAsia" w:cs="Times New Roman"/>
                      <w:u w:val="single"/>
                      <w:lang w:val="en-US" w:eastAsia="zh-CN"/>
                    </w:rPr>
                    <w:t>2.064</w:t>
                  </w:r>
                </w:p>
              </w:tc>
            </w:tr>
          </w:tbl>
          <w:p w14:paraId="7200E58A">
            <w:pPr>
              <w:numPr>
                <w:ilvl w:val="0"/>
                <w:numId w:val="0"/>
              </w:numPr>
              <w:tabs>
                <w:tab w:val="left" w:pos="1440"/>
                <w:tab w:val="left" w:pos="1800"/>
              </w:tabs>
              <w:spacing w:line="360" w:lineRule="auto"/>
              <w:ind w:firstLine="361" w:firstLineChars="150"/>
              <w:rPr>
                <w:rFonts w:hint="eastAsia"/>
                <w:b/>
                <w:bCs/>
                <w:sz w:val="24"/>
                <w:szCs w:val="24"/>
                <w:u w:val="single"/>
                <w:lang w:val="en-US" w:eastAsia="zh-CN"/>
              </w:rPr>
            </w:pPr>
            <w:r>
              <w:rPr>
                <w:rFonts w:hint="eastAsia" w:ascii="Times New Roman" w:hAnsi="Times New Roman" w:eastAsia="宋体" w:cs="Times New Roman"/>
                <w:b/>
                <w:bCs/>
                <w:kern w:val="2"/>
                <w:sz w:val="24"/>
                <w:szCs w:val="24"/>
                <w:u w:val="single"/>
                <w:lang w:val="en-US" w:eastAsia="zh-CN" w:bidi="ar-SA"/>
              </w:rPr>
              <w:t>（</w:t>
            </w:r>
            <w:r>
              <w:rPr>
                <w:rFonts w:hint="eastAsia" w:cs="Times New Roman"/>
                <w:b/>
                <w:bCs/>
                <w:kern w:val="2"/>
                <w:sz w:val="24"/>
                <w:szCs w:val="24"/>
                <w:u w:val="single"/>
                <w:lang w:val="en-US" w:eastAsia="zh-CN" w:bidi="ar-SA"/>
              </w:rPr>
              <w:t>3</w:t>
            </w:r>
            <w:r>
              <w:rPr>
                <w:rFonts w:hint="eastAsia" w:ascii="Times New Roman" w:hAnsi="Times New Roman" w:eastAsia="宋体" w:cs="Times New Roman"/>
                <w:b/>
                <w:bCs/>
                <w:kern w:val="2"/>
                <w:sz w:val="24"/>
                <w:szCs w:val="24"/>
                <w:u w:val="single"/>
                <w:lang w:val="en-US" w:eastAsia="zh-CN" w:bidi="ar-SA"/>
              </w:rPr>
              <w:t>）</w:t>
            </w:r>
            <w:r>
              <w:rPr>
                <w:rFonts w:hint="eastAsia" w:cs="Times New Roman"/>
                <w:b/>
                <w:bCs/>
                <w:kern w:val="2"/>
                <w:sz w:val="24"/>
                <w:szCs w:val="24"/>
                <w:u w:val="single"/>
                <w:lang w:val="en-US" w:eastAsia="zh-CN" w:bidi="ar-SA"/>
              </w:rPr>
              <w:t>造型和浇注</w:t>
            </w:r>
            <w:r>
              <w:rPr>
                <w:rFonts w:hint="eastAsia"/>
                <w:b/>
                <w:bCs/>
                <w:sz w:val="24"/>
                <w:szCs w:val="24"/>
                <w:u w:val="single"/>
                <w:lang w:val="en-US" w:eastAsia="zh-CN"/>
              </w:rPr>
              <w:t>废气</w:t>
            </w:r>
          </w:p>
          <w:p w14:paraId="2B085156">
            <w:pPr>
              <w:spacing w:line="360" w:lineRule="auto"/>
              <w:ind w:firstLine="480" w:firstLineChars="200"/>
              <w:rPr>
                <w:rFonts w:hint="default" w:ascii="Times New Roman" w:hAnsi="Times New Roman" w:eastAsia="宋体" w:cs="Times New Roman"/>
                <w:kern w:val="0"/>
                <w:sz w:val="24"/>
                <w:highlight w:val="none"/>
                <w:u w:val="single"/>
                <w:lang w:val="en-US" w:eastAsia="zh-CN"/>
              </w:rPr>
            </w:pPr>
            <w:r>
              <w:rPr>
                <w:rFonts w:hint="default"/>
                <w:sz w:val="24"/>
                <w:u w:val="single"/>
                <w:lang w:val="en-US" w:eastAsia="zh-CN"/>
              </w:rPr>
              <w:t>覆膜砂在</w:t>
            </w:r>
            <w:r>
              <w:rPr>
                <w:rFonts w:hint="eastAsia"/>
                <w:sz w:val="24"/>
                <w:u w:val="single"/>
                <w:lang w:val="en-US" w:eastAsia="zh-CN"/>
              </w:rPr>
              <w:t>造型和浇注</w:t>
            </w:r>
            <w:r>
              <w:rPr>
                <w:rFonts w:hint="default"/>
                <w:sz w:val="24"/>
                <w:u w:val="single"/>
                <w:lang w:val="en-US" w:eastAsia="zh-CN"/>
              </w:rPr>
              <w:t>过程中酚醛树脂迅速碳化，因此只有少量有机废气挥发，以非甲烷总烃计。</w:t>
            </w:r>
            <w:r>
              <w:rPr>
                <w:rFonts w:hint="eastAsia"/>
                <w:sz w:val="24"/>
                <w:u w:val="single"/>
                <w:lang w:val="en-US" w:eastAsia="zh-CN"/>
              </w:rPr>
              <w:t>参考《排放源统计调查产排污核算方法和系数手册2021》（生态环境部）中的“机械行业产排污量核算系数手册（33）”中“铸造”工艺中使用</w:t>
            </w:r>
            <w:r>
              <w:rPr>
                <w:rFonts w:ascii="宋体" w:hAnsi="宋体" w:eastAsia="宋体" w:cs="宋体"/>
                <w:sz w:val="24"/>
                <w:szCs w:val="24"/>
                <w:u w:val="single"/>
              </w:rPr>
              <w:t>原砂、再生砂、水、膨润土、煤粉、其他辅助材料</w:t>
            </w:r>
            <w:r>
              <w:rPr>
                <w:rFonts w:hint="eastAsia"/>
                <w:sz w:val="24"/>
                <w:u w:val="single"/>
                <w:lang w:val="en-US" w:eastAsia="zh-CN"/>
              </w:rPr>
              <w:t>等进行造型和浇注的产污系数：颗粒物1.97kg/t-产品，挥发性有机物0.213kg/t-产品，本项目年产</w:t>
            </w:r>
            <w:r>
              <w:rPr>
                <w:rFonts w:hint="eastAsia"/>
                <w:sz w:val="24"/>
                <w:u w:val="single"/>
              </w:rPr>
              <w:t>汽车制动盘、皮带轮、风叶轮等</w:t>
            </w:r>
            <w:r>
              <w:rPr>
                <w:rFonts w:hint="eastAsia"/>
                <w:sz w:val="24"/>
                <w:u w:val="single"/>
                <w:lang w:val="en-US" w:eastAsia="zh-CN"/>
              </w:rPr>
              <w:t>6000t，则造型和浇注过程产生的颗粒物和非甲烷总烃分别为11.82t/a，1.278t/a。浇注工位固定，工位上方设集气罩对废气进行收集（收集效率90%），浇注废气首先引入脉冲布袋除尘器（TA001）对颗粒物处理，然后经1套活性炭箱（TA002）净化有机废气后通过15m排气筒（DA001）外排，</w:t>
            </w:r>
            <w:r>
              <w:rPr>
                <w:rFonts w:hint="eastAsia" w:ascii="Times New Roman" w:hAnsi="Times New Roman" w:eastAsia="宋体" w:cs="Times New Roman"/>
                <w:kern w:val="0"/>
                <w:sz w:val="24"/>
                <w:u w:val="single"/>
                <w:lang w:val="en-US" w:eastAsia="zh-CN"/>
              </w:rPr>
              <w:t>风机风量</w:t>
            </w:r>
            <w:r>
              <w:rPr>
                <w:rFonts w:hint="eastAsia" w:cs="Times New Roman"/>
                <w:kern w:val="0"/>
                <w:sz w:val="24"/>
                <w:u w:val="single"/>
                <w:lang w:val="en-US" w:eastAsia="zh-CN"/>
              </w:rPr>
              <w:t>12000</w:t>
            </w:r>
            <w:r>
              <w:rPr>
                <w:rFonts w:hint="default" w:ascii="Times New Roman" w:hAnsi="Times New Roman" w:eastAsia="宋体" w:cs="Times New Roman"/>
                <w:sz w:val="24"/>
                <w:szCs w:val="24"/>
                <w:u w:val="single"/>
                <w:lang w:val="en-US" w:eastAsia="zh-CN"/>
              </w:rPr>
              <w:t>m</w:t>
            </w:r>
            <w:r>
              <w:rPr>
                <w:rFonts w:hint="default" w:ascii="Times New Roman" w:hAnsi="Times New Roman" w:eastAsia="宋体" w:cs="Times New Roman"/>
                <w:sz w:val="24"/>
                <w:szCs w:val="24"/>
                <w:u w:val="single"/>
                <w:vertAlign w:val="superscript"/>
                <w:lang w:val="en-US" w:eastAsia="zh-CN"/>
              </w:rPr>
              <w:t>3</w:t>
            </w:r>
            <w:r>
              <w:rPr>
                <w:rFonts w:hint="default" w:ascii="Times New Roman" w:hAnsi="Times New Roman" w:eastAsia="宋体" w:cs="Times New Roman"/>
                <w:sz w:val="24"/>
                <w:szCs w:val="24"/>
                <w:u w:val="single"/>
                <w:lang w:val="en-US" w:eastAsia="zh-CN"/>
              </w:rPr>
              <w:t>/h</w:t>
            </w:r>
            <w:r>
              <w:rPr>
                <w:rFonts w:hint="eastAsia"/>
                <w:sz w:val="24"/>
                <w:u w:val="single"/>
                <w:lang w:val="en-US" w:eastAsia="zh-CN"/>
              </w:rPr>
              <w:t>；造型机密闭通过管道与引风机相连（收集效率100%），造型废气首先引入脉冲布袋除尘器（TA003，</w:t>
            </w:r>
            <w:r>
              <w:rPr>
                <w:rFonts w:hint="eastAsia"/>
                <w:sz w:val="24"/>
                <w:highlight w:val="none"/>
                <w:u w:val="single"/>
                <w:shd w:val="clear"/>
                <w:lang w:val="en-US" w:eastAsia="zh-CN"/>
              </w:rPr>
              <w:t>除尘效率99.8%</w:t>
            </w:r>
            <w:r>
              <w:rPr>
                <w:rFonts w:hint="eastAsia"/>
                <w:sz w:val="24"/>
                <w:u w:val="single"/>
                <w:lang w:val="en-US" w:eastAsia="zh-CN"/>
              </w:rPr>
              <w:t>）对颗粒物处理，然后经1套活性炭箱（TA005，吸附</w:t>
            </w:r>
            <w:r>
              <w:rPr>
                <w:rFonts w:hint="eastAsia"/>
                <w:sz w:val="24"/>
                <w:highlight w:val="none"/>
                <w:u w:val="single"/>
                <w:shd w:val="clear"/>
                <w:lang w:val="en-US" w:eastAsia="zh-CN"/>
              </w:rPr>
              <w:t>效率65%</w:t>
            </w:r>
            <w:r>
              <w:rPr>
                <w:rFonts w:hint="eastAsia"/>
                <w:sz w:val="24"/>
                <w:u w:val="single"/>
                <w:lang w:val="en-US" w:eastAsia="zh-CN"/>
              </w:rPr>
              <w:t>）净化有机废气后通过15m排气筒（DA002）外排</w:t>
            </w:r>
            <w:r>
              <w:rPr>
                <w:rFonts w:hint="eastAsia"/>
                <w:sz w:val="24"/>
                <w:highlight w:val="none"/>
                <w:u w:val="single"/>
                <w:lang w:val="en-US" w:eastAsia="zh-CN"/>
              </w:rPr>
              <w:t>，</w:t>
            </w:r>
            <w:r>
              <w:rPr>
                <w:rFonts w:hint="eastAsia" w:ascii="Times New Roman" w:hAnsi="Times New Roman" w:eastAsia="宋体" w:cs="Times New Roman"/>
                <w:kern w:val="0"/>
                <w:sz w:val="24"/>
                <w:highlight w:val="none"/>
                <w:u w:val="single"/>
                <w:lang w:val="en-US" w:eastAsia="zh-CN"/>
              </w:rPr>
              <w:t>风机风量</w:t>
            </w:r>
            <w:r>
              <w:rPr>
                <w:rFonts w:hint="eastAsia" w:cs="Times New Roman"/>
                <w:kern w:val="0"/>
                <w:sz w:val="24"/>
                <w:highlight w:val="none"/>
                <w:u w:val="single"/>
                <w:lang w:val="en-US" w:eastAsia="zh-CN"/>
              </w:rPr>
              <w:t>16000</w:t>
            </w:r>
            <w:r>
              <w:rPr>
                <w:rFonts w:hint="default" w:ascii="Times New Roman" w:hAnsi="Times New Roman" w:eastAsia="宋体" w:cs="Times New Roman"/>
                <w:sz w:val="24"/>
                <w:szCs w:val="24"/>
                <w:highlight w:val="none"/>
                <w:u w:val="single"/>
                <w:lang w:val="en-US" w:eastAsia="zh-CN"/>
              </w:rPr>
              <w:t>m</w:t>
            </w:r>
            <w:r>
              <w:rPr>
                <w:rFonts w:hint="default" w:ascii="Times New Roman" w:hAnsi="Times New Roman" w:eastAsia="宋体" w:cs="Times New Roman"/>
                <w:sz w:val="24"/>
                <w:szCs w:val="24"/>
                <w:highlight w:val="none"/>
                <w:u w:val="single"/>
                <w:vertAlign w:val="superscript"/>
                <w:lang w:val="en-US" w:eastAsia="zh-CN"/>
              </w:rPr>
              <w:t>3</w:t>
            </w:r>
            <w:r>
              <w:rPr>
                <w:rFonts w:hint="default" w:ascii="Times New Roman" w:hAnsi="Times New Roman" w:eastAsia="宋体" w:cs="Times New Roman"/>
                <w:sz w:val="24"/>
                <w:szCs w:val="24"/>
                <w:highlight w:val="none"/>
                <w:u w:val="single"/>
                <w:lang w:val="en-US" w:eastAsia="zh-CN"/>
              </w:rPr>
              <w:t>/h</w:t>
            </w:r>
            <w:r>
              <w:rPr>
                <w:rFonts w:hint="eastAsia" w:cs="Times New Roman"/>
                <w:sz w:val="24"/>
                <w:szCs w:val="24"/>
                <w:highlight w:val="none"/>
                <w:u w:val="single"/>
                <w:lang w:val="en-US" w:eastAsia="zh-CN"/>
              </w:rPr>
              <w:t>，</w:t>
            </w:r>
            <w:r>
              <w:rPr>
                <w:rFonts w:hint="eastAsia" w:cs="Times New Roman"/>
                <w:kern w:val="0"/>
                <w:sz w:val="24"/>
                <w:highlight w:val="none"/>
                <w:u w:val="single"/>
                <w:lang w:val="en-US" w:eastAsia="zh-CN"/>
              </w:rPr>
              <w:t>造型和浇注</w:t>
            </w:r>
            <w:r>
              <w:rPr>
                <w:rFonts w:hint="default" w:ascii="Times New Roman" w:hAnsi="Times New Roman" w:eastAsia="宋体" w:cs="Times New Roman"/>
                <w:kern w:val="0"/>
                <w:sz w:val="24"/>
                <w:highlight w:val="none"/>
                <w:u w:val="single"/>
                <w:lang w:val="en-US" w:eastAsia="zh-CN"/>
              </w:rPr>
              <w:t>废气产排情况详见表</w:t>
            </w:r>
            <w:r>
              <w:rPr>
                <w:rFonts w:hint="eastAsia" w:cs="Times New Roman"/>
                <w:kern w:val="0"/>
                <w:sz w:val="24"/>
                <w:highlight w:val="none"/>
                <w:u w:val="single"/>
                <w:lang w:val="en-US" w:eastAsia="zh-CN"/>
              </w:rPr>
              <w:t>4-3</w:t>
            </w:r>
            <w:r>
              <w:rPr>
                <w:rFonts w:hint="default" w:ascii="Times New Roman" w:hAnsi="Times New Roman" w:eastAsia="宋体" w:cs="Times New Roman"/>
                <w:kern w:val="0"/>
                <w:sz w:val="24"/>
                <w:highlight w:val="none"/>
                <w:u w:val="single"/>
                <w:lang w:val="en-US" w:eastAsia="zh-CN"/>
              </w:rPr>
              <w:t>。</w:t>
            </w:r>
          </w:p>
          <w:p w14:paraId="6B94A10A">
            <w:pPr>
              <w:jc w:val="center"/>
              <w:rPr>
                <w:rFonts w:hint="eastAsia"/>
                <w:b/>
                <w:u w:val="single"/>
                <w:lang w:val="en-US" w:eastAsia="zh-CN"/>
              </w:rPr>
            </w:pPr>
            <w:r>
              <w:rPr>
                <w:rFonts w:hint="eastAsia"/>
                <w:b/>
                <w:u w:val="single"/>
                <w:lang w:val="en-US" w:eastAsia="zh-CN"/>
              </w:rPr>
              <w:t>表4-3  造型和浇注废气产排情况表</w:t>
            </w:r>
          </w:p>
          <w:tbl>
            <w:tblPr>
              <w:tblStyle w:val="38"/>
              <w:tblW w:w="76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0"/>
              <w:gridCol w:w="301"/>
              <w:gridCol w:w="490"/>
              <w:gridCol w:w="460"/>
              <w:gridCol w:w="820"/>
              <w:gridCol w:w="720"/>
              <w:gridCol w:w="510"/>
              <w:gridCol w:w="1140"/>
              <w:gridCol w:w="690"/>
              <w:gridCol w:w="920"/>
              <w:gridCol w:w="640"/>
              <w:gridCol w:w="574"/>
            </w:tblGrid>
            <w:tr w14:paraId="0EBB0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410" w:type="dxa"/>
                  <w:vMerge w:val="restart"/>
                  <w:tcBorders>
                    <w:tl2br w:val="nil"/>
                    <w:tr2bl w:val="nil"/>
                  </w:tcBorders>
                  <w:noWrap w:val="0"/>
                  <w:vAlign w:val="top"/>
                </w:tcPr>
                <w:p w14:paraId="6618E023">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污染源</w:t>
                  </w:r>
                </w:p>
              </w:tc>
              <w:tc>
                <w:tcPr>
                  <w:tcW w:w="301" w:type="dxa"/>
                  <w:vMerge w:val="restart"/>
                  <w:tcBorders>
                    <w:tl2br w:val="nil"/>
                    <w:tr2bl w:val="nil"/>
                  </w:tcBorders>
                  <w:noWrap w:val="0"/>
                  <w:vAlign w:val="top"/>
                </w:tcPr>
                <w:p w14:paraId="6238196F">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w:t>
                  </w:r>
                </w:p>
                <w:p w14:paraId="2A767F68">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物</w:t>
                  </w:r>
                </w:p>
              </w:tc>
              <w:tc>
                <w:tcPr>
                  <w:tcW w:w="490" w:type="dxa"/>
                  <w:vMerge w:val="restart"/>
                  <w:tcBorders>
                    <w:tl2br w:val="nil"/>
                    <w:tr2bl w:val="nil"/>
                  </w:tcBorders>
                  <w:noWrap w:val="0"/>
                  <w:vAlign w:val="top"/>
                </w:tcPr>
                <w:p w14:paraId="42001252">
                  <w:pPr>
                    <w:jc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风量</w:t>
                  </w:r>
                  <w:r>
                    <w:rPr>
                      <w:rFonts w:hint="default" w:ascii="Times New Roman" w:hAnsi="Times New Roman" w:eastAsia="宋体" w:cs="Times New Roman"/>
                      <w:u w:val="single"/>
                      <w:lang w:val="en-US" w:eastAsia="zh-CN"/>
                    </w:rPr>
                    <w:t>m</w:t>
                  </w:r>
                  <w:r>
                    <w:rPr>
                      <w:rFonts w:hint="default" w:ascii="Times New Roman" w:hAnsi="Times New Roman" w:eastAsia="宋体" w:cs="Times New Roman"/>
                      <w:u w:val="single"/>
                      <w:vertAlign w:val="superscript"/>
                      <w:lang w:val="en-US" w:eastAsia="zh-CN"/>
                    </w:rPr>
                    <w:t>3</w:t>
                  </w:r>
                  <w:r>
                    <w:rPr>
                      <w:rFonts w:hint="default" w:ascii="Times New Roman" w:hAnsi="Times New Roman" w:eastAsia="宋体" w:cs="Times New Roman"/>
                      <w:u w:val="single"/>
                      <w:lang w:val="en-US" w:eastAsia="zh-CN"/>
                    </w:rPr>
                    <w:t>/h</w:t>
                  </w:r>
                </w:p>
              </w:tc>
              <w:tc>
                <w:tcPr>
                  <w:tcW w:w="460" w:type="dxa"/>
                  <w:vMerge w:val="restart"/>
                  <w:tcBorders>
                    <w:tl2br w:val="nil"/>
                    <w:tr2bl w:val="nil"/>
                  </w:tcBorders>
                  <w:noWrap w:val="0"/>
                  <w:vAlign w:val="top"/>
                </w:tcPr>
                <w:p w14:paraId="687B1330">
                  <w:pPr>
                    <w:jc w:val="center"/>
                    <w:rPr>
                      <w:rFonts w:hint="default" w:ascii="Times New Roman" w:hAnsi="Times New Roman" w:eastAsia="宋体" w:cs="Times New Roman"/>
                      <w:u w:val="single"/>
                      <w:lang w:val="en-US" w:eastAsia="zh-CN"/>
                    </w:rPr>
                  </w:pPr>
                  <w:r>
                    <w:rPr>
                      <w:rFonts w:hint="eastAsia" w:cs="Times New Roman"/>
                      <w:u w:val="single"/>
                      <w:lang w:val="en-US" w:eastAsia="zh-CN"/>
                    </w:rPr>
                    <w:t>排放形式</w:t>
                  </w:r>
                </w:p>
              </w:tc>
              <w:tc>
                <w:tcPr>
                  <w:tcW w:w="2050" w:type="dxa"/>
                  <w:gridSpan w:val="3"/>
                  <w:tcBorders>
                    <w:tl2br w:val="nil"/>
                    <w:tr2bl w:val="nil"/>
                  </w:tcBorders>
                  <w:noWrap w:val="0"/>
                  <w:vAlign w:val="top"/>
                </w:tcPr>
                <w:p w14:paraId="29B65B77">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污染物产生情况</w:t>
                  </w:r>
                </w:p>
              </w:tc>
              <w:tc>
                <w:tcPr>
                  <w:tcW w:w="1830" w:type="dxa"/>
                  <w:gridSpan w:val="2"/>
                  <w:tcBorders>
                    <w:tl2br w:val="nil"/>
                    <w:tr2bl w:val="nil"/>
                  </w:tcBorders>
                  <w:noWrap w:val="0"/>
                  <w:vAlign w:val="top"/>
                </w:tcPr>
                <w:p w14:paraId="541A904B">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主要污染治理设施</w:t>
                  </w:r>
                </w:p>
              </w:tc>
              <w:tc>
                <w:tcPr>
                  <w:tcW w:w="2134" w:type="dxa"/>
                  <w:gridSpan w:val="3"/>
                  <w:tcBorders>
                    <w:tl2br w:val="nil"/>
                    <w:tr2bl w:val="nil"/>
                  </w:tcBorders>
                  <w:noWrap w:val="0"/>
                  <w:vAlign w:val="top"/>
                </w:tcPr>
                <w:p w14:paraId="632680D4">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污染物排放情况</w:t>
                  </w:r>
                </w:p>
              </w:tc>
            </w:tr>
            <w:tr w14:paraId="07A0B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jc w:val="center"/>
              </w:trPr>
              <w:tc>
                <w:tcPr>
                  <w:tcW w:w="410" w:type="dxa"/>
                  <w:vMerge w:val="continue"/>
                  <w:tcBorders>
                    <w:tl2br w:val="nil"/>
                    <w:tr2bl w:val="nil"/>
                  </w:tcBorders>
                  <w:noWrap w:val="0"/>
                  <w:vAlign w:val="top"/>
                </w:tcPr>
                <w:p w14:paraId="3A87C608">
                  <w:pPr>
                    <w:jc w:val="center"/>
                    <w:rPr>
                      <w:rFonts w:hint="default" w:ascii="Times New Roman" w:hAnsi="Times New Roman" w:eastAsia="宋体" w:cs="Times New Roman"/>
                      <w:u w:val="single"/>
                      <w:lang w:val="en-US" w:eastAsia="zh-CN"/>
                    </w:rPr>
                  </w:pPr>
                </w:p>
              </w:tc>
              <w:tc>
                <w:tcPr>
                  <w:tcW w:w="301" w:type="dxa"/>
                  <w:vMerge w:val="continue"/>
                  <w:tcBorders>
                    <w:tl2br w:val="nil"/>
                    <w:tr2bl w:val="nil"/>
                  </w:tcBorders>
                  <w:noWrap w:val="0"/>
                  <w:vAlign w:val="top"/>
                </w:tcPr>
                <w:p w14:paraId="43D148A6">
                  <w:pPr>
                    <w:jc w:val="center"/>
                    <w:rPr>
                      <w:rFonts w:hint="default" w:ascii="Times New Roman" w:hAnsi="Times New Roman" w:eastAsia="宋体" w:cs="Times New Roman"/>
                      <w:u w:val="single"/>
                      <w:lang w:val="en-US" w:eastAsia="zh-CN"/>
                    </w:rPr>
                  </w:pPr>
                </w:p>
              </w:tc>
              <w:tc>
                <w:tcPr>
                  <w:tcW w:w="490" w:type="dxa"/>
                  <w:vMerge w:val="continue"/>
                  <w:tcBorders>
                    <w:tl2br w:val="nil"/>
                    <w:tr2bl w:val="nil"/>
                  </w:tcBorders>
                  <w:noWrap w:val="0"/>
                  <w:vAlign w:val="top"/>
                </w:tcPr>
                <w:p w14:paraId="5CB032FD">
                  <w:pPr>
                    <w:jc w:val="center"/>
                    <w:rPr>
                      <w:rFonts w:hint="default" w:ascii="Times New Roman" w:hAnsi="Times New Roman" w:eastAsia="宋体" w:cs="Times New Roman"/>
                      <w:u w:val="single"/>
                      <w:lang w:val="en-US" w:eastAsia="zh-CN"/>
                    </w:rPr>
                  </w:pPr>
                </w:p>
              </w:tc>
              <w:tc>
                <w:tcPr>
                  <w:tcW w:w="460" w:type="dxa"/>
                  <w:vMerge w:val="continue"/>
                  <w:tcBorders>
                    <w:tl2br w:val="nil"/>
                    <w:tr2bl w:val="nil"/>
                  </w:tcBorders>
                  <w:noWrap w:val="0"/>
                  <w:vAlign w:val="top"/>
                </w:tcPr>
                <w:p w14:paraId="2D221293">
                  <w:pPr>
                    <w:jc w:val="center"/>
                    <w:rPr>
                      <w:rFonts w:hint="default" w:ascii="Times New Roman" w:hAnsi="Times New Roman" w:eastAsia="宋体" w:cs="Times New Roman"/>
                      <w:u w:val="single"/>
                      <w:lang w:val="en-US" w:eastAsia="zh-CN"/>
                    </w:rPr>
                  </w:pPr>
                </w:p>
              </w:tc>
              <w:tc>
                <w:tcPr>
                  <w:tcW w:w="820" w:type="dxa"/>
                  <w:tcBorders>
                    <w:tl2br w:val="nil"/>
                    <w:tr2bl w:val="nil"/>
                  </w:tcBorders>
                  <w:noWrap w:val="0"/>
                  <w:vAlign w:val="top"/>
                </w:tcPr>
                <w:p w14:paraId="3DE94F7F">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产生浓度mg/m</w:t>
                  </w:r>
                  <w:r>
                    <w:rPr>
                      <w:rFonts w:hint="default" w:ascii="Times New Roman" w:hAnsi="Times New Roman" w:eastAsia="宋体" w:cs="Times New Roman"/>
                      <w:u w:val="single"/>
                      <w:vertAlign w:val="superscript"/>
                      <w:lang w:val="en-US" w:eastAsia="zh-CN"/>
                    </w:rPr>
                    <w:t>3</w:t>
                  </w:r>
                </w:p>
              </w:tc>
              <w:tc>
                <w:tcPr>
                  <w:tcW w:w="720" w:type="dxa"/>
                  <w:tcBorders>
                    <w:tl2br w:val="nil"/>
                    <w:tr2bl w:val="nil"/>
                  </w:tcBorders>
                  <w:noWrap w:val="0"/>
                  <w:vAlign w:val="top"/>
                </w:tcPr>
                <w:p w14:paraId="14638764">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产生速率kg/h</w:t>
                  </w:r>
                </w:p>
              </w:tc>
              <w:tc>
                <w:tcPr>
                  <w:tcW w:w="510" w:type="dxa"/>
                  <w:tcBorders>
                    <w:tl2br w:val="nil"/>
                    <w:tr2bl w:val="nil"/>
                  </w:tcBorders>
                  <w:noWrap w:val="0"/>
                  <w:vAlign w:val="top"/>
                </w:tcPr>
                <w:p w14:paraId="746466C2">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产生量t/a</w:t>
                  </w:r>
                </w:p>
              </w:tc>
              <w:tc>
                <w:tcPr>
                  <w:tcW w:w="1140" w:type="dxa"/>
                  <w:tcBorders>
                    <w:tl2br w:val="nil"/>
                    <w:tr2bl w:val="nil"/>
                  </w:tcBorders>
                  <w:noWrap w:val="0"/>
                  <w:vAlign w:val="top"/>
                </w:tcPr>
                <w:p w14:paraId="0CB9D900">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治理措施</w:t>
                  </w:r>
                </w:p>
              </w:tc>
              <w:tc>
                <w:tcPr>
                  <w:tcW w:w="690" w:type="dxa"/>
                  <w:tcBorders>
                    <w:tl2br w:val="nil"/>
                    <w:tr2bl w:val="nil"/>
                  </w:tcBorders>
                  <w:noWrap w:val="0"/>
                  <w:vAlign w:val="top"/>
                </w:tcPr>
                <w:p w14:paraId="4A0CC3CE">
                  <w:pPr>
                    <w:jc w:val="both"/>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处理效率%</w:t>
                  </w:r>
                </w:p>
              </w:tc>
              <w:tc>
                <w:tcPr>
                  <w:tcW w:w="920" w:type="dxa"/>
                  <w:tcBorders>
                    <w:tl2br w:val="nil"/>
                    <w:tr2bl w:val="nil"/>
                  </w:tcBorders>
                  <w:noWrap w:val="0"/>
                  <w:vAlign w:val="top"/>
                </w:tcPr>
                <w:p w14:paraId="0AEF2E03">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排放浓度mg/m</w:t>
                  </w:r>
                  <w:r>
                    <w:rPr>
                      <w:rFonts w:hint="default" w:ascii="Times New Roman" w:hAnsi="Times New Roman" w:eastAsia="宋体" w:cs="Times New Roman"/>
                      <w:u w:val="single"/>
                      <w:vertAlign w:val="superscript"/>
                      <w:lang w:val="en-US" w:eastAsia="zh-CN"/>
                    </w:rPr>
                    <w:t>3</w:t>
                  </w:r>
                </w:p>
              </w:tc>
              <w:tc>
                <w:tcPr>
                  <w:tcW w:w="640" w:type="dxa"/>
                  <w:tcBorders>
                    <w:tl2br w:val="nil"/>
                    <w:tr2bl w:val="nil"/>
                  </w:tcBorders>
                  <w:noWrap w:val="0"/>
                  <w:vAlign w:val="top"/>
                </w:tcPr>
                <w:p w14:paraId="700DC775">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排放速率kg/h</w:t>
                  </w:r>
                </w:p>
              </w:tc>
              <w:tc>
                <w:tcPr>
                  <w:tcW w:w="574" w:type="dxa"/>
                  <w:tcBorders>
                    <w:tl2br w:val="nil"/>
                    <w:tr2bl w:val="nil"/>
                  </w:tcBorders>
                  <w:noWrap w:val="0"/>
                  <w:vAlign w:val="top"/>
                </w:tcPr>
                <w:p w14:paraId="540D8221">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排放量t/a</w:t>
                  </w:r>
                </w:p>
              </w:tc>
            </w:tr>
            <w:tr w14:paraId="38906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410" w:type="dxa"/>
                  <w:vMerge w:val="restart"/>
                  <w:tcBorders>
                    <w:tl2br w:val="nil"/>
                    <w:tr2bl w:val="nil"/>
                  </w:tcBorders>
                  <w:noWrap w:val="0"/>
                  <w:vAlign w:val="center"/>
                </w:tcPr>
                <w:p w14:paraId="0E82CCE8">
                  <w:pPr>
                    <w:jc w:val="both"/>
                    <w:rPr>
                      <w:rFonts w:hint="default" w:ascii="Times New Roman" w:hAnsi="Times New Roman" w:eastAsia="宋体" w:cs="Times New Roman"/>
                      <w:u w:val="single"/>
                      <w:lang w:val="en-US" w:eastAsia="zh-CN"/>
                    </w:rPr>
                  </w:pPr>
                  <w:r>
                    <w:rPr>
                      <w:rFonts w:hint="eastAsia" w:cs="Times New Roman"/>
                      <w:u w:val="single"/>
                      <w:lang w:val="en-US" w:eastAsia="zh-CN"/>
                    </w:rPr>
                    <w:t>浇注</w:t>
                  </w:r>
                </w:p>
              </w:tc>
              <w:tc>
                <w:tcPr>
                  <w:tcW w:w="301" w:type="dxa"/>
                  <w:vMerge w:val="restart"/>
                  <w:tcBorders>
                    <w:tl2br w:val="nil"/>
                    <w:tr2bl w:val="nil"/>
                  </w:tcBorders>
                  <w:noWrap w:val="0"/>
                  <w:vAlign w:val="center"/>
                </w:tcPr>
                <w:p w14:paraId="00834C39">
                  <w:pPr>
                    <w:jc w:val="center"/>
                    <w:rPr>
                      <w:rFonts w:hint="default" w:ascii="Times New Roman" w:hAnsi="Times New Roman" w:eastAsia="宋体" w:cs="Times New Roman"/>
                      <w:u w:val="single"/>
                      <w:lang w:val="en-US" w:eastAsia="zh-CN"/>
                    </w:rPr>
                  </w:pPr>
                  <w:r>
                    <w:rPr>
                      <w:rFonts w:hint="eastAsia" w:cs="Times New Roman"/>
                      <w:u w:val="single"/>
                      <w:lang w:val="en-US" w:eastAsia="zh-CN"/>
                    </w:rPr>
                    <w:t>颗粒物</w:t>
                  </w:r>
                </w:p>
              </w:tc>
              <w:tc>
                <w:tcPr>
                  <w:tcW w:w="490" w:type="dxa"/>
                  <w:tcBorders>
                    <w:tl2br w:val="nil"/>
                    <w:tr2bl w:val="nil"/>
                  </w:tcBorders>
                  <w:noWrap w:val="0"/>
                  <w:vAlign w:val="center"/>
                </w:tcPr>
                <w:p w14:paraId="74CF51DE">
                  <w:pPr>
                    <w:jc w:val="center"/>
                    <w:rPr>
                      <w:rFonts w:hint="default" w:ascii="Times New Roman" w:hAnsi="Times New Roman" w:eastAsia="宋体" w:cs="Times New Roman"/>
                      <w:color w:val="auto"/>
                      <w:highlight w:val="none"/>
                      <w:u w:val="single"/>
                      <w:lang w:val="en-US" w:eastAsia="zh-CN"/>
                    </w:rPr>
                  </w:pPr>
                  <w:r>
                    <w:rPr>
                      <w:rFonts w:hint="eastAsia" w:cs="Times New Roman"/>
                      <w:color w:val="auto"/>
                      <w:highlight w:val="none"/>
                      <w:u w:val="single"/>
                      <w:lang w:val="en-US" w:eastAsia="zh-CN"/>
                    </w:rPr>
                    <w:t>12000</w:t>
                  </w:r>
                </w:p>
              </w:tc>
              <w:tc>
                <w:tcPr>
                  <w:tcW w:w="460" w:type="dxa"/>
                  <w:tcBorders>
                    <w:tl2br w:val="nil"/>
                    <w:tr2bl w:val="nil"/>
                  </w:tcBorders>
                  <w:noWrap w:val="0"/>
                  <w:vAlign w:val="center"/>
                </w:tcPr>
                <w:p w14:paraId="1400D35F">
                  <w:pPr>
                    <w:jc w:val="center"/>
                    <w:rPr>
                      <w:rFonts w:hint="default" w:cs="Times New Roman"/>
                      <w:color w:val="auto"/>
                      <w:highlight w:val="none"/>
                      <w:u w:val="single"/>
                      <w:lang w:val="en-US" w:eastAsia="zh-CN"/>
                    </w:rPr>
                  </w:pPr>
                  <w:r>
                    <w:rPr>
                      <w:rFonts w:hint="eastAsia" w:cs="Times New Roman"/>
                      <w:color w:val="auto"/>
                      <w:highlight w:val="none"/>
                      <w:u w:val="single"/>
                      <w:lang w:val="en-US" w:eastAsia="zh-CN"/>
                    </w:rPr>
                    <w:t>有组织</w:t>
                  </w:r>
                </w:p>
              </w:tc>
              <w:tc>
                <w:tcPr>
                  <w:tcW w:w="820" w:type="dxa"/>
                  <w:tcBorders>
                    <w:tl2br w:val="nil"/>
                    <w:tr2bl w:val="nil"/>
                  </w:tcBorders>
                  <w:noWrap w:val="0"/>
                  <w:vAlign w:val="center"/>
                </w:tcPr>
                <w:p w14:paraId="68F831C4">
                  <w:pPr>
                    <w:jc w:val="center"/>
                    <w:rPr>
                      <w:rFonts w:hint="default" w:ascii="Times New Roman" w:hAnsi="Times New Roman" w:eastAsia="宋体" w:cs="Times New Roman"/>
                      <w:color w:val="auto"/>
                      <w:highlight w:val="none"/>
                      <w:u w:val="single"/>
                      <w:lang w:val="en-US" w:eastAsia="zh-CN"/>
                    </w:rPr>
                  </w:pPr>
                  <w:r>
                    <w:rPr>
                      <w:rFonts w:hint="eastAsia" w:cs="Times New Roman"/>
                      <w:color w:val="auto"/>
                      <w:highlight w:val="none"/>
                      <w:u w:val="single"/>
                      <w:lang w:val="en-US" w:eastAsia="zh-CN"/>
                    </w:rPr>
                    <w:t>355.17</w:t>
                  </w:r>
                </w:p>
              </w:tc>
              <w:tc>
                <w:tcPr>
                  <w:tcW w:w="720" w:type="dxa"/>
                  <w:tcBorders>
                    <w:tl2br w:val="nil"/>
                    <w:tr2bl w:val="nil"/>
                  </w:tcBorders>
                  <w:noWrap w:val="0"/>
                  <w:vAlign w:val="center"/>
                </w:tcPr>
                <w:p w14:paraId="3BD663AA">
                  <w:pPr>
                    <w:jc w:val="center"/>
                    <w:rPr>
                      <w:rFonts w:hint="default" w:ascii="Times New Roman" w:hAnsi="Times New Roman" w:eastAsia="宋体" w:cs="Times New Roman"/>
                      <w:color w:val="auto"/>
                      <w:highlight w:val="none"/>
                      <w:u w:val="single"/>
                      <w:lang w:val="en-US" w:eastAsia="zh-CN"/>
                    </w:rPr>
                  </w:pPr>
                  <w:r>
                    <w:rPr>
                      <w:rFonts w:hint="eastAsia" w:cs="Times New Roman"/>
                      <w:color w:val="auto"/>
                      <w:highlight w:val="none"/>
                      <w:u w:val="single"/>
                      <w:lang w:val="en-US" w:eastAsia="zh-CN"/>
                    </w:rPr>
                    <w:t>4.26</w:t>
                  </w:r>
                </w:p>
              </w:tc>
              <w:tc>
                <w:tcPr>
                  <w:tcW w:w="510" w:type="dxa"/>
                  <w:tcBorders>
                    <w:tl2br w:val="nil"/>
                    <w:tr2bl w:val="nil"/>
                  </w:tcBorders>
                  <w:noWrap w:val="0"/>
                  <w:vAlign w:val="center"/>
                </w:tcPr>
                <w:p w14:paraId="5BDC64C4">
                  <w:pPr>
                    <w:jc w:val="center"/>
                    <w:rPr>
                      <w:rFonts w:hint="default" w:ascii="Times New Roman" w:hAnsi="Times New Roman" w:eastAsia="宋体" w:cs="Times New Roman"/>
                      <w:color w:val="auto"/>
                      <w:highlight w:val="none"/>
                      <w:u w:val="single"/>
                      <w:lang w:val="en-US" w:eastAsia="zh-CN"/>
                    </w:rPr>
                  </w:pPr>
                  <w:r>
                    <w:rPr>
                      <w:rFonts w:hint="eastAsia" w:cs="Times New Roman"/>
                      <w:color w:val="auto"/>
                      <w:highlight w:val="none"/>
                      <w:u w:val="single"/>
                      <w:lang w:val="en-US" w:eastAsia="zh-CN"/>
                    </w:rPr>
                    <w:t>10.638</w:t>
                  </w:r>
                </w:p>
              </w:tc>
              <w:tc>
                <w:tcPr>
                  <w:tcW w:w="1140" w:type="dxa"/>
                  <w:tcBorders>
                    <w:tl2br w:val="nil"/>
                    <w:tr2bl w:val="nil"/>
                  </w:tcBorders>
                  <w:noWrap w:val="0"/>
                  <w:vAlign w:val="center"/>
                </w:tcPr>
                <w:p w14:paraId="1D889255">
                  <w:pPr>
                    <w:jc w:val="center"/>
                    <w:rPr>
                      <w:rFonts w:hint="default" w:ascii="Times New Roman" w:hAnsi="Times New Roman" w:eastAsia="宋体" w:cs="Times New Roman"/>
                      <w:color w:val="auto"/>
                      <w:highlight w:val="none"/>
                      <w:u w:val="single"/>
                      <w:lang w:val="en-US" w:eastAsia="zh-CN"/>
                    </w:rPr>
                  </w:pPr>
                  <w:r>
                    <w:rPr>
                      <w:rFonts w:hint="eastAsia" w:cs="Times New Roman"/>
                      <w:color w:val="auto"/>
                      <w:highlight w:val="none"/>
                      <w:u w:val="single"/>
                      <w:lang w:val="en-US" w:eastAsia="zh-CN"/>
                    </w:rPr>
                    <w:t>脉冲布袋</w:t>
                  </w:r>
                  <w:r>
                    <w:rPr>
                      <w:rFonts w:hint="eastAsia" w:ascii="Times New Roman" w:hAnsi="Times New Roman" w:eastAsia="宋体" w:cs="Times New Roman"/>
                      <w:color w:val="auto"/>
                      <w:highlight w:val="none"/>
                      <w:u w:val="single"/>
                      <w:lang w:val="en-US" w:eastAsia="zh-CN"/>
                    </w:rPr>
                    <w:t>除尘器</w:t>
                  </w:r>
                  <w:r>
                    <w:rPr>
                      <w:rFonts w:hint="default" w:ascii="Times New Roman" w:hAnsi="Times New Roman" w:eastAsia="宋体" w:cs="Times New Roman"/>
                      <w:color w:val="auto"/>
                      <w:highlight w:val="none"/>
                      <w:u w:val="single"/>
                      <w:lang w:val="en-US" w:eastAsia="zh-CN"/>
                    </w:rPr>
                    <w:t>+</w:t>
                  </w:r>
                  <w:r>
                    <w:rPr>
                      <w:rFonts w:hint="eastAsia" w:cs="Times New Roman"/>
                      <w:color w:val="auto"/>
                      <w:highlight w:val="none"/>
                      <w:u w:val="single"/>
                      <w:lang w:val="en-US" w:eastAsia="zh-CN"/>
                    </w:rPr>
                    <w:t>活性炭箱＋</w:t>
                  </w:r>
                  <w:r>
                    <w:rPr>
                      <w:rFonts w:hint="default" w:ascii="Times New Roman" w:hAnsi="Times New Roman" w:eastAsia="宋体" w:cs="Times New Roman"/>
                      <w:color w:val="auto"/>
                      <w:highlight w:val="none"/>
                      <w:u w:val="single"/>
                      <w:lang w:val="en-US" w:eastAsia="zh-CN"/>
                    </w:rPr>
                    <w:t>15m高排气筒</w:t>
                  </w:r>
                </w:p>
              </w:tc>
              <w:tc>
                <w:tcPr>
                  <w:tcW w:w="690" w:type="dxa"/>
                  <w:tcBorders>
                    <w:tl2br w:val="nil"/>
                    <w:tr2bl w:val="nil"/>
                  </w:tcBorders>
                  <w:noWrap w:val="0"/>
                  <w:vAlign w:val="center"/>
                </w:tcPr>
                <w:p w14:paraId="4968C0BB">
                  <w:pPr>
                    <w:jc w:val="center"/>
                    <w:rPr>
                      <w:rFonts w:hint="default" w:ascii="Times New Roman" w:hAnsi="Times New Roman" w:eastAsia="宋体" w:cs="Times New Roman"/>
                      <w:color w:val="auto"/>
                      <w:highlight w:val="none"/>
                      <w:u w:val="single"/>
                      <w:lang w:val="en-US" w:eastAsia="zh-CN"/>
                    </w:rPr>
                  </w:pPr>
                  <w:r>
                    <w:rPr>
                      <w:rFonts w:hint="eastAsia" w:cs="Times New Roman"/>
                      <w:color w:val="auto"/>
                      <w:highlight w:val="none"/>
                      <w:u w:val="single"/>
                      <w:lang w:val="en-US" w:eastAsia="zh-CN"/>
                    </w:rPr>
                    <w:t>99.8</w:t>
                  </w:r>
                </w:p>
              </w:tc>
              <w:tc>
                <w:tcPr>
                  <w:tcW w:w="920" w:type="dxa"/>
                  <w:tcBorders>
                    <w:tl2br w:val="nil"/>
                    <w:tr2bl w:val="nil"/>
                  </w:tcBorders>
                  <w:noWrap w:val="0"/>
                  <w:vAlign w:val="center"/>
                </w:tcPr>
                <w:p w14:paraId="67FD7DDE">
                  <w:pPr>
                    <w:jc w:val="center"/>
                    <w:rPr>
                      <w:rFonts w:hint="default" w:cs="Times New Roman"/>
                      <w:color w:val="auto"/>
                      <w:highlight w:val="none"/>
                      <w:u w:val="single"/>
                      <w:lang w:val="en-US" w:eastAsia="zh-CN"/>
                    </w:rPr>
                  </w:pPr>
                  <w:r>
                    <w:rPr>
                      <w:rFonts w:hint="default" w:cs="Times New Roman"/>
                      <w:color w:val="auto"/>
                      <w:highlight w:val="none"/>
                      <w:u w:val="single"/>
                      <w:lang w:val="en-US" w:eastAsia="zh-CN"/>
                    </w:rPr>
                    <w:t>0.7103</w:t>
                  </w:r>
                </w:p>
              </w:tc>
              <w:tc>
                <w:tcPr>
                  <w:tcW w:w="640" w:type="dxa"/>
                  <w:tcBorders>
                    <w:tl2br w:val="nil"/>
                    <w:tr2bl w:val="nil"/>
                  </w:tcBorders>
                  <w:noWrap w:val="0"/>
                  <w:vAlign w:val="center"/>
                </w:tcPr>
                <w:p w14:paraId="3D515690">
                  <w:pPr>
                    <w:jc w:val="center"/>
                    <w:rPr>
                      <w:rFonts w:hint="default" w:cs="Times New Roman"/>
                      <w:color w:val="auto"/>
                      <w:highlight w:val="none"/>
                      <w:u w:val="single"/>
                      <w:lang w:val="en-US" w:eastAsia="zh-CN"/>
                    </w:rPr>
                  </w:pPr>
                  <w:r>
                    <w:rPr>
                      <w:rFonts w:hint="default" w:cs="Times New Roman"/>
                      <w:color w:val="auto"/>
                      <w:highlight w:val="none"/>
                      <w:u w:val="single"/>
                      <w:lang w:val="en-US" w:eastAsia="zh-CN"/>
                    </w:rPr>
                    <w:t xml:space="preserve">0.0085 </w:t>
                  </w:r>
                </w:p>
              </w:tc>
              <w:tc>
                <w:tcPr>
                  <w:tcW w:w="574" w:type="dxa"/>
                  <w:tcBorders>
                    <w:tl2br w:val="nil"/>
                    <w:tr2bl w:val="nil"/>
                  </w:tcBorders>
                  <w:noWrap w:val="0"/>
                  <w:vAlign w:val="center"/>
                </w:tcPr>
                <w:p w14:paraId="73B04706">
                  <w:pPr>
                    <w:jc w:val="center"/>
                    <w:rPr>
                      <w:rFonts w:hint="default" w:cs="Times New Roman"/>
                      <w:color w:val="auto"/>
                      <w:highlight w:val="none"/>
                      <w:u w:val="single"/>
                      <w:lang w:val="en-US" w:eastAsia="zh-CN"/>
                    </w:rPr>
                  </w:pPr>
                  <w:r>
                    <w:rPr>
                      <w:rFonts w:hint="eastAsia" w:cs="Times New Roman"/>
                      <w:color w:val="auto"/>
                      <w:highlight w:val="none"/>
                      <w:u w:val="single"/>
                      <w:lang w:val="en-US" w:eastAsia="zh-CN"/>
                    </w:rPr>
                    <w:t xml:space="preserve">0.021 </w:t>
                  </w:r>
                </w:p>
              </w:tc>
            </w:tr>
            <w:tr w14:paraId="27C5E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jc w:val="center"/>
              </w:trPr>
              <w:tc>
                <w:tcPr>
                  <w:tcW w:w="410" w:type="dxa"/>
                  <w:vMerge w:val="continue"/>
                  <w:tcBorders>
                    <w:tl2br w:val="nil"/>
                    <w:tr2bl w:val="nil"/>
                  </w:tcBorders>
                  <w:noWrap w:val="0"/>
                  <w:vAlign w:val="center"/>
                </w:tcPr>
                <w:p w14:paraId="288B7737">
                  <w:pPr>
                    <w:jc w:val="center"/>
                    <w:rPr>
                      <w:u w:val="single"/>
                    </w:rPr>
                  </w:pPr>
                </w:p>
              </w:tc>
              <w:tc>
                <w:tcPr>
                  <w:tcW w:w="301" w:type="dxa"/>
                  <w:vMerge w:val="continue"/>
                  <w:tcBorders>
                    <w:tl2br w:val="nil"/>
                    <w:tr2bl w:val="nil"/>
                  </w:tcBorders>
                  <w:noWrap w:val="0"/>
                  <w:vAlign w:val="center"/>
                </w:tcPr>
                <w:p w14:paraId="43B7BE38">
                  <w:pPr>
                    <w:jc w:val="center"/>
                    <w:rPr>
                      <w:u w:val="single"/>
                    </w:rPr>
                  </w:pPr>
                </w:p>
              </w:tc>
              <w:tc>
                <w:tcPr>
                  <w:tcW w:w="490" w:type="dxa"/>
                  <w:tcBorders>
                    <w:tl2br w:val="nil"/>
                    <w:tr2bl w:val="nil"/>
                  </w:tcBorders>
                  <w:noWrap w:val="0"/>
                  <w:vAlign w:val="center"/>
                </w:tcPr>
                <w:p w14:paraId="0AC3C2DB">
                  <w:pPr>
                    <w:jc w:val="center"/>
                    <w:rPr>
                      <w:u w:val="single"/>
                    </w:rPr>
                  </w:pPr>
                </w:p>
              </w:tc>
              <w:tc>
                <w:tcPr>
                  <w:tcW w:w="460" w:type="dxa"/>
                  <w:tcBorders>
                    <w:tl2br w:val="nil"/>
                    <w:tr2bl w:val="nil"/>
                  </w:tcBorders>
                  <w:noWrap w:val="0"/>
                  <w:vAlign w:val="center"/>
                </w:tcPr>
                <w:p w14:paraId="1E523179">
                  <w:pPr>
                    <w:jc w:val="center"/>
                    <w:rPr>
                      <w:rFonts w:hint="default" w:cs="Times New Roman"/>
                      <w:color w:val="auto"/>
                      <w:highlight w:val="none"/>
                      <w:u w:val="single"/>
                      <w:lang w:val="en-US" w:eastAsia="zh-CN"/>
                    </w:rPr>
                  </w:pPr>
                  <w:r>
                    <w:rPr>
                      <w:rFonts w:hint="eastAsia" w:cs="Times New Roman"/>
                      <w:color w:val="auto"/>
                      <w:highlight w:val="none"/>
                      <w:u w:val="single"/>
                      <w:lang w:val="en-US" w:eastAsia="zh-CN"/>
                    </w:rPr>
                    <w:t>无组织</w:t>
                  </w:r>
                </w:p>
              </w:tc>
              <w:tc>
                <w:tcPr>
                  <w:tcW w:w="820" w:type="dxa"/>
                  <w:tcBorders>
                    <w:tl2br w:val="nil"/>
                    <w:tr2bl w:val="nil"/>
                  </w:tcBorders>
                  <w:noWrap w:val="0"/>
                  <w:vAlign w:val="center"/>
                </w:tcPr>
                <w:p w14:paraId="004507F8">
                  <w:pPr>
                    <w:jc w:val="center"/>
                    <w:rPr>
                      <w:rFonts w:hint="default" w:cs="Times New Roman"/>
                      <w:color w:val="auto"/>
                      <w:highlight w:val="none"/>
                      <w:u w:val="single"/>
                      <w:lang w:val="en-US" w:eastAsia="zh-CN"/>
                    </w:rPr>
                  </w:pPr>
                  <w:r>
                    <w:rPr>
                      <w:rFonts w:hint="eastAsia" w:cs="Times New Roman"/>
                      <w:color w:val="auto"/>
                      <w:highlight w:val="none"/>
                      <w:u w:val="single"/>
                      <w:lang w:val="en-US" w:eastAsia="zh-CN"/>
                    </w:rPr>
                    <w:t>/</w:t>
                  </w:r>
                </w:p>
              </w:tc>
              <w:tc>
                <w:tcPr>
                  <w:tcW w:w="720" w:type="dxa"/>
                  <w:tcBorders>
                    <w:tl2br w:val="nil"/>
                    <w:tr2bl w:val="nil"/>
                  </w:tcBorders>
                  <w:noWrap w:val="0"/>
                  <w:vAlign w:val="center"/>
                </w:tcPr>
                <w:p w14:paraId="30FE4786">
                  <w:pPr>
                    <w:jc w:val="center"/>
                    <w:rPr>
                      <w:rFonts w:hint="default" w:cs="Times New Roman"/>
                      <w:color w:val="auto"/>
                      <w:highlight w:val="none"/>
                      <w:u w:val="single"/>
                      <w:lang w:val="en-US" w:eastAsia="zh-CN"/>
                    </w:rPr>
                  </w:pPr>
                  <w:r>
                    <w:rPr>
                      <w:rFonts w:hint="eastAsia" w:cs="Times New Roman"/>
                      <w:color w:val="auto"/>
                      <w:highlight w:val="none"/>
                      <w:u w:val="single"/>
                      <w:lang w:val="en-US" w:eastAsia="zh-CN"/>
                    </w:rPr>
                    <w:t>0.47</w:t>
                  </w:r>
                </w:p>
              </w:tc>
              <w:tc>
                <w:tcPr>
                  <w:tcW w:w="510" w:type="dxa"/>
                  <w:tcBorders>
                    <w:tl2br w:val="nil"/>
                    <w:tr2bl w:val="nil"/>
                  </w:tcBorders>
                  <w:noWrap w:val="0"/>
                  <w:vAlign w:val="center"/>
                </w:tcPr>
                <w:p w14:paraId="293928E5">
                  <w:pPr>
                    <w:jc w:val="center"/>
                    <w:rPr>
                      <w:rFonts w:hint="default" w:cs="Times New Roman"/>
                      <w:color w:val="auto"/>
                      <w:highlight w:val="none"/>
                      <w:u w:val="single"/>
                      <w:lang w:val="en-US" w:eastAsia="zh-CN"/>
                    </w:rPr>
                  </w:pPr>
                  <w:r>
                    <w:rPr>
                      <w:rFonts w:hint="eastAsia" w:cs="Times New Roman"/>
                      <w:color w:val="auto"/>
                      <w:highlight w:val="none"/>
                      <w:u w:val="single"/>
                      <w:lang w:val="en-US" w:eastAsia="zh-CN"/>
                    </w:rPr>
                    <w:t>1.182</w:t>
                  </w:r>
                </w:p>
              </w:tc>
              <w:tc>
                <w:tcPr>
                  <w:tcW w:w="1140" w:type="dxa"/>
                  <w:tcBorders>
                    <w:tl2br w:val="nil"/>
                    <w:tr2bl w:val="nil"/>
                  </w:tcBorders>
                  <w:noWrap w:val="0"/>
                  <w:vAlign w:val="center"/>
                </w:tcPr>
                <w:p w14:paraId="6647434F">
                  <w:pPr>
                    <w:jc w:val="center"/>
                    <w:rPr>
                      <w:rFonts w:hint="eastAsia" w:cs="Times New Roman"/>
                      <w:color w:val="auto"/>
                      <w:highlight w:val="none"/>
                      <w:u w:val="single"/>
                      <w:lang w:val="en-US" w:eastAsia="zh-CN"/>
                    </w:rPr>
                  </w:pPr>
                  <w:r>
                    <w:rPr>
                      <w:rFonts w:hint="eastAsia" w:cs="Times New Roman"/>
                      <w:color w:val="auto"/>
                      <w:highlight w:val="none"/>
                      <w:u w:val="single"/>
                      <w:lang w:val="en-US" w:eastAsia="zh-CN"/>
                    </w:rPr>
                    <w:t>/</w:t>
                  </w:r>
                </w:p>
              </w:tc>
              <w:tc>
                <w:tcPr>
                  <w:tcW w:w="690" w:type="dxa"/>
                  <w:tcBorders>
                    <w:tl2br w:val="nil"/>
                    <w:tr2bl w:val="nil"/>
                  </w:tcBorders>
                  <w:noWrap w:val="0"/>
                  <w:vAlign w:val="center"/>
                </w:tcPr>
                <w:p w14:paraId="6D995154">
                  <w:pPr>
                    <w:jc w:val="center"/>
                    <w:rPr>
                      <w:rFonts w:hint="eastAsia" w:cs="Times New Roman"/>
                      <w:color w:val="auto"/>
                      <w:highlight w:val="none"/>
                      <w:u w:val="single"/>
                      <w:lang w:val="en-US" w:eastAsia="zh-CN"/>
                    </w:rPr>
                  </w:pPr>
                  <w:r>
                    <w:rPr>
                      <w:rFonts w:hint="eastAsia" w:cs="Times New Roman"/>
                      <w:color w:val="auto"/>
                      <w:highlight w:val="none"/>
                      <w:u w:val="single"/>
                      <w:lang w:val="en-US" w:eastAsia="zh-CN"/>
                    </w:rPr>
                    <w:t>/</w:t>
                  </w:r>
                </w:p>
              </w:tc>
              <w:tc>
                <w:tcPr>
                  <w:tcW w:w="920" w:type="dxa"/>
                  <w:tcBorders>
                    <w:tl2br w:val="nil"/>
                    <w:tr2bl w:val="nil"/>
                  </w:tcBorders>
                  <w:noWrap w:val="0"/>
                  <w:vAlign w:val="center"/>
                </w:tcPr>
                <w:p w14:paraId="3C663136">
                  <w:pPr>
                    <w:jc w:val="center"/>
                    <w:rPr>
                      <w:rFonts w:hint="eastAsia" w:cs="Times New Roman"/>
                      <w:color w:val="auto"/>
                      <w:highlight w:val="none"/>
                      <w:u w:val="single"/>
                      <w:lang w:val="en-US" w:eastAsia="zh-CN"/>
                    </w:rPr>
                  </w:pPr>
                  <w:r>
                    <w:rPr>
                      <w:rFonts w:hint="eastAsia" w:cs="Times New Roman"/>
                      <w:color w:val="auto"/>
                      <w:highlight w:val="none"/>
                      <w:u w:val="single"/>
                      <w:lang w:val="en-US" w:eastAsia="zh-CN"/>
                    </w:rPr>
                    <w:t>/</w:t>
                  </w:r>
                </w:p>
              </w:tc>
              <w:tc>
                <w:tcPr>
                  <w:tcW w:w="640" w:type="dxa"/>
                  <w:tcBorders>
                    <w:tl2br w:val="nil"/>
                    <w:tr2bl w:val="nil"/>
                  </w:tcBorders>
                  <w:noWrap w:val="0"/>
                  <w:vAlign w:val="center"/>
                </w:tcPr>
                <w:p w14:paraId="5297E078">
                  <w:pPr>
                    <w:jc w:val="center"/>
                    <w:rPr>
                      <w:rFonts w:hint="default" w:cs="Times New Roman"/>
                      <w:color w:val="auto"/>
                      <w:highlight w:val="none"/>
                      <w:u w:val="single"/>
                      <w:lang w:val="en-US" w:eastAsia="zh-CN"/>
                    </w:rPr>
                  </w:pPr>
                  <w:r>
                    <w:rPr>
                      <w:rFonts w:hint="eastAsia" w:cs="Times New Roman"/>
                      <w:color w:val="auto"/>
                      <w:highlight w:val="none"/>
                      <w:u w:val="single"/>
                      <w:lang w:val="en-US" w:eastAsia="zh-CN"/>
                    </w:rPr>
                    <w:t>0.47</w:t>
                  </w:r>
                </w:p>
              </w:tc>
              <w:tc>
                <w:tcPr>
                  <w:tcW w:w="574" w:type="dxa"/>
                  <w:tcBorders>
                    <w:tl2br w:val="nil"/>
                    <w:tr2bl w:val="nil"/>
                  </w:tcBorders>
                  <w:noWrap w:val="0"/>
                  <w:vAlign w:val="center"/>
                </w:tcPr>
                <w:p w14:paraId="219C0246">
                  <w:pPr>
                    <w:jc w:val="center"/>
                    <w:rPr>
                      <w:rFonts w:hint="eastAsia" w:cs="Times New Roman"/>
                      <w:color w:val="auto"/>
                      <w:highlight w:val="none"/>
                      <w:u w:val="single"/>
                      <w:lang w:val="en-US" w:eastAsia="zh-CN"/>
                    </w:rPr>
                  </w:pPr>
                  <w:r>
                    <w:rPr>
                      <w:rFonts w:hint="eastAsia" w:cs="Times New Roman"/>
                      <w:color w:val="auto"/>
                      <w:highlight w:val="none"/>
                      <w:u w:val="single"/>
                      <w:lang w:val="en-US" w:eastAsia="zh-CN"/>
                    </w:rPr>
                    <w:t>1.182</w:t>
                  </w:r>
                </w:p>
              </w:tc>
            </w:tr>
            <w:tr w14:paraId="6A600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410" w:type="dxa"/>
                  <w:vMerge w:val="continue"/>
                  <w:tcBorders>
                    <w:tl2br w:val="nil"/>
                    <w:tr2bl w:val="nil"/>
                  </w:tcBorders>
                  <w:noWrap w:val="0"/>
                  <w:vAlign w:val="center"/>
                </w:tcPr>
                <w:p w14:paraId="343D474C">
                  <w:pPr>
                    <w:jc w:val="center"/>
                    <w:rPr>
                      <w:u w:val="single"/>
                    </w:rPr>
                  </w:pPr>
                </w:p>
              </w:tc>
              <w:tc>
                <w:tcPr>
                  <w:tcW w:w="301" w:type="dxa"/>
                  <w:vMerge w:val="restart"/>
                  <w:tcBorders>
                    <w:tl2br w:val="nil"/>
                    <w:tr2bl w:val="nil"/>
                  </w:tcBorders>
                  <w:noWrap w:val="0"/>
                  <w:vAlign w:val="center"/>
                </w:tcPr>
                <w:p w14:paraId="5F8FB151">
                  <w:pPr>
                    <w:jc w:val="center"/>
                    <w:rPr>
                      <w:rFonts w:hint="default" w:cs="Times New Roman"/>
                      <w:u w:val="single"/>
                      <w:lang w:val="en-US" w:eastAsia="zh-CN"/>
                    </w:rPr>
                  </w:pPr>
                  <w:r>
                    <w:rPr>
                      <w:rFonts w:hint="eastAsia" w:cs="Times New Roman"/>
                      <w:u w:val="single"/>
                      <w:lang w:val="en-US" w:eastAsia="zh-CN"/>
                    </w:rPr>
                    <w:t>非甲烷总烃</w:t>
                  </w:r>
                </w:p>
              </w:tc>
              <w:tc>
                <w:tcPr>
                  <w:tcW w:w="490" w:type="dxa"/>
                  <w:tcBorders>
                    <w:tl2br w:val="nil"/>
                    <w:tr2bl w:val="nil"/>
                  </w:tcBorders>
                  <w:noWrap w:val="0"/>
                  <w:vAlign w:val="center"/>
                </w:tcPr>
                <w:p w14:paraId="110E2E1A">
                  <w:pPr>
                    <w:jc w:val="center"/>
                    <w:rPr>
                      <w:rFonts w:hint="eastAsia" w:cs="Times New Roman"/>
                      <w:highlight w:val="none"/>
                      <w:u w:val="single"/>
                      <w:lang w:val="en-US" w:eastAsia="zh-CN"/>
                    </w:rPr>
                  </w:pPr>
                  <w:r>
                    <w:rPr>
                      <w:rFonts w:hint="eastAsia" w:cs="Times New Roman"/>
                      <w:color w:val="auto"/>
                      <w:highlight w:val="none"/>
                      <w:u w:val="single"/>
                      <w:lang w:val="en-US" w:eastAsia="zh-CN"/>
                    </w:rPr>
                    <w:t>12000</w:t>
                  </w:r>
                </w:p>
              </w:tc>
              <w:tc>
                <w:tcPr>
                  <w:tcW w:w="460" w:type="dxa"/>
                  <w:tcBorders>
                    <w:tl2br w:val="nil"/>
                    <w:tr2bl w:val="nil"/>
                  </w:tcBorders>
                  <w:noWrap w:val="0"/>
                  <w:vAlign w:val="center"/>
                </w:tcPr>
                <w:p w14:paraId="1666F75C">
                  <w:pPr>
                    <w:jc w:val="center"/>
                    <w:rPr>
                      <w:rFonts w:hint="eastAsia" w:cs="Times New Roman"/>
                      <w:highlight w:val="none"/>
                      <w:u w:val="single"/>
                      <w:lang w:val="en-US" w:eastAsia="zh-CN"/>
                    </w:rPr>
                  </w:pPr>
                  <w:r>
                    <w:rPr>
                      <w:rFonts w:hint="eastAsia" w:cs="Times New Roman"/>
                      <w:color w:val="auto"/>
                      <w:highlight w:val="none"/>
                      <w:u w:val="single"/>
                      <w:lang w:val="en-US" w:eastAsia="zh-CN"/>
                    </w:rPr>
                    <w:t>有组织</w:t>
                  </w:r>
                </w:p>
              </w:tc>
              <w:tc>
                <w:tcPr>
                  <w:tcW w:w="820" w:type="dxa"/>
                  <w:tcBorders>
                    <w:tl2br w:val="nil"/>
                    <w:tr2bl w:val="nil"/>
                  </w:tcBorders>
                  <w:noWrap w:val="0"/>
                  <w:vAlign w:val="center"/>
                </w:tcPr>
                <w:p w14:paraId="3A6A2DC5">
                  <w:pPr>
                    <w:keepNext w:val="0"/>
                    <w:keepLines w:val="0"/>
                    <w:widowControl/>
                    <w:suppressLineNumbers w:val="0"/>
                    <w:jc w:val="center"/>
                    <w:textAlignment w:val="center"/>
                    <w:rPr>
                      <w:rFonts w:hint="default" w:cs="Times New Roman"/>
                      <w:highlight w:val="none"/>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38.40</w:t>
                  </w:r>
                </w:p>
              </w:tc>
              <w:tc>
                <w:tcPr>
                  <w:tcW w:w="720" w:type="dxa"/>
                  <w:tcBorders>
                    <w:tl2br w:val="nil"/>
                    <w:tr2bl w:val="nil"/>
                  </w:tcBorders>
                  <w:noWrap w:val="0"/>
                  <w:vAlign w:val="center"/>
                </w:tcPr>
                <w:p w14:paraId="1A00A7B6">
                  <w:pPr>
                    <w:keepNext w:val="0"/>
                    <w:keepLines w:val="0"/>
                    <w:widowControl/>
                    <w:suppressLineNumbers w:val="0"/>
                    <w:jc w:val="center"/>
                    <w:textAlignment w:val="center"/>
                    <w:rPr>
                      <w:rFonts w:hint="default" w:cs="Times New Roman"/>
                      <w:highlight w:val="none"/>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0.46</w:t>
                  </w:r>
                </w:p>
              </w:tc>
              <w:tc>
                <w:tcPr>
                  <w:tcW w:w="510" w:type="dxa"/>
                  <w:tcBorders>
                    <w:tl2br w:val="nil"/>
                    <w:tr2bl w:val="nil"/>
                  </w:tcBorders>
                  <w:noWrap w:val="0"/>
                  <w:vAlign w:val="center"/>
                </w:tcPr>
                <w:p w14:paraId="24EFD6ED">
                  <w:pPr>
                    <w:jc w:val="center"/>
                    <w:rPr>
                      <w:rFonts w:hint="default" w:cs="Times New Roman"/>
                      <w:highlight w:val="none"/>
                      <w:u w:val="single"/>
                      <w:lang w:val="en-US" w:eastAsia="zh-CN"/>
                    </w:rPr>
                  </w:pPr>
                  <w:r>
                    <w:rPr>
                      <w:rFonts w:hint="eastAsia" w:cs="Times New Roman"/>
                      <w:highlight w:val="none"/>
                      <w:u w:val="single"/>
                      <w:lang w:val="en-US" w:eastAsia="zh-CN"/>
                    </w:rPr>
                    <w:t>1.1502</w:t>
                  </w:r>
                </w:p>
              </w:tc>
              <w:tc>
                <w:tcPr>
                  <w:tcW w:w="1140" w:type="dxa"/>
                  <w:tcBorders>
                    <w:tl2br w:val="nil"/>
                    <w:tr2bl w:val="nil"/>
                  </w:tcBorders>
                  <w:noWrap w:val="0"/>
                  <w:vAlign w:val="center"/>
                </w:tcPr>
                <w:p w14:paraId="66B2BA5B">
                  <w:pPr>
                    <w:jc w:val="center"/>
                    <w:rPr>
                      <w:rFonts w:hint="eastAsia" w:cs="Times New Roman"/>
                      <w:highlight w:val="none"/>
                      <w:u w:val="single"/>
                      <w:lang w:val="en-US" w:eastAsia="zh-CN"/>
                    </w:rPr>
                  </w:pPr>
                  <w:r>
                    <w:rPr>
                      <w:rFonts w:hint="eastAsia" w:cs="Times New Roman"/>
                      <w:color w:val="auto"/>
                      <w:highlight w:val="none"/>
                      <w:u w:val="single"/>
                      <w:lang w:val="en-US" w:eastAsia="zh-CN"/>
                    </w:rPr>
                    <w:t>脉冲布袋</w:t>
                  </w:r>
                  <w:r>
                    <w:rPr>
                      <w:rFonts w:hint="eastAsia" w:ascii="Times New Roman" w:hAnsi="Times New Roman" w:eastAsia="宋体" w:cs="Times New Roman"/>
                      <w:color w:val="auto"/>
                      <w:highlight w:val="none"/>
                      <w:u w:val="single"/>
                      <w:lang w:val="en-US" w:eastAsia="zh-CN"/>
                    </w:rPr>
                    <w:t>除尘器</w:t>
                  </w:r>
                  <w:r>
                    <w:rPr>
                      <w:rFonts w:hint="default" w:ascii="Times New Roman" w:hAnsi="Times New Roman" w:eastAsia="宋体" w:cs="Times New Roman"/>
                      <w:color w:val="auto"/>
                      <w:highlight w:val="none"/>
                      <w:u w:val="single"/>
                      <w:lang w:val="en-US" w:eastAsia="zh-CN"/>
                    </w:rPr>
                    <w:t>+</w:t>
                  </w:r>
                  <w:r>
                    <w:rPr>
                      <w:rFonts w:hint="eastAsia" w:cs="Times New Roman"/>
                      <w:color w:val="auto"/>
                      <w:highlight w:val="none"/>
                      <w:u w:val="single"/>
                      <w:lang w:val="en-US" w:eastAsia="zh-CN"/>
                    </w:rPr>
                    <w:t>活性炭箱＋</w:t>
                  </w:r>
                  <w:r>
                    <w:rPr>
                      <w:rFonts w:hint="default" w:ascii="Times New Roman" w:hAnsi="Times New Roman" w:eastAsia="宋体" w:cs="Times New Roman"/>
                      <w:color w:val="auto"/>
                      <w:highlight w:val="none"/>
                      <w:u w:val="single"/>
                      <w:lang w:val="en-US" w:eastAsia="zh-CN"/>
                    </w:rPr>
                    <w:t>15m高排气筒</w:t>
                  </w:r>
                </w:p>
              </w:tc>
              <w:tc>
                <w:tcPr>
                  <w:tcW w:w="690" w:type="dxa"/>
                  <w:tcBorders>
                    <w:tl2br w:val="nil"/>
                    <w:tr2bl w:val="nil"/>
                  </w:tcBorders>
                  <w:noWrap w:val="0"/>
                  <w:vAlign w:val="center"/>
                </w:tcPr>
                <w:p w14:paraId="43B77D32">
                  <w:pPr>
                    <w:jc w:val="center"/>
                    <w:rPr>
                      <w:rFonts w:hint="default" w:cs="Times New Roman"/>
                      <w:highlight w:val="none"/>
                      <w:u w:val="single"/>
                      <w:lang w:val="en-US" w:eastAsia="zh-CN"/>
                    </w:rPr>
                  </w:pPr>
                  <w:r>
                    <w:rPr>
                      <w:rFonts w:hint="eastAsia" w:cs="Times New Roman"/>
                      <w:highlight w:val="none"/>
                      <w:u w:val="single"/>
                      <w:lang w:val="en-US" w:eastAsia="zh-CN"/>
                    </w:rPr>
                    <w:t>65</w:t>
                  </w:r>
                </w:p>
              </w:tc>
              <w:tc>
                <w:tcPr>
                  <w:tcW w:w="920" w:type="dxa"/>
                  <w:tcBorders>
                    <w:tl2br w:val="nil"/>
                    <w:tr2bl w:val="nil"/>
                  </w:tcBorders>
                  <w:noWrap w:val="0"/>
                  <w:vAlign w:val="center"/>
                </w:tcPr>
                <w:p w14:paraId="0E1F5BF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single"/>
                      <w:lang w:val="en-US" w:eastAsia="zh-CN" w:bidi="ar"/>
                    </w:rPr>
                  </w:pPr>
                  <w:r>
                    <w:rPr>
                      <w:rFonts w:hint="default" w:ascii="Times New Roman" w:hAnsi="Times New Roman" w:eastAsia="宋体" w:cs="Times New Roman"/>
                      <w:i w:val="0"/>
                      <w:iCs w:val="0"/>
                      <w:color w:val="000000"/>
                      <w:kern w:val="0"/>
                      <w:sz w:val="21"/>
                      <w:szCs w:val="21"/>
                      <w:u w:val="single"/>
                      <w:lang w:val="en-US" w:eastAsia="zh-CN" w:bidi="ar"/>
                    </w:rPr>
                    <w:t>13.44</w:t>
                  </w:r>
                </w:p>
              </w:tc>
              <w:tc>
                <w:tcPr>
                  <w:tcW w:w="640" w:type="dxa"/>
                  <w:tcBorders>
                    <w:tl2br w:val="nil"/>
                    <w:tr2bl w:val="nil"/>
                  </w:tcBorders>
                  <w:noWrap w:val="0"/>
                  <w:vAlign w:val="center"/>
                </w:tcPr>
                <w:p w14:paraId="5A49BFA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single"/>
                      <w:lang w:val="en-US" w:eastAsia="zh-CN" w:bidi="ar"/>
                    </w:rPr>
                  </w:pPr>
                  <w:r>
                    <w:rPr>
                      <w:rFonts w:hint="default" w:ascii="Times New Roman" w:hAnsi="Times New Roman" w:eastAsia="宋体" w:cs="Times New Roman"/>
                      <w:i w:val="0"/>
                      <w:iCs w:val="0"/>
                      <w:color w:val="000000"/>
                      <w:kern w:val="0"/>
                      <w:sz w:val="21"/>
                      <w:szCs w:val="21"/>
                      <w:u w:val="single"/>
                      <w:lang w:val="en-US" w:eastAsia="zh-CN" w:bidi="ar"/>
                    </w:rPr>
                    <w:t>0.16</w:t>
                  </w:r>
                </w:p>
              </w:tc>
              <w:tc>
                <w:tcPr>
                  <w:tcW w:w="574" w:type="dxa"/>
                  <w:tcBorders>
                    <w:tl2br w:val="nil"/>
                    <w:tr2bl w:val="nil"/>
                  </w:tcBorders>
                  <w:noWrap w:val="0"/>
                  <w:vAlign w:val="center"/>
                </w:tcPr>
                <w:p w14:paraId="2101B90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single"/>
                      <w:lang w:val="en-US" w:eastAsia="zh-CN" w:bidi="ar"/>
                    </w:rPr>
                  </w:pPr>
                  <w:r>
                    <w:rPr>
                      <w:rFonts w:hint="default" w:ascii="Times New Roman" w:hAnsi="Times New Roman" w:eastAsia="宋体" w:cs="Times New Roman"/>
                      <w:i w:val="0"/>
                      <w:iCs w:val="0"/>
                      <w:color w:val="000000"/>
                      <w:kern w:val="0"/>
                      <w:sz w:val="21"/>
                      <w:szCs w:val="21"/>
                      <w:u w:val="single"/>
                      <w:lang w:val="en-US" w:eastAsia="zh-CN" w:bidi="ar"/>
                    </w:rPr>
                    <w:t>0.40257</w:t>
                  </w:r>
                </w:p>
              </w:tc>
            </w:tr>
            <w:tr w14:paraId="00F23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410" w:type="dxa"/>
                  <w:vMerge w:val="continue"/>
                  <w:tcBorders>
                    <w:tl2br w:val="nil"/>
                    <w:tr2bl w:val="nil"/>
                  </w:tcBorders>
                  <w:noWrap w:val="0"/>
                  <w:vAlign w:val="center"/>
                </w:tcPr>
                <w:p w14:paraId="40FBD888">
                  <w:pPr>
                    <w:jc w:val="center"/>
                    <w:rPr>
                      <w:u w:val="single"/>
                    </w:rPr>
                  </w:pPr>
                </w:p>
              </w:tc>
              <w:tc>
                <w:tcPr>
                  <w:tcW w:w="301" w:type="dxa"/>
                  <w:vMerge w:val="continue"/>
                  <w:tcBorders>
                    <w:tl2br w:val="nil"/>
                    <w:tr2bl w:val="nil"/>
                  </w:tcBorders>
                  <w:noWrap w:val="0"/>
                  <w:vAlign w:val="center"/>
                </w:tcPr>
                <w:p w14:paraId="3C4044AB">
                  <w:pPr>
                    <w:jc w:val="center"/>
                    <w:rPr>
                      <w:u w:val="single"/>
                    </w:rPr>
                  </w:pPr>
                </w:p>
              </w:tc>
              <w:tc>
                <w:tcPr>
                  <w:tcW w:w="490" w:type="dxa"/>
                  <w:tcBorders>
                    <w:tl2br w:val="nil"/>
                    <w:tr2bl w:val="nil"/>
                  </w:tcBorders>
                  <w:noWrap w:val="0"/>
                  <w:vAlign w:val="center"/>
                </w:tcPr>
                <w:p w14:paraId="6341801C">
                  <w:pPr>
                    <w:jc w:val="center"/>
                    <w:rPr>
                      <w:u w:val="single"/>
                    </w:rPr>
                  </w:pPr>
                </w:p>
              </w:tc>
              <w:tc>
                <w:tcPr>
                  <w:tcW w:w="460" w:type="dxa"/>
                  <w:tcBorders>
                    <w:tl2br w:val="nil"/>
                    <w:tr2bl w:val="nil"/>
                  </w:tcBorders>
                  <w:noWrap w:val="0"/>
                  <w:vAlign w:val="center"/>
                </w:tcPr>
                <w:p w14:paraId="7E16D955">
                  <w:pPr>
                    <w:jc w:val="center"/>
                    <w:rPr>
                      <w:rFonts w:hint="eastAsia" w:cs="Times New Roman"/>
                      <w:highlight w:val="none"/>
                      <w:u w:val="single"/>
                      <w:lang w:val="en-US" w:eastAsia="zh-CN"/>
                    </w:rPr>
                  </w:pPr>
                  <w:r>
                    <w:rPr>
                      <w:rFonts w:hint="eastAsia" w:cs="Times New Roman"/>
                      <w:color w:val="auto"/>
                      <w:highlight w:val="none"/>
                      <w:u w:val="single"/>
                      <w:lang w:val="en-US" w:eastAsia="zh-CN"/>
                    </w:rPr>
                    <w:t>无组织</w:t>
                  </w:r>
                </w:p>
              </w:tc>
              <w:tc>
                <w:tcPr>
                  <w:tcW w:w="820" w:type="dxa"/>
                  <w:tcBorders>
                    <w:tl2br w:val="nil"/>
                    <w:tr2bl w:val="nil"/>
                  </w:tcBorders>
                  <w:noWrap w:val="0"/>
                  <w:vAlign w:val="center"/>
                </w:tcPr>
                <w:p w14:paraId="7E164BBA">
                  <w:pPr>
                    <w:jc w:val="center"/>
                    <w:rPr>
                      <w:rFonts w:hint="eastAsia" w:cs="Times New Roman"/>
                      <w:highlight w:val="none"/>
                      <w:u w:val="single"/>
                      <w:lang w:val="en-US" w:eastAsia="zh-CN"/>
                    </w:rPr>
                  </w:pPr>
                  <w:r>
                    <w:rPr>
                      <w:rFonts w:hint="eastAsia" w:cs="Times New Roman"/>
                      <w:color w:val="auto"/>
                      <w:highlight w:val="none"/>
                      <w:u w:val="single"/>
                      <w:lang w:val="en-US" w:eastAsia="zh-CN"/>
                    </w:rPr>
                    <w:t>/</w:t>
                  </w:r>
                </w:p>
              </w:tc>
              <w:tc>
                <w:tcPr>
                  <w:tcW w:w="720" w:type="dxa"/>
                  <w:tcBorders>
                    <w:tl2br w:val="nil"/>
                    <w:tr2bl w:val="nil"/>
                  </w:tcBorders>
                  <w:noWrap w:val="0"/>
                  <w:vAlign w:val="center"/>
                </w:tcPr>
                <w:p w14:paraId="1A7A96B4">
                  <w:pPr>
                    <w:jc w:val="center"/>
                    <w:rPr>
                      <w:rFonts w:hint="default" w:cs="Times New Roman"/>
                      <w:highlight w:val="none"/>
                      <w:u w:val="single"/>
                      <w:lang w:val="en-US" w:eastAsia="zh-CN"/>
                    </w:rPr>
                  </w:pPr>
                  <w:r>
                    <w:rPr>
                      <w:rFonts w:hint="eastAsia" w:cs="Times New Roman"/>
                      <w:color w:val="auto"/>
                      <w:highlight w:val="none"/>
                      <w:u w:val="single"/>
                      <w:lang w:val="en-US" w:eastAsia="zh-CN"/>
                    </w:rPr>
                    <w:t>0.05</w:t>
                  </w:r>
                </w:p>
              </w:tc>
              <w:tc>
                <w:tcPr>
                  <w:tcW w:w="510" w:type="dxa"/>
                  <w:tcBorders>
                    <w:tl2br w:val="nil"/>
                    <w:tr2bl w:val="nil"/>
                  </w:tcBorders>
                  <w:noWrap w:val="0"/>
                  <w:vAlign w:val="center"/>
                </w:tcPr>
                <w:p w14:paraId="7B5222D1">
                  <w:pPr>
                    <w:jc w:val="center"/>
                    <w:rPr>
                      <w:rFonts w:hint="default" w:cs="Times New Roman"/>
                      <w:highlight w:val="none"/>
                      <w:u w:val="single"/>
                      <w:lang w:val="en-US" w:eastAsia="zh-CN"/>
                    </w:rPr>
                  </w:pPr>
                  <w:r>
                    <w:rPr>
                      <w:rFonts w:hint="eastAsia" w:cs="Times New Roman"/>
                      <w:highlight w:val="none"/>
                      <w:u w:val="single"/>
                      <w:lang w:val="en-US" w:eastAsia="zh-CN"/>
                    </w:rPr>
                    <w:t>0.1368</w:t>
                  </w:r>
                </w:p>
              </w:tc>
              <w:tc>
                <w:tcPr>
                  <w:tcW w:w="1140" w:type="dxa"/>
                  <w:tcBorders>
                    <w:tl2br w:val="nil"/>
                    <w:tr2bl w:val="nil"/>
                  </w:tcBorders>
                  <w:noWrap w:val="0"/>
                  <w:vAlign w:val="center"/>
                </w:tcPr>
                <w:p w14:paraId="736DC088">
                  <w:pPr>
                    <w:jc w:val="center"/>
                    <w:rPr>
                      <w:rFonts w:hint="eastAsia" w:cs="Times New Roman"/>
                      <w:highlight w:val="none"/>
                      <w:u w:val="single"/>
                      <w:lang w:val="en-US" w:eastAsia="zh-CN"/>
                    </w:rPr>
                  </w:pPr>
                  <w:r>
                    <w:rPr>
                      <w:rFonts w:hint="eastAsia" w:cs="Times New Roman"/>
                      <w:color w:val="auto"/>
                      <w:highlight w:val="none"/>
                      <w:u w:val="single"/>
                      <w:lang w:val="en-US" w:eastAsia="zh-CN"/>
                    </w:rPr>
                    <w:t>/</w:t>
                  </w:r>
                </w:p>
              </w:tc>
              <w:tc>
                <w:tcPr>
                  <w:tcW w:w="690" w:type="dxa"/>
                  <w:tcBorders>
                    <w:tl2br w:val="nil"/>
                    <w:tr2bl w:val="nil"/>
                  </w:tcBorders>
                  <w:noWrap w:val="0"/>
                  <w:vAlign w:val="center"/>
                </w:tcPr>
                <w:p w14:paraId="5ABEE42C">
                  <w:pPr>
                    <w:jc w:val="center"/>
                    <w:rPr>
                      <w:rFonts w:hint="eastAsia" w:cs="Times New Roman"/>
                      <w:highlight w:val="none"/>
                      <w:u w:val="single"/>
                      <w:lang w:val="en-US" w:eastAsia="zh-CN"/>
                    </w:rPr>
                  </w:pPr>
                  <w:r>
                    <w:rPr>
                      <w:rFonts w:hint="eastAsia" w:cs="Times New Roman"/>
                      <w:color w:val="auto"/>
                      <w:highlight w:val="none"/>
                      <w:u w:val="single"/>
                      <w:lang w:val="en-US" w:eastAsia="zh-CN"/>
                    </w:rPr>
                    <w:t>/</w:t>
                  </w:r>
                </w:p>
              </w:tc>
              <w:tc>
                <w:tcPr>
                  <w:tcW w:w="920" w:type="dxa"/>
                  <w:tcBorders>
                    <w:tl2br w:val="nil"/>
                    <w:tr2bl w:val="nil"/>
                  </w:tcBorders>
                  <w:noWrap w:val="0"/>
                  <w:vAlign w:val="center"/>
                </w:tcPr>
                <w:p w14:paraId="3257B210">
                  <w:pPr>
                    <w:jc w:val="center"/>
                    <w:rPr>
                      <w:rFonts w:hint="eastAsia" w:cs="Times New Roman"/>
                      <w:highlight w:val="none"/>
                      <w:u w:val="single"/>
                      <w:lang w:val="en-US" w:eastAsia="zh-CN"/>
                    </w:rPr>
                  </w:pPr>
                  <w:r>
                    <w:rPr>
                      <w:rFonts w:hint="eastAsia" w:cs="Times New Roman"/>
                      <w:color w:val="auto"/>
                      <w:highlight w:val="none"/>
                      <w:u w:val="single"/>
                      <w:lang w:val="en-US" w:eastAsia="zh-CN"/>
                    </w:rPr>
                    <w:t>/</w:t>
                  </w:r>
                </w:p>
              </w:tc>
              <w:tc>
                <w:tcPr>
                  <w:tcW w:w="640" w:type="dxa"/>
                  <w:tcBorders>
                    <w:tl2br w:val="nil"/>
                    <w:tr2bl w:val="nil"/>
                  </w:tcBorders>
                  <w:noWrap w:val="0"/>
                  <w:vAlign w:val="center"/>
                </w:tcPr>
                <w:p w14:paraId="4632E008">
                  <w:pPr>
                    <w:jc w:val="center"/>
                    <w:rPr>
                      <w:rFonts w:hint="eastAsia" w:cs="Times New Roman"/>
                      <w:highlight w:val="none"/>
                      <w:u w:val="single"/>
                      <w:lang w:val="en-US" w:eastAsia="zh-CN"/>
                    </w:rPr>
                  </w:pPr>
                  <w:r>
                    <w:rPr>
                      <w:rFonts w:hint="eastAsia" w:cs="Times New Roman"/>
                      <w:color w:val="auto"/>
                      <w:highlight w:val="none"/>
                      <w:u w:val="single"/>
                      <w:lang w:val="en-US" w:eastAsia="zh-CN"/>
                    </w:rPr>
                    <w:t>0.05</w:t>
                  </w:r>
                </w:p>
              </w:tc>
              <w:tc>
                <w:tcPr>
                  <w:tcW w:w="574" w:type="dxa"/>
                  <w:tcBorders>
                    <w:tl2br w:val="nil"/>
                    <w:tr2bl w:val="nil"/>
                  </w:tcBorders>
                  <w:noWrap w:val="0"/>
                  <w:vAlign w:val="center"/>
                </w:tcPr>
                <w:p w14:paraId="4E91377D">
                  <w:pPr>
                    <w:jc w:val="center"/>
                    <w:rPr>
                      <w:rFonts w:hint="eastAsia" w:cs="Times New Roman"/>
                      <w:highlight w:val="none"/>
                      <w:u w:val="single"/>
                      <w:lang w:val="en-US" w:eastAsia="zh-CN"/>
                    </w:rPr>
                  </w:pPr>
                  <w:r>
                    <w:rPr>
                      <w:rFonts w:hint="eastAsia" w:cs="Times New Roman"/>
                      <w:highlight w:val="none"/>
                      <w:u w:val="single"/>
                      <w:lang w:val="en-US" w:eastAsia="zh-CN"/>
                    </w:rPr>
                    <w:t>0.1368</w:t>
                  </w:r>
                </w:p>
              </w:tc>
            </w:tr>
            <w:tr w14:paraId="7A22F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410" w:type="dxa"/>
                  <w:vMerge w:val="restart"/>
                  <w:tcBorders>
                    <w:tl2br w:val="nil"/>
                    <w:tr2bl w:val="nil"/>
                  </w:tcBorders>
                  <w:noWrap w:val="0"/>
                  <w:vAlign w:val="center"/>
                </w:tcPr>
                <w:p w14:paraId="7B9D5AC1">
                  <w:pPr>
                    <w:jc w:val="center"/>
                    <w:rPr>
                      <w:rFonts w:hint="default" w:cs="Times New Roman"/>
                      <w:u w:val="single"/>
                      <w:lang w:val="en-US" w:eastAsia="zh-CN"/>
                    </w:rPr>
                  </w:pPr>
                  <w:r>
                    <w:rPr>
                      <w:rFonts w:hint="eastAsia" w:cs="Times New Roman"/>
                      <w:u w:val="single"/>
                      <w:lang w:val="en-US" w:eastAsia="zh-CN"/>
                    </w:rPr>
                    <w:t>造型</w:t>
                  </w:r>
                </w:p>
              </w:tc>
              <w:tc>
                <w:tcPr>
                  <w:tcW w:w="301" w:type="dxa"/>
                  <w:tcBorders>
                    <w:tl2br w:val="nil"/>
                    <w:tr2bl w:val="nil"/>
                  </w:tcBorders>
                  <w:noWrap w:val="0"/>
                  <w:vAlign w:val="center"/>
                </w:tcPr>
                <w:p w14:paraId="201C142D">
                  <w:pPr>
                    <w:jc w:val="center"/>
                    <w:rPr>
                      <w:rFonts w:hint="eastAsia" w:cs="Times New Roman"/>
                      <w:u w:val="single"/>
                      <w:lang w:val="en-US" w:eastAsia="zh-CN"/>
                    </w:rPr>
                  </w:pPr>
                  <w:r>
                    <w:rPr>
                      <w:rFonts w:hint="eastAsia" w:cs="Times New Roman"/>
                      <w:u w:val="single"/>
                      <w:lang w:val="en-US" w:eastAsia="zh-CN"/>
                    </w:rPr>
                    <w:t>颗粒物</w:t>
                  </w:r>
                </w:p>
              </w:tc>
              <w:tc>
                <w:tcPr>
                  <w:tcW w:w="490" w:type="dxa"/>
                  <w:vMerge w:val="restart"/>
                  <w:tcBorders>
                    <w:tl2br w:val="nil"/>
                    <w:tr2bl w:val="nil"/>
                  </w:tcBorders>
                  <w:noWrap w:val="0"/>
                  <w:vAlign w:val="center"/>
                </w:tcPr>
                <w:p w14:paraId="5EDFEC57">
                  <w:pPr>
                    <w:jc w:val="center"/>
                    <w:rPr>
                      <w:rFonts w:hint="default" w:cs="Times New Roman"/>
                      <w:color w:val="auto"/>
                      <w:highlight w:val="none"/>
                      <w:u w:val="single"/>
                      <w:lang w:val="en-US" w:eastAsia="zh-CN"/>
                    </w:rPr>
                  </w:pPr>
                  <w:r>
                    <w:rPr>
                      <w:rFonts w:hint="eastAsia" w:cs="Times New Roman"/>
                      <w:color w:val="auto"/>
                      <w:highlight w:val="none"/>
                      <w:u w:val="single"/>
                      <w:lang w:val="en-US" w:eastAsia="zh-CN"/>
                    </w:rPr>
                    <w:t>16000</w:t>
                  </w:r>
                </w:p>
              </w:tc>
              <w:tc>
                <w:tcPr>
                  <w:tcW w:w="460" w:type="dxa"/>
                  <w:tcBorders>
                    <w:tl2br w:val="nil"/>
                    <w:tr2bl w:val="nil"/>
                  </w:tcBorders>
                  <w:noWrap w:val="0"/>
                  <w:vAlign w:val="center"/>
                </w:tcPr>
                <w:p w14:paraId="3C5884FB">
                  <w:pPr>
                    <w:jc w:val="center"/>
                    <w:rPr>
                      <w:rFonts w:hint="eastAsia" w:cs="Times New Roman"/>
                      <w:color w:val="auto"/>
                      <w:highlight w:val="none"/>
                      <w:u w:val="single"/>
                      <w:lang w:val="en-US" w:eastAsia="zh-CN"/>
                    </w:rPr>
                  </w:pPr>
                  <w:r>
                    <w:rPr>
                      <w:rFonts w:hint="eastAsia" w:cs="Times New Roman"/>
                      <w:color w:val="auto"/>
                      <w:highlight w:val="none"/>
                      <w:u w:val="single"/>
                      <w:lang w:val="en-US" w:eastAsia="zh-CN"/>
                    </w:rPr>
                    <w:t>有组织</w:t>
                  </w:r>
                </w:p>
              </w:tc>
              <w:tc>
                <w:tcPr>
                  <w:tcW w:w="820" w:type="dxa"/>
                  <w:tcBorders>
                    <w:tl2br w:val="nil"/>
                    <w:tr2bl w:val="nil"/>
                  </w:tcBorders>
                  <w:noWrap w:val="0"/>
                  <w:vAlign w:val="center"/>
                </w:tcPr>
                <w:p w14:paraId="3038CF8A">
                  <w:pPr>
                    <w:jc w:val="center"/>
                    <w:rPr>
                      <w:rFonts w:hint="eastAsia" w:cs="Times New Roman"/>
                      <w:color w:val="auto"/>
                      <w:highlight w:val="none"/>
                      <w:u w:val="single"/>
                      <w:lang w:val="en-US" w:eastAsia="zh-CN"/>
                    </w:rPr>
                  </w:pPr>
                  <w:r>
                    <w:rPr>
                      <w:rFonts w:hint="eastAsia" w:cs="Times New Roman"/>
                      <w:color w:val="auto"/>
                      <w:highlight w:val="none"/>
                      <w:u w:val="single"/>
                      <w:lang w:val="en-US" w:eastAsia="zh-CN"/>
                    </w:rPr>
                    <w:t>295.97</w:t>
                  </w:r>
                </w:p>
              </w:tc>
              <w:tc>
                <w:tcPr>
                  <w:tcW w:w="720" w:type="dxa"/>
                  <w:tcBorders>
                    <w:tl2br w:val="nil"/>
                    <w:tr2bl w:val="nil"/>
                  </w:tcBorders>
                  <w:noWrap w:val="0"/>
                  <w:vAlign w:val="center"/>
                </w:tcPr>
                <w:p w14:paraId="547A6C8C">
                  <w:pPr>
                    <w:jc w:val="center"/>
                    <w:rPr>
                      <w:rFonts w:hint="default" w:cs="Times New Roman"/>
                      <w:color w:val="auto"/>
                      <w:highlight w:val="none"/>
                      <w:u w:val="single"/>
                      <w:lang w:val="en-US" w:eastAsia="zh-CN"/>
                    </w:rPr>
                  </w:pPr>
                  <w:r>
                    <w:rPr>
                      <w:rFonts w:hint="default" w:cs="Times New Roman"/>
                      <w:color w:val="auto"/>
                      <w:highlight w:val="none"/>
                      <w:u w:val="single"/>
                      <w:lang w:val="en-US" w:eastAsia="zh-CN"/>
                    </w:rPr>
                    <w:t>4.74</w:t>
                  </w:r>
                </w:p>
              </w:tc>
              <w:tc>
                <w:tcPr>
                  <w:tcW w:w="510" w:type="dxa"/>
                  <w:tcBorders>
                    <w:tl2br w:val="nil"/>
                    <w:tr2bl w:val="nil"/>
                  </w:tcBorders>
                  <w:noWrap w:val="0"/>
                  <w:vAlign w:val="center"/>
                </w:tcPr>
                <w:p w14:paraId="5167C67C">
                  <w:pPr>
                    <w:jc w:val="center"/>
                    <w:rPr>
                      <w:rFonts w:hint="eastAsia" w:cs="Times New Roman"/>
                      <w:color w:val="auto"/>
                      <w:highlight w:val="none"/>
                      <w:u w:val="single"/>
                      <w:lang w:val="en-US" w:eastAsia="zh-CN"/>
                    </w:rPr>
                  </w:pPr>
                  <w:r>
                    <w:rPr>
                      <w:rFonts w:hint="eastAsia" w:cs="Times New Roman"/>
                      <w:color w:val="auto"/>
                      <w:highlight w:val="none"/>
                      <w:u w:val="single"/>
                      <w:lang w:val="en-US" w:eastAsia="zh-CN"/>
                    </w:rPr>
                    <w:t>11.82</w:t>
                  </w:r>
                </w:p>
              </w:tc>
              <w:tc>
                <w:tcPr>
                  <w:tcW w:w="1140" w:type="dxa"/>
                  <w:vMerge w:val="restart"/>
                  <w:tcBorders>
                    <w:tl2br w:val="nil"/>
                    <w:tr2bl w:val="nil"/>
                  </w:tcBorders>
                  <w:noWrap w:val="0"/>
                  <w:vAlign w:val="center"/>
                </w:tcPr>
                <w:p w14:paraId="186FC8C3">
                  <w:pPr>
                    <w:jc w:val="center"/>
                    <w:rPr>
                      <w:rFonts w:hint="eastAsia" w:cs="Times New Roman"/>
                      <w:color w:val="auto"/>
                      <w:highlight w:val="none"/>
                      <w:u w:val="single"/>
                      <w:lang w:val="en-US" w:eastAsia="zh-CN"/>
                    </w:rPr>
                  </w:pPr>
                  <w:r>
                    <w:rPr>
                      <w:rFonts w:hint="eastAsia" w:cs="Times New Roman"/>
                      <w:color w:val="auto"/>
                      <w:highlight w:val="none"/>
                      <w:u w:val="single"/>
                      <w:lang w:val="en-US" w:eastAsia="zh-CN"/>
                    </w:rPr>
                    <w:t>脉冲布袋</w:t>
                  </w:r>
                  <w:r>
                    <w:rPr>
                      <w:rFonts w:hint="eastAsia" w:ascii="Times New Roman" w:hAnsi="Times New Roman" w:eastAsia="宋体" w:cs="Times New Roman"/>
                      <w:color w:val="auto"/>
                      <w:highlight w:val="none"/>
                      <w:u w:val="single"/>
                      <w:lang w:val="en-US" w:eastAsia="zh-CN"/>
                    </w:rPr>
                    <w:t>除尘器</w:t>
                  </w:r>
                  <w:r>
                    <w:rPr>
                      <w:rFonts w:hint="default" w:ascii="Times New Roman" w:hAnsi="Times New Roman" w:eastAsia="宋体" w:cs="Times New Roman"/>
                      <w:color w:val="auto"/>
                      <w:highlight w:val="none"/>
                      <w:u w:val="single"/>
                      <w:lang w:val="en-US" w:eastAsia="zh-CN"/>
                    </w:rPr>
                    <w:t>+</w:t>
                  </w:r>
                  <w:r>
                    <w:rPr>
                      <w:rFonts w:hint="eastAsia" w:cs="Times New Roman"/>
                      <w:color w:val="auto"/>
                      <w:highlight w:val="none"/>
                      <w:u w:val="single"/>
                      <w:lang w:val="en-US" w:eastAsia="zh-CN"/>
                    </w:rPr>
                    <w:t>活性炭箱＋</w:t>
                  </w:r>
                  <w:r>
                    <w:rPr>
                      <w:rFonts w:hint="default" w:ascii="Times New Roman" w:hAnsi="Times New Roman" w:eastAsia="宋体" w:cs="Times New Roman"/>
                      <w:color w:val="auto"/>
                      <w:highlight w:val="none"/>
                      <w:u w:val="single"/>
                      <w:lang w:val="en-US" w:eastAsia="zh-CN"/>
                    </w:rPr>
                    <w:t>15m高排气筒</w:t>
                  </w:r>
                </w:p>
              </w:tc>
              <w:tc>
                <w:tcPr>
                  <w:tcW w:w="690" w:type="dxa"/>
                  <w:tcBorders>
                    <w:tl2br w:val="nil"/>
                    <w:tr2bl w:val="nil"/>
                  </w:tcBorders>
                  <w:noWrap w:val="0"/>
                  <w:vAlign w:val="center"/>
                </w:tcPr>
                <w:p w14:paraId="40135D0C">
                  <w:pPr>
                    <w:jc w:val="center"/>
                    <w:rPr>
                      <w:rFonts w:hint="eastAsia" w:cs="Times New Roman"/>
                      <w:color w:val="auto"/>
                      <w:highlight w:val="none"/>
                      <w:u w:val="single"/>
                      <w:lang w:val="en-US" w:eastAsia="zh-CN"/>
                    </w:rPr>
                  </w:pPr>
                  <w:r>
                    <w:rPr>
                      <w:rFonts w:hint="eastAsia" w:cs="Times New Roman"/>
                      <w:color w:val="auto"/>
                      <w:highlight w:val="none"/>
                      <w:u w:val="single"/>
                      <w:lang w:val="en-US" w:eastAsia="zh-CN"/>
                    </w:rPr>
                    <w:t>99.8</w:t>
                  </w:r>
                </w:p>
              </w:tc>
              <w:tc>
                <w:tcPr>
                  <w:tcW w:w="920" w:type="dxa"/>
                  <w:tcBorders>
                    <w:tl2br w:val="nil"/>
                    <w:tr2bl w:val="nil"/>
                  </w:tcBorders>
                  <w:noWrap w:val="0"/>
                  <w:vAlign w:val="center"/>
                </w:tcPr>
                <w:p w14:paraId="71B5C366">
                  <w:pPr>
                    <w:jc w:val="center"/>
                    <w:rPr>
                      <w:rFonts w:hint="default" w:cs="Times New Roman"/>
                      <w:color w:val="auto"/>
                      <w:highlight w:val="none"/>
                      <w:u w:val="single"/>
                      <w:lang w:val="en-US" w:eastAsia="zh-CN"/>
                    </w:rPr>
                  </w:pPr>
                  <w:r>
                    <w:rPr>
                      <w:rFonts w:hint="default" w:cs="Times New Roman"/>
                      <w:color w:val="auto"/>
                      <w:highlight w:val="none"/>
                      <w:u w:val="single"/>
                      <w:lang w:val="en-US" w:eastAsia="zh-CN"/>
                    </w:rPr>
                    <w:t>0.59</w:t>
                  </w:r>
                </w:p>
              </w:tc>
              <w:tc>
                <w:tcPr>
                  <w:tcW w:w="640" w:type="dxa"/>
                  <w:tcBorders>
                    <w:tl2br w:val="nil"/>
                    <w:tr2bl w:val="nil"/>
                  </w:tcBorders>
                  <w:noWrap w:val="0"/>
                  <w:vAlign w:val="center"/>
                </w:tcPr>
                <w:p w14:paraId="22348386">
                  <w:pPr>
                    <w:jc w:val="center"/>
                    <w:rPr>
                      <w:rFonts w:hint="eastAsia" w:cs="Times New Roman"/>
                      <w:color w:val="auto"/>
                      <w:highlight w:val="none"/>
                      <w:u w:val="single"/>
                      <w:lang w:val="en-US" w:eastAsia="zh-CN"/>
                    </w:rPr>
                  </w:pPr>
                  <w:r>
                    <w:rPr>
                      <w:rFonts w:hint="eastAsia" w:cs="Times New Roman"/>
                      <w:color w:val="auto"/>
                      <w:highlight w:val="none"/>
                      <w:u w:val="single"/>
                      <w:lang w:val="en-US" w:eastAsia="zh-CN"/>
                    </w:rPr>
                    <w:t xml:space="preserve">0.0095 </w:t>
                  </w:r>
                </w:p>
              </w:tc>
              <w:tc>
                <w:tcPr>
                  <w:tcW w:w="574" w:type="dxa"/>
                  <w:tcBorders>
                    <w:tl2br w:val="nil"/>
                    <w:tr2bl w:val="nil"/>
                  </w:tcBorders>
                  <w:noWrap w:val="0"/>
                  <w:vAlign w:val="center"/>
                </w:tcPr>
                <w:p w14:paraId="3CB54596">
                  <w:pPr>
                    <w:jc w:val="center"/>
                    <w:rPr>
                      <w:rFonts w:hint="eastAsia" w:cs="Times New Roman"/>
                      <w:color w:val="auto"/>
                      <w:highlight w:val="none"/>
                      <w:u w:val="single"/>
                      <w:lang w:val="en-US" w:eastAsia="zh-CN"/>
                    </w:rPr>
                  </w:pPr>
                  <w:r>
                    <w:rPr>
                      <w:rFonts w:hint="eastAsia" w:cs="Times New Roman"/>
                      <w:color w:val="auto"/>
                      <w:highlight w:val="none"/>
                      <w:u w:val="single"/>
                      <w:lang w:val="en-US" w:eastAsia="zh-CN"/>
                    </w:rPr>
                    <w:t>0.02364</w:t>
                  </w:r>
                </w:p>
              </w:tc>
            </w:tr>
            <w:tr w14:paraId="068DB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jc w:val="center"/>
              </w:trPr>
              <w:tc>
                <w:tcPr>
                  <w:tcW w:w="410" w:type="dxa"/>
                  <w:vMerge w:val="continue"/>
                  <w:tcBorders>
                    <w:tl2br w:val="nil"/>
                    <w:tr2bl w:val="nil"/>
                  </w:tcBorders>
                  <w:noWrap w:val="0"/>
                  <w:vAlign w:val="center"/>
                </w:tcPr>
                <w:p w14:paraId="57CE692F">
                  <w:pPr>
                    <w:jc w:val="center"/>
                    <w:rPr>
                      <w:u w:val="single"/>
                    </w:rPr>
                  </w:pPr>
                </w:p>
              </w:tc>
              <w:tc>
                <w:tcPr>
                  <w:tcW w:w="301" w:type="dxa"/>
                  <w:tcBorders>
                    <w:tl2br w:val="nil"/>
                    <w:tr2bl w:val="nil"/>
                  </w:tcBorders>
                  <w:noWrap w:val="0"/>
                  <w:vAlign w:val="center"/>
                </w:tcPr>
                <w:p w14:paraId="15607F08">
                  <w:pPr>
                    <w:jc w:val="center"/>
                    <w:rPr>
                      <w:rFonts w:hint="eastAsia" w:cs="Times New Roman"/>
                      <w:u w:val="single"/>
                      <w:lang w:val="en-US" w:eastAsia="zh-CN"/>
                    </w:rPr>
                  </w:pPr>
                  <w:r>
                    <w:rPr>
                      <w:rFonts w:hint="eastAsia" w:cs="Times New Roman"/>
                      <w:u w:val="single"/>
                      <w:lang w:val="en-US" w:eastAsia="zh-CN"/>
                    </w:rPr>
                    <w:t>非甲烷总烃</w:t>
                  </w:r>
                </w:p>
              </w:tc>
              <w:tc>
                <w:tcPr>
                  <w:tcW w:w="490" w:type="dxa"/>
                  <w:vMerge w:val="continue"/>
                  <w:tcBorders>
                    <w:tl2br w:val="nil"/>
                    <w:tr2bl w:val="nil"/>
                  </w:tcBorders>
                  <w:noWrap w:val="0"/>
                  <w:vAlign w:val="center"/>
                </w:tcPr>
                <w:p w14:paraId="6B3C79B2">
                  <w:pPr>
                    <w:jc w:val="center"/>
                    <w:rPr>
                      <w:rFonts w:hint="eastAsia" w:cs="Times New Roman"/>
                      <w:highlight w:val="none"/>
                      <w:u w:val="single"/>
                      <w:lang w:val="en-US" w:eastAsia="zh-CN"/>
                    </w:rPr>
                  </w:pPr>
                </w:p>
              </w:tc>
              <w:tc>
                <w:tcPr>
                  <w:tcW w:w="460" w:type="dxa"/>
                  <w:tcBorders>
                    <w:tl2br w:val="nil"/>
                    <w:tr2bl w:val="nil"/>
                  </w:tcBorders>
                  <w:noWrap w:val="0"/>
                  <w:vAlign w:val="center"/>
                </w:tcPr>
                <w:p w14:paraId="427D1241">
                  <w:pPr>
                    <w:jc w:val="center"/>
                    <w:rPr>
                      <w:rFonts w:hint="eastAsia" w:cs="Times New Roman"/>
                      <w:highlight w:val="none"/>
                      <w:u w:val="single"/>
                      <w:lang w:val="en-US" w:eastAsia="zh-CN"/>
                    </w:rPr>
                  </w:pPr>
                  <w:r>
                    <w:rPr>
                      <w:rFonts w:hint="eastAsia" w:cs="Times New Roman"/>
                      <w:color w:val="auto"/>
                      <w:highlight w:val="none"/>
                      <w:u w:val="single"/>
                      <w:lang w:val="en-US" w:eastAsia="zh-CN"/>
                    </w:rPr>
                    <w:t>有组织</w:t>
                  </w:r>
                </w:p>
              </w:tc>
              <w:tc>
                <w:tcPr>
                  <w:tcW w:w="820" w:type="dxa"/>
                  <w:tcBorders>
                    <w:tl2br w:val="nil"/>
                    <w:tr2bl w:val="nil"/>
                  </w:tcBorders>
                  <w:noWrap w:val="0"/>
                  <w:vAlign w:val="center"/>
                </w:tcPr>
                <w:p w14:paraId="009CD376">
                  <w:pPr>
                    <w:jc w:val="center"/>
                    <w:rPr>
                      <w:rFonts w:hint="eastAsia" w:cs="Times New Roman"/>
                      <w:color w:val="auto"/>
                      <w:highlight w:val="none"/>
                      <w:u w:val="single"/>
                      <w:lang w:val="en-US" w:eastAsia="zh-CN"/>
                    </w:rPr>
                  </w:pPr>
                  <w:r>
                    <w:rPr>
                      <w:rFonts w:hint="eastAsia" w:cs="Times New Roman"/>
                      <w:color w:val="auto"/>
                      <w:highlight w:val="none"/>
                      <w:u w:val="single"/>
                      <w:lang w:val="en-US" w:eastAsia="zh-CN"/>
                    </w:rPr>
                    <w:t>32.00</w:t>
                  </w:r>
                </w:p>
              </w:tc>
              <w:tc>
                <w:tcPr>
                  <w:tcW w:w="720" w:type="dxa"/>
                  <w:tcBorders>
                    <w:tl2br w:val="nil"/>
                    <w:tr2bl w:val="nil"/>
                  </w:tcBorders>
                  <w:noWrap w:val="0"/>
                  <w:vAlign w:val="center"/>
                </w:tcPr>
                <w:p w14:paraId="1714D664">
                  <w:pPr>
                    <w:jc w:val="center"/>
                    <w:rPr>
                      <w:rFonts w:hint="eastAsia" w:cs="Times New Roman"/>
                      <w:color w:val="auto"/>
                      <w:highlight w:val="none"/>
                      <w:u w:val="single"/>
                      <w:lang w:val="en-US" w:eastAsia="zh-CN"/>
                    </w:rPr>
                  </w:pPr>
                  <w:r>
                    <w:rPr>
                      <w:rFonts w:hint="eastAsia" w:cs="Times New Roman"/>
                      <w:color w:val="auto"/>
                      <w:highlight w:val="none"/>
                      <w:u w:val="single"/>
                      <w:lang w:val="en-US" w:eastAsia="zh-CN"/>
                    </w:rPr>
                    <w:t>0.51</w:t>
                  </w:r>
                </w:p>
              </w:tc>
              <w:tc>
                <w:tcPr>
                  <w:tcW w:w="510" w:type="dxa"/>
                  <w:tcBorders>
                    <w:tl2br w:val="nil"/>
                    <w:tr2bl w:val="nil"/>
                  </w:tcBorders>
                  <w:noWrap w:val="0"/>
                  <w:vAlign w:val="center"/>
                </w:tcPr>
                <w:p w14:paraId="56BCABE2">
                  <w:pPr>
                    <w:jc w:val="center"/>
                    <w:rPr>
                      <w:rFonts w:hint="eastAsia" w:cs="Times New Roman"/>
                      <w:highlight w:val="none"/>
                      <w:u w:val="single"/>
                      <w:lang w:val="en-US" w:eastAsia="zh-CN"/>
                    </w:rPr>
                  </w:pPr>
                  <w:r>
                    <w:rPr>
                      <w:rFonts w:hint="eastAsia" w:cs="Times New Roman"/>
                      <w:highlight w:val="none"/>
                      <w:u w:val="single"/>
                      <w:lang w:val="en-US" w:eastAsia="zh-CN"/>
                    </w:rPr>
                    <w:t>1.278</w:t>
                  </w:r>
                </w:p>
              </w:tc>
              <w:tc>
                <w:tcPr>
                  <w:tcW w:w="1140" w:type="dxa"/>
                  <w:vMerge w:val="continue"/>
                  <w:tcBorders>
                    <w:tl2br w:val="nil"/>
                    <w:tr2bl w:val="nil"/>
                  </w:tcBorders>
                  <w:noWrap w:val="0"/>
                  <w:vAlign w:val="center"/>
                </w:tcPr>
                <w:p w14:paraId="74A296FC">
                  <w:pPr>
                    <w:jc w:val="center"/>
                    <w:rPr>
                      <w:rFonts w:hint="eastAsia" w:cs="Times New Roman"/>
                      <w:highlight w:val="none"/>
                      <w:u w:val="single"/>
                      <w:lang w:val="en-US" w:eastAsia="zh-CN"/>
                    </w:rPr>
                  </w:pPr>
                </w:p>
              </w:tc>
              <w:tc>
                <w:tcPr>
                  <w:tcW w:w="690" w:type="dxa"/>
                  <w:tcBorders>
                    <w:tl2br w:val="nil"/>
                    <w:tr2bl w:val="nil"/>
                  </w:tcBorders>
                  <w:noWrap w:val="0"/>
                  <w:vAlign w:val="center"/>
                </w:tcPr>
                <w:p w14:paraId="10BB79E9">
                  <w:pPr>
                    <w:jc w:val="center"/>
                    <w:rPr>
                      <w:rFonts w:hint="default" w:cs="Times New Roman"/>
                      <w:color w:val="auto"/>
                      <w:highlight w:val="none"/>
                      <w:u w:val="single"/>
                      <w:lang w:val="en-US" w:eastAsia="zh-CN"/>
                    </w:rPr>
                  </w:pPr>
                  <w:r>
                    <w:rPr>
                      <w:rFonts w:hint="eastAsia" w:cs="Times New Roman"/>
                      <w:color w:val="auto"/>
                      <w:highlight w:val="none"/>
                      <w:u w:val="single"/>
                      <w:lang w:val="en-US" w:eastAsia="zh-CN"/>
                    </w:rPr>
                    <w:t>65</w:t>
                  </w:r>
                </w:p>
              </w:tc>
              <w:tc>
                <w:tcPr>
                  <w:tcW w:w="920" w:type="dxa"/>
                  <w:tcBorders>
                    <w:tl2br w:val="nil"/>
                    <w:tr2bl w:val="nil"/>
                  </w:tcBorders>
                  <w:noWrap w:val="0"/>
                  <w:vAlign w:val="center"/>
                </w:tcPr>
                <w:p w14:paraId="730E1AD1">
                  <w:pPr>
                    <w:jc w:val="center"/>
                    <w:rPr>
                      <w:rFonts w:hint="eastAsia" w:cs="Times New Roman"/>
                      <w:color w:val="auto"/>
                      <w:highlight w:val="none"/>
                      <w:u w:val="single"/>
                      <w:lang w:val="en-US" w:eastAsia="zh-CN"/>
                    </w:rPr>
                  </w:pPr>
                  <w:r>
                    <w:rPr>
                      <w:rFonts w:hint="eastAsia" w:cs="Times New Roman"/>
                      <w:color w:val="auto"/>
                      <w:highlight w:val="none"/>
                      <w:u w:val="single"/>
                      <w:lang w:val="en-US" w:eastAsia="zh-CN"/>
                    </w:rPr>
                    <w:t>11.20</w:t>
                  </w:r>
                </w:p>
              </w:tc>
              <w:tc>
                <w:tcPr>
                  <w:tcW w:w="640" w:type="dxa"/>
                  <w:tcBorders>
                    <w:tl2br w:val="nil"/>
                    <w:tr2bl w:val="nil"/>
                  </w:tcBorders>
                  <w:noWrap w:val="0"/>
                  <w:vAlign w:val="center"/>
                </w:tcPr>
                <w:p w14:paraId="1683BE53">
                  <w:pPr>
                    <w:jc w:val="center"/>
                    <w:rPr>
                      <w:rFonts w:hint="eastAsia" w:cs="Times New Roman"/>
                      <w:color w:val="auto"/>
                      <w:highlight w:val="none"/>
                      <w:u w:val="single"/>
                      <w:lang w:val="en-US" w:eastAsia="zh-CN"/>
                    </w:rPr>
                  </w:pPr>
                  <w:r>
                    <w:rPr>
                      <w:rFonts w:hint="eastAsia" w:cs="Times New Roman"/>
                      <w:color w:val="auto"/>
                      <w:highlight w:val="none"/>
                      <w:u w:val="single"/>
                      <w:lang w:val="en-US" w:eastAsia="zh-CN"/>
                    </w:rPr>
                    <w:t xml:space="preserve">0.1792 </w:t>
                  </w:r>
                </w:p>
              </w:tc>
              <w:tc>
                <w:tcPr>
                  <w:tcW w:w="574" w:type="dxa"/>
                  <w:tcBorders>
                    <w:tl2br w:val="nil"/>
                    <w:tr2bl w:val="nil"/>
                  </w:tcBorders>
                  <w:noWrap w:val="0"/>
                  <w:vAlign w:val="center"/>
                </w:tcPr>
                <w:p w14:paraId="4DD8336C">
                  <w:pPr>
                    <w:jc w:val="center"/>
                    <w:rPr>
                      <w:rFonts w:hint="eastAsia" w:cs="Times New Roman"/>
                      <w:color w:val="auto"/>
                      <w:highlight w:val="none"/>
                      <w:u w:val="single"/>
                      <w:lang w:val="en-US" w:eastAsia="zh-CN"/>
                    </w:rPr>
                  </w:pPr>
                  <w:r>
                    <w:rPr>
                      <w:rFonts w:hint="eastAsia" w:cs="Times New Roman"/>
                      <w:color w:val="auto"/>
                      <w:highlight w:val="none"/>
                      <w:u w:val="single"/>
                      <w:lang w:val="en-US" w:eastAsia="zh-CN"/>
                    </w:rPr>
                    <w:t>0.4473</w:t>
                  </w:r>
                </w:p>
              </w:tc>
            </w:tr>
          </w:tbl>
          <w:p w14:paraId="34D76BC2">
            <w:pPr>
              <w:numPr>
                <w:ilvl w:val="0"/>
                <w:numId w:val="0"/>
              </w:numPr>
              <w:tabs>
                <w:tab w:val="left" w:pos="1440"/>
                <w:tab w:val="left" w:pos="1800"/>
              </w:tabs>
              <w:spacing w:line="360" w:lineRule="auto"/>
              <w:ind w:firstLine="361" w:firstLineChars="150"/>
              <w:rPr>
                <w:rFonts w:hint="eastAsia"/>
                <w:b/>
                <w:bCs/>
                <w:sz w:val="24"/>
                <w:szCs w:val="24"/>
                <w:u w:val="single"/>
                <w:lang w:val="en-US" w:eastAsia="zh-CN"/>
              </w:rPr>
            </w:pPr>
            <w:r>
              <w:rPr>
                <w:rFonts w:hint="eastAsia" w:ascii="Times New Roman" w:hAnsi="Times New Roman" w:eastAsia="宋体" w:cs="Times New Roman"/>
                <w:b/>
                <w:bCs/>
                <w:kern w:val="2"/>
                <w:sz w:val="24"/>
                <w:szCs w:val="24"/>
                <w:u w:val="single"/>
                <w:lang w:val="en-US" w:eastAsia="zh-CN" w:bidi="ar-SA"/>
              </w:rPr>
              <w:t>（</w:t>
            </w:r>
            <w:r>
              <w:rPr>
                <w:rFonts w:hint="eastAsia" w:cs="Times New Roman"/>
                <w:b/>
                <w:bCs/>
                <w:kern w:val="2"/>
                <w:sz w:val="24"/>
                <w:szCs w:val="24"/>
                <w:u w:val="single"/>
                <w:lang w:val="en-US" w:eastAsia="zh-CN" w:bidi="ar-SA"/>
              </w:rPr>
              <w:t>4</w:t>
            </w:r>
            <w:r>
              <w:rPr>
                <w:rFonts w:hint="eastAsia" w:ascii="Times New Roman" w:hAnsi="Times New Roman" w:eastAsia="宋体" w:cs="Times New Roman"/>
                <w:b/>
                <w:bCs/>
                <w:kern w:val="2"/>
                <w:sz w:val="24"/>
                <w:szCs w:val="24"/>
                <w:u w:val="single"/>
                <w:lang w:val="en-US" w:eastAsia="zh-CN" w:bidi="ar-SA"/>
              </w:rPr>
              <w:t>）</w:t>
            </w:r>
            <w:r>
              <w:rPr>
                <w:rFonts w:hint="eastAsia" w:cs="Times New Roman"/>
                <w:b/>
                <w:bCs/>
                <w:kern w:val="2"/>
                <w:sz w:val="24"/>
                <w:szCs w:val="24"/>
                <w:u w:val="single"/>
                <w:lang w:val="en-US" w:eastAsia="zh-CN" w:bidi="ar-SA"/>
              </w:rPr>
              <w:t>落砂</w:t>
            </w:r>
            <w:r>
              <w:rPr>
                <w:rFonts w:hint="eastAsia"/>
                <w:b/>
                <w:bCs/>
                <w:sz w:val="24"/>
                <w:szCs w:val="24"/>
                <w:u w:val="single"/>
                <w:lang w:val="en-US" w:eastAsia="zh-CN"/>
              </w:rPr>
              <w:t>废气</w:t>
            </w:r>
          </w:p>
          <w:p w14:paraId="663D3FD1">
            <w:pPr>
              <w:spacing w:line="360" w:lineRule="auto"/>
              <w:ind w:firstLine="480" w:firstLineChars="200"/>
              <w:rPr>
                <w:rFonts w:hint="default"/>
                <w:sz w:val="24"/>
                <w:u w:val="single"/>
                <w:lang w:val="en-US" w:eastAsia="zh-CN"/>
              </w:rPr>
            </w:pPr>
            <w:r>
              <w:rPr>
                <w:rFonts w:hint="eastAsia"/>
                <w:sz w:val="24"/>
                <w:u w:val="single"/>
                <w:lang w:val="en-US" w:eastAsia="zh-CN"/>
              </w:rPr>
              <w:t>振筛落砂工序会生产颗粒物，落砂工序产尘系数取为0.1%，年用石英砂100t，则落砂工序产生的颗粒物总量约为1ta，落砂机、磁选机及旧砂回用设备均密闭，落砂进入地仓后经传送带输送到旧砂回用设备，设集气罩（收集效率</w:t>
            </w:r>
            <w:r>
              <w:rPr>
                <w:rFonts w:hint="default"/>
                <w:sz w:val="24"/>
                <w:u w:val="single"/>
                <w:lang w:val="en-US" w:eastAsia="zh-CN"/>
              </w:rPr>
              <w:t>≥</w:t>
            </w:r>
            <w:r>
              <w:rPr>
                <w:rFonts w:hint="eastAsia"/>
                <w:sz w:val="24"/>
                <w:u w:val="single"/>
                <w:lang w:val="en-US" w:eastAsia="zh-CN"/>
              </w:rPr>
              <w:t>90%）经布袋除尘器（TA004，</w:t>
            </w:r>
            <w:r>
              <w:rPr>
                <w:rFonts w:hint="eastAsia"/>
                <w:sz w:val="24"/>
                <w:highlight w:val="none"/>
                <w:u w:val="single"/>
                <w:shd w:val="clear"/>
                <w:lang w:val="en-US" w:eastAsia="zh-CN"/>
              </w:rPr>
              <w:t>除尘效率99.8%</w:t>
            </w:r>
            <w:r>
              <w:rPr>
                <w:rFonts w:hint="eastAsia"/>
                <w:sz w:val="24"/>
                <w:u w:val="single"/>
                <w:lang w:val="en-US" w:eastAsia="zh-CN"/>
              </w:rPr>
              <w:t>）处理后无组织排放，风机风量取8000</w:t>
            </w:r>
            <w:r>
              <w:rPr>
                <w:rFonts w:hint="default"/>
                <w:sz w:val="24"/>
                <w:u w:val="single"/>
                <w:lang w:val="en-US" w:eastAsia="zh-CN"/>
              </w:rPr>
              <w:t>m</w:t>
            </w:r>
            <w:r>
              <w:rPr>
                <w:rFonts w:hint="default"/>
                <w:sz w:val="24"/>
                <w:u w:val="single"/>
                <w:vertAlign w:val="superscript"/>
                <w:lang w:val="en-US" w:eastAsia="zh-CN"/>
              </w:rPr>
              <w:t>3</w:t>
            </w:r>
            <w:r>
              <w:rPr>
                <w:rFonts w:hint="default"/>
                <w:sz w:val="24"/>
                <w:u w:val="single"/>
                <w:lang w:val="en-US" w:eastAsia="zh-CN"/>
              </w:rPr>
              <w:t>/h</w:t>
            </w:r>
            <w:r>
              <w:rPr>
                <w:rFonts w:hint="eastAsia"/>
                <w:sz w:val="24"/>
                <w:u w:val="single"/>
                <w:lang w:val="en-US" w:eastAsia="zh-CN"/>
              </w:rPr>
              <w:t>，</w:t>
            </w:r>
            <w:r>
              <w:rPr>
                <w:rFonts w:hint="default"/>
                <w:sz w:val="24"/>
                <w:u w:val="single"/>
                <w:lang w:val="en-US" w:eastAsia="zh-CN"/>
              </w:rPr>
              <w:t>则</w:t>
            </w:r>
            <w:r>
              <w:rPr>
                <w:rFonts w:hint="eastAsia"/>
                <w:sz w:val="24"/>
                <w:u w:val="single"/>
                <w:lang w:val="en-US" w:eastAsia="zh-CN"/>
              </w:rPr>
              <w:t>混砂</w:t>
            </w:r>
            <w:r>
              <w:rPr>
                <w:rFonts w:hint="default"/>
                <w:sz w:val="24"/>
                <w:u w:val="single"/>
                <w:lang w:val="en-US" w:eastAsia="zh-CN"/>
              </w:rPr>
              <w:t>废气产排情况详见表</w:t>
            </w:r>
            <w:r>
              <w:rPr>
                <w:rFonts w:hint="eastAsia"/>
                <w:sz w:val="24"/>
                <w:u w:val="single"/>
                <w:lang w:val="en-US" w:eastAsia="zh-CN"/>
              </w:rPr>
              <w:t>4-4</w:t>
            </w:r>
            <w:r>
              <w:rPr>
                <w:rFonts w:hint="default"/>
                <w:sz w:val="24"/>
                <w:u w:val="single"/>
                <w:lang w:val="en-US" w:eastAsia="zh-CN"/>
              </w:rPr>
              <w:t>。</w:t>
            </w:r>
          </w:p>
          <w:p w14:paraId="5CB36724">
            <w:pPr>
              <w:jc w:val="center"/>
              <w:rPr>
                <w:rFonts w:hint="eastAsia"/>
                <w:b/>
                <w:u w:val="single"/>
                <w:lang w:val="en-US" w:eastAsia="zh-CN"/>
              </w:rPr>
            </w:pPr>
            <w:r>
              <w:rPr>
                <w:rFonts w:hint="eastAsia"/>
                <w:b/>
                <w:u w:val="single"/>
                <w:lang w:val="en-US" w:eastAsia="zh-CN"/>
              </w:rPr>
              <w:t>表4-4  落砂废气产排情况表</w:t>
            </w:r>
          </w:p>
          <w:tbl>
            <w:tblPr>
              <w:tblStyle w:val="38"/>
              <w:tblW w:w="76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
              <w:gridCol w:w="396"/>
              <w:gridCol w:w="510"/>
              <w:gridCol w:w="449"/>
              <w:gridCol w:w="817"/>
              <w:gridCol w:w="714"/>
              <w:gridCol w:w="604"/>
              <w:gridCol w:w="929"/>
              <w:gridCol w:w="828"/>
              <w:gridCol w:w="848"/>
              <w:gridCol w:w="603"/>
              <w:gridCol w:w="587"/>
            </w:tblGrid>
            <w:tr w14:paraId="2C05B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jc w:val="center"/>
              </w:trPr>
              <w:tc>
                <w:tcPr>
                  <w:tcW w:w="411" w:type="dxa"/>
                  <w:vMerge w:val="restart"/>
                  <w:tcBorders>
                    <w:tl2br w:val="nil"/>
                    <w:tr2bl w:val="nil"/>
                  </w:tcBorders>
                  <w:noWrap w:val="0"/>
                  <w:vAlign w:val="top"/>
                </w:tcPr>
                <w:p w14:paraId="6E558FED">
                  <w:pPr>
                    <w:jc w:val="center"/>
                    <w:rPr>
                      <w:rFonts w:hint="default" w:ascii="Times New Roman" w:hAnsi="Times New Roman" w:eastAsia="宋体" w:cs="Times New Roman"/>
                      <w:u w:val="single"/>
                      <w:lang w:val="en-US" w:eastAsia="zh-CN"/>
                    </w:rPr>
                  </w:pPr>
                </w:p>
                <w:p w14:paraId="10EAD670">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 源</w:t>
                  </w:r>
                </w:p>
              </w:tc>
              <w:tc>
                <w:tcPr>
                  <w:tcW w:w="396" w:type="dxa"/>
                  <w:vMerge w:val="restart"/>
                  <w:tcBorders>
                    <w:tl2br w:val="nil"/>
                    <w:tr2bl w:val="nil"/>
                  </w:tcBorders>
                  <w:noWrap w:val="0"/>
                  <w:vAlign w:val="top"/>
                </w:tcPr>
                <w:p w14:paraId="3346C5F4">
                  <w:pPr>
                    <w:jc w:val="center"/>
                    <w:rPr>
                      <w:rFonts w:hint="default" w:ascii="Times New Roman" w:hAnsi="Times New Roman" w:eastAsia="宋体" w:cs="Times New Roman"/>
                      <w:u w:val="single"/>
                      <w:lang w:val="en-US" w:eastAsia="zh-CN"/>
                    </w:rPr>
                  </w:pPr>
                </w:p>
                <w:p w14:paraId="560846F7">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w:t>
                  </w:r>
                </w:p>
                <w:p w14:paraId="40B41C8D">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物</w:t>
                  </w:r>
                </w:p>
              </w:tc>
              <w:tc>
                <w:tcPr>
                  <w:tcW w:w="510" w:type="dxa"/>
                  <w:vMerge w:val="restart"/>
                  <w:tcBorders>
                    <w:tl2br w:val="nil"/>
                    <w:tr2bl w:val="nil"/>
                  </w:tcBorders>
                  <w:noWrap w:val="0"/>
                  <w:vAlign w:val="top"/>
                </w:tcPr>
                <w:p w14:paraId="7A0F8115">
                  <w:pPr>
                    <w:jc w:val="center"/>
                    <w:rPr>
                      <w:rFonts w:hint="default" w:ascii="Times New Roman" w:hAnsi="Times New Roman" w:eastAsia="宋体" w:cs="Times New Roman"/>
                      <w:u w:val="single"/>
                      <w:lang w:val="en-US" w:eastAsia="zh-CN"/>
                    </w:rPr>
                  </w:pPr>
                </w:p>
                <w:p w14:paraId="45D2F53F">
                  <w:pPr>
                    <w:jc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风量</w:t>
                  </w:r>
                  <w:r>
                    <w:rPr>
                      <w:rFonts w:hint="default" w:ascii="Times New Roman" w:hAnsi="Times New Roman" w:eastAsia="宋体" w:cs="Times New Roman"/>
                      <w:u w:val="single"/>
                      <w:lang w:val="en-US" w:eastAsia="zh-CN"/>
                    </w:rPr>
                    <w:t>m</w:t>
                  </w:r>
                  <w:r>
                    <w:rPr>
                      <w:rFonts w:hint="default" w:ascii="Times New Roman" w:hAnsi="Times New Roman" w:eastAsia="宋体" w:cs="Times New Roman"/>
                      <w:u w:val="single"/>
                      <w:vertAlign w:val="superscript"/>
                      <w:lang w:val="en-US" w:eastAsia="zh-CN"/>
                    </w:rPr>
                    <w:t>3</w:t>
                  </w:r>
                  <w:r>
                    <w:rPr>
                      <w:rFonts w:hint="default" w:ascii="Times New Roman" w:hAnsi="Times New Roman" w:eastAsia="宋体" w:cs="Times New Roman"/>
                      <w:u w:val="single"/>
                      <w:lang w:val="en-US" w:eastAsia="zh-CN"/>
                    </w:rPr>
                    <w:t>/h</w:t>
                  </w:r>
                </w:p>
              </w:tc>
              <w:tc>
                <w:tcPr>
                  <w:tcW w:w="449" w:type="dxa"/>
                  <w:vMerge w:val="restart"/>
                  <w:tcBorders>
                    <w:tl2br w:val="nil"/>
                    <w:tr2bl w:val="nil"/>
                  </w:tcBorders>
                  <w:noWrap w:val="0"/>
                  <w:vAlign w:val="center"/>
                </w:tcPr>
                <w:p w14:paraId="2A4EBFE2">
                  <w:pPr>
                    <w:jc w:val="center"/>
                    <w:rPr>
                      <w:rFonts w:hint="default" w:ascii="Times New Roman" w:hAnsi="Times New Roman" w:eastAsia="宋体" w:cs="Times New Roman"/>
                      <w:u w:val="single"/>
                      <w:lang w:val="en-US" w:eastAsia="zh-CN"/>
                    </w:rPr>
                  </w:pPr>
                  <w:r>
                    <w:rPr>
                      <w:rFonts w:hint="eastAsia" w:cs="Times New Roman"/>
                      <w:u w:val="single"/>
                      <w:lang w:val="en-US" w:eastAsia="zh-CN"/>
                    </w:rPr>
                    <w:t>排放形式</w:t>
                  </w:r>
                </w:p>
              </w:tc>
              <w:tc>
                <w:tcPr>
                  <w:tcW w:w="2135" w:type="dxa"/>
                  <w:gridSpan w:val="3"/>
                  <w:tcBorders>
                    <w:tl2br w:val="nil"/>
                    <w:tr2bl w:val="nil"/>
                  </w:tcBorders>
                  <w:noWrap w:val="0"/>
                  <w:vAlign w:val="top"/>
                </w:tcPr>
                <w:p w14:paraId="6471147B">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污染物产生情况</w:t>
                  </w:r>
                </w:p>
              </w:tc>
              <w:tc>
                <w:tcPr>
                  <w:tcW w:w="1757" w:type="dxa"/>
                  <w:gridSpan w:val="2"/>
                  <w:tcBorders>
                    <w:tl2br w:val="nil"/>
                    <w:tr2bl w:val="nil"/>
                  </w:tcBorders>
                  <w:noWrap w:val="0"/>
                  <w:vAlign w:val="top"/>
                </w:tcPr>
                <w:p w14:paraId="4ACF7C19">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主要污染治理设施</w:t>
                  </w:r>
                </w:p>
              </w:tc>
              <w:tc>
                <w:tcPr>
                  <w:tcW w:w="2038" w:type="dxa"/>
                  <w:gridSpan w:val="3"/>
                  <w:tcBorders>
                    <w:tl2br w:val="nil"/>
                    <w:tr2bl w:val="nil"/>
                  </w:tcBorders>
                  <w:noWrap w:val="0"/>
                  <w:vAlign w:val="top"/>
                </w:tcPr>
                <w:p w14:paraId="7D5FD904">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污染物排放情况</w:t>
                  </w:r>
                </w:p>
              </w:tc>
            </w:tr>
            <w:tr w14:paraId="343A3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jc w:val="center"/>
              </w:trPr>
              <w:tc>
                <w:tcPr>
                  <w:tcW w:w="411" w:type="dxa"/>
                  <w:vMerge w:val="continue"/>
                  <w:tcBorders>
                    <w:tl2br w:val="nil"/>
                    <w:tr2bl w:val="nil"/>
                  </w:tcBorders>
                  <w:noWrap w:val="0"/>
                  <w:vAlign w:val="top"/>
                </w:tcPr>
                <w:p w14:paraId="41A5CA82">
                  <w:pPr>
                    <w:jc w:val="center"/>
                    <w:rPr>
                      <w:rFonts w:hint="default" w:ascii="Times New Roman" w:hAnsi="Times New Roman" w:eastAsia="宋体" w:cs="Times New Roman"/>
                      <w:u w:val="single"/>
                      <w:lang w:val="en-US" w:eastAsia="zh-CN"/>
                    </w:rPr>
                  </w:pPr>
                </w:p>
              </w:tc>
              <w:tc>
                <w:tcPr>
                  <w:tcW w:w="396" w:type="dxa"/>
                  <w:vMerge w:val="continue"/>
                  <w:tcBorders>
                    <w:tl2br w:val="nil"/>
                    <w:tr2bl w:val="nil"/>
                  </w:tcBorders>
                  <w:noWrap w:val="0"/>
                  <w:vAlign w:val="top"/>
                </w:tcPr>
                <w:p w14:paraId="219B57AB">
                  <w:pPr>
                    <w:jc w:val="center"/>
                    <w:rPr>
                      <w:rFonts w:hint="default" w:ascii="Times New Roman" w:hAnsi="Times New Roman" w:eastAsia="宋体" w:cs="Times New Roman"/>
                      <w:u w:val="single"/>
                      <w:lang w:val="en-US" w:eastAsia="zh-CN"/>
                    </w:rPr>
                  </w:pPr>
                </w:p>
              </w:tc>
              <w:tc>
                <w:tcPr>
                  <w:tcW w:w="510" w:type="dxa"/>
                  <w:vMerge w:val="continue"/>
                  <w:tcBorders>
                    <w:tl2br w:val="nil"/>
                    <w:tr2bl w:val="nil"/>
                  </w:tcBorders>
                  <w:noWrap w:val="0"/>
                  <w:vAlign w:val="top"/>
                </w:tcPr>
                <w:p w14:paraId="4AF9873C">
                  <w:pPr>
                    <w:jc w:val="center"/>
                    <w:rPr>
                      <w:rFonts w:hint="default" w:ascii="Times New Roman" w:hAnsi="Times New Roman" w:eastAsia="宋体" w:cs="Times New Roman"/>
                      <w:u w:val="single"/>
                      <w:lang w:val="en-US" w:eastAsia="zh-CN"/>
                    </w:rPr>
                  </w:pPr>
                </w:p>
              </w:tc>
              <w:tc>
                <w:tcPr>
                  <w:tcW w:w="449" w:type="dxa"/>
                  <w:vMerge w:val="continue"/>
                  <w:tcBorders>
                    <w:tl2br w:val="nil"/>
                    <w:tr2bl w:val="nil"/>
                  </w:tcBorders>
                  <w:noWrap w:val="0"/>
                  <w:vAlign w:val="top"/>
                </w:tcPr>
                <w:p w14:paraId="24A06570">
                  <w:pPr>
                    <w:jc w:val="center"/>
                    <w:rPr>
                      <w:rFonts w:hint="default" w:ascii="Times New Roman" w:hAnsi="Times New Roman" w:eastAsia="宋体" w:cs="Times New Roman"/>
                      <w:u w:val="single"/>
                      <w:lang w:val="en-US" w:eastAsia="zh-CN"/>
                    </w:rPr>
                  </w:pPr>
                </w:p>
              </w:tc>
              <w:tc>
                <w:tcPr>
                  <w:tcW w:w="817" w:type="dxa"/>
                  <w:tcBorders>
                    <w:tl2br w:val="nil"/>
                    <w:tr2bl w:val="nil"/>
                  </w:tcBorders>
                  <w:noWrap w:val="0"/>
                  <w:vAlign w:val="top"/>
                </w:tcPr>
                <w:p w14:paraId="025BE115">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产生浓度mg/m</w:t>
                  </w:r>
                  <w:r>
                    <w:rPr>
                      <w:rFonts w:hint="default" w:ascii="Times New Roman" w:hAnsi="Times New Roman" w:eastAsia="宋体" w:cs="Times New Roman"/>
                      <w:u w:val="single"/>
                      <w:vertAlign w:val="superscript"/>
                      <w:lang w:val="en-US" w:eastAsia="zh-CN"/>
                    </w:rPr>
                    <w:t>3</w:t>
                  </w:r>
                </w:p>
              </w:tc>
              <w:tc>
                <w:tcPr>
                  <w:tcW w:w="714" w:type="dxa"/>
                  <w:tcBorders>
                    <w:tl2br w:val="nil"/>
                    <w:tr2bl w:val="nil"/>
                  </w:tcBorders>
                  <w:noWrap w:val="0"/>
                  <w:vAlign w:val="top"/>
                </w:tcPr>
                <w:p w14:paraId="79343E79">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产生速 率kg/h</w:t>
                  </w:r>
                </w:p>
              </w:tc>
              <w:tc>
                <w:tcPr>
                  <w:tcW w:w="604" w:type="dxa"/>
                  <w:tcBorders>
                    <w:tl2br w:val="nil"/>
                    <w:tr2bl w:val="nil"/>
                  </w:tcBorders>
                  <w:noWrap w:val="0"/>
                  <w:vAlign w:val="top"/>
                </w:tcPr>
                <w:p w14:paraId="3376BFE7">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产生量t/a</w:t>
                  </w:r>
                </w:p>
              </w:tc>
              <w:tc>
                <w:tcPr>
                  <w:tcW w:w="929" w:type="dxa"/>
                  <w:tcBorders>
                    <w:tl2br w:val="nil"/>
                    <w:tr2bl w:val="nil"/>
                  </w:tcBorders>
                  <w:noWrap w:val="0"/>
                  <w:vAlign w:val="top"/>
                </w:tcPr>
                <w:p w14:paraId="7A99F5F5">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治理措施</w:t>
                  </w:r>
                </w:p>
              </w:tc>
              <w:tc>
                <w:tcPr>
                  <w:tcW w:w="828" w:type="dxa"/>
                  <w:tcBorders>
                    <w:tl2br w:val="nil"/>
                    <w:tr2bl w:val="nil"/>
                  </w:tcBorders>
                  <w:noWrap w:val="0"/>
                  <w:vAlign w:val="top"/>
                </w:tcPr>
                <w:p w14:paraId="69CB9480">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处理效</w:t>
                  </w:r>
                </w:p>
                <w:p w14:paraId="0F7784B5">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率%</w:t>
                  </w:r>
                </w:p>
              </w:tc>
              <w:tc>
                <w:tcPr>
                  <w:tcW w:w="848" w:type="dxa"/>
                  <w:tcBorders>
                    <w:tl2br w:val="nil"/>
                    <w:tr2bl w:val="nil"/>
                  </w:tcBorders>
                  <w:noWrap w:val="0"/>
                  <w:vAlign w:val="top"/>
                </w:tcPr>
                <w:p w14:paraId="1E68FD9F">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排放浓度mg/m</w:t>
                  </w:r>
                  <w:r>
                    <w:rPr>
                      <w:rFonts w:hint="default" w:ascii="Times New Roman" w:hAnsi="Times New Roman" w:eastAsia="宋体" w:cs="Times New Roman"/>
                      <w:u w:val="single"/>
                      <w:vertAlign w:val="superscript"/>
                      <w:lang w:val="en-US" w:eastAsia="zh-CN"/>
                    </w:rPr>
                    <w:t>3</w:t>
                  </w:r>
                </w:p>
              </w:tc>
              <w:tc>
                <w:tcPr>
                  <w:tcW w:w="603" w:type="dxa"/>
                  <w:tcBorders>
                    <w:tl2br w:val="nil"/>
                    <w:tr2bl w:val="nil"/>
                  </w:tcBorders>
                  <w:noWrap w:val="0"/>
                  <w:vAlign w:val="top"/>
                </w:tcPr>
                <w:p w14:paraId="78335161">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排放速率kg/h</w:t>
                  </w:r>
                </w:p>
              </w:tc>
              <w:tc>
                <w:tcPr>
                  <w:tcW w:w="587" w:type="dxa"/>
                  <w:tcBorders>
                    <w:tl2br w:val="nil"/>
                    <w:tr2bl w:val="nil"/>
                  </w:tcBorders>
                  <w:noWrap w:val="0"/>
                  <w:vAlign w:val="top"/>
                </w:tcPr>
                <w:p w14:paraId="43DC7FDC">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排放量t/a</w:t>
                  </w:r>
                </w:p>
              </w:tc>
            </w:tr>
            <w:tr w14:paraId="427D2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jc w:val="center"/>
              </w:trPr>
              <w:tc>
                <w:tcPr>
                  <w:tcW w:w="411" w:type="dxa"/>
                  <w:vMerge w:val="restart"/>
                  <w:tcBorders>
                    <w:tl2br w:val="nil"/>
                    <w:tr2bl w:val="nil"/>
                  </w:tcBorders>
                  <w:noWrap w:val="0"/>
                  <w:vAlign w:val="center"/>
                </w:tcPr>
                <w:p w14:paraId="23741488">
                  <w:pPr>
                    <w:jc w:val="center"/>
                    <w:rPr>
                      <w:rFonts w:hint="default" w:ascii="Times New Roman" w:hAnsi="Times New Roman" w:eastAsia="宋体" w:cs="Times New Roman"/>
                      <w:u w:val="single"/>
                      <w:lang w:val="en-US" w:eastAsia="zh-CN"/>
                    </w:rPr>
                  </w:pPr>
                  <w:r>
                    <w:rPr>
                      <w:rFonts w:hint="eastAsia" w:cs="Times New Roman"/>
                      <w:u w:val="single"/>
                      <w:lang w:val="en-US" w:eastAsia="zh-CN"/>
                    </w:rPr>
                    <w:t>落砂</w:t>
                  </w:r>
                </w:p>
              </w:tc>
              <w:tc>
                <w:tcPr>
                  <w:tcW w:w="396" w:type="dxa"/>
                  <w:vMerge w:val="restart"/>
                  <w:tcBorders>
                    <w:tl2br w:val="nil"/>
                    <w:tr2bl w:val="nil"/>
                  </w:tcBorders>
                  <w:noWrap w:val="0"/>
                  <w:vAlign w:val="center"/>
                </w:tcPr>
                <w:p w14:paraId="3C833930">
                  <w:pPr>
                    <w:jc w:val="center"/>
                    <w:rPr>
                      <w:rFonts w:hint="default" w:ascii="Times New Roman" w:hAnsi="Times New Roman" w:eastAsia="宋体" w:cs="Times New Roman"/>
                      <w:u w:val="single"/>
                      <w:lang w:val="en-US" w:eastAsia="zh-CN"/>
                    </w:rPr>
                  </w:pPr>
                  <w:r>
                    <w:rPr>
                      <w:rFonts w:hint="eastAsia" w:cs="Times New Roman"/>
                      <w:u w:val="single"/>
                      <w:lang w:val="en-US" w:eastAsia="zh-CN"/>
                    </w:rPr>
                    <w:t>颗粒物</w:t>
                  </w:r>
                </w:p>
              </w:tc>
              <w:tc>
                <w:tcPr>
                  <w:tcW w:w="510" w:type="dxa"/>
                  <w:tcBorders>
                    <w:tl2br w:val="nil"/>
                    <w:tr2bl w:val="nil"/>
                  </w:tcBorders>
                  <w:noWrap w:val="0"/>
                  <w:vAlign w:val="center"/>
                </w:tcPr>
                <w:p w14:paraId="121B9334">
                  <w:pPr>
                    <w:jc w:val="center"/>
                    <w:rPr>
                      <w:rFonts w:hint="default" w:ascii="Times New Roman" w:hAnsi="Times New Roman" w:eastAsia="宋体" w:cs="Times New Roman"/>
                      <w:u w:val="single"/>
                      <w:lang w:val="en-US" w:eastAsia="zh-CN"/>
                    </w:rPr>
                  </w:pPr>
                  <w:r>
                    <w:rPr>
                      <w:rFonts w:hint="eastAsia" w:cs="Times New Roman"/>
                      <w:highlight w:val="none"/>
                      <w:u w:val="single"/>
                      <w:lang w:val="en-US" w:eastAsia="zh-CN"/>
                    </w:rPr>
                    <w:t>8000</w:t>
                  </w:r>
                </w:p>
              </w:tc>
              <w:tc>
                <w:tcPr>
                  <w:tcW w:w="449" w:type="dxa"/>
                  <w:tcBorders>
                    <w:tl2br w:val="nil"/>
                    <w:tr2bl w:val="nil"/>
                  </w:tcBorders>
                  <w:noWrap w:val="0"/>
                  <w:vAlign w:val="center"/>
                </w:tcPr>
                <w:p w14:paraId="56A0C939">
                  <w:pPr>
                    <w:jc w:val="center"/>
                    <w:rPr>
                      <w:rFonts w:hint="eastAsia" w:cs="Times New Roman"/>
                      <w:u w:val="single"/>
                      <w:lang w:val="en-US" w:eastAsia="zh-CN"/>
                    </w:rPr>
                  </w:pPr>
                  <w:r>
                    <w:rPr>
                      <w:rFonts w:hint="eastAsia" w:cs="Times New Roman"/>
                      <w:u w:val="single"/>
                      <w:lang w:val="en-US" w:eastAsia="zh-CN"/>
                    </w:rPr>
                    <w:t>有组织</w:t>
                  </w:r>
                </w:p>
              </w:tc>
              <w:tc>
                <w:tcPr>
                  <w:tcW w:w="817" w:type="dxa"/>
                  <w:tcBorders>
                    <w:tl2br w:val="nil"/>
                    <w:tr2bl w:val="nil"/>
                  </w:tcBorders>
                  <w:noWrap w:val="0"/>
                  <w:vAlign w:val="center"/>
                </w:tcPr>
                <w:p w14:paraId="4D4AD6BF">
                  <w:pPr>
                    <w:keepNext w:val="0"/>
                    <w:keepLines w:val="0"/>
                    <w:widowControl/>
                    <w:suppressLineNumbers w:val="0"/>
                    <w:jc w:val="center"/>
                    <w:textAlignment w:val="center"/>
                    <w:rPr>
                      <w:rFonts w:hint="default" w:ascii="Times New Roman" w:hAnsi="Times New Roman" w:eastAsia="宋体" w:cs="Times New Roman"/>
                      <w:highlight w:val="yellow"/>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45.07</w:t>
                  </w:r>
                </w:p>
              </w:tc>
              <w:tc>
                <w:tcPr>
                  <w:tcW w:w="714" w:type="dxa"/>
                  <w:tcBorders>
                    <w:tl2br w:val="nil"/>
                    <w:tr2bl w:val="nil"/>
                  </w:tcBorders>
                  <w:noWrap w:val="0"/>
                  <w:vAlign w:val="center"/>
                </w:tcPr>
                <w:p w14:paraId="1E5815D0">
                  <w:pPr>
                    <w:keepNext w:val="0"/>
                    <w:keepLines w:val="0"/>
                    <w:widowControl/>
                    <w:suppressLineNumbers w:val="0"/>
                    <w:jc w:val="center"/>
                    <w:textAlignment w:val="center"/>
                    <w:rPr>
                      <w:rFonts w:hint="default" w:ascii="Times New Roman" w:hAnsi="Times New Roman" w:eastAsia="宋体" w:cs="Times New Roman"/>
                      <w:highlight w:val="yellow"/>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0.36</w:t>
                  </w:r>
                </w:p>
              </w:tc>
              <w:tc>
                <w:tcPr>
                  <w:tcW w:w="604" w:type="dxa"/>
                  <w:tcBorders>
                    <w:tl2br w:val="nil"/>
                    <w:tr2bl w:val="nil"/>
                  </w:tcBorders>
                  <w:noWrap w:val="0"/>
                  <w:vAlign w:val="center"/>
                </w:tcPr>
                <w:p w14:paraId="32D741D6">
                  <w:pPr>
                    <w:keepNext w:val="0"/>
                    <w:keepLines w:val="0"/>
                    <w:widowControl/>
                    <w:suppressLineNumbers w:val="0"/>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0.9</w:t>
                  </w:r>
                </w:p>
              </w:tc>
              <w:tc>
                <w:tcPr>
                  <w:tcW w:w="929" w:type="dxa"/>
                  <w:tcBorders>
                    <w:tl2br w:val="nil"/>
                    <w:tr2bl w:val="nil"/>
                  </w:tcBorders>
                  <w:noWrap w:val="0"/>
                  <w:vAlign w:val="center"/>
                </w:tcPr>
                <w:p w14:paraId="180F32B8">
                  <w:pPr>
                    <w:jc w:val="center"/>
                    <w:rPr>
                      <w:rFonts w:hint="default" w:ascii="Times New Roman" w:hAnsi="Times New Roman" w:eastAsia="宋体" w:cs="Times New Roman"/>
                      <w:u w:val="single"/>
                      <w:lang w:val="en-US" w:eastAsia="zh-CN"/>
                    </w:rPr>
                  </w:pPr>
                  <w:r>
                    <w:rPr>
                      <w:rFonts w:hint="eastAsia" w:cs="Times New Roman"/>
                      <w:u w:val="single"/>
                      <w:lang w:val="en-US" w:eastAsia="zh-CN"/>
                    </w:rPr>
                    <w:t>脉冲布袋</w:t>
                  </w:r>
                  <w:r>
                    <w:rPr>
                      <w:rFonts w:hint="eastAsia" w:ascii="Times New Roman" w:hAnsi="Times New Roman" w:eastAsia="宋体" w:cs="Times New Roman"/>
                      <w:u w:val="single"/>
                      <w:lang w:val="en-US" w:eastAsia="zh-CN"/>
                    </w:rPr>
                    <w:t>除尘器</w:t>
                  </w:r>
                </w:p>
              </w:tc>
              <w:tc>
                <w:tcPr>
                  <w:tcW w:w="828" w:type="dxa"/>
                  <w:tcBorders>
                    <w:tl2br w:val="nil"/>
                    <w:tr2bl w:val="nil"/>
                  </w:tcBorders>
                  <w:noWrap w:val="0"/>
                  <w:vAlign w:val="center"/>
                </w:tcPr>
                <w:p w14:paraId="62AE9B39">
                  <w:pPr>
                    <w:jc w:val="center"/>
                    <w:rPr>
                      <w:rFonts w:hint="default" w:ascii="Times New Roman" w:hAnsi="Times New Roman" w:eastAsia="宋体" w:cs="Times New Roman"/>
                      <w:highlight w:val="yellow"/>
                      <w:u w:val="single"/>
                      <w:lang w:val="en-US" w:eastAsia="zh-CN"/>
                    </w:rPr>
                  </w:pPr>
                  <w:r>
                    <w:rPr>
                      <w:rFonts w:hint="eastAsia" w:cs="Times New Roman"/>
                      <w:highlight w:val="none"/>
                      <w:u w:val="single"/>
                      <w:lang w:val="en-US" w:eastAsia="zh-CN"/>
                    </w:rPr>
                    <w:t>99.8</w:t>
                  </w:r>
                </w:p>
              </w:tc>
              <w:tc>
                <w:tcPr>
                  <w:tcW w:w="848" w:type="dxa"/>
                  <w:tcBorders>
                    <w:tl2br w:val="nil"/>
                    <w:tr2bl w:val="nil"/>
                  </w:tcBorders>
                  <w:noWrap w:val="0"/>
                  <w:vAlign w:val="center"/>
                </w:tcPr>
                <w:p w14:paraId="166B17D0">
                  <w:pPr>
                    <w:keepNext w:val="0"/>
                    <w:keepLines w:val="0"/>
                    <w:widowControl/>
                    <w:suppressLineNumbers w:val="0"/>
                    <w:jc w:val="center"/>
                    <w:textAlignment w:val="center"/>
                    <w:rPr>
                      <w:rFonts w:hint="default" w:ascii="Times New Roman" w:hAnsi="Times New Roman" w:eastAsia="宋体" w:cs="Times New Roman"/>
                      <w:highlight w:val="yellow"/>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0.09</w:t>
                  </w:r>
                </w:p>
              </w:tc>
              <w:tc>
                <w:tcPr>
                  <w:tcW w:w="603" w:type="dxa"/>
                  <w:tcBorders>
                    <w:tl2br w:val="nil"/>
                    <w:tr2bl w:val="nil"/>
                  </w:tcBorders>
                  <w:noWrap w:val="0"/>
                  <w:vAlign w:val="center"/>
                </w:tcPr>
                <w:p w14:paraId="52588BFF">
                  <w:pPr>
                    <w:keepNext w:val="0"/>
                    <w:keepLines w:val="0"/>
                    <w:widowControl/>
                    <w:suppressLineNumbers w:val="0"/>
                    <w:jc w:val="center"/>
                    <w:textAlignment w:val="center"/>
                    <w:rPr>
                      <w:rFonts w:hint="default" w:ascii="Times New Roman" w:hAnsi="Times New Roman" w:eastAsia="宋体" w:cs="Times New Roman"/>
                      <w:highlight w:val="yellow"/>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 xml:space="preserve">0.0007 </w:t>
                  </w:r>
                </w:p>
              </w:tc>
              <w:tc>
                <w:tcPr>
                  <w:tcW w:w="587" w:type="dxa"/>
                  <w:tcBorders>
                    <w:tl2br w:val="nil"/>
                    <w:tr2bl w:val="nil"/>
                  </w:tcBorders>
                  <w:noWrap w:val="0"/>
                  <w:vAlign w:val="center"/>
                </w:tcPr>
                <w:p w14:paraId="0463FF81">
                  <w:pPr>
                    <w:keepNext w:val="0"/>
                    <w:keepLines w:val="0"/>
                    <w:widowControl/>
                    <w:suppressLineNumbers w:val="0"/>
                    <w:jc w:val="center"/>
                    <w:textAlignment w:val="center"/>
                    <w:rPr>
                      <w:rFonts w:hint="default" w:ascii="Times New Roman" w:hAnsi="Times New Roman" w:eastAsia="宋体" w:cs="Times New Roman"/>
                      <w:sz w:val="20"/>
                      <w:szCs w:val="20"/>
                      <w:highlight w:val="yellow"/>
                      <w:u w:val="single"/>
                      <w:lang w:val="en-US" w:eastAsia="zh-CN"/>
                    </w:rPr>
                  </w:pPr>
                  <w:r>
                    <w:rPr>
                      <w:rFonts w:hint="default" w:ascii="Times New Roman" w:hAnsi="Times New Roman" w:eastAsia="宋体" w:cs="Times New Roman"/>
                      <w:i w:val="0"/>
                      <w:iCs w:val="0"/>
                      <w:color w:val="000000"/>
                      <w:kern w:val="0"/>
                      <w:sz w:val="20"/>
                      <w:szCs w:val="20"/>
                      <w:u w:val="single"/>
                      <w:lang w:val="en-US" w:eastAsia="zh-CN" w:bidi="ar"/>
                    </w:rPr>
                    <w:t>0.0018</w:t>
                  </w:r>
                </w:p>
              </w:tc>
            </w:tr>
            <w:tr w14:paraId="5759F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411" w:type="dxa"/>
                  <w:vMerge w:val="continue"/>
                  <w:tcBorders>
                    <w:tl2br w:val="nil"/>
                    <w:tr2bl w:val="nil"/>
                  </w:tcBorders>
                  <w:noWrap w:val="0"/>
                  <w:vAlign w:val="center"/>
                </w:tcPr>
                <w:p w14:paraId="54ABF228">
                  <w:pPr>
                    <w:jc w:val="center"/>
                    <w:rPr>
                      <w:rFonts w:hint="eastAsia" w:cs="Times New Roman"/>
                      <w:u w:val="single"/>
                      <w:lang w:val="en-US" w:eastAsia="zh-CN"/>
                    </w:rPr>
                  </w:pPr>
                </w:p>
              </w:tc>
              <w:tc>
                <w:tcPr>
                  <w:tcW w:w="396" w:type="dxa"/>
                  <w:vMerge w:val="continue"/>
                  <w:tcBorders>
                    <w:tl2br w:val="nil"/>
                    <w:tr2bl w:val="nil"/>
                  </w:tcBorders>
                  <w:noWrap w:val="0"/>
                  <w:vAlign w:val="center"/>
                </w:tcPr>
                <w:p w14:paraId="687CE809">
                  <w:pPr>
                    <w:jc w:val="center"/>
                    <w:rPr>
                      <w:rFonts w:hint="eastAsia" w:cs="Times New Roman"/>
                      <w:u w:val="single"/>
                      <w:lang w:val="en-US" w:eastAsia="zh-CN"/>
                    </w:rPr>
                  </w:pPr>
                </w:p>
              </w:tc>
              <w:tc>
                <w:tcPr>
                  <w:tcW w:w="510" w:type="dxa"/>
                  <w:tcBorders>
                    <w:tl2br w:val="nil"/>
                    <w:tr2bl w:val="nil"/>
                  </w:tcBorders>
                  <w:noWrap w:val="0"/>
                  <w:vAlign w:val="center"/>
                </w:tcPr>
                <w:p w14:paraId="3B0CF263">
                  <w:pPr>
                    <w:jc w:val="center"/>
                    <w:rPr>
                      <w:rFonts w:hint="eastAsia" w:cs="Times New Roman"/>
                      <w:u w:val="single"/>
                      <w:lang w:val="en-US" w:eastAsia="zh-CN"/>
                    </w:rPr>
                  </w:pPr>
                  <w:r>
                    <w:rPr>
                      <w:rFonts w:hint="eastAsia" w:cs="Times New Roman"/>
                      <w:u w:val="single"/>
                      <w:lang w:val="en-US" w:eastAsia="zh-CN"/>
                    </w:rPr>
                    <w:t>/</w:t>
                  </w:r>
                </w:p>
              </w:tc>
              <w:tc>
                <w:tcPr>
                  <w:tcW w:w="449" w:type="dxa"/>
                  <w:tcBorders>
                    <w:tl2br w:val="nil"/>
                    <w:tr2bl w:val="nil"/>
                  </w:tcBorders>
                  <w:noWrap w:val="0"/>
                  <w:vAlign w:val="center"/>
                </w:tcPr>
                <w:p w14:paraId="147ED003">
                  <w:pPr>
                    <w:jc w:val="center"/>
                    <w:rPr>
                      <w:rFonts w:hint="default" w:cs="Times New Roman"/>
                      <w:u w:val="single"/>
                      <w:lang w:val="en-US" w:eastAsia="zh-CN"/>
                    </w:rPr>
                  </w:pPr>
                  <w:r>
                    <w:rPr>
                      <w:rFonts w:hint="eastAsia" w:cs="Times New Roman"/>
                      <w:u w:val="single"/>
                      <w:lang w:val="en-US" w:eastAsia="zh-CN"/>
                    </w:rPr>
                    <w:t>无组织</w:t>
                  </w:r>
                </w:p>
              </w:tc>
              <w:tc>
                <w:tcPr>
                  <w:tcW w:w="817" w:type="dxa"/>
                  <w:tcBorders>
                    <w:tl2br w:val="nil"/>
                    <w:tr2bl w:val="nil"/>
                  </w:tcBorders>
                  <w:noWrap w:val="0"/>
                  <w:vAlign w:val="center"/>
                </w:tcPr>
                <w:p w14:paraId="19DE29A8">
                  <w:pPr>
                    <w:jc w:val="center"/>
                    <w:rPr>
                      <w:rFonts w:hint="default" w:cs="Times New Roman"/>
                      <w:u w:val="single"/>
                      <w:lang w:val="en-US" w:eastAsia="zh-CN"/>
                    </w:rPr>
                  </w:pPr>
                  <w:r>
                    <w:rPr>
                      <w:rFonts w:hint="eastAsia" w:cs="Times New Roman"/>
                      <w:u w:val="single"/>
                      <w:lang w:val="en-US" w:eastAsia="zh-CN"/>
                    </w:rPr>
                    <w:t>/</w:t>
                  </w:r>
                </w:p>
              </w:tc>
              <w:tc>
                <w:tcPr>
                  <w:tcW w:w="714" w:type="dxa"/>
                  <w:tcBorders>
                    <w:tl2br w:val="nil"/>
                    <w:tr2bl w:val="nil"/>
                  </w:tcBorders>
                  <w:noWrap w:val="0"/>
                  <w:vAlign w:val="center"/>
                </w:tcPr>
                <w:p w14:paraId="66D1ECF6">
                  <w:pPr>
                    <w:jc w:val="center"/>
                    <w:rPr>
                      <w:rFonts w:hint="default" w:cs="Times New Roman"/>
                      <w:u w:val="single"/>
                      <w:lang w:val="en-US" w:eastAsia="zh-CN"/>
                    </w:rPr>
                  </w:pPr>
                  <w:r>
                    <w:rPr>
                      <w:rFonts w:hint="eastAsia" w:cs="Times New Roman"/>
                      <w:u w:val="single"/>
                      <w:lang w:val="en-US" w:eastAsia="zh-CN"/>
                    </w:rPr>
                    <w:t>0.04</w:t>
                  </w:r>
                </w:p>
              </w:tc>
              <w:tc>
                <w:tcPr>
                  <w:tcW w:w="604" w:type="dxa"/>
                  <w:tcBorders>
                    <w:tl2br w:val="nil"/>
                    <w:tr2bl w:val="nil"/>
                  </w:tcBorders>
                  <w:noWrap w:val="0"/>
                  <w:vAlign w:val="center"/>
                </w:tcPr>
                <w:p w14:paraId="56B8448E">
                  <w:pPr>
                    <w:jc w:val="center"/>
                    <w:rPr>
                      <w:rFonts w:hint="default" w:cs="Times New Roman"/>
                      <w:u w:val="single"/>
                      <w:lang w:val="en-US" w:eastAsia="zh-CN"/>
                    </w:rPr>
                  </w:pPr>
                  <w:r>
                    <w:rPr>
                      <w:rFonts w:hint="eastAsia" w:cs="Times New Roman"/>
                      <w:u w:val="single"/>
                      <w:lang w:val="en-US" w:eastAsia="zh-CN"/>
                    </w:rPr>
                    <w:t>0.1</w:t>
                  </w:r>
                </w:p>
              </w:tc>
              <w:tc>
                <w:tcPr>
                  <w:tcW w:w="929" w:type="dxa"/>
                  <w:tcBorders>
                    <w:tl2br w:val="nil"/>
                    <w:tr2bl w:val="nil"/>
                  </w:tcBorders>
                  <w:noWrap w:val="0"/>
                  <w:vAlign w:val="center"/>
                </w:tcPr>
                <w:p w14:paraId="4D000478">
                  <w:pPr>
                    <w:jc w:val="center"/>
                    <w:rPr>
                      <w:rFonts w:hint="default" w:cs="Times New Roman"/>
                      <w:u w:val="single"/>
                      <w:lang w:val="en-US" w:eastAsia="zh-CN"/>
                    </w:rPr>
                  </w:pPr>
                  <w:r>
                    <w:rPr>
                      <w:rFonts w:hint="eastAsia" w:cs="Times New Roman"/>
                      <w:u w:val="single"/>
                      <w:lang w:val="en-US" w:eastAsia="zh-CN"/>
                    </w:rPr>
                    <w:t>/</w:t>
                  </w:r>
                </w:p>
              </w:tc>
              <w:tc>
                <w:tcPr>
                  <w:tcW w:w="828" w:type="dxa"/>
                  <w:tcBorders>
                    <w:tl2br w:val="nil"/>
                    <w:tr2bl w:val="nil"/>
                  </w:tcBorders>
                  <w:noWrap w:val="0"/>
                  <w:vAlign w:val="center"/>
                </w:tcPr>
                <w:p w14:paraId="2AA43376">
                  <w:pPr>
                    <w:jc w:val="center"/>
                    <w:rPr>
                      <w:rFonts w:hint="default" w:cs="Times New Roman"/>
                      <w:u w:val="single"/>
                      <w:lang w:val="en-US" w:eastAsia="zh-CN"/>
                    </w:rPr>
                  </w:pPr>
                  <w:r>
                    <w:rPr>
                      <w:rFonts w:hint="eastAsia" w:cs="Times New Roman"/>
                      <w:u w:val="single"/>
                      <w:lang w:val="en-US" w:eastAsia="zh-CN"/>
                    </w:rPr>
                    <w:t>/</w:t>
                  </w:r>
                </w:p>
              </w:tc>
              <w:tc>
                <w:tcPr>
                  <w:tcW w:w="848" w:type="dxa"/>
                  <w:tcBorders>
                    <w:tl2br w:val="nil"/>
                    <w:tr2bl w:val="nil"/>
                  </w:tcBorders>
                  <w:noWrap w:val="0"/>
                  <w:vAlign w:val="center"/>
                </w:tcPr>
                <w:p w14:paraId="23D08F60">
                  <w:pPr>
                    <w:jc w:val="center"/>
                    <w:rPr>
                      <w:rFonts w:hint="default" w:cs="Times New Roman"/>
                      <w:u w:val="single"/>
                      <w:lang w:val="en-US" w:eastAsia="zh-CN"/>
                    </w:rPr>
                  </w:pPr>
                  <w:r>
                    <w:rPr>
                      <w:rFonts w:hint="eastAsia" w:cs="Times New Roman"/>
                      <w:u w:val="single"/>
                      <w:lang w:val="en-US" w:eastAsia="zh-CN"/>
                    </w:rPr>
                    <w:t>/</w:t>
                  </w:r>
                </w:p>
              </w:tc>
              <w:tc>
                <w:tcPr>
                  <w:tcW w:w="603" w:type="dxa"/>
                  <w:tcBorders>
                    <w:tl2br w:val="nil"/>
                    <w:tr2bl w:val="nil"/>
                  </w:tcBorders>
                  <w:noWrap w:val="0"/>
                  <w:vAlign w:val="center"/>
                </w:tcPr>
                <w:p w14:paraId="1519FA5A">
                  <w:pPr>
                    <w:jc w:val="center"/>
                    <w:rPr>
                      <w:rFonts w:hint="default" w:cs="Times New Roman"/>
                      <w:u w:val="single"/>
                      <w:lang w:val="en-US" w:eastAsia="zh-CN"/>
                    </w:rPr>
                  </w:pPr>
                  <w:r>
                    <w:rPr>
                      <w:rFonts w:hint="eastAsia" w:cs="Times New Roman"/>
                      <w:u w:val="single"/>
                      <w:lang w:val="en-US" w:eastAsia="zh-CN"/>
                    </w:rPr>
                    <w:t>0.04</w:t>
                  </w:r>
                </w:p>
              </w:tc>
              <w:tc>
                <w:tcPr>
                  <w:tcW w:w="587" w:type="dxa"/>
                  <w:tcBorders>
                    <w:tl2br w:val="nil"/>
                    <w:tr2bl w:val="nil"/>
                  </w:tcBorders>
                  <w:noWrap w:val="0"/>
                  <w:vAlign w:val="center"/>
                </w:tcPr>
                <w:p w14:paraId="30EC6B42">
                  <w:pPr>
                    <w:jc w:val="center"/>
                    <w:rPr>
                      <w:rFonts w:hint="eastAsia" w:eastAsia="宋体" w:cs="Times New Roman"/>
                      <w:sz w:val="20"/>
                      <w:szCs w:val="20"/>
                      <w:u w:val="single"/>
                      <w:lang w:val="en-US" w:eastAsia="zh-CN"/>
                    </w:rPr>
                  </w:pPr>
                  <w:r>
                    <w:rPr>
                      <w:rFonts w:hint="eastAsia" w:cs="Times New Roman"/>
                      <w:u w:val="single"/>
                      <w:lang w:val="en-US" w:eastAsia="zh-CN"/>
                    </w:rPr>
                    <w:t>0.1</w:t>
                  </w:r>
                </w:p>
              </w:tc>
            </w:tr>
          </w:tbl>
          <w:p w14:paraId="44B9BAEC">
            <w:pPr>
              <w:numPr>
                <w:ilvl w:val="0"/>
                <w:numId w:val="0"/>
              </w:numPr>
              <w:tabs>
                <w:tab w:val="left" w:pos="1440"/>
                <w:tab w:val="left" w:pos="1800"/>
              </w:tabs>
              <w:spacing w:line="360" w:lineRule="auto"/>
              <w:ind w:firstLine="361" w:firstLineChars="150"/>
              <w:rPr>
                <w:rFonts w:hint="eastAsia"/>
                <w:b/>
                <w:bCs/>
                <w:sz w:val="24"/>
                <w:szCs w:val="24"/>
                <w:u w:val="single"/>
                <w:lang w:val="en-US" w:eastAsia="zh-CN"/>
              </w:rPr>
            </w:pPr>
            <w:r>
              <w:rPr>
                <w:rFonts w:hint="eastAsia" w:ascii="Times New Roman" w:hAnsi="Times New Roman" w:eastAsia="宋体" w:cs="Times New Roman"/>
                <w:b/>
                <w:bCs/>
                <w:kern w:val="2"/>
                <w:sz w:val="24"/>
                <w:szCs w:val="24"/>
                <w:u w:val="single"/>
                <w:lang w:val="en-US" w:eastAsia="zh-CN" w:bidi="ar-SA"/>
              </w:rPr>
              <w:t>（</w:t>
            </w:r>
            <w:r>
              <w:rPr>
                <w:rFonts w:hint="eastAsia" w:cs="Times New Roman"/>
                <w:b/>
                <w:bCs/>
                <w:kern w:val="2"/>
                <w:sz w:val="24"/>
                <w:szCs w:val="24"/>
                <w:u w:val="single"/>
                <w:lang w:val="en-US" w:eastAsia="zh-CN" w:bidi="ar-SA"/>
              </w:rPr>
              <w:t>5</w:t>
            </w:r>
            <w:r>
              <w:rPr>
                <w:rFonts w:hint="eastAsia" w:ascii="Times New Roman" w:hAnsi="Times New Roman" w:eastAsia="宋体" w:cs="Times New Roman"/>
                <w:b/>
                <w:bCs/>
                <w:kern w:val="2"/>
                <w:sz w:val="24"/>
                <w:szCs w:val="24"/>
                <w:u w:val="single"/>
                <w:lang w:val="en-US" w:eastAsia="zh-CN" w:bidi="ar-SA"/>
              </w:rPr>
              <w:t>）</w:t>
            </w:r>
            <w:r>
              <w:rPr>
                <w:rFonts w:hint="eastAsia" w:cs="Times New Roman"/>
                <w:b/>
                <w:bCs/>
                <w:kern w:val="2"/>
                <w:sz w:val="24"/>
                <w:szCs w:val="24"/>
                <w:u w:val="single"/>
                <w:lang w:val="en-US" w:eastAsia="zh-CN" w:bidi="ar-SA"/>
              </w:rPr>
              <w:t>制芯</w:t>
            </w:r>
            <w:r>
              <w:rPr>
                <w:rFonts w:hint="eastAsia"/>
                <w:b/>
                <w:bCs/>
                <w:sz w:val="24"/>
                <w:szCs w:val="24"/>
                <w:u w:val="single"/>
                <w:lang w:val="en-US" w:eastAsia="zh-CN"/>
              </w:rPr>
              <w:t>废气</w:t>
            </w:r>
          </w:p>
          <w:p w14:paraId="17630CAD">
            <w:pPr>
              <w:keepNext w:val="0"/>
              <w:keepLines w:val="0"/>
              <w:pageBreakBefore w:val="0"/>
              <w:widowControl w:val="0"/>
              <w:numPr>
                <w:ilvl w:val="0"/>
                <w:numId w:val="0"/>
              </w:numPr>
              <w:tabs>
                <w:tab w:val="left" w:pos="1440"/>
                <w:tab w:val="left" w:pos="1800"/>
              </w:tabs>
              <w:kinsoku/>
              <w:wordWrap/>
              <w:overflowPunct/>
              <w:topLinePunct w:val="0"/>
              <w:autoSpaceDE/>
              <w:autoSpaceDN/>
              <w:bidi w:val="0"/>
              <w:adjustRightInd/>
              <w:snapToGrid/>
              <w:spacing w:line="360" w:lineRule="auto"/>
              <w:ind w:firstLine="480" w:firstLineChars="200"/>
              <w:textAlignment w:val="auto"/>
              <w:rPr>
                <w:rFonts w:hint="eastAsia"/>
                <w:sz w:val="24"/>
                <w:u w:val="single"/>
                <w:lang w:val="en-US" w:eastAsia="zh-CN"/>
              </w:rPr>
            </w:pPr>
            <w:r>
              <w:rPr>
                <w:rFonts w:hint="default"/>
                <w:sz w:val="24"/>
                <w:u w:val="single"/>
                <w:lang w:val="en-US" w:eastAsia="zh-CN"/>
              </w:rPr>
              <w:t>项目覆膜砂型铸造射芯制模过程有粉尘和有机废气</w:t>
            </w:r>
            <w:r>
              <w:rPr>
                <w:rFonts w:hint="eastAsia"/>
                <w:sz w:val="24"/>
                <w:u w:val="single"/>
                <w:lang w:val="en-US" w:eastAsia="zh-CN"/>
              </w:rPr>
              <w:t>（</w:t>
            </w:r>
            <w:r>
              <w:rPr>
                <w:rFonts w:hint="default"/>
                <w:sz w:val="24"/>
                <w:u w:val="single"/>
                <w:lang w:val="en-US" w:eastAsia="zh-CN"/>
              </w:rPr>
              <w:t>以非甲烷总烃计</w:t>
            </w:r>
            <w:r>
              <w:rPr>
                <w:rFonts w:hint="eastAsia"/>
                <w:sz w:val="24"/>
                <w:u w:val="single"/>
                <w:lang w:val="en-US" w:eastAsia="zh-CN"/>
              </w:rPr>
              <w:t>）</w:t>
            </w:r>
            <w:r>
              <w:rPr>
                <w:rFonts w:hint="default"/>
                <w:sz w:val="24"/>
                <w:u w:val="single"/>
                <w:lang w:val="en-US" w:eastAsia="zh-CN"/>
              </w:rPr>
              <w:t>产生。</w:t>
            </w:r>
            <w:r>
              <w:rPr>
                <w:rFonts w:hint="eastAsia"/>
                <w:sz w:val="24"/>
                <w:u w:val="single"/>
                <w:lang w:val="en-US" w:eastAsia="zh-CN"/>
              </w:rPr>
              <w:t>参考《排放源统计调查产排污核算方法和系数手册2021》（生态环境部）中的“机械行业产排污量核算系数手册（33）”中“铸造”工艺中采用覆膜砂制芯的产污系数：颗粒物0.330kg/t-产品，挥发性有机物0.05kg/t-产品，本项目年产</w:t>
            </w:r>
            <w:r>
              <w:rPr>
                <w:rFonts w:hint="eastAsia"/>
                <w:sz w:val="24"/>
                <w:u w:val="single"/>
              </w:rPr>
              <w:t>汽车制动盘、皮带轮、风叶轮等</w:t>
            </w:r>
            <w:r>
              <w:rPr>
                <w:rFonts w:hint="eastAsia"/>
                <w:sz w:val="24"/>
                <w:u w:val="single"/>
                <w:lang w:val="en-US" w:eastAsia="zh-CN"/>
              </w:rPr>
              <w:t>6000t，则制芯过程产生的颗粒物和非甲烷总烃分别为1.98t/a，0.3t/a。射芯机上方均设置集气罩收集制砂芯废气（收集效率</w:t>
            </w:r>
            <w:r>
              <w:rPr>
                <w:rFonts w:hint="default"/>
                <w:sz w:val="24"/>
                <w:u w:val="single"/>
                <w:lang w:val="en-US" w:eastAsia="zh-CN"/>
              </w:rPr>
              <w:t>≥</w:t>
            </w:r>
            <w:r>
              <w:rPr>
                <w:rFonts w:hint="eastAsia"/>
                <w:sz w:val="24"/>
                <w:u w:val="single"/>
                <w:lang w:val="en-US" w:eastAsia="zh-CN"/>
              </w:rPr>
              <w:t>98%），制芯废气首先引入脉冲布袋除尘器（TA003，</w:t>
            </w:r>
            <w:r>
              <w:rPr>
                <w:rFonts w:hint="eastAsia"/>
                <w:sz w:val="24"/>
                <w:highlight w:val="none"/>
                <w:u w:val="single"/>
                <w:shd w:val="clear"/>
                <w:lang w:val="en-US" w:eastAsia="zh-CN"/>
              </w:rPr>
              <w:t>除尘效率99.8%</w:t>
            </w:r>
            <w:r>
              <w:rPr>
                <w:rFonts w:hint="eastAsia"/>
                <w:sz w:val="24"/>
                <w:u w:val="single"/>
                <w:lang w:val="en-US" w:eastAsia="zh-CN"/>
              </w:rPr>
              <w:t>）对颗粒物处理，然后经1套活性炭箱（TA005，</w:t>
            </w:r>
            <w:r>
              <w:rPr>
                <w:rFonts w:hint="eastAsia"/>
                <w:sz w:val="24"/>
                <w:highlight w:val="none"/>
                <w:u w:val="single"/>
                <w:shd w:val="clear"/>
                <w:lang w:val="en-US" w:eastAsia="zh-CN"/>
              </w:rPr>
              <w:t>吸附效率65%</w:t>
            </w:r>
            <w:r>
              <w:rPr>
                <w:rFonts w:hint="eastAsia"/>
                <w:sz w:val="24"/>
                <w:u w:val="single"/>
                <w:lang w:val="en-US" w:eastAsia="zh-CN"/>
              </w:rPr>
              <w:t>）净化有机废气后</w:t>
            </w:r>
            <w:r>
              <w:rPr>
                <w:rFonts w:hint="default"/>
                <w:sz w:val="24"/>
                <w:u w:val="single"/>
                <w:lang w:val="en-US" w:eastAsia="zh-CN"/>
              </w:rPr>
              <w:t>通过15m排气筒（DA00</w:t>
            </w:r>
            <w:r>
              <w:rPr>
                <w:rFonts w:hint="eastAsia"/>
                <w:sz w:val="24"/>
                <w:u w:val="single"/>
                <w:lang w:val="en-US" w:eastAsia="zh-CN"/>
              </w:rPr>
              <w:t>2</w:t>
            </w:r>
            <w:r>
              <w:rPr>
                <w:rFonts w:hint="default"/>
                <w:sz w:val="24"/>
                <w:u w:val="single"/>
                <w:lang w:val="en-US" w:eastAsia="zh-CN"/>
              </w:rPr>
              <w:t>）外排</w:t>
            </w:r>
            <w:r>
              <w:rPr>
                <w:rFonts w:hint="eastAsia"/>
                <w:sz w:val="24"/>
                <w:u w:val="single"/>
                <w:lang w:val="en-US" w:eastAsia="zh-CN"/>
              </w:rPr>
              <w:t>，风机风量16000</w:t>
            </w:r>
            <w:r>
              <w:rPr>
                <w:rFonts w:hint="default"/>
                <w:sz w:val="24"/>
                <w:u w:val="single"/>
                <w:lang w:val="en-US" w:eastAsia="zh-CN"/>
              </w:rPr>
              <w:t>m</w:t>
            </w:r>
            <w:r>
              <w:rPr>
                <w:rFonts w:hint="default"/>
                <w:sz w:val="24"/>
                <w:u w:val="single"/>
                <w:vertAlign w:val="superscript"/>
                <w:lang w:val="en-US" w:eastAsia="zh-CN"/>
              </w:rPr>
              <w:t>3</w:t>
            </w:r>
            <w:r>
              <w:rPr>
                <w:rFonts w:hint="default"/>
                <w:sz w:val="24"/>
                <w:u w:val="single"/>
                <w:lang w:val="en-US" w:eastAsia="zh-CN"/>
              </w:rPr>
              <w:t>/h</w:t>
            </w:r>
            <w:r>
              <w:rPr>
                <w:rFonts w:hint="eastAsia"/>
                <w:sz w:val="24"/>
                <w:u w:val="single"/>
                <w:lang w:val="en-US" w:eastAsia="zh-CN"/>
              </w:rPr>
              <w:t>，</w:t>
            </w:r>
            <w:r>
              <w:rPr>
                <w:rFonts w:hint="default"/>
                <w:sz w:val="24"/>
                <w:u w:val="single"/>
                <w:lang w:val="en-US" w:eastAsia="zh-CN"/>
              </w:rPr>
              <w:t>则</w:t>
            </w:r>
            <w:r>
              <w:rPr>
                <w:rFonts w:hint="eastAsia"/>
                <w:sz w:val="24"/>
                <w:u w:val="single"/>
                <w:lang w:val="en-US" w:eastAsia="zh-CN"/>
              </w:rPr>
              <w:t>制芯</w:t>
            </w:r>
            <w:r>
              <w:rPr>
                <w:rFonts w:hint="default"/>
                <w:sz w:val="24"/>
                <w:u w:val="single"/>
                <w:lang w:val="en-US" w:eastAsia="zh-CN"/>
              </w:rPr>
              <w:t>废气产排情况详见表</w:t>
            </w:r>
            <w:r>
              <w:rPr>
                <w:rFonts w:hint="eastAsia"/>
                <w:sz w:val="24"/>
                <w:u w:val="single"/>
                <w:lang w:val="en-US" w:eastAsia="zh-CN"/>
              </w:rPr>
              <w:t>4-5。</w:t>
            </w:r>
          </w:p>
          <w:p w14:paraId="7E78C040">
            <w:pPr>
              <w:bidi w:val="0"/>
              <w:jc w:val="center"/>
              <w:rPr>
                <w:rFonts w:hint="default"/>
                <w:u w:val="single"/>
                <w:lang w:val="en-US" w:eastAsia="zh-CN"/>
              </w:rPr>
            </w:pPr>
            <w:r>
              <w:rPr>
                <w:rFonts w:hint="eastAsia"/>
                <w:b/>
                <w:u w:val="single"/>
                <w:lang w:val="en-US" w:eastAsia="zh-CN"/>
              </w:rPr>
              <w:t>表4-5  制芯废气产排情况表</w:t>
            </w:r>
          </w:p>
          <w:tbl>
            <w:tblPr>
              <w:tblStyle w:val="38"/>
              <w:tblW w:w="76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
              <w:gridCol w:w="396"/>
              <w:gridCol w:w="510"/>
              <w:gridCol w:w="449"/>
              <w:gridCol w:w="817"/>
              <w:gridCol w:w="656"/>
              <w:gridCol w:w="662"/>
              <w:gridCol w:w="929"/>
              <w:gridCol w:w="828"/>
              <w:gridCol w:w="848"/>
              <w:gridCol w:w="603"/>
              <w:gridCol w:w="587"/>
            </w:tblGrid>
            <w:tr w14:paraId="74017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jc w:val="center"/>
              </w:trPr>
              <w:tc>
                <w:tcPr>
                  <w:tcW w:w="411" w:type="dxa"/>
                  <w:vMerge w:val="restart"/>
                  <w:tcBorders>
                    <w:tl2br w:val="nil"/>
                    <w:tr2bl w:val="nil"/>
                  </w:tcBorders>
                  <w:noWrap w:val="0"/>
                  <w:vAlign w:val="top"/>
                </w:tcPr>
                <w:p w14:paraId="2C25C347">
                  <w:pPr>
                    <w:jc w:val="center"/>
                    <w:rPr>
                      <w:rFonts w:hint="default" w:ascii="Times New Roman" w:hAnsi="Times New Roman" w:eastAsia="宋体" w:cs="Times New Roman"/>
                      <w:u w:val="single"/>
                      <w:lang w:val="en-US" w:eastAsia="zh-CN"/>
                    </w:rPr>
                  </w:pPr>
                </w:p>
                <w:p w14:paraId="059CA5F6">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 源</w:t>
                  </w:r>
                </w:p>
              </w:tc>
              <w:tc>
                <w:tcPr>
                  <w:tcW w:w="396" w:type="dxa"/>
                  <w:vMerge w:val="restart"/>
                  <w:tcBorders>
                    <w:tl2br w:val="nil"/>
                    <w:tr2bl w:val="nil"/>
                  </w:tcBorders>
                  <w:noWrap w:val="0"/>
                  <w:vAlign w:val="top"/>
                </w:tcPr>
                <w:p w14:paraId="19DE1ED5">
                  <w:pPr>
                    <w:jc w:val="center"/>
                    <w:rPr>
                      <w:rFonts w:hint="default" w:ascii="Times New Roman" w:hAnsi="Times New Roman" w:eastAsia="宋体" w:cs="Times New Roman"/>
                      <w:u w:val="single"/>
                      <w:lang w:val="en-US" w:eastAsia="zh-CN"/>
                    </w:rPr>
                  </w:pPr>
                </w:p>
                <w:p w14:paraId="32FF2088">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w:t>
                  </w:r>
                </w:p>
                <w:p w14:paraId="1D0473DE">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物</w:t>
                  </w:r>
                </w:p>
              </w:tc>
              <w:tc>
                <w:tcPr>
                  <w:tcW w:w="510" w:type="dxa"/>
                  <w:vMerge w:val="restart"/>
                  <w:tcBorders>
                    <w:tl2br w:val="nil"/>
                    <w:tr2bl w:val="nil"/>
                  </w:tcBorders>
                  <w:noWrap w:val="0"/>
                  <w:vAlign w:val="top"/>
                </w:tcPr>
                <w:p w14:paraId="4D1C8DBC">
                  <w:pPr>
                    <w:jc w:val="center"/>
                    <w:rPr>
                      <w:rFonts w:hint="default" w:ascii="Times New Roman" w:hAnsi="Times New Roman" w:eastAsia="宋体" w:cs="Times New Roman"/>
                      <w:u w:val="single"/>
                      <w:lang w:val="en-US" w:eastAsia="zh-CN"/>
                    </w:rPr>
                  </w:pPr>
                </w:p>
                <w:p w14:paraId="448CCB9E">
                  <w:pPr>
                    <w:jc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风量</w:t>
                  </w:r>
                  <w:r>
                    <w:rPr>
                      <w:rFonts w:hint="default" w:ascii="Times New Roman" w:hAnsi="Times New Roman" w:eastAsia="宋体" w:cs="Times New Roman"/>
                      <w:u w:val="single"/>
                      <w:lang w:val="en-US" w:eastAsia="zh-CN"/>
                    </w:rPr>
                    <w:t>m</w:t>
                  </w:r>
                  <w:r>
                    <w:rPr>
                      <w:rFonts w:hint="default" w:ascii="Times New Roman" w:hAnsi="Times New Roman" w:eastAsia="宋体" w:cs="Times New Roman"/>
                      <w:u w:val="single"/>
                      <w:vertAlign w:val="superscript"/>
                      <w:lang w:val="en-US" w:eastAsia="zh-CN"/>
                    </w:rPr>
                    <w:t>3</w:t>
                  </w:r>
                  <w:r>
                    <w:rPr>
                      <w:rFonts w:hint="default" w:ascii="Times New Roman" w:hAnsi="Times New Roman" w:eastAsia="宋体" w:cs="Times New Roman"/>
                      <w:u w:val="single"/>
                      <w:lang w:val="en-US" w:eastAsia="zh-CN"/>
                    </w:rPr>
                    <w:t>/h</w:t>
                  </w:r>
                </w:p>
              </w:tc>
              <w:tc>
                <w:tcPr>
                  <w:tcW w:w="449" w:type="dxa"/>
                  <w:vMerge w:val="restart"/>
                  <w:tcBorders>
                    <w:tl2br w:val="nil"/>
                    <w:tr2bl w:val="nil"/>
                  </w:tcBorders>
                  <w:noWrap w:val="0"/>
                  <w:vAlign w:val="center"/>
                </w:tcPr>
                <w:p w14:paraId="5DBAAAA3">
                  <w:pPr>
                    <w:jc w:val="center"/>
                    <w:rPr>
                      <w:rFonts w:hint="default" w:ascii="Times New Roman" w:hAnsi="Times New Roman" w:eastAsia="宋体" w:cs="Times New Roman"/>
                      <w:u w:val="single"/>
                      <w:lang w:val="en-US" w:eastAsia="zh-CN"/>
                    </w:rPr>
                  </w:pPr>
                  <w:r>
                    <w:rPr>
                      <w:rFonts w:hint="eastAsia" w:cs="Times New Roman"/>
                      <w:u w:val="single"/>
                      <w:lang w:val="en-US" w:eastAsia="zh-CN"/>
                    </w:rPr>
                    <w:t>排放形式</w:t>
                  </w:r>
                </w:p>
              </w:tc>
              <w:tc>
                <w:tcPr>
                  <w:tcW w:w="2135" w:type="dxa"/>
                  <w:gridSpan w:val="3"/>
                  <w:tcBorders>
                    <w:tl2br w:val="nil"/>
                    <w:tr2bl w:val="nil"/>
                  </w:tcBorders>
                  <w:noWrap w:val="0"/>
                  <w:vAlign w:val="top"/>
                </w:tcPr>
                <w:p w14:paraId="5904A628">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污染物产生情况</w:t>
                  </w:r>
                </w:p>
              </w:tc>
              <w:tc>
                <w:tcPr>
                  <w:tcW w:w="1757" w:type="dxa"/>
                  <w:gridSpan w:val="2"/>
                  <w:tcBorders>
                    <w:tl2br w:val="nil"/>
                    <w:tr2bl w:val="nil"/>
                  </w:tcBorders>
                  <w:noWrap w:val="0"/>
                  <w:vAlign w:val="top"/>
                </w:tcPr>
                <w:p w14:paraId="624A451C">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主要污染治理设施</w:t>
                  </w:r>
                </w:p>
              </w:tc>
              <w:tc>
                <w:tcPr>
                  <w:tcW w:w="2038" w:type="dxa"/>
                  <w:gridSpan w:val="3"/>
                  <w:tcBorders>
                    <w:tl2br w:val="nil"/>
                    <w:tr2bl w:val="nil"/>
                  </w:tcBorders>
                  <w:noWrap w:val="0"/>
                  <w:vAlign w:val="top"/>
                </w:tcPr>
                <w:p w14:paraId="28F6CEA4">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污染物排放情况</w:t>
                  </w:r>
                </w:p>
              </w:tc>
            </w:tr>
            <w:tr w14:paraId="2AFA8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jc w:val="center"/>
              </w:trPr>
              <w:tc>
                <w:tcPr>
                  <w:tcW w:w="411" w:type="dxa"/>
                  <w:vMerge w:val="continue"/>
                  <w:tcBorders>
                    <w:tl2br w:val="nil"/>
                    <w:tr2bl w:val="nil"/>
                  </w:tcBorders>
                  <w:noWrap w:val="0"/>
                  <w:vAlign w:val="top"/>
                </w:tcPr>
                <w:p w14:paraId="18727C6E">
                  <w:pPr>
                    <w:jc w:val="center"/>
                    <w:rPr>
                      <w:rFonts w:hint="default" w:ascii="Times New Roman" w:hAnsi="Times New Roman" w:eastAsia="宋体" w:cs="Times New Roman"/>
                      <w:u w:val="single"/>
                      <w:lang w:val="en-US" w:eastAsia="zh-CN"/>
                    </w:rPr>
                  </w:pPr>
                </w:p>
              </w:tc>
              <w:tc>
                <w:tcPr>
                  <w:tcW w:w="396" w:type="dxa"/>
                  <w:vMerge w:val="continue"/>
                  <w:tcBorders>
                    <w:tl2br w:val="nil"/>
                    <w:tr2bl w:val="nil"/>
                  </w:tcBorders>
                  <w:noWrap w:val="0"/>
                  <w:vAlign w:val="top"/>
                </w:tcPr>
                <w:p w14:paraId="6212F40A">
                  <w:pPr>
                    <w:jc w:val="center"/>
                    <w:rPr>
                      <w:rFonts w:hint="default" w:ascii="Times New Roman" w:hAnsi="Times New Roman" w:eastAsia="宋体" w:cs="Times New Roman"/>
                      <w:u w:val="single"/>
                      <w:lang w:val="en-US" w:eastAsia="zh-CN"/>
                    </w:rPr>
                  </w:pPr>
                </w:p>
              </w:tc>
              <w:tc>
                <w:tcPr>
                  <w:tcW w:w="510" w:type="dxa"/>
                  <w:vMerge w:val="continue"/>
                  <w:tcBorders>
                    <w:tl2br w:val="nil"/>
                    <w:tr2bl w:val="nil"/>
                  </w:tcBorders>
                  <w:noWrap w:val="0"/>
                  <w:vAlign w:val="top"/>
                </w:tcPr>
                <w:p w14:paraId="11635C51">
                  <w:pPr>
                    <w:jc w:val="center"/>
                    <w:rPr>
                      <w:rFonts w:hint="default" w:ascii="Times New Roman" w:hAnsi="Times New Roman" w:eastAsia="宋体" w:cs="Times New Roman"/>
                      <w:u w:val="single"/>
                      <w:lang w:val="en-US" w:eastAsia="zh-CN"/>
                    </w:rPr>
                  </w:pPr>
                </w:p>
              </w:tc>
              <w:tc>
                <w:tcPr>
                  <w:tcW w:w="449" w:type="dxa"/>
                  <w:vMerge w:val="continue"/>
                  <w:tcBorders>
                    <w:tl2br w:val="nil"/>
                    <w:tr2bl w:val="nil"/>
                  </w:tcBorders>
                  <w:noWrap w:val="0"/>
                  <w:vAlign w:val="top"/>
                </w:tcPr>
                <w:p w14:paraId="745C1F9A">
                  <w:pPr>
                    <w:jc w:val="center"/>
                    <w:rPr>
                      <w:rFonts w:hint="default" w:ascii="Times New Roman" w:hAnsi="Times New Roman" w:eastAsia="宋体" w:cs="Times New Roman"/>
                      <w:u w:val="single"/>
                      <w:lang w:val="en-US" w:eastAsia="zh-CN"/>
                    </w:rPr>
                  </w:pPr>
                </w:p>
              </w:tc>
              <w:tc>
                <w:tcPr>
                  <w:tcW w:w="817" w:type="dxa"/>
                  <w:tcBorders>
                    <w:tl2br w:val="nil"/>
                    <w:tr2bl w:val="nil"/>
                  </w:tcBorders>
                  <w:noWrap w:val="0"/>
                  <w:vAlign w:val="top"/>
                </w:tcPr>
                <w:p w14:paraId="047B1F7F">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产生浓度mg/m</w:t>
                  </w:r>
                  <w:r>
                    <w:rPr>
                      <w:rFonts w:hint="default" w:ascii="Times New Roman" w:hAnsi="Times New Roman" w:eastAsia="宋体" w:cs="Times New Roman"/>
                      <w:u w:val="single"/>
                      <w:vertAlign w:val="superscript"/>
                      <w:lang w:val="en-US" w:eastAsia="zh-CN"/>
                    </w:rPr>
                    <w:t>3</w:t>
                  </w:r>
                </w:p>
              </w:tc>
              <w:tc>
                <w:tcPr>
                  <w:tcW w:w="656" w:type="dxa"/>
                  <w:tcBorders>
                    <w:tl2br w:val="nil"/>
                    <w:tr2bl w:val="nil"/>
                  </w:tcBorders>
                  <w:noWrap w:val="0"/>
                  <w:vAlign w:val="top"/>
                </w:tcPr>
                <w:p w14:paraId="54A6A654">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产生速 率kg/h</w:t>
                  </w:r>
                </w:p>
              </w:tc>
              <w:tc>
                <w:tcPr>
                  <w:tcW w:w="662" w:type="dxa"/>
                  <w:tcBorders>
                    <w:tl2br w:val="nil"/>
                    <w:tr2bl w:val="nil"/>
                  </w:tcBorders>
                  <w:noWrap w:val="0"/>
                  <w:vAlign w:val="top"/>
                </w:tcPr>
                <w:p w14:paraId="0BD691CA">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产生量t/a</w:t>
                  </w:r>
                </w:p>
              </w:tc>
              <w:tc>
                <w:tcPr>
                  <w:tcW w:w="929" w:type="dxa"/>
                  <w:tcBorders>
                    <w:tl2br w:val="nil"/>
                    <w:tr2bl w:val="nil"/>
                  </w:tcBorders>
                  <w:noWrap w:val="0"/>
                  <w:vAlign w:val="top"/>
                </w:tcPr>
                <w:p w14:paraId="2B3C55B3">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治理措施</w:t>
                  </w:r>
                </w:p>
              </w:tc>
              <w:tc>
                <w:tcPr>
                  <w:tcW w:w="828" w:type="dxa"/>
                  <w:tcBorders>
                    <w:tl2br w:val="nil"/>
                    <w:tr2bl w:val="nil"/>
                  </w:tcBorders>
                  <w:noWrap w:val="0"/>
                  <w:vAlign w:val="top"/>
                </w:tcPr>
                <w:p w14:paraId="4175A927">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处理效</w:t>
                  </w:r>
                </w:p>
                <w:p w14:paraId="769C8E25">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率%</w:t>
                  </w:r>
                </w:p>
              </w:tc>
              <w:tc>
                <w:tcPr>
                  <w:tcW w:w="848" w:type="dxa"/>
                  <w:tcBorders>
                    <w:tl2br w:val="nil"/>
                    <w:tr2bl w:val="nil"/>
                  </w:tcBorders>
                  <w:noWrap w:val="0"/>
                  <w:vAlign w:val="top"/>
                </w:tcPr>
                <w:p w14:paraId="6F4F8B5A">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排放浓度mg/m</w:t>
                  </w:r>
                  <w:r>
                    <w:rPr>
                      <w:rFonts w:hint="default" w:ascii="Times New Roman" w:hAnsi="Times New Roman" w:eastAsia="宋体" w:cs="Times New Roman"/>
                      <w:u w:val="single"/>
                      <w:vertAlign w:val="superscript"/>
                      <w:lang w:val="en-US" w:eastAsia="zh-CN"/>
                    </w:rPr>
                    <w:t>3</w:t>
                  </w:r>
                </w:p>
              </w:tc>
              <w:tc>
                <w:tcPr>
                  <w:tcW w:w="603" w:type="dxa"/>
                  <w:tcBorders>
                    <w:tl2br w:val="nil"/>
                    <w:tr2bl w:val="nil"/>
                  </w:tcBorders>
                  <w:noWrap w:val="0"/>
                  <w:vAlign w:val="top"/>
                </w:tcPr>
                <w:p w14:paraId="4105FFE9">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排放速率kg/h</w:t>
                  </w:r>
                </w:p>
              </w:tc>
              <w:tc>
                <w:tcPr>
                  <w:tcW w:w="587" w:type="dxa"/>
                  <w:tcBorders>
                    <w:tl2br w:val="nil"/>
                    <w:tr2bl w:val="nil"/>
                  </w:tcBorders>
                  <w:noWrap w:val="0"/>
                  <w:vAlign w:val="top"/>
                </w:tcPr>
                <w:p w14:paraId="71D7F81A">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排放量t/a</w:t>
                  </w:r>
                </w:p>
              </w:tc>
            </w:tr>
            <w:tr w14:paraId="4BA43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jc w:val="center"/>
              </w:trPr>
              <w:tc>
                <w:tcPr>
                  <w:tcW w:w="411" w:type="dxa"/>
                  <w:vMerge w:val="restart"/>
                  <w:tcBorders>
                    <w:tl2br w:val="nil"/>
                    <w:tr2bl w:val="nil"/>
                  </w:tcBorders>
                  <w:noWrap w:val="0"/>
                  <w:vAlign w:val="center"/>
                </w:tcPr>
                <w:p w14:paraId="369CF266">
                  <w:pPr>
                    <w:jc w:val="center"/>
                    <w:rPr>
                      <w:rFonts w:hint="default" w:ascii="Times New Roman" w:hAnsi="Times New Roman" w:eastAsia="宋体" w:cs="Times New Roman"/>
                      <w:u w:val="single"/>
                      <w:lang w:val="en-US" w:eastAsia="zh-CN"/>
                    </w:rPr>
                  </w:pPr>
                  <w:r>
                    <w:rPr>
                      <w:rFonts w:hint="eastAsia" w:cs="Times New Roman"/>
                      <w:u w:val="single"/>
                      <w:lang w:val="en-US" w:eastAsia="zh-CN"/>
                    </w:rPr>
                    <w:t>制芯</w:t>
                  </w:r>
                </w:p>
              </w:tc>
              <w:tc>
                <w:tcPr>
                  <w:tcW w:w="396" w:type="dxa"/>
                  <w:vMerge w:val="restart"/>
                  <w:tcBorders>
                    <w:tl2br w:val="nil"/>
                    <w:tr2bl w:val="nil"/>
                  </w:tcBorders>
                  <w:noWrap w:val="0"/>
                  <w:vAlign w:val="center"/>
                </w:tcPr>
                <w:p w14:paraId="40ADF1F5">
                  <w:pPr>
                    <w:jc w:val="center"/>
                    <w:rPr>
                      <w:rFonts w:hint="default" w:ascii="Times New Roman" w:hAnsi="Times New Roman" w:eastAsia="宋体" w:cs="Times New Roman"/>
                      <w:u w:val="single"/>
                      <w:lang w:val="en-US" w:eastAsia="zh-CN"/>
                    </w:rPr>
                  </w:pPr>
                  <w:r>
                    <w:rPr>
                      <w:rFonts w:hint="eastAsia" w:cs="Times New Roman"/>
                      <w:u w:val="single"/>
                      <w:lang w:val="en-US" w:eastAsia="zh-CN"/>
                    </w:rPr>
                    <w:t>颗粒物</w:t>
                  </w:r>
                </w:p>
              </w:tc>
              <w:tc>
                <w:tcPr>
                  <w:tcW w:w="510" w:type="dxa"/>
                  <w:tcBorders>
                    <w:tl2br w:val="nil"/>
                    <w:tr2bl w:val="nil"/>
                  </w:tcBorders>
                  <w:noWrap w:val="0"/>
                  <w:vAlign w:val="center"/>
                </w:tcPr>
                <w:p w14:paraId="5DEBC6DB">
                  <w:pPr>
                    <w:jc w:val="center"/>
                    <w:rPr>
                      <w:rFonts w:hint="default" w:ascii="Times New Roman" w:hAnsi="Times New Roman" w:eastAsia="宋体" w:cs="Times New Roman"/>
                      <w:u w:val="single"/>
                      <w:lang w:val="en-US" w:eastAsia="zh-CN"/>
                    </w:rPr>
                  </w:pPr>
                  <w:r>
                    <w:rPr>
                      <w:rFonts w:hint="eastAsia" w:cs="Times New Roman"/>
                      <w:highlight w:val="none"/>
                      <w:u w:val="single"/>
                      <w:lang w:val="en-US" w:eastAsia="zh-CN"/>
                    </w:rPr>
                    <w:t>16000</w:t>
                  </w:r>
                </w:p>
              </w:tc>
              <w:tc>
                <w:tcPr>
                  <w:tcW w:w="449" w:type="dxa"/>
                  <w:tcBorders>
                    <w:tl2br w:val="nil"/>
                    <w:tr2bl w:val="nil"/>
                  </w:tcBorders>
                  <w:noWrap w:val="0"/>
                  <w:vAlign w:val="center"/>
                </w:tcPr>
                <w:p w14:paraId="4C914629">
                  <w:pPr>
                    <w:jc w:val="center"/>
                    <w:rPr>
                      <w:rFonts w:hint="eastAsia" w:cs="Times New Roman"/>
                      <w:u w:val="single"/>
                      <w:lang w:val="en-US" w:eastAsia="zh-CN"/>
                    </w:rPr>
                  </w:pPr>
                  <w:r>
                    <w:rPr>
                      <w:rFonts w:hint="eastAsia" w:cs="Times New Roman"/>
                      <w:u w:val="single"/>
                      <w:lang w:val="en-US" w:eastAsia="zh-CN"/>
                    </w:rPr>
                    <w:t>有组织</w:t>
                  </w:r>
                </w:p>
              </w:tc>
              <w:tc>
                <w:tcPr>
                  <w:tcW w:w="817" w:type="dxa"/>
                  <w:tcBorders>
                    <w:tl2br w:val="nil"/>
                    <w:tr2bl w:val="nil"/>
                  </w:tcBorders>
                  <w:noWrap w:val="0"/>
                  <w:vAlign w:val="center"/>
                </w:tcPr>
                <w:p w14:paraId="16ABF96B">
                  <w:pPr>
                    <w:keepNext w:val="0"/>
                    <w:keepLines w:val="0"/>
                    <w:widowControl/>
                    <w:suppressLineNumbers w:val="0"/>
                    <w:jc w:val="center"/>
                    <w:textAlignment w:val="center"/>
                    <w:rPr>
                      <w:rFonts w:hint="default" w:ascii="Times New Roman" w:hAnsi="Times New Roman" w:eastAsia="宋体" w:cs="Times New Roman"/>
                      <w:highlight w:val="yellow"/>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48.59</w:t>
                  </w:r>
                </w:p>
              </w:tc>
              <w:tc>
                <w:tcPr>
                  <w:tcW w:w="656" w:type="dxa"/>
                  <w:tcBorders>
                    <w:tl2br w:val="nil"/>
                    <w:tr2bl w:val="nil"/>
                  </w:tcBorders>
                  <w:noWrap w:val="0"/>
                  <w:vAlign w:val="center"/>
                </w:tcPr>
                <w:p w14:paraId="2ACA597E">
                  <w:pPr>
                    <w:keepNext w:val="0"/>
                    <w:keepLines w:val="0"/>
                    <w:widowControl/>
                    <w:suppressLineNumbers w:val="0"/>
                    <w:jc w:val="center"/>
                    <w:textAlignment w:val="center"/>
                    <w:rPr>
                      <w:rFonts w:hint="default" w:ascii="Times New Roman" w:hAnsi="Times New Roman" w:eastAsia="宋体" w:cs="Times New Roman"/>
                      <w:highlight w:val="yellow"/>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0.78</w:t>
                  </w:r>
                </w:p>
              </w:tc>
              <w:tc>
                <w:tcPr>
                  <w:tcW w:w="662" w:type="dxa"/>
                  <w:tcBorders>
                    <w:tl2br w:val="nil"/>
                    <w:tr2bl w:val="nil"/>
                  </w:tcBorders>
                  <w:noWrap w:val="0"/>
                  <w:vAlign w:val="center"/>
                </w:tcPr>
                <w:p w14:paraId="40E5291A">
                  <w:pPr>
                    <w:keepNext w:val="0"/>
                    <w:keepLines w:val="0"/>
                    <w:widowControl/>
                    <w:suppressLineNumbers w:val="0"/>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1.9404</w:t>
                  </w:r>
                </w:p>
              </w:tc>
              <w:tc>
                <w:tcPr>
                  <w:tcW w:w="929" w:type="dxa"/>
                  <w:tcBorders>
                    <w:tl2br w:val="nil"/>
                    <w:tr2bl w:val="nil"/>
                  </w:tcBorders>
                  <w:noWrap w:val="0"/>
                  <w:vAlign w:val="center"/>
                </w:tcPr>
                <w:p w14:paraId="72AE2E04">
                  <w:pPr>
                    <w:jc w:val="center"/>
                    <w:rPr>
                      <w:rFonts w:hint="default" w:ascii="Times New Roman" w:hAnsi="Times New Roman" w:eastAsia="宋体" w:cs="Times New Roman"/>
                      <w:u w:val="single"/>
                      <w:lang w:val="en-US" w:eastAsia="zh-CN"/>
                    </w:rPr>
                  </w:pPr>
                  <w:r>
                    <w:rPr>
                      <w:rFonts w:hint="eastAsia" w:cs="Times New Roman"/>
                      <w:color w:val="auto"/>
                      <w:highlight w:val="none"/>
                      <w:u w:val="single"/>
                      <w:lang w:val="en-US" w:eastAsia="zh-CN"/>
                    </w:rPr>
                    <w:t>脉冲布袋</w:t>
                  </w:r>
                  <w:r>
                    <w:rPr>
                      <w:rFonts w:hint="eastAsia" w:ascii="Times New Roman" w:hAnsi="Times New Roman" w:eastAsia="宋体" w:cs="Times New Roman"/>
                      <w:color w:val="auto"/>
                      <w:highlight w:val="none"/>
                      <w:u w:val="single"/>
                      <w:lang w:val="en-US" w:eastAsia="zh-CN"/>
                    </w:rPr>
                    <w:t>除尘器</w:t>
                  </w:r>
                  <w:r>
                    <w:rPr>
                      <w:rFonts w:hint="default" w:ascii="Times New Roman" w:hAnsi="Times New Roman" w:eastAsia="宋体" w:cs="Times New Roman"/>
                      <w:color w:val="auto"/>
                      <w:highlight w:val="none"/>
                      <w:u w:val="single"/>
                      <w:lang w:val="en-US" w:eastAsia="zh-CN"/>
                    </w:rPr>
                    <w:t>+</w:t>
                  </w:r>
                  <w:r>
                    <w:rPr>
                      <w:rFonts w:hint="eastAsia" w:cs="Times New Roman"/>
                      <w:color w:val="auto"/>
                      <w:highlight w:val="none"/>
                      <w:u w:val="single"/>
                      <w:lang w:val="en-US" w:eastAsia="zh-CN"/>
                    </w:rPr>
                    <w:t>活性炭箱＋</w:t>
                  </w:r>
                  <w:r>
                    <w:rPr>
                      <w:rFonts w:hint="default" w:ascii="Times New Roman" w:hAnsi="Times New Roman" w:eastAsia="宋体" w:cs="Times New Roman"/>
                      <w:color w:val="auto"/>
                      <w:highlight w:val="none"/>
                      <w:u w:val="single"/>
                      <w:lang w:val="en-US" w:eastAsia="zh-CN"/>
                    </w:rPr>
                    <w:t>15m高排气筒</w:t>
                  </w:r>
                </w:p>
              </w:tc>
              <w:tc>
                <w:tcPr>
                  <w:tcW w:w="828" w:type="dxa"/>
                  <w:tcBorders>
                    <w:tl2br w:val="nil"/>
                    <w:tr2bl w:val="nil"/>
                  </w:tcBorders>
                  <w:noWrap w:val="0"/>
                  <w:vAlign w:val="center"/>
                </w:tcPr>
                <w:p w14:paraId="514BA8BF">
                  <w:pPr>
                    <w:keepNext w:val="0"/>
                    <w:keepLines w:val="0"/>
                    <w:widowControl/>
                    <w:suppressLineNumbers w:val="0"/>
                    <w:jc w:val="center"/>
                    <w:textAlignment w:val="center"/>
                    <w:rPr>
                      <w:rFonts w:hint="default" w:ascii="Times New Roman" w:hAnsi="Times New Roman" w:eastAsia="宋体" w:cs="Times New Roman"/>
                      <w:highlight w:val="yellow"/>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99.8</w:t>
                  </w:r>
                </w:p>
              </w:tc>
              <w:tc>
                <w:tcPr>
                  <w:tcW w:w="848" w:type="dxa"/>
                  <w:tcBorders>
                    <w:tl2br w:val="nil"/>
                    <w:tr2bl w:val="nil"/>
                  </w:tcBorders>
                  <w:noWrap w:val="0"/>
                  <w:vAlign w:val="center"/>
                </w:tcPr>
                <w:p w14:paraId="38094D9D">
                  <w:pPr>
                    <w:keepNext w:val="0"/>
                    <w:keepLines w:val="0"/>
                    <w:widowControl/>
                    <w:suppressLineNumbers w:val="0"/>
                    <w:jc w:val="center"/>
                    <w:textAlignment w:val="center"/>
                    <w:rPr>
                      <w:rFonts w:hint="default" w:ascii="Times New Roman" w:hAnsi="Times New Roman" w:eastAsia="宋体" w:cs="Times New Roman"/>
                      <w:highlight w:val="yellow"/>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0.10</w:t>
                  </w:r>
                </w:p>
              </w:tc>
              <w:tc>
                <w:tcPr>
                  <w:tcW w:w="603" w:type="dxa"/>
                  <w:tcBorders>
                    <w:tl2br w:val="nil"/>
                    <w:tr2bl w:val="nil"/>
                  </w:tcBorders>
                  <w:noWrap w:val="0"/>
                  <w:vAlign w:val="center"/>
                </w:tcPr>
                <w:p w14:paraId="0519B8A3">
                  <w:pPr>
                    <w:keepNext w:val="0"/>
                    <w:keepLines w:val="0"/>
                    <w:widowControl/>
                    <w:suppressLineNumbers w:val="0"/>
                    <w:jc w:val="center"/>
                    <w:textAlignment w:val="center"/>
                    <w:rPr>
                      <w:rFonts w:hint="default" w:ascii="Times New Roman" w:hAnsi="Times New Roman" w:eastAsia="宋体" w:cs="Times New Roman"/>
                      <w:highlight w:val="yellow"/>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 xml:space="preserve">0.0016 </w:t>
                  </w:r>
                </w:p>
              </w:tc>
              <w:tc>
                <w:tcPr>
                  <w:tcW w:w="587" w:type="dxa"/>
                  <w:tcBorders>
                    <w:tl2br w:val="nil"/>
                    <w:tr2bl w:val="nil"/>
                  </w:tcBorders>
                  <w:noWrap w:val="0"/>
                  <w:vAlign w:val="center"/>
                </w:tcPr>
                <w:p w14:paraId="37D39AD0">
                  <w:pPr>
                    <w:keepNext w:val="0"/>
                    <w:keepLines w:val="0"/>
                    <w:widowControl/>
                    <w:suppressLineNumbers w:val="0"/>
                    <w:jc w:val="center"/>
                    <w:textAlignment w:val="center"/>
                    <w:rPr>
                      <w:rFonts w:hint="default" w:ascii="Times New Roman" w:hAnsi="Times New Roman" w:eastAsia="宋体" w:cs="Times New Roman"/>
                      <w:sz w:val="20"/>
                      <w:szCs w:val="20"/>
                      <w:highlight w:val="yellow"/>
                      <w:u w:val="single"/>
                      <w:lang w:val="en-US" w:eastAsia="zh-CN"/>
                    </w:rPr>
                  </w:pPr>
                  <w:r>
                    <w:rPr>
                      <w:rFonts w:hint="default" w:ascii="Times New Roman" w:hAnsi="Times New Roman" w:eastAsia="宋体" w:cs="Times New Roman"/>
                      <w:i w:val="0"/>
                      <w:iCs w:val="0"/>
                      <w:color w:val="000000"/>
                      <w:kern w:val="0"/>
                      <w:sz w:val="20"/>
                      <w:szCs w:val="20"/>
                      <w:u w:val="single"/>
                      <w:lang w:val="en-US" w:eastAsia="zh-CN" w:bidi="ar"/>
                    </w:rPr>
                    <w:t xml:space="preserve">0.0039 </w:t>
                  </w:r>
                </w:p>
              </w:tc>
            </w:tr>
            <w:tr w14:paraId="25D72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411" w:type="dxa"/>
                  <w:vMerge w:val="continue"/>
                  <w:tcBorders>
                    <w:tl2br w:val="nil"/>
                    <w:tr2bl w:val="nil"/>
                  </w:tcBorders>
                  <w:noWrap w:val="0"/>
                  <w:vAlign w:val="center"/>
                </w:tcPr>
                <w:p w14:paraId="7CDE13D1">
                  <w:pPr>
                    <w:jc w:val="center"/>
                    <w:rPr>
                      <w:rFonts w:hint="eastAsia" w:cs="Times New Roman"/>
                      <w:u w:val="single"/>
                      <w:lang w:val="en-US" w:eastAsia="zh-CN"/>
                    </w:rPr>
                  </w:pPr>
                </w:p>
              </w:tc>
              <w:tc>
                <w:tcPr>
                  <w:tcW w:w="396" w:type="dxa"/>
                  <w:vMerge w:val="continue"/>
                  <w:tcBorders>
                    <w:tl2br w:val="nil"/>
                    <w:tr2bl w:val="nil"/>
                  </w:tcBorders>
                  <w:noWrap w:val="0"/>
                  <w:vAlign w:val="center"/>
                </w:tcPr>
                <w:p w14:paraId="76BCD6A4">
                  <w:pPr>
                    <w:jc w:val="center"/>
                    <w:rPr>
                      <w:rFonts w:hint="eastAsia" w:cs="Times New Roman"/>
                      <w:u w:val="single"/>
                      <w:lang w:val="en-US" w:eastAsia="zh-CN"/>
                    </w:rPr>
                  </w:pPr>
                </w:p>
              </w:tc>
              <w:tc>
                <w:tcPr>
                  <w:tcW w:w="510" w:type="dxa"/>
                  <w:tcBorders>
                    <w:tl2br w:val="nil"/>
                    <w:tr2bl w:val="nil"/>
                  </w:tcBorders>
                  <w:noWrap w:val="0"/>
                  <w:vAlign w:val="center"/>
                </w:tcPr>
                <w:p w14:paraId="75E09D77">
                  <w:pPr>
                    <w:jc w:val="center"/>
                    <w:rPr>
                      <w:rFonts w:hint="eastAsia" w:cs="Times New Roman"/>
                      <w:u w:val="single"/>
                      <w:lang w:val="en-US" w:eastAsia="zh-CN"/>
                    </w:rPr>
                  </w:pPr>
                  <w:r>
                    <w:rPr>
                      <w:rFonts w:hint="eastAsia" w:cs="Times New Roman"/>
                      <w:u w:val="single"/>
                      <w:lang w:val="en-US" w:eastAsia="zh-CN"/>
                    </w:rPr>
                    <w:t>/</w:t>
                  </w:r>
                </w:p>
              </w:tc>
              <w:tc>
                <w:tcPr>
                  <w:tcW w:w="449" w:type="dxa"/>
                  <w:tcBorders>
                    <w:tl2br w:val="nil"/>
                    <w:tr2bl w:val="nil"/>
                  </w:tcBorders>
                  <w:noWrap w:val="0"/>
                  <w:vAlign w:val="center"/>
                </w:tcPr>
                <w:p w14:paraId="3D6930CD">
                  <w:pPr>
                    <w:jc w:val="center"/>
                    <w:rPr>
                      <w:rFonts w:hint="default" w:cs="Times New Roman"/>
                      <w:u w:val="single"/>
                      <w:lang w:val="en-US" w:eastAsia="zh-CN"/>
                    </w:rPr>
                  </w:pPr>
                  <w:r>
                    <w:rPr>
                      <w:rFonts w:hint="eastAsia" w:cs="Times New Roman"/>
                      <w:u w:val="single"/>
                      <w:lang w:val="en-US" w:eastAsia="zh-CN"/>
                    </w:rPr>
                    <w:t>无组织</w:t>
                  </w:r>
                </w:p>
              </w:tc>
              <w:tc>
                <w:tcPr>
                  <w:tcW w:w="817" w:type="dxa"/>
                  <w:tcBorders>
                    <w:tl2br w:val="nil"/>
                    <w:tr2bl w:val="nil"/>
                  </w:tcBorders>
                  <w:noWrap w:val="0"/>
                  <w:vAlign w:val="center"/>
                </w:tcPr>
                <w:p w14:paraId="23BF6B57">
                  <w:pPr>
                    <w:keepNext w:val="0"/>
                    <w:keepLines w:val="0"/>
                    <w:widowControl/>
                    <w:suppressLineNumbers w:val="0"/>
                    <w:jc w:val="center"/>
                    <w:textAlignment w:val="center"/>
                    <w:rPr>
                      <w:rFonts w:hint="default" w:cs="Times New Roman"/>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w:t>
                  </w:r>
                </w:p>
              </w:tc>
              <w:tc>
                <w:tcPr>
                  <w:tcW w:w="656" w:type="dxa"/>
                  <w:tcBorders>
                    <w:tl2br w:val="nil"/>
                    <w:tr2bl w:val="nil"/>
                  </w:tcBorders>
                  <w:noWrap w:val="0"/>
                  <w:vAlign w:val="center"/>
                </w:tcPr>
                <w:p w14:paraId="0EB97101">
                  <w:pPr>
                    <w:keepNext w:val="0"/>
                    <w:keepLines w:val="0"/>
                    <w:widowControl/>
                    <w:suppressLineNumbers w:val="0"/>
                    <w:jc w:val="center"/>
                    <w:textAlignment w:val="center"/>
                    <w:rPr>
                      <w:rFonts w:hint="default" w:cs="Times New Roman"/>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0.02</w:t>
                  </w:r>
                </w:p>
              </w:tc>
              <w:tc>
                <w:tcPr>
                  <w:tcW w:w="662" w:type="dxa"/>
                  <w:tcBorders>
                    <w:tl2br w:val="nil"/>
                    <w:tr2bl w:val="nil"/>
                  </w:tcBorders>
                  <w:noWrap w:val="0"/>
                  <w:vAlign w:val="center"/>
                </w:tcPr>
                <w:p w14:paraId="765BECD4">
                  <w:pPr>
                    <w:keepNext w:val="0"/>
                    <w:keepLines w:val="0"/>
                    <w:widowControl/>
                    <w:suppressLineNumbers w:val="0"/>
                    <w:jc w:val="center"/>
                    <w:textAlignment w:val="center"/>
                    <w:rPr>
                      <w:rFonts w:hint="default" w:cs="Times New Roman"/>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0.0396</w:t>
                  </w:r>
                </w:p>
              </w:tc>
              <w:tc>
                <w:tcPr>
                  <w:tcW w:w="929" w:type="dxa"/>
                  <w:tcBorders>
                    <w:tl2br w:val="nil"/>
                    <w:tr2bl w:val="nil"/>
                  </w:tcBorders>
                  <w:noWrap w:val="0"/>
                  <w:vAlign w:val="center"/>
                </w:tcPr>
                <w:p w14:paraId="7CF12944">
                  <w:pPr>
                    <w:jc w:val="center"/>
                    <w:rPr>
                      <w:rFonts w:hint="default" w:cs="Times New Roman"/>
                      <w:u w:val="single"/>
                      <w:lang w:val="en-US" w:eastAsia="zh-CN"/>
                    </w:rPr>
                  </w:pPr>
                  <w:r>
                    <w:rPr>
                      <w:rFonts w:hint="eastAsia" w:cs="Times New Roman"/>
                      <w:u w:val="single"/>
                      <w:lang w:val="en-US" w:eastAsia="zh-CN"/>
                    </w:rPr>
                    <w:t>/</w:t>
                  </w:r>
                </w:p>
              </w:tc>
              <w:tc>
                <w:tcPr>
                  <w:tcW w:w="828" w:type="dxa"/>
                  <w:tcBorders>
                    <w:tl2br w:val="nil"/>
                    <w:tr2bl w:val="nil"/>
                  </w:tcBorders>
                  <w:noWrap w:val="0"/>
                  <w:vAlign w:val="center"/>
                </w:tcPr>
                <w:p w14:paraId="10C07A31">
                  <w:pPr>
                    <w:jc w:val="center"/>
                    <w:rPr>
                      <w:rFonts w:hint="default" w:cs="Times New Roman"/>
                      <w:u w:val="single"/>
                      <w:lang w:val="en-US" w:eastAsia="zh-CN"/>
                    </w:rPr>
                  </w:pPr>
                  <w:r>
                    <w:rPr>
                      <w:rFonts w:hint="eastAsia" w:cs="Times New Roman"/>
                      <w:u w:val="single"/>
                      <w:lang w:val="en-US" w:eastAsia="zh-CN"/>
                    </w:rPr>
                    <w:t>/</w:t>
                  </w:r>
                </w:p>
              </w:tc>
              <w:tc>
                <w:tcPr>
                  <w:tcW w:w="848" w:type="dxa"/>
                  <w:tcBorders>
                    <w:tl2br w:val="nil"/>
                    <w:tr2bl w:val="nil"/>
                  </w:tcBorders>
                  <w:noWrap w:val="0"/>
                  <w:vAlign w:val="center"/>
                </w:tcPr>
                <w:p w14:paraId="1E2777BD">
                  <w:pPr>
                    <w:jc w:val="center"/>
                    <w:rPr>
                      <w:rFonts w:hint="default" w:cs="Times New Roman"/>
                      <w:u w:val="single"/>
                      <w:lang w:val="en-US" w:eastAsia="zh-CN"/>
                    </w:rPr>
                  </w:pPr>
                  <w:r>
                    <w:rPr>
                      <w:rFonts w:hint="eastAsia" w:cs="Times New Roman"/>
                      <w:u w:val="single"/>
                      <w:lang w:val="en-US" w:eastAsia="zh-CN"/>
                    </w:rPr>
                    <w:t>/</w:t>
                  </w:r>
                </w:p>
              </w:tc>
              <w:tc>
                <w:tcPr>
                  <w:tcW w:w="603" w:type="dxa"/>
                  <w:tcBorders>
                    <w:tl2br w:val="nil"/>
                    <w:tr2bl w:val="nil"/>
                  </w:tcBorders>
                  <w:noWrap w:val="0"/>
                  <w:vAlign w:val="center"/>
                </w:tcPr>
                <w:p w14:paraId="7B86688C">
                  <w:pPr>
                    <w:keepNext w:val="0"/>
                    <w:keepLines w:val="0"/>
                    <w:widowControl/>
                    <w:suppressLineNumbers w:val="0"/>
                    <w:jc w:val="center"/>
                    <w:textAlignment w:val="center"/>
                    <w:rPr>
                      <w:rFonts w:hint="default" w:cs="Times New Roman"/>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0.02</w:t>
                  </w:r>
                </w:p>
              </w:tc>
              <w:tc>
                <w:tcPr>
                  <w:tcW w:w="587" w:type="dxa"/>
                  <w:tcBorders>
                    <w:tl2br w:val="nil"/>
                    <w:tr2bl w:val="nil"/>
                  </w:tcBorders>
                  <w:noWrap w:val="0"/>
                  <w:vAlign w:val="center"/>
                </w:tcPr>
                <w:p w14:paraId="407795D6">
                  <w:pPr>
                    <w:keepNext w:val="0"/>
                    <w:keepLines w:val="0"/>
                    <w:widowControl/>
                    <w:suppressLineNumbers w:val="0"/>
                    <w:jc w:val="center"/>
                    <w:textAlignment w:val="center"/>
                    <w:rPr>
                      <w:rFonts w:hint="eastAsia" w:eastAsia="宋体" w:cs="Times New Roman"/>
                      <w:sz w:val="20"/>
                      <w:szCs w:val="20"/>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0.0396</w:t>
                  </w:r>
                </w:p>
              </w:tc>
            </w:tr>
            <w:tr w14:paraId="431A2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411" w:type="dxa"/>
                  <w:vMerge w:val="continue"/>
                  <w:tcBorders>
                    <w:tl2br w:val="nil"/>
                    <w:tr2bl w:val="nil"/>
                  </w:tcBorders>
                  <w:noWrap w:val="0"/>
                  <w:vAlign w:val="center"/>
                </w:tcPr>
                <w:p w14:paraId="01541602">
                  <w:pPr>
                    <w:jc w:val="center"/>
                    <w:rPr>
                      <w:rFonts w:hint="eastAsia" w:cs="Times New Roman"/>
                      <w:u w:val="single"/>
                      <w:lang w:val="en-US" w:eastAsia="zh-CN"/>
                    </w:rPr>
                  </w:pPr>
                </w:p>
              </w:tc>
              <w:tc>
                <w:tcPr>
                  <w:tcW w:w="396" w:type="dxa"/>
                  <w:vMerge w:val="restart"/>
                  <w:tcBorders>
                    <w:tl2br w:val="nil"/>
                    <w:tr2bl w:val="nil"/>
                  </w:tcBorders>
                  <w:noWrap w:val="0"/>
                  <w:vAlign w:val="center"/>
                </w:tcPr>
                <w:p w14:paraId="1CFD13E6">
                  <w:pPr>
                    <w:jc w:val="center"/>
                    <w:rPr>
                      <w:rFonts w:hint="eastAsia" w:cs="Times New Roman"/>
                      <w:u w:val="single"/>
                      <w:lang w:val="en-US" w:eastAsia="zh-CN"/>
                    </w:rPr>
                  </w:pPr>
                  <w:r>
                    <w:rPr>
                      <w:rFonts w:hint="eastAsia" w:cs="Times New Roman"/>
                      <w:u w:val="single"/>
                      <w:lang w:val="en-US" w:eastAsia="zh-CN"/>
                    </w:rPr>
                    <w:t>非甲烷总烃</w:t>
                  </w:r>
                </w:p>
              </w:tc>
              <w:tc>
                <w:tcPr>
                  <w:tcW w:w="510" w:type="dxa"/>
                  <w:tcBorders>
                    <w:tl2br w:val="nil"/>
                    <w:tr2bl w:val="nil"/>
                  </w:tcBorders>
                  <w:noWrap w:val="0"/>
                  <w:vAlign w:val="center"/>
                </w:tcPr>
                <w:p w14:paraId="71B214BC">
                  <w:pPr>
                    <w:jc w:val="center"/>
                    <w:rPr>
                      <w:rFonts w:hint="default" w:cs="Times New Roman"/>
                      <w:u w:val="single"/>
                      <w:lang w:val="en-US" w:eastAsia="zh-CN"/>
                    </w:rPr>
                  </w:pPr>
                  <w:r>
                    <w:rPr>
                      <w:rFonts w:hint="eastAsia" w:cs="Times New Roman"/>
                      <w:u w:val="single"/>
                      <w:lang w:val="en-US" w:eastAsia="zh-CN"/>
                    </w:rPr>
                    <w:t>16000</w:t>
                  </w:r>
                </w:p>
              </w:tc>
              <w:tc>
                <w:tcPr>
                  <w:tcW w:w="449" w:type="dxa"/>
                  <w:tcBorders>
                    <w:tl2br w:val="nil"/>
                    <w:tr2bl w:val="nil"/>
                  </w:tcBorders>
                  <w:noWrap w:val="0"/>
                  <w:vAlign w:val="center"/>
                </w:tcPr>
                <w:p w14:paraId="63EDFD96">
                  <w:pPr>
                    <w:jc w:val="center"/>
                    <w:rPr>
                      <w:rFonts w:hint="eastAsia" w:cs="Times New Roman"/>
                      <w:u w:val="single"/>
                      <w:lang w:val="en-US" w:eastAsia="zh-CN"/>
                    </w:rPr>
                  </w:pPr>
                  <w:r>
                    <w:rPr>
                      <w:rFonts w:hint="eastAsia" w:cs="Times New Roman"/>
                      <w:u w:val="single"/>
                      <w:lang w:val="en-US" w:eastAsia="zh-CN"/>
                    </w:rPr>
                    <w:t>有组织</w:t>
                  </w:r>
                </w:p>
              </w:tc>
              <w:tc>
                <w:tcPr>
                  <w:tcW w:w="817" w:type="dxa"/>
                  <w:tcBorders>
                    <w:tl2br w:val="nil"/>
                    <w:tr2bl w:val="nil"/>
                  </w:tcBorders>
                  <w:noWrap w:val="0"/>
                  <w:vAlign w:val="center"/>
                </w:tcPr>
                <w:p w14:paraId="193EBC2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single"/>
                      <w:lang w:val="en-US" w:eastAsia="zh-CN" w:bidi="ar"/>
                    </w:rPr>
                  </w:pPr>
                  <w:r>
                    <w:rPr>
                      <w:rFonts w:hint="eastAsia" w:ascii="Times New Roman" w:hAnsi="Times New Roman" w:eastAsia="宋体" w:cs="Times New Roman"/>
                      <w:i w:val="0"/>
                      <w:iCs w:val="0"/>
                      <w:color w:val="000000"/>
                      <w:kern w:val="0"/>
                      <w:sz w:val="21"/>
                      <w:szCs w:val="21"/>
                      <w:u w:val="single"/>
                      <w:lang w:val="en-US" w:eastAsia="zh-CN" w:bidi="ar"/>
                    </w:rPr>
                    <w:t>7.36</w:t>
                  </w:r>
                </w:p>
              </w:tc>
              <w:tc>
                <w:tcPr>
                  <w:tcW w:w="656" w:type="dxa"/>
                  <w:tcBorders>
                    <w:tl2br w:val="nil"/>
                    <w:tr2bl w:val="nil"/>
                  </w:tcBorders>
                  <w:noWrap w:val="0"/>
                  <w:vAlign w:val="center"/>
                </w:tcPr>
                <w:p w14:paraId="73C8ED1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single"/>
                      <w:lang w:val="en-US" w:eastAsia="zh-CN" w:bidi="ar"/>
                    </w:rPr>
                  </w:pPr>
                  <w:r>
                    <w:rPr>
                      <w:rFonts w:hint="eastAsia" w:ascii="Times New Roman" w:hAnsi="Times New Roman" w:eastAsia="宋体" w:cs="Times New Roman"/>
                      <w:i w:val="0"/>
                      <w:iCs w:val="0"/>
                      <w:color w:val="000000"/>
                      <w:kern w:val="0"/>
                      <w:sz w:val="21"/>
                      <w:szCs w:val="21"/>
                      <w:u w:val="single"/>
                      <w:lang w:val="en-US" w:eastAsia="zh-CN" w:bidi="ar"/>
                    </w:rPr>
                    <w:t>0.12</w:t>
                  </w:r>
                </w:p>
              </w:tc>
              <w:tc>
                <w:tcPr>
                  <w:tcW w:w="662" w:type="dxa"/>
                  <w:tcBorders>
                    <w:tl2br w:val="nil"/>
                    <w:tr2bl w:val="nil"/>
                  </w:tcBorders>
                  <w:noWrap w:val="0"/>
                  <w:vAlign w:val="center"/>
                </w:tcPr>
                <w:p w14:paraId="426A753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single"/>
                      <w:lang w:val="en-US" w:eastAsia="zh-CN" w:bidi="ar"/>
                    </w:rPr>
                  </w:pPr>
                  <w:r>
                    <w:rPr>
                      <w:rFonts w:hint="eastAsia" w:ascii="Times New Roman" w:hAnsi="Times New Roman" w:eastAsia="宋体" w:cs="Times New Roman"/>
                      <w:i w:val="0"/>
                      <w:iCs w:val="0"/>
                      <w:color w:val="000000"/>
                      <w:kern w:val="0"/>
                      <w:sz w:val="21"/>
                      <w:szCs w:val="21"/>
                      <w:u w:val="single"/>
                      <w:lang w:val="en-US" w:eastAsia="zh-CN" w:bidi="ar"/>
                    </w:rPr>
                    <w:t>0.294</w:t>
                  </w:r>
                </w:p>
              </w:tc>
              <w:tc>
                <w:tcPr>
                  <w:tcW w:w="929" w:type="dxa"/>
                  <w:tcBorders>
                    <w:tl2br w:val="nil"/>
                    <w:tr2bl w:val="nil"/>
                  </w:tcBorders>
                  <w:noWrap w:val="0"/>
                  <w:vAlign w:val="center"/>
                </w:tcPr>
                <w:p w14:paraId="14A373A8">
                  <w:pPr>
                    <w:jc w:val="center"/>
                    <w:rPr>
                      <w:rFonts w:hint="eastAsia" w:cs="Times New Roman"/>
                      <w:u w:val="single"/>
                      <w:lang w:val="en-US" w:eastAsia="zh-CN"/>
                    </w:rPr>
                  </w:pPr>
                  <w:r>
                    <w:rPr>
                      <w:rFonts w:hint="eastAsia" w:cs="Times New Roman"/>
                      <w:color w:val="auto"/>
                      <w:highlight w:val="none"/>
                      <w:u w:val="single"/>
                      <w:lang w:val="en-US" w:eastAsia="zh-CN"/>
                    </w:rPr>
                    <w:t>脉冲布袋</w:t>
                  </w:r>
                  <w:r>
                    <w:rPr>
                      <w:rFonts w:hint="eastAsia" w:ascii="Times New Roman" w:hAnsi="Times New Roman" w:eastAsia="宋体" w:cs="Times New Roman"/>
                      <w:color w:val="auto"/>
                      <w:highlight w:val="none"/>
                      <w:u w:val="single"/>
                      <w:lang w:val="en-US" w:eastAsia="zh-CN"/>
                    </w:rPr>
                    <w:t>除尘器</w:t>
                  </w:r>
                  <w:r>
                    <w:rPr>
                      <w:rFonts w:hint="default" w:ascii="Times New Roman" w:hAnsi="Times New Roman" w:eastAsia="宋体" w:cs="Times New Roman"/>
                      <w:color w:val="auto"/>
                      <w:highlight w:val="none"/>
                      <w:u w:val="single"/>
                      <w:lang w:val="en-US" w:eastAsia="zh-CN"/>
                    </w:rPr>
                    <w:t>+</w:t>
                  </w:r>
                  <w:r>
                    <w:rPr>
                      <w:rFonts w:hint="eastAsia" w:cs="Times New Roman"/>
                      <w:color w:val="auto"/>
                      <w:highlight w:val="none"/>
                      <w:u w:val="single"/>
                      <w:lang w:val="en-US" w:eastAsia="zh-CN"/>
                    </w:rPr>
                    <w:t>活性炭箱＋</w:t>
                  </w:r>
                  <w:r>
                    <w:rPr>
                      <w:rFonts w:hint="default" w:ascii="Times New Roman" w:hAnsi="Times New Roman" w:eastAsia="宋体" w:cs="Times New Roman"/>
                      <w:color w:val="auto"/>
                      <w:highlight w:val="none"/>
                      <w:u w:val="single"/>
                      <w:lang w:val="en-US" w:eastAsia="zh-CN"/>
                    </w:rPr>
                    <w:t>15m高排气筒</w:t>
                  </w:r>
                </w:p>
              </w:tc>
              <w:tc>
                <w:tcPr>
                  <w:tcW w:w="828" w:type="dxa"/>
                  <w:tcBorders>
                    <w:tl2br w:val="nil"/>
                    <w:tr2bl w:val="nil"/>
                  </w:tcBorders>
                  <w:noWrap w:val="0"/>
                  <w:vAlign w:val="center"/>
                </w:tcPr>
                <w:p w14:paraId="4B46CDEB">
                  <w:pPr>
                    <w:jc w:val="center"/>
                    <w:rPr>
                      <w:rFonts w:hint="default" w:cs="Times New Roman"/>
                      <w:u w:val="single"/>
                      <w:lang w:val="en-US" w:eastAsia="zh-CN"/>
                    </w:rPr>
                  </w:pPr>
                  <w:r>
                    <w:rPr>
                      <w:rFonts w:hint="eastAsia" w:cs="Times New Roman"/>
                      <w:u w:val="single"/>
                      <w:lang w:val="en-US" w:eastAsia="zh-CN"/>
                    </w:rPr>
                    <w:t>65</w:t>
                  </w:r>
                </w:p>
              </w:tc>
              <w:tc>
                <w:tcPr>
                  <w:tcW w:w="848" w:type="dxa"/>
                  <w:tcBorders>
                    <w:tl2br w:val="nil"/>
                    <w:tr2bl w:val="nil"/>
                  </w:tcBorders>
                  <w:noWrap w:val="0"/>
                  <w:vAlign w:val="center"/>
                </w:tcPr>
                <w:p w14:paraId="64C61888">
                  <w:pPr>
                    <w:jc w:val="center"/>
                    <w:rPr>
                      <w:rFonts w:hint="eastAsia" w:cs="Times New Roman"/>
                      <w:u w:val="single"/>
                      <w:lang w:val="en-US" w:eastAsia="zh-CN"/>
                    </w:rPr>
                  </w:pPr>
                  <w:r>
                    <w:rPr>
                      <w:rFonts w:hint="eastAsia" w:cs="Times New Roman"/>
                      <w:u w:val="single"/>
                      <w:lang w:val="en-US" w:eastAsia="zh-CN"/>
                    </w:rPr>
                    <w:t>2.58</w:t>
                  </w:r>
                </w:p>
              </w:tc>
              <w:tc>
                <w:tcPr>
                  <w:tcW w:w="603" w:type="dxa"/>
                  <w:tcBorders>
                    <w:tl2br w:val="nil"/>
                    <w:tr2bl w:val="nil"/>
                  </w:tcBorders>
                  <w:noWrap w:val="0"/>
                  <w:vAlign w:val="center"/>
                </w:tcPr>
                <w:p w14:paraId="42FAF5B3">
                  <w:pPr>
                    <w:jc w:val="center"/>
                    <w:rPr>
                      <w:rFonts w:hint="eastAsia" w:cs="Times New Roman"/>
                      <w:u w:val="single"/>
                      <w:lang w:val="en-US" w:eastAsia="zh-CN"/>
                    </w:rPr>
                  </w:pPr>
                  <w:r>
                    <w:rPr>
                      <w:rFonts w:hint="eastAsia" w:cs="Times New Roman"/>
                      <w:u w:val="single"/>
                      <w:lang w:val="en-US" w:eastAsia="zh-CN"/>
                    </w:rPr>
                    <w:t xml:space="preserve">0.0412 </w:t>
                  </w:r>
                </w:p>
              </w:tc>
              <w:tc>
                <w:tcPr>
                  <w:tcW w:w="587" w:type="dxa"/>
                  <w:tcBorders>
                    <w:tl2br w:val="nil"/>
                    <w:tr2bl w:val="nil"/>
                  </w:tcBorders>
                  <w:noWrap w:val="0"/>
                  <w:vAlign w:val="center"/>
                </w:tcPr>
                <w:p w14:paraId="7958DC71">
                  <w:pPr>
                    <w:jc w:val="center"/>
                    <w:rPr>
                      <w:rFonts w:hint="eastAsia" w:cs="Times New Roman"/>
                      <w:u w:val="single"/>
                      <w:lang w:val="en-US" w:eastAsia="zh-CN"/>
                    </w:rPr>
                  </w:pPr>
                  <w:r>
                    <w:rPr>
                      <w:rFonts w:hint="eastAsia" w:cs="Times New Roman"/>
                      <w:u w:val="single"/>
                      <w:lang w:val="en-US" w:eastAsia="zh-CN"/>
                    </w:rPr>
                    <w:t>0.1029</w:t>
                  </w:r>
                </w:p>
              </w:tc>
            </w:tr>
            <w:tr w14:paraId="43355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411" w:type="dxa"/>
                  <w:vMerge w:val="continue"/>
                  <w:tcBorders>
                    <w:tl2br w:val="nil"/>
                    <w:tr2bl w:val="nil"/>
                  </w:tcBorders>
                  <w:noWrap w:val="0"/>
                  <w:vAlign w:val="center"/>
                </w:tcPr>
                <w:p w14:paraId="261C02D7">
                  <w:pPr>
                    <w:jc w:val="center"/>
                    <w:rPr>
                      <w:rFonts w:hint="eastAsia" w:cs="Times New Roman"/>
                      <w:u w:val="single"/>
                      <w:lang w:val="en-US" w:eastAsia="zh-CN"/>
                    </w:rPr>
                  </w:pPr>
                </w:p>
              </w:tc>
              <w:tc>
                <w:tcPr>
                  <w:tcW w:w="396" w:type="dxa"/>
                  <w:vMerge w:val="continue"/>
                  <w:tcBorders>
                    <w:tl2br w:val="nil"/>
                    <w:tr2bl w:val="nil"/>
                  </w:tcBorders>
                  <w:noWrap w:val="0"/>
                  <w:vAlign w:val="center"/>
                </w:tcPr>
                <w:p w14:paraId="348C56D5">
                  <w:pPr>
                    <w:jc w:val="center"/>
                    <w:rPr>
                      <w:rFonts w:hint="eastAsia" w:cs="Times New Roman"/>
                      <w:u w:val="single"/>
                      <w:lang w:val="en-US" w:eastAsia="zh-CN"/>
                    </w:rPr>
                  </w:pPr>
                </w:p>
              </w:tc>
              <w:tc>
                <w:tcPr>
                  <w:tcW w:w="510" w:type="dxa"/>
                  <w:tcBorders>
                    <w:tl2br w:val="nil"/>
                    <w:tr2bl w:val="nil"/>
                  </w:tcBorders>
                  <w:noWrap w:val="0"/>
                  <w:vAlign w:val="center"/>
                </w:tcPr>
                <w:p w14:paraId="50AF1486">
                  <w:pPr>
                    <w:jc w:val="center"/>
                    <w:rPr>
                      <w:rFonts w:hint="eastAsia" w:cs="Times New Roman"/>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w:t>
                  </w:r>
                </w:p>
              </w:tc>
              <w:tc>
                <w:tcPr>
                  <w:tcW w:w="449" w:type="dxa"/>
                  <w:tcBorders>
                    <w:tl2br w:val="nil"/>
                    <w:tr2bl w:val="nil"/>
                  </w:tcBorders>
                  <w:noWrap w:val="0"/>
                  <w:vAlign w:val="center"/>
                </w:tcPr>
                <w:p w14:paraId="4ABD0276">
                  <w:pPr>
                    <w:jc w:val="center"/>
                    <w:rPr>
                      <w:rFonts w:hint="eastAsia" w:cs="Times New Roman"/>
                      <w:u w:val="single"/>
                      <w:lang w:val="en-US" w:eastAsia="zh-CN"/>
                    </w:rPr>
                  </w:pPr>
                  <w:r>
                    <w:rPr>
                      <w:rFonts w:hint="eastAsia" w:cs="Times New Roman"/>
                      <w:u w:val="single"/>
                      <w:lang w:val="en-US" w:eastAsia="zh-CN"/>
                    </w:rPr>
                    <w:t>无组织</w:t>
                  </w:r>
                </w:p>
              </w:tc>
              <w:tc>
                <w:tcPr>
                  <w:tcW w:w="817" w:type="dxa"/>
                  <w:tcBorders>
                    <w:tl2br w:val="nil"/>
                    <w:tr2bl w:val="nil"/>
                  </w:tcBorders>
                  <w:noWrap w:val="0"/>
                  <w:vAlign w:val="center"/>
                </w:tcPr>
                <w:p w14:paraId="5C6EABA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single"/>
                      <w:lang w:val="en-US" w:eastAsia="zh-CN" w:bidi="ar"/>
                    </w:rPr>
                  </w:pPr>
                  <w:r>
                    <w:rPr>
                      <w:rFonts w:hint="default" w:ascii="Times New Roman" w:hAnsi="Times New Roman" w:eastAsia="宋体" w:cs="Times New Roman"/>
                      <w:i w:val="0"/>
                      <w:iCs w:val="0"/>
                      <w:color w:val="000000"/>
                      <w:kern w:val="0"/>
                      <w:sz w:val="21"/>
                      <w:szCs w:val="21"/>
                      <w:u w:val="single"/>
                      <w:lang w:val="en-US" w:eastAsia="zh-CN" w:bidi="ar"/>
                    </w:rPr>
                    <w:t>/</w:t>
                  </w:r>
                </w:p>
              </w:tc>
              <w:tc>
                <w:tcPr>
                  <w:tcW w:w="656" w:type="dxa"/>
                  <w:tcBorders>
                    <w:tl2br w:val="nil"/>
                    <w:tr2bl w:val="nil"/>
                  </w:tcBorders>
                  <w:noWrap w:val="0"/>
                  <w:vAlign w:val="center"/>
                </w:tcPr>
                <w:p w14:paraId="6921B14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single"/>
                      <w:lang w:val="en-US" w:eastAsia="zh-CN" w:bidi="ar"/>
                    </w:rPr>
                  </w:pPr>
                  <w:r>
                    <w:rPr>
                      <w:rFonts w:hint="eastAsia" w:ascii="Times New Roman" w:hAnsi="Times New Roman" w:eastAsia="宋体" w:cs="Times New Roman"/>
                      <w:i w:val="0"/>
                      <w:iCs w:val="0"/>
                      <w:color w:val="000000"/>
                      <w:kern w:val="0"/>
                      <w:sz w:val="21"/>
                      <w:szCs w:val="21"/>
                      <w:u w:val="single"/>
                      <w:lang w:val="en-US" w:eastAsia="zh-CN" w:bidi="ar"/>
                    </w:rPr>
                    <w:t xml:space="preserve">0.0024 </w:t>
                  </w:r>
                </w:p>
              </w:tc>
              <w:tc>
                <w:tcPr>
                  <w:tcW w:w="662" w:type="dxa"/>
                  <w:tcBorders>
                    <w:tl2br w:val="nil"/>
                    <w:tr2bl w:val="nil"/>
                  </w:tcBorders>
                  <w:noWrap w:val="0"/>
                  <w:vAlign w:val="center"/>
                </w:tcPr>
                <w:p w14:paraId="6979DD4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single"/>
                      <w:lang w:val="en-US" w:eastAsia="zh-CN" w:bidi="ar"/>
                    </w:rPr>
                  </w:pPr>
                  <w:r>
                    <w:rPr>
                      <w:rFonts w:hint="eastAsia" w:ascii="Times New Roman" w:hAnsi="Times New Roman" w:eastAsia="宋体" w:cs="Times New Roman"/>
                      <w:i w:val="0"/>
                      <w:iCs w:val="0"/>
                      <w:color w:val="000000"/>
                      <w:kern w:val="0"/>
                      <w:sz w:val="21"/>
                      <w:szCs w:val="21"/>
                      <w:u w:val="single"/>
                      <w:lang w:val="en-US" w:eastAsia="zh-CN" w:bidi="ar"/>
                    </w:rPr>
                    <w:t>0.006</w:t>
                  </w:r>
                </w:p>
              </w:tc>
              <w:tc>
                <w:tcPr>
                  <w:tcW w:w="929" w:type="dxa"/>
                  <w:tcBorders>
                    <w:tl2br w:val="nil"/>
                    <w:tr2bl w:val="nil"/>
                  </w:tcBorders>
                  <w:noWrap w:val="0"/>
                  <w:vAlign w:val="center"/>
                </w:tcPr>
                <w:p w14:paraId="1516E8E7">
                  <w:pPr>
                    <w:jc w:val="center"/>
                    <w:rPr>
                      <w:rFonts w:hint="eastAsia" w:cs="Times New Roman"/>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w:t>
                  </w:r>
                </w:p>
              </w:tc>
              <w:tc>
                <w:tcPr>
                  <w:tcW w:w="828" w:type="dxa"/>
                  <w:tcBorders>
                    <w:tl2br w:val="nil"/>
                    <w:tr2bl w:val="nil"/>
                  </w:tcBorders>
                  <w:noWrap w:val="0"/>
                  <w:vAlign w:val="center"/>
                </w:tcPr>
                <w:p w14:paraId="648F1B9F">
                  <w:pPr>
                    <w:jc w:val="center"/>
                    <w:rPr>
                      <w:rFonts w:hint="eastAsia" w:cs="Times New Roman"/>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w:t>
                  </w:r>
                </w:p>
              </w:tc>
              <w:tc>
                <w:tcPr>
                  <w:tcW w:w="848" w:type="dxa"/>
                  <w:tcBorders>
                    <w:tl2br w:val="nil"/>
                    <w:tr2bl w:val="nil"/>
                  </w:tcBorders>
                  <w:noWrap w:val="0"/>
                  <w:vAlign w:val="center"/>
                </w:tcPr>
                <w:p w14:paraId="7C82FA2B">
                  <w:pPr>
                    <w:jc w:val="center"/>
                    <w:rPr>
                      <w:rFonts w:hint="eastAsia" w:cs="Times New Roman"/>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w:t>
                  </w:r>
                </w:p>
              </w:tc>
              <w:tc>
                <w:tcPr>
                  <w:tcW w:w="603" w:type="dxa"/>
                  <w:tcBorders>
                    <w:tl2br w:val="nil"/>
                    <w:tr2bl w:val="nil"/>
                  </w:tcBorders>
                  <w:noWrap w:val="0"/>
                  <w:vAlign w:val="center"/>
                </w:tcPr>
                <w:p w14:paraId="44ABE02C">
                  <w:pPr>
                    <w:keepNext w:val="0"/>
                    <w:keepLines w:val="0"/>
                    <w:widowControl/>
                    <w:suppressLineNumbers w:val="0"/>
                    <w:jc w:val="center"/>
                    <w:textAlignment w:val="center"/>
                    <w:rPr>
                      <w:rFonts w:hint="eastAsia" w:cs="Times New Roman"/>
                      <w:u w:val="single"/>
                      <w:lang w:val="en-US" w:eastAsia="zh-CN"/>
                    </w:rPr>
                  </w:pPr>
                  <w:r>
                    <w:rPr>
                      <w:rFonts w:hint="eastAsia" w:ascii="Times New Roman" w:hAnsi="Times New Roman" w:eastAsia="宋体" w:cs="Times New Roman"/>
                      <w:i w:val="0"/>
                      <w:iCs w:val="0"/>
                      <w:color w:val="000000"/>
                      <w:kern w:val="0"/>
                      <w:sz w:val="21"/>
                      <w:szCs w:val="21"/>
                      <w:u w:val="single"/>
                      <w:lang w:val="en-US" w:eastAsia="zh-CN" w:bidi="ar"/>
                    </w:rPr>
                    <w:t xml:space="preserve">0.0024 </w:t>
                  </w:r>
                </w:p>
              </w:tc>
              <w:tc>
                <w:tcPr>
                  <w:tcW w:w="587" w:type="dxa"/>
                  <w:tcBorders>
                    <w:tl2br w:val="nil"/>
                    <w:tr2bl w:val="nil"/>
                  </w:tcBorders>
                  <w:noWrap w:val="0"/>
                  <w:vAlign w:val="center"/>
                </w:tcPr>
                <w:p w14:paraId="324036E6">
                  <w:pPr>
                    <w:keepNext w:val="0"/>
                    <w:keepLines w:val="0"/>
                    <w:widowControl/>
                    <w:suppressLineNumbers w:val="0"/>
                    <w:jc w:val="center"/>
                    <w:textAlignment w:val="center"/>
                    <w:rPr>
                      <w:rFonts w:hint="eastAsia" w:cs="Times New Roman"/>
                      <w:u w:val="single"/>
                      <w:lang w:val="en-US" w:eastAsia="zh-CN"/>
                    </w:rPr>
                  </w:pPr>
                  <w:r>
                    <w:rPr>
                      <w:rFonts w:hint="eastAsia" w:ascii="Times New Roman" w:hAnsi="Times New Roman" w:eastAsia="宋体" w:cs="Times New Roman"/>
                      <w:i w:val="0"/>
                      <w:iCs w:val="0"/>
                      <w:color w:val="000000"/>
                      <w:kern w:val="0"/>
                      <w:sz w:val="21"/>
                      <w:szCs w:val="21"/>
                      <w:u w:val="single"/>
                      <w:lang w:val="en-US" w:eastAsia="zh-CN" w:bidi="ar"/>
                    </w:rPr>
                    <w:t>0.006</w:t>
                  </w:r>
                </w:p>
              </w:tc>
            </w:tr>
          </w:tbl>
          <w:p w14:paraId="015ED053">
            <w:pPr>
              <w:bidi w:val="0"/>
              <w:rPr>
                <w:rFonts w:hint="default"/>
                <w:u w:val="single"/>
                <w:lang w:val="en-US" w:eastAsia="zh-CN"/>
              </w:rPr>
            </w:pPr>
          </w:p>
        </w:tc>
      </w:tr>
    </w:tbl>
    <w:p w14:paraId="55BA5EF3">
      <w:pPr>
        <w:rPr>
          <w:u w:val="singl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684"/>
      </w:tblGrid>
      <w:tr w14:paraId="7860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0" w:hRule="atLeast"/>
        </w:trPr>
        <w:tc>
          <w:tcPr>
            <w:tcW w:w="615" w:type="dxa"/>
          </w:tcPr>
          <w:p w14:paraId="70BD20DA">
            <w:pPr>
              <w:widowControl/>
              <w:jc w:val="left"/>
              <w:rPr>
                <w:rFonts w:hint="eastAsia" w:ascii="宋体" w:hAnsi="宋体" w:cs="宋体"/>
                <w:color w:val="000000"/>
                <w:kern w:val="0"/>
                <w:sz w:val="20"/>
                <w:szCs w:val="20"/>
                <w:u w:val="single"/>
                <w:lang w:bidi="ar"/>
              </w:rPr>
            </w:pPr>
          </w:p>
        </w:tc>
        <w:tc>
          <w:tcPr>
            <w:tcW w:w="7684" w:type="dxa"/>
          </w:tcPr>
          <w:p w14:paraId="4C99A78A">
            <w:pPr>
              <w:numPr>
                <w:ilvl w:val="0"/>
                <w:numId w:val="0"/>
              </w:numPr>
              <w:tabs>
                <w:tab w:val="left" w:pos="1440"/>
                <w:tab w:val="left" w:pos="1800"/>
              </w:tabs>
              <w:spacing w:line="360" w:lineRule="auto"/>
              <w:ind w:firstLine="361" w:firstLineChars="150"/>
              <w:rPr>
                <w:rFonts w:hint="eastAsia"/>
                <w:b/>
                <w:bCs/>
                <w:sz w:val="24"/>
                <w:szCs w:val="24"/>
                <w:u w:val="single"/>
                <w:lang w:val="en-US" w:eastAsia="zh-CN"/>
              </w:rPr>
            </w:pPr>
            <w:r>
              <w:rPr>
                <w:rFonts w:hint="eastAsia" w:ascii="Times New Roman" w:hAnsi="Times New Roman" w:eastAsia="宋体" w:cs="Times New Roman"/>
                <w:b/>
                <w:bCs/>
                <w:kern w:val="2"/>
                <w:sz w:val="24"/>
                <w:szCs w:val="24"/>
                <w:u w:val="single"/>
                <w:lang w:val="en-US" w:eastAsia="zh-CN" w:bidi="ar-SA"/>
              </w:rPr>
              <w:t>（</w:t>
            </w:r>
            <w:r>
              <w:rPr>
                <w:rFonts w:hint="eastAsia" w:cs="Times New Roman"/>
                <w:b/>
                <w:bCs/>
                <w:kern w:val="2"/>
                <w:sz w:val="24"/>
                <w:szCs w:val="24"/>
                <w:u w:val="single"/>
                <w:lang w:val="en-US" w:eastAsia="zh-CN" w:bidi="ar-SA"/>
              </w:rPr>
              <w:t>6</w:t>
            </w:r>
            <w:r>
              <w:rPr>
                <w:rFonts w:hint="eastAsia" w:ascii="Times New Roman" w:hAnsi="Times New Roman" w:eastAsia="宋体" w:cs="Times New Roman"/>
                <w:b/>
                <w:bCs/>
                <w:kern w:val="2"/>
                <w:sz w:val="24"/>
                <w:szCs w:val="24"/>
                <w:u w:val="single"/>
                <w:lang w:val="en-US" w:eastAsia="zh-CN" w:bidi="ar-SA"/>
              </w:rPr>
              <w:t>）</w:t>
            </w:r>
            <w:r>
              <w:rPr>
                <w:rFonts w:hint="eastAsia" w:cs="Times New Roman"/>
                <w:b/>
                <w:bCs/>
                <w:kern w:val="2"/>
                <w:sz w:val="24"/>
                <w:szCs w:val="24"/>
                <w:u w:val="single"/>
                <w:lang w:val="en-US" w:eastAsia="zh-CN" w:bidi="ar-SA"/>
              </w:rPr>
              <w:t>抛丸</w:t>
            </w:r>
            <w:r>
              <w:rPr>
                <w:rFonts w:hint="eastAsia"/>
                <w:b/>
                <w:bCs/>
                <w:sz w:val="24"/>
                <w:szCs w:val="24"/>
                <w:u w:val="single"/>
                <w:lang w:val="en-US" w:eastAsia="zh-CN"/>
              </w:rPr>
              <w:t>废气</w:t>
            </w:r>
          </w:p>
          <w:p w14:paraId="0F0633AA">
            <w:pPr>
              <w:spacing w:line="360" w:lineRule="auto"/>
              <w:ind w:firstLine="480" w:firstLineChars="200"/>
              <w:rPr>
                <w:rFonts w:hint="eastAsia"/>
                <w:sz w:val="24"/>
                <w:u w:val="single"/>
                <w:lang w:val="en-US" w:eastAsia="zh-CN"/>
              </w:rPr>
            </w:pPr>
            <w:r>
              <w:rPr>
                <w:rFonts w:hint="eastAsia"/>
                <w:sz w:val="24"/>
                <w:u w:val="single"/>
                <w:lang w:val="en-US" w:eastAsia="zh-CN"/>
              </w:rPr>
              <w:t>项目铸造成型后工件需经抛丸处理，抛丸过程产生抛丸颗粒物，参考《排放源统计调查产排污核算方法和系数手册2021》（生态环境部）中的“机械行业产排污量核算系数手册（33）”中“铸造”工艺产中钢材、构件等进行抛丸的产污系数：颗粒物0.330kg/t-原料，本项目年消耗生铁、废钢共计6100t，则抛丸过程产生的颗粒物为13.359t/a。抛丸工序设备密闭，连接管道收集抛丸产生颗粒物（收集效率100%），经设备自带除尘器（TA006）对颗粒物处理后无组织排放，风机风量10500</w:t>
            </w:r>
            <w:r>
              <w:rPr>
                <w:rFonts w:hint="default"/>
                <w:sz w:val="24"/>
                <w:u w:val="single"/>
                <w:lang w:val="en-US" w:eastAsia="zh-CN"/>
              </w:rPr>
              <w:t>m</w:t>
            </w:r>
            <w:r>
              <w:rPr>
                <w:rFonts w:hint="default"/>
                <w:sz w:val="24"/>
                <w:u w:val="single"/>
                <w:vertAlign w:val="superscript"/>
                <w:lang w:val="en-US" w:eastAsia="zh-CN"/>
              </w:rPr>
              <w:t>3</w:t>
            </w:r>
            <w:r>
              <w:rPr>
                <w:rFonts w:hint="default"/>
                <w:sz w:val="24"/>
                <w:u w:val="single"/>
                <w:lang w:val="en-US" w:eastAsia="zh-CN"/>
              </w:rPr>
              <w:t>/h</w:t>
            </w:r>
            <w:r>
              <w:rPr>
                <w:rFonts w:hint="eastAsia"/>
                <w:sz w:val="24"/>
                <w:u w:val="single"/>
                <w:lang w:val="en-US" w:eastAsia="zh-CN"/>
              </w:rPr>
              <w:t>，</w:t>
            </w:r>
            <w:r>
              <w:rPr>
                <w:rFonts w:hint="default"/>
                <w:sz w:val="24"/>
                <w:u w:val="single"/>
                <w:lang w:val="en-US" w:eastAsia="zh-CN"/>
              </w:rPr>
              <w:t>则</w:t>
            </w:r>
            <w:r>
              <w:rPr>
                <w:rFonts w:hint="eastAsia"/>
                <w:sz w:val="24"/>
                <w:u w:val="single"/>
                <w:lang w:val="en-US" w:eastAsia="zh-CN"/>
              </w:rPr>
              <w:t>抛丸</w:t>
            </w:r>
            <w:r>
              <w:rPr>
                <w:rFonts w:hint="default"/>
                <w:sz w:val="24"/>
                <w:u w:val="single"/>
                <w:lang w:val="en-US" w:eastAsia="zh-CN"/>
              </w:rPr>
              <w:t>废气产排情况详见表</w:t>
            </w:r>
            <w:r>
              <w:rPr>
                <w:rFonts w:hint="eastAsia"/>
                <w:sz w:val="24"/>
                <w:u w:val="single"/>
                <w:lang w:val="en-US" w:eastAsia="zh-CN"/>
              </w:rPr>
              <w:t>4-6。</w:t>
            </w:r>
          </w:p>
          <w:p w14:paraId="66DB373B">
            <w:pPr>
              <w:bidi w:val="0"/>
              <w:jc w:val="center"/>
              <w:rPr>
                <w:rFonts w:hint="default"/>
                <w:u w:val="single"/>
                <w:lang w:val="en-US" w:eastAsia="zh-CN"/>
              </w:rPr>
            </w:pPr>
            <w:r>
              <w:rPr>
                <w:rFonts w:hint="eastAsia"/>
                <w:b/>
                <w:u w:val="single"/>
                <w:lang w:val="en-US" w:eastAsia="zh-CN"/>
              </w:rPr>
              <w:t>表4-6  抛丸废气产排情况表</w:t>
            </w:r>
          </w:p>
          <w:tbl>
            <w:tblPr>
              <w:tblStyle w:val="38"/>
              <w:tblW w:w="75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4"/>
              <w:gridCol w:w="390"/>
              <w:gridCol w:w="502"/>
              <w:gridCol w:w="442"/>
              <w:gridCol w:w="804"/>
              <w:gridCol w:w="703"/>
              <w:gridCol w:w="595"/>
              <w:gridCol w:w="914"/>
              <w:gridCol w:w="816"/>
              <w:gridCol w:w="835"/>
              <w:gridCol w:w="593"/>
              <w:gridCol w:w="579"/>
            </w:tblGrid>
            <w:tr w14:paraId="58878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404" w:type="dxa"/>
                  <w:vMerge w:val="restart"/>
                  <w:tcBorders>
                    <w:tl2br w:val="nil"/>
                    <w:tr2bl w:val="nil"/>
                  </w:tcBorders>
                  <w:noWrap w:val="0"/>
                  <w:vAlign w:val="top"/>
                </w:tcPr>
                <w:p w14:paraId="7EE6707C">
                  <w:pPr>
                    <w:jc w:val="center"/>
                    <w:rPr>
                      <w:rFonts w:hint="default" w:ascii="Times New Roman" w:hAnsi="Times New Roman" w:eastAsia="宋体" w:cs="Times New Roman"/>
                      <w:u w:val="single"/>
                      <w:lang w:val="en-US" w:eastAsia="zh-CN"/>
                    </w:rPr>
                  </w:pPr>
                </w:p>
                <w:p w14:paraId="5D564308">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 源</w:t>
                  </w:r>
                </w:p>
              </w:tc>
              <w:tc>
                <w:tcPr>
                  <w:tcW w:w="390" w:type="dxa"/>
                  <w:vMerge w:val="restart"/>
                  <w:tcBorders>
                    <w:tl2br w:val="nil"/>
                    <w:tr2bl w:val="nil"/>
                  </w:tcBorders>
                  <w:noWrap w:val="0"/>
                  <w:vAlign w:val="top"/>
                </w:tcPr>
                <w:p w14:paraId="697C7ED9">
                  <w:pPr>
                    <w:jc w:val="center"/>
                    <w:rPr>
                      <w:rFonts w:hint="default" w:ascii="Times New Roman" w:hAnsi="Times New Roman" w:eastAsia="宋体" w:cs="Times New Roman"/>
                      <w:u w:val="single"/>
                      <w:lang w:val="en-US" w:eastAsia="zh-CN"/>
                    </w:rPr>
                  </w:pPr>
                </w:p>
                <w:p w14:paraId="3545190F">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w:t>
                  </w:r>
                </w:p>
                <w:p w14:paraId="1F4BE003">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物</w:t>
                  </w:r>
                </w:p>
              </w:tc>
              <w:tc>
                <w:tcPr>
                  <w:tcW w:w="502" w:type="dxa"/>
                  <w:vMerge w:val="restart"/>
                  <w:tcBorders>
                    <w:tl2br w:val="nil"/>
                    <w:tr2bl w:val="nil"/>
                  </w:tcBorders>
                  <w:noWrap w:val="0"/>
                  <w:vAlign w:val="top"/>
                </w:tcPr>
                <w:p w14:paraId="5D9FFAF8">
                  <w:pPr>
                    <w:jc w:val="center"/>
                    <w:rPr>
                      <w:rFonts w:hint="default" w:ascii="Times New Roman" w:hAnsi="Times New Roman" w:eastAsia="宋体" w:cs="Times New Roman"/>
                      <w:u w:val="single"/>
                      <w:lang w:val="en-US" w:eastAsia="zh-CN"/>
                    </w:rPr>
                  </w:pPr>
                </w:p>
                <w:p w14:paraId="09E82981">
                  <w:pPr>
                    <w:jc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风量</w:t>
                  </w:r>
                  <w:r>
                    <w:rPr>
                      <w:rFonts w:hint="default" w:ascii="Times New Roman" w:hAnsi="Times New Roman" w:eastAsia="宋体" w:cs="Times New Roman"/>
                      <w:u w:val="single"/>
                      <w:lang w:val="en-US" w:eastAsia="zh-CN"/>
                    </w:rPr>
                    <w:t>m</w:t>
                  </w:r>
                  <w:r>
                    <w:rPr>
                      <w:rFonts w:hint="default" w:ascii="Times New Roman" w:hAnsi="Times New Roman" w:eastAsia="宋体" w:cs="Times New Roman"/>
                      <w:u w:val="single"/>
                      <w:vertAlign w:val="superscript"/>
                      <w:lang w:val="en-US" w:eastAsia="zh-CN"/>
                    </w:rPr>
                    <w:t>3</w:t>
                  </w:r>
                  <w:r>
                    <w:rPr>
                      <w:rFonts w:hint="default" w:ascii="Times New Roman" w:hAnsi="Times New Roman" w:eastAsia="宋体" w:cs="Times New Roman"/>
                      <w:u w:val="single"/>
                      <w:lang w:val="en-US" w:eastAsia="zh-CN"/>
                    </w:rPr>
                    <w:t>/h</w:t>
                  </w:r>
                </w:p>
              </w:tc>
              <w:tc>
                <w:tcPr>
                  <w:tcW w:w="442" w:type="dxa"/>
                  <w:vMerge w:val="restart"/>
                  <w:tcBorders>
                    <w:tl2br w:val="nil"/>
                    <w:tr2bl w:val="nil"/>
                  </w:tcBorders>
                  <w:noWrap w:val="0"/>
                  <w:vAlign w:val="center"/>
                </w:tcPr>
                <w:p w14:paraId="2E0FD76F">
                  <w:pPr>
                    <w:jc w:val="center"/>
                    <w:rPr>
                      <w:rFonts w:hint="default" w:ascii="Times New Roman" w:hAnsi="Times New Roman" w:eastAsia="宋体" w:cs="Times New Roman"/>
                      <w:u w:val="single"/>
                      <w:lang w:val="en-US" w:eastAsia="zh-CN"/>
                    </w:rPr>
                  </w:pPr>
                  <w:r>
                    <w:rPr>
                      <w:rFonts w:hint="eastAsia" w:cs="Times New Roman"/>
                      <w:u w:val="single"/>
                      <w:lang w:val="en-US" w:eastAsia="zh-CN"/>
                    </w:rPr>
                    <w:t>排放形式</w:t>
                  </w:r>
                </w:p>
              </w:tc>
              <w:tc>
                <w:tcPr>
                  <w:tcW w:w="2102" w:type="dxa"/>
                  <w:gridSpan w:val="3"/>
                  <w:tcBorders>
                    <w:tl2br w:val="nil"/>
                    <w:tr2bl w:val="nil"/>
                  </w:tcBorders>
                  <w:noWrap w:val="0"/>
                  <w:vAlign w:val="top"/>
                </w:tcPr>
                <w:p w14:paraId="7A5C45B6">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污染物产生情况</w:t>
                  </w:r>
                </w:p>
              </w:tc>
              <w:tc>
                <w:tcPr>
                  <w:tcW w:w="1730" w:type="dxa"/>
                  <w:gridSpan w:val="2"/>
                  <w:tcBorders>
                    <w:tl2br w:val="nil"/>
                    <w:tr2bl w:val="nil"/>
                  </w:tcBorders>
                  <w:noWrap w:val="0"/>
                  <w:vAlign w:val="top"/>
                </w:tcPr>
                <w:p w14:paraId="0E422B9F">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主要污染治理设施</w:t>
                  </w:r>
                </w:p>
              </w:tc>
              <w:tc>
                <w:tcPr>
                  <w:tcW w:w="2007" w:type="dxa"/>
                  <w:gridSpan w:val="3"/>
                  <w:tcBorders>
                    <w:tl2br w:val="nil"/>
                    <w:tr2bl w:val="nil"/>
                  </w:tcBorders>
                  <w:noWrap w:val="0"/>
                  <w:vAlign w:val="top"/>
                </w:tcPr>
                <w:p w14:paraId="224206AE">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污染物排放情况</w:t>
                  </w:r>
                </w:p>
              </w:tc>
            </w:tr>
            <w:tr w14:paraId="468DD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404" w:type="dxa"/>
                  <w:vMerge w:val="continue"/>
                  <w:tcBorders>
                    <w:tl2br w:val="nil"/>
                    <w:tr2bl w:val="nil"/>
                  </w:tcBorders>
                  <w:noWrap w:val="0"/>
                  <w:vAlign w:val="top"/>
                </w:tcPr>
                <w:p w14:paraId="0A03CCF9">
                  <w:pPr>
                    <w:jc w:val="center"/>
                    <w:rPr>
                      <w:rFonts w:hint="default" w:ascii="Times New Roman" w:hAnsi="Times New Roman" w:eastAsia="宋体" w:cs="Times New Roman"/>
                      <w:u w:val="single"/>
                      <w:lang w:val="en-US" w:eastAsia="zh-CN"/>
                    </w:rPr>
                  </w:pPr>
                </w:p>
              </w:tc>
              <w:tc>
                <w:tcPr>
                  <w:tcW w:w="390" w:type="dxa"/>
                  <w:vMerge w:val="continue"/>
                  <w:tcBorders>
                    <w:tl2br w:val="nil"/>
                    <w:tr2bl w:val="nil"/>
                  </w:tcBorders>
                  <w:noWrap w:val="0"/>
                  <w:vAlign w:val="top"/>
                </w:tcPr>
                <w:p w14:paraId="07E31067">
                  <w:pPr>
                    <w:jc w:val="center"/>
                    <w:rPr>
                      <w:rFonts w:hint="default" w:ascii="Times New Roman" w:hAnsi="Times New Roman" w:eastAsia="宋体" w:cs="Times New Roman"/>
                      <w:u w:val="single"/>
                      <w:lang w:val="en-US" w:eastAsia="zh-CN"/>
                    </w:rPr>
                  </w:pPr>
                </w:p>
              </w:tc>
              <w:tc>
                <w:tcPr>
                  <w:tcW w:w="502" w:type="dxa"/>
                  <w:vMerge w:val="continue"/>
                  <w:tcBorders>
                    <w:tl2br w:val="nil"/>
                    <w:tr2bl w:val="nil"/>
                  </w:tcBorders>
                  <w:noWrap w:val="0"/>
                  <w:vAlign w:val="top"/>
                </w:tcPr>
                <w:p w14:paraId="59859D5A">
                  <w:pPr>
                    <w:jc w:val="center"/>
                    <w:rPr>
                      <w:rFonts w:hint="default" w:ascii="Times New Roman" w:hAnsi="Times New Roman" w:eastAsia="宋体" w:cs="Times New Roman"/>
                      <w:u w:val="single"/>
                      <w:lang w:val="en-US" w:eastAsia="zh-CN"/>
                    </w:rPr>
                  </w:pPr>
                </w:p>
              </w:tc>
              <w:tc>
                <w:tcPr>
                  <w:tcW w:w="442" w:type="dxa"/>
                  <w:vMerge w:val="continue"/>
                  <w:tcBorders>
                    <w:tl2br w:val="nil"/>
                    <w:tr2bl w:val="nil"/>
                  </w:tcBorders>
                  <w:noWrap w:val="0"/>
                  <w:vAlign w:val="top"/>
                </w:tcPr>
                <w:p w14:paraId="555DA763">
                  <w:pPr>
                    <w:jc w:val="center"/>
                    <w:rPr>
                      <w:rFonts w:hint="default" w:ascii="Times New Roman" w:hAnsi="Times New Roman" w:eastAsia="宋体" w:cs="Times New Roman"/>
                      <w:u w:val="single"/>
                      <w:lang w:val="en-US" w:eastAsia="zh-CN"/>
                    </w:rPr>
                  </w:pPr>
                </w:p>
              </w:tc>
              <w:tc>
                <w:tcPr>
                  <w:tcW w:w="804" w:type="dxa"/>
                  <w:tcBorders>
                    <w:tl2br w:val="nil"/>
                    <w:tr2bl w:val="nil"/>
                  </w:tcBorders>
                  <w:noWrap w:val="0"/>
                  <w:vAlign w:val="top"/>
                </w:tcPr>
                <w:p w14:paraId="3CA9E535">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产生浓度mg/m</w:t>
                  </w:r>
                  <w:r>
                    <w:rPr>
                      <w:rFonts w:hint="default" w:ascii="Times New Roman" w:hAnsi="Times New Roman" w:eastAsia="宋体" w:cs="Times New Roman"/>
                      <w:u w:val="single"/>
                      <w:vertAlign w:val="superscript"/>
                      <w:lang w:val="en-US" w:eastAsia="zh-CN"/>
                    </w:rPr>
                    <w:t>3</w:t>
                  </w:r>
                </w:p>
              </w:tc>
              <w:tc>
                <w:tcPr>
                  <w:tcW w:w="703" w:type="dxa"/>
                  <w:tcBorders>
                    <w:tl2br w:val="nil"/>
                    <w:tr2bl w:val="nil"/>
                  </w:tcBorders>
                  <w:noWrap w:val="0"/>
                  <w:vAlign w:val="top"/>
                </w:tcPr>
                <w:p w14:paraId="56FC66C0">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产生速 率kg/h</w:t>
                  </w:r>
                </w:p>
              </w:tc>
              <w:tc>
                <w:tcPr>
                  <w:tcW w:w="595" w:type="dxa"/>
                  <w:tcBorders>
                    <w:tl2br w:val="nil"/>
                    <w:tr2bl w:val="nil"/>
                  </w:tcBorders>
                  <w:noWrap w:val="0"/>
                  <w:vAlign w:val="top"/>
                </w:tcPr>
                <w:p w14:paraId="2DF8BB9E">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产生量t/a</w:t>
                  </w:r>
                </w:p>
              </w:tc>
              <w:tc>
                <w:tcPr>
                  <w:tcW w:w="914" w:type="dxa"/>
                  <w:tcBorders>
                    <w:tl2br w:val="nil"/>
                    <w:tr2bl w:val="nil"/>
                  </w:tcBorders>
                  <w:noWrap w:val="0"/>
                  <w:vAlign w:val="top"/>
                </w:tcPr>
                <w:p w14:paraId="76320B94">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治理措施</w:t>
                  </w:r>
                </w:p>
              </w:tc>
              <w:tc>
                <w:tcPr>
                  <w:tcW w:w="816" w:type="dxa"/>
                  <w:tcBorders>
                    <w:tl2br w:val="nil"/>
                    <w:tr2bl w:val="nil"/>
                  </w:tcBorders>
                  <w:noWrap w:val="0"/>
                  <w:vAlign w:val="top"/>
                </w:tcPr>
                <w:p w14:paraId="6626C2F8">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处理效</w:t>
                  </w:r>
                </w:p>
                <w:p w14:paraId="72068665">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率%</w:t>
                  </w:r>
                </w:p>
              </w:tc>
              <w:tc>
                <w:tcPr>
                  <w:tcW w:w="835" w:type="dxa"/>
                  <w:tcBorders>
                    <w:tl2br w:val="nil"/>
                    <w:tr2bl w:val="nil"/>
                  </w:tcBorders>
                  <w:noWrap w:val="0"/>
                  <w:vAlign w:val="top"/>
                </w:tcPr>
                <w:p w14:paraId="4FE33F63">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排放浓度mg/m</w:t>
                  </w:r>
                  <w:r>
                    <w:rPr>
                      <w:rFonts w:hint="default" w:ascii="Times New Roman" w:hAnsi="Times New Roman" w:eastAsia="宋体" w:cs="Times New Roman"/>
                      <w:u w:val="single"/>
                      <w:vertAlign w:val="superscript"/>
                      <w:lang w:val="en-US" w:eastAsia="zh-CN"/>
                    </w:rPr>
                    <w:t>3</w:t>
                  </w:r>
                </w:p>
              </w:tc>
              <w:tc>
                <w:tcPr>
                  <w:tcW w:w="593" w:type="dxa"/>
                  <w:tcBorders>
                    <w:tl2br w:val="nil"/>
                    <w:tr2bl w:val="nil"/>
                  </w:tcBorders>
                  <w:noWrap w:val="0"/>
                  <w:vAlign w:val="top"/>
                </w:tcPr>
                <w:p w14:paraId="4EDC901C">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排放速率kg/h</w:t>
                  </w:r>
                </w:p>
              </w:tc>
              <w:tc>
                <w:tcPr>
                  <w:tcW w:w="579" w:type="dxa"/>
                  <w:tcBorders>
                    <w:tl2br w:val="nil"/>
                    <w:tr2bl w:val="nil"/>
                  </w:tcBorders>
                  <w:noWrap w:val="0"/>
                  <w:vAlign w:val="top"/>
                </w:tcPr>
                <w:p w14:paraId="65047AC9">
                  <w:pPr>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排放量t/a</w:t>
                  </w:r>
                </w:p>
              </w:tc>
            </w:tr>
            <w:tr w14:paraId="21AF7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jc w:val="center"/>
              </w:trPr>
              <w:tc>
                <w:tcPr>
                  <w:tcW w:w="404" w:type="dxa"/>
                  <w:tcBorders>
                    <w:tl2br w:val="nil"/>
                    <w:tr2bl w:val="nil"/>
                  </w:tcBorders>
                  <w:noWrap w:val="0"/>
                  <w:vAlign w:val="center"/>
                </w:tcPr>
                <w:p w14:paraId="506C5529">
                  <w:pPr>
                    <w:jc w:val="center"/>
                    <w:rPr>
                      <w:rFonts w:hint="default" w:ascii="Times New Roman" w:hAnsi="Times New Roman" w:eastAsia="宋体" w:cs="Times New Roman"/>
                      <w:u w:val="single"/>
                      <w:lang w:val="en-US" w:eastAsia="zh-CN"/>
                    </w:rPr>
                  </w:pPr>
                  <w:r>
                    <w:rPr>
                      <w:rFonts w:hint="eastAsia" w:cs="Times New Roman"/>
                      <w:u w:val="single"/>
                      <w:lang w:val="en-US" w:eastAsia="zh-CN"/>
                    </w:rPr>
                    <w:t>抛丸</w:t>
                  </w:r>
                </w:p>
              </w:tc>
              <w:tc>
                <w:tcPr>
                  <w:tcW w:w="390" w:type="dxa"/>
                  <w:tcBorders>
                    <w:tl2br w:val="nil"/>
                    <w:tr2bl w:val="nil"/>
                  </w:tcBorders>
                  <w:noWrap w:val="0"/>
                  <w:vAlign w:val="center"/>
                </w:tcPr>
                <w:p w14:paraId="3115DD2C">
                  <w:pPr>
                    <w:jc w:val="center"/>
                    <w:rPr>
                      <w:rFonts w:hint="default" w:ascii="Times New Roman" w:hAnsi="Times New Roman" w:eastAsia="宋体" w:cs="Times New Roman"/>
                      <w:u w:val="single"/>
                      <w:lang w:val="en-US" w:eastAsia="zh-CN"/>
                    </w:rPr>
                  </w:pPr>
                  <w:r>
                    <w:rPr>
                      <w:rFonts w:hint="eastAsia" w:cs="Times New Roman"/>
                      <w:u w:val="single"/>
                      <w:lang w:val="en-US" w:eastAsia="zh-CN"/>
                    </w:rPr>
                    <w:t>颗粒物</w:t>
                  </w:r>
                </w:p>
              </w:tc>
              <w:tc>
                <w:tcPr>
                  <w:tcW w:w="502" w:type="dxa"/>
                  <w:tcBorders>
                    <w:tl2br w:val="nil"/>
                    <w:tr2bl w:val="nil"/>
                  </w:tcBorders>
                  <w:noWrap w:val="0"/>
                  <w:vAlign w:val="center"/>
                </w:tcPr>
                <w:p w14:paraId="19F7458B">
                  <w:pPr>
                    <w:jc w:val="center"/>
                    <w:rPr>
                      <w:rFonts w:hint="default" w:ascii="Times New Roman" w:hAnsi="Times New Roman" w:eastAsia="宋体" w:cs="Times New Roman"/>
                      <w:u w:val="single"/>
                      <w:lang w:val="en-US" w:eastAsia="zh-CN"/>
                    </w:rPr>
                  </w:pPr>
                  <w:r>
                    <w:rPr>
                      <w:rFonts w:hint="eastAsia" w:cs="Times New Roman"/>
                      <w:highlight w:val="none"/>
                      <w:u w:val="single"/>
                      <w:lang w:val="en-US" w:eastAsia="zh-CN"/>
                    </w:rPr>
                    <w:t>10500</w:t>
                  </w:r>
                </w:p>
              </w:tc>
              <w:tc>
                <w:tcPr>
                  <w:tcW w:w="442" w:type="dxa"/>
                  <w:tcBorders>
                    <w:tl2br w:val="nil"/>
                    <w:tr2bl w:val="nil"/>
                  </w:tcBorders>
                  <w:noWrap w:val="0"/>
                  <w:vAlign w:val="center"/>
                </w:tcPr>
                <w:p w14:paraId="272466AB">
                  <w:pPr>
                    <w:jc w:val="center"/>
                    <w:rPr>
                      <w:rFonts w:hint="eastAsia" w:cs="Times New Roman"/>
                      <w:u w:val="single"/>
                      <w:lang w:val="en-US" w:eastAsia="zh-CN"/>
                    </w:rPr>
                  </w:pPr>
                  <w:r>
                    <w:rPr>
                      <w:rFonts w:hint="eastAsia" w:cs="Times New Roman"/>
                      <w:u w:val="single"/>
                      <w:lang w:val="en-US" w:eastAsia="zh-CN"/>
                    </w:rPr>
                    <w:t>有组织</w:t>
                  </w:r>
                </w:p>
              </w:tc>
              <w:tc>
                <w:tcPr>
                  <w:tcW w:w="804" w:type="dxa"/>
                  <w:tcBorders>
                    <w:tl2br w:val="nil"/>
                    <w:tr2bl w:val="nil"/>
                  </w:tcBorders>
                  <w:noWrap w:val="0"/>
                  <w:vAlign w:val="center"/>
                </w:tcPr>
                <w:p w14:paraId="3BF2F7BE">
                  <w:pPr>
                    <w:keepNext w:val="0"/>
                    <w:keepLines w:val="0"/>
                    <w:widowControl/>
                    <w:suppressLineNumbers w:val="0"/>
                    <w:jc w:val="center"/>
                    <w:textAlignment w:val="center"/>
                    <w:rPr>
                      <w:rFonts w:hint="default" w:ascii="Times New Roman" w:hAnsi="Times New Roman" w:eastAsia="宋体" w:cs="Times New Roman"/>
                      <w:highlight w:val="yellow"/>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509.73</w:t>
                  </w:r>
                </w:p>
              </w:tc>
              <w:tc>
                <w:tcPr>
                  <w:tcW w:w="703" w:type="dxa"/>
                  <w:tcBorders>
                    <w:tl2br w:val="nil"/>
                    <w:tr2bl w:val="nil"/>
                  </w:tcBorders>
                  <w:noWrap w:val="0"/>
                  <w:vAlign w:val="center"/>
                </w:tcPr>
                <w:p w14:paraId="639A3CA1">
                  <w:pPr>
                    <w:keepNext w:val="0"/>
                    <w:keepLines w:val="0"/>
                    <w:widowControl/>
                    <w:suppressLineNumbers w:val="0"/>
                    <w:jc w:val="center"/>
                    <w:textAlignment w:val="center"/>
                    <w:rPr>
                      <w:rFonts w:hint="default" w:ascii="Times New Roman" w:hAnsi="Times New Roman" w:eastAsia="宋体" w:cs="Times New Roman"/>
                      <w:highlight w:val="yellow"/>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5.35</w:t>
                  </w:r>
                </w:p>
              </w:tc>
              <w:tc>
                <w:tcPr>
                  <w:tcW w:w="595" w:type="dxa"/>
                  <w:tcBorders>
                    <w:tl2br w:val="nil"/>
                    <w:tr2bl w:val="nil"/>
                  </w:tcBorders>
                  <w:noWrap w:val="0"/>
                  <w:vAlign w:val="center"/>
                </w:tcPr>
                <w:p w14:paraId="686A3902">
                  <w:pPr>
                    <w:keepNext w:val="0"/>
                    <w:keepLines w:val="0"/>
                    <w:widowControl/>
                    <w:suppressLineNumbers w:val="0"/>
                    <w:jc w:val="center"/>
                    <w:textAlignment w:val="center"/>
                    <w:rPr>
                      <w:rFonts w:hint="default" w:ascii="Times New Roman" w:hAnsi="Times New Roman" w:eastAsia="宋体" w:cs="Times New Roman"/>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13.359</w:t>
                  </w:r>
                </w:p>
              </w:tc>
              <w:tc>
                <w:tcPr>
                  <w:tcW w:w="914" w:type="dxa"/>
                  <w:tcBorders>
                    <w:tl2br w:val="nil"/>
                    <w:tr2bl w:val="nil"/>
                  </w:tcBorders>
                  <w:noWrap w:val="0"/>
                  <w:vAlign w:val="center"/>
                </w:tcPr>
                <w:p w14:paraId="4030470A">
                  <w:pPr>
                    <w:jc w:val="center"/>
                    <w:rPr>
                      <w:rFonts w:hint="default" w:ascii="Times New Roman" w:hAnsi="Times New Roman" w:eastAsia="宋体" w:cs="Times New Roman"/>
                      <w:u w:val="single"/>
                      <w:lang w:val="en-US" w:eastAsia="zh-CN"/>
                    </w:rPr>
                  </w:pPr>
                  <w:r>
                    <w:rPr>
                      <w:rFonts w:hint="eastAsia" w:cs="Times New Roman"/>
                      <w:u w:val="single"/>
                      <w:lang w:val="en-US" w:eastAsia="zh-CN"/>
                    </w:rPr>
                    <w:t>脉冲布袋</w:t>
                  </w:r>
                  <w:r>
                    <w:rPr>
                      <w:rFonts w:hint="eastAsia" w:ascii="Times New Roman" w:hAnsi="Times New Roman" w:eastAsia="宋体" w:cs="Times New Roman"/>
                      <w:u w:val="single"/>
                      <w:lang w:val="en-US" w:eastAsia="zh-CN"/>
                    </w:rPr>
                    <w:t>除尘器</w:t>
                  </w:r>
                </w:p>
              </w:tc>
              <w:tc>
                <w:tcPr>
                  <w:tcW w:w="816" w:type="dxa"/>
                  <w:tcBorders>
                    <w:tl2br w:val="nil"/>
                    <w:tr2bl w:val="nil"/>
                  </w:tcBorders>
                  <w:noWrap w:val="0"/>
                  <w:vAlign w:val="center"/>
                </w:tcPr>
                <w:p w14:paraId="1E08F51F">
                  <w:pPr>
                    <w:keepNext w:val="0"/>
                    <w:keepLines w:val="0"/>
                    <w:widowControl/>
                    <w:suppressLineNumbers w:val="0"/>
                    <w:jc w:val="center"/>
                    <w:textAlignment w:val="center"/>
                    <w:rPr>
                      <w:rFonts w:hint="default" w:ascii="Times New Roman" w:hAnsi="Times New Roman" w:eastAsia="宋体" w:cs="Times New Roman"/>
                      <w:highlight w:val="yellow"/>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99.8</w:t>
                  </w:r>
                </w:p>
              </w:tc>
              <w:tc>
                <w:tcPr>
                  <w:tcW w:w="835" w:type="dxa"/>
                  <w:tcBorders>
                    <w:tl2br w:val="nil"/>
                    <w:tr2bl w:val="nil"/>
                  </w:tcBorders>
                  <w:noWrap w:val="0"/>
                  <w:vAlign w:val="center"/>
                </w:tcPr>
                <w:p w14:paraId="330D8CC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lang w:val="en-US" w:eastAsia="zh-CN" w:bidi="ar"/>
                    </w:rPr>
                  </w:pPr>
                  <w:r>
                    <w:rPr>
                      <w:rFonts w:hint="default" w:ascii="Times New Roman" w:hAnsi="Times New Roman" w:eastAsia="宋体" w:cs="Times New Roman"/>
                      <w:i w:val="0"/>
                      <w:iCs w:val="0"/>
                      <w:color w:val="000000"/>
                      <w:kern w:val="0"/>
                      <w:sz w:val="21"/>
                      <w:szCs w:val="21"/>
                      <w:u w:val="single"/>
                      <w:lang w:val="en-US" w:eastAsia="zh-CN" w:bidi="ar"/>
                    </w:rPr>
                    <w:t>1.0195</w:t>
                  </w:r>
                </w:p>
              </w:tc>
              <w:tc>
                <w:tcPr>
                  <w:tcW w:w="593" w:type="dxa"/>
                  <w:tcBorders>
                    <w:tl2br w:val="nil"/>
                    <w:tr2bl w:val="nil"/>
                  </w:tcBorders>
                  <w:noWrap w:val="0"/>
                  <w:vAlign w:val="center"/>
                </w:tcPr>
                <w:p w14:paraId="462F1C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lang w:val="en-US" w:eastAsia="zh-CN" w:bidi="ar"/>
                    </w:rPr>
                  </w:pPr>
                  <w:r>
                    <w:rPr>
                      <w:rFonts w:hint="default" w:ascii="Times New Roman" w:hAnsi="Times New Roman" w:eastAsia="宋体" w:cs="Times New Roman"/>
                      <w:i w:val="0"/>
                      <w:iCs w:val="0"/>
                      <w:color w:val="000000"/>
                      <w:kern w:val="0"/>
                      <w:sz w:val="21"/>
                      <w:szCs w:val="21"/>
                      <w:u w:val="single"/>
                      <w:lang w:val="en-US" w:eastAsia="zh-CN" w:bidi="ar"/>
                    </w:rPr>
                    <w:t xml:space="preserve">0.0107 </w:t>
                  </w:r>
                </w:p>
              </w:tc>
              <w:tc>
                <w:tcPr>
                  <w:tcW w:w="579" w:type="dxa"/>
                  <w:tcBorders>
                    <w:tl2br w:val="nil"/>
                    <w:tr2bl w:val="nil"/>
                  </w:tcBorders>
                  <w:noWrap w:val="0"/>
                  <w:vAlign w:val="center"/>
                </w:tcPr>
                <w:p w14:paraId="27B0E4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lang w:val="en-US" w:eastAsia="zh-CN" w:bidi="ar"/>
                    </w:rPr>
                  </w:pPr>
                  <w:r>
                    <w:rPr>
                      <w:rFonts w:hint="eastAsia" w:ascii="Times New Roman" w:hAnsi="Times New Roman" w:eastAsia="宋体" w:cs="Times New Roman"/>
                      <w:i w:val="0"/>
                      <w:iCs w:val="0"/>
                      <w:color w:val="000000"/>
                      <w:kern w:val="0"/>
                      <w:sz w:val="21"/>
                      <w:szCs w:val="21"/>
                      <w:u w:val="single"/>
                      <w:lang w:val="en-US" w:eastAsia="zh-CN" w:bidi="ar"/>
                    </w:rPr>
                    <w:t>0.026718</w:t>
                  </w:r>
                </w:p>
              </w:tc>
            </w:tr>
          </w:tbl>
          <w:p w14:paraId="75DBDF9D">
            <w:pPr>
              <w:numPr>
                <w:ilvl w:val="0"/>
                <w:numId w:val="0"/>
              </w:numPr>
              <w:tabs>
                <w:tab w:val="left" w:pos="1440"/>
                <w:tab w:val="left" w:pos="1800"/>
              </w:tabs>
              <w:spacing w:line="360" w:lineRule="auto"/>
              <w:ind w:firstLine="361" w:firstLineChars="150"/>
              <w:rPr>
                <w:rFonts w:hint="eastAsia"/>
                <w:b/>
                <w:bCs/>
                <w:sz w:val="24"/>
                <w:szCs w:val="24"/>
                <w:u w:val="single"/>
                <w:lang w:val="en-US" w:eastAsia="zh-CN"/>
              </w:rPr>
            </w:pPr>
            <w:r>
              <w:rPr>
                <w:rFonts w:hint="eastAsia" w:ascii="Times New Roman" w:hAnsi="Times New Roman" w:eastAsia="宋体" w:cs="Times New Roman"/>
                <w:b/>
                <w:bCs/>
                <w:kern w:val="2"/>
                <w:sz w:val="24"/>
                <w:szCs w:val="24"/>
                <w:u w:val="single"/>
                <w:lang w:val="en-US" w:eastAsia="zh-CN" w:bidi="ar-SA"/>
              </w:rPr>
              <w:t>（</w:t>
            </w:r>
            <w:r>
              <w:rPr>
                <w:rFonts w:hint="eastAsia" w:cs="Times New Roman"/>
                <w:b/>
                <w:bCs/>
                <w:kern w:val="2"/>
                <w:sz w:val="24"/>
                <w:szCs w:val="24"/>
                <w:u w:val="single"/>
                <w:lang w:val="en-US" w:eastAsia="zh-CN" w:bidi="ar-SA"/>
              </w:rPr>
              <w:t>7</w:t>
            </w:r>
            <w:r>
              <w:rPr>
                <w:rFonts w:hint="eastAsia" w:ascii="Times New Roman" w:hAnsi="Times New Roman" w:eastAsia="宋体" w:cs="Times New Roman"/>
                <w:b/>
                <w:bCs/>
                <w:kern w:val="2"/>
                <w:sz w:val="24"/>
                <w:szCs w:val="24"/>
                <w:u w:val="single"/>
                <w:lang w:val="en-US" w:eastAsia="zh-CN" w:bidi="ar-SA"/>
              </w:rPr>
              <w:t>）</w:t>
            </w:r>
            <w:r>
              <w:rPr>
                <w:rFonts w:hint="eastAsia" w:cs="Times New Roman"/>
                <w:b/>
                <w:bCs/>
                <w:kern w:val="2"/>
                <w:sz w:val="24"/>
                <w:szCs w:val="24"/>
                <w:u w:val="single"/>
                <w:lang w:val="en-US" w:eastAsia="zh-CN" w:bidi="ar-SA"/>
              </w:rPr>
              <w:t>食堂油烟</w:t>
            </w:r>
            <w:r>
              <w:rPr>
                <w:rFonts w:hint="eastAsia"/>
                <w:b/>
                <w:bCs/>
                <w:sz w:val="24"/>
                <w:szCs w:val="24"/>
                <w:u w:val="single"/>
                <w:lang w:val="en-US" w:eastAsia="zh-CN"/>
              </w:rPr>
              <w:t>废气</w:t>
            </w:r>
          </w:p>
          <w:p w14:paraId="0BC839B0">
            <w:pPr>
              <w:keepNext w:val="0"/>
              <w:keepLines w:val="0"/>
              <w:pageBreakBefore w:val="0"/>
              <w:widowControl w:val="0"/>
              <w:numPr>
                <w:ilvl w:val="0"/>
                <w:numId w:val="0"/>
              </w:numPr>
              <w:tabs>
                <w:tab w:val="left" w:pos="1440"/>
                <w:tab w:val="left" w:pos="1800"/>
              </w:tabs>
              <w:kinsoku/>
              <w:wordWrap/>
              <w:overflowPunct/>
              <w:topLinePunct w:val="0"/>
              <w:autoSpaceDE/>
              <w:autoSpaceDN/>
              <w:bidi w:val="0"/>
              <w:adjustRightInd/>
              <w:snapToGrid/>
              <w:spacing w:line="360" w:lineRule="auto"/>
              <w:ind w:firstLine="480" w:firstLineChars="200"/>
              <w:textAlignment w:val="auto"/>
              <w:rPr>
                <w:rFonts w:hint="eastAsia"/>
                <w:sz w:val="24"/>
                <w:u w:val="single"/>
                <w:lang w:val="en-US" w:eastAsia="zh-CN"/>
              </w:rPr>
            </w:pPr>
            <w:r>
              <w:rPr>
                <w:rFonts w:hint="eastAsia"/>
                <w:sz w:val="24"/>
                <w:u w:val="single"/>
                <w:lang w:val="en-US" w:eastAsia="zh-CN"/>
              </w:rPr>
              <w:t>食堂产生的油烟废气主要成分是动植物油烟，本项目有20人在食堂用餐，据统计，目前人均食用油日用量约30g，一般油烟挥发量占总耗油量的3%，则项目一期油烟产生量为0.018kg/d、5.616kg/a（日工作4个小时，年工作312天）。环评建议食堂内设置油烟净化器，将油烟经油烟净化器处理后由排气筒引至屋顶排放，处理效率按约75%计，风机风量设计为6000m</w:t>
            </w:r>
            <w:r>
              <w:rPr>
                <w:rFonts w:hint="eastAsia"/>
                <w:sz w:val="24"/>
                <w:u w:val="single"/>
                <w:vertAlign w:val="superscript"/>
                <w:lang w:val="en-US" w:eastAsia="zh-CN"/>
              </w:rPr>
              <w:t>3</w:t>
            </w:r>
            <w:r>
              <w:rPr>
                <w:rFonts w:hint="eastAsia"/>
                <w:sz w:val="24"/>
                <w:u w:val="single"/>
                <w:lang w:val="en-US" w:eastAsia="zh-CN"/>
              </w:rPr>
              <w:t>/h，则食堂油烟排放量1.404kg/a，排放速率0.0011kg/h，排放浓度 0.1875mg/m</w:t>
            </w:r>
            <w:r>
              <w:rPr>
                <w:rFonts w:hint="eastAsia"/>
                <w:sz w:val="24"/>
                <w:u w:val="single"/>
                <w:vertAlign w:val="superscript"/>
                <w:lang w:val="en-US" w:eastAsia="zh-CN"/>
              </w:rPr>
              <w:t>3</w:t>
            </w:r>
            <w:r>
              <w:rPr>
                <w:rFonts w:hint="eastAsia"/>
                <w:sz w:val="24"/>
                <w:u w:val="single"/>
                <w:lang w:val="en-US" w:eastAsia="zh-CN"/>
              </w:rPr>
              <w:t>。可满足《饮食业油烟排放标准》（试行）（GB18483-2001）中型标准（2.0mg/m</w:t>
            </w:r>
            <w:r>
              <w:rPr>
                <w:rFonts w:hint="eastAsia"/>
                <w:sz w:val="24"/>
                <w:u w:val="single"/>
                <w:vertAlign w:val="superscript"/>
                <w:lang w:val="en-US" w:eastAsia="zh-CN"/>
              </w:rPr>
              <w:t>3</w:t>
            </w:r>
            <w:r>
              <w:rPr>
                <w:rFonts w:hint="eastAsia"/>
                <w:sz w:val="24"/>
                <w:u w:val="single"/>
                <w:lang w:val="en-US" w:eastAsia="zh-CN"/>
              </w:rPr>
              <w:t>）。</w:t>
            </w:r>
          </w:p>
          <w:p w14:paraId="509FA17D">
            <w:pPr>
              <w:numPr>
                <w:ilvl w:val="0"/>
                <w:numId w:val="0"/>
              </w:numPr>
              <w:spacing w:line="360" w:lineRule="auto"/>
              <w:ind w:firstLine="482" w:firstLineChars="200"/>
              <w:rPr>
                <w:rFonts w:hint="default"/>
                <w:b/>
                <w:bCs/>
                <w:sz w:val="24"/>
                <w:szCs w:val="24"/>
                <w:u w:val="single"/>
                <w:lang w:val="en-US" w:eastAsia="zh-CN"/>
              </w:rPr>
            </w:pPr>
            <w:r>
              <w:rPr>
                <w:rFonts w:hint="eastAsia"/>
                <w:b/>
                <w:bCs/>
                <w:sz w:val="24"/>
                <w:szCs w:val="24"/>
                <w:u w:val="single"/>
                <w:lang w:val="en-US" w:eastAsia="zh-CN"/>
              </w:rPr>
              <w:t>2、治理措施可行性分析</w:t>
            </w:r>
          </w:p>
          <w:p w14:paraId="4761889B">
            <w:pPr>
              <w:spacing w:line="360" w:lineRule="auto"/>
              <w:ind w:firstLine="480" w:firstLineChars="200"/>
              <w:rPr>
                <w:rFonts w:hint="eastAsia"/>
                <w:sz w:val="24"/>
                <w:u w:val="single"/>
                <w:lang w:val="en-US" w:eastAsia="zh-CN"/>
              </w:rPr>
            </w:pPr>
            <w:r>
              <w:rPr>
                <w:rFonts w:hint="eastAsia" w:ascii="Times New Roman" w:hAnsi="Times New Roman" w:eastAsia="宋体" w:cs="Times New Roman"/>
                <w:sz w:val="24"/>
                <w:u w:val="single"/>
                <w:lang w:val="en-US" w:eastAsia="zh-CN"/>
              </w:rPr>
              <w:t>项目熔炼废气、混砂废气、造型废气、抛丸废气、制芯废气、浇注废气、落砂废气中有组织排放的颗粒物排放浓度均能满足《</w:t>
            </w:r>
            <w:r>
              <w:rPr>
                <w:rFonts w:hint="eastAsia" w:ascii="Times New Roman" w:hAnsi="Times New Roman" w:eastAsia="宋体" w:cs="Times New Roman"/>
                <w:color w:val="auto"/>
                <w:sz w:val="24"/>
                <w:highlight w:val="none"/>
                <w:u w:val="single"/>
                <w:lang w:val="en-US" w:eastAsia="zh-CN"/>
              </w:rPr>
              <w:t>铸造工业大气污染物排放标准》</w:t>
            </w:r>
            <w:r>
              <w:rPr>
                <w:rFonts w:hint="eastAsia" w:cs="Times New Roman"/>
                <w:color w:val="auto"/>
                <w:sz w:val="24"/>
                <w:highlight w:val="none"/>
                <w:u w:val="single"/>
                <w:lang w:val="en-US" w:eastAsia="zh-CN"/>
              </w:rPr>
              <w:t>（</w:t>
            </w:r>
            <w:r>
              <w:rPr>
                <w:rFonts w:hint="eastAsia" w:ascii="Times New Roman" w:hAnsi="Times New Roman" w:eastAsia="宋体" w:cs="Times New Roman"/>
                <w:color w:val="auto"/>
                <w:sz w:val="24"/>
                <w:highlight w:val="none"/>
                <w:u w:val="single"/>
                <w:lang w:val="en-US" w:eastAsia="zh-CN"/>
              </w:rPr>
              <w:t>GB39726-2020</w:t>
            </w:r>
            <w:r>
              <w:rPr>
                <w:rFonts w:hint="eastAsia" w:cs="Times New Roman"/>
                <w:color w:val="auto"/>
                <w:sz w:val="24"/>
                <w:highlight w:val="none"/>
                <w:u w:val="single"/>
                <w:lang w:val="en-US" w:eastAsia="zh-CN"/>
              </w:rPr>
              <w:t>）</w:t>
            </w:r>
            <w:r>
              <w:rPr>
                <w:rFonts w:hint="eastAsia" w:ascii="Times New Roman" w:hAnsi="Times New Roman" w:eastAsia="宋体" w:cs="Times New Roman"/>
                <w:sz w:val="24"/>
                <w:u w:val="single"/>
                <w:lang w:val="en-US" w:eastAsia="zh-CN"/>
              </w:rPr>
              <w:t>表1大气污染物排放限值（排放浓度≤30mg/m</w:t>
            </w:r>
            <w:r>
              <w:rPr>
                <w:rFonts w:hint="eastAsia" w:ascii="Times New Roman" w:hAnsi="Times New Roman" w:eastAsia="宋体" w:cs="Times New Roman"/>
                <w:sz w:val="24"/>
                <w:u w:val="single"/>
                <w:vertAlign w:val="superscript"/>
                <w:lang w:val="en-US" w:eastAsia="zh-CN"/>
              </w:rPr>
              <w:t>3</w:t>
            </w:r>
            <w:r>
              <w:rPr>
                <w:rFonts w:hint="eastAsia" w:ascii="Times New Roman" w:hAnsi="Times New Roman" w:eastAsia="宋体" w:cs="Times New Roman"/>
                <w:sz w:val="24"/>
                <w:u w:val="single"/>
                <w:lang w:val="en-US" w:eastAsia="zh-CN"/>
              </w:rPr>
              <w:t>），无组织排放满足《</w:t>
            </w:r>
            <w:r>
              <w:rPr>
                <w:rFonts w:hint="eastAsia" w:ascii="Times New Roman" w:hAnsi="Times New Roman" w:eastAsia="宋体" w:cs="Times New Roman"/>
                <w:color w:val="auto"/>
                <w:sz w:val="24"/>
                <w:highlight w:val="none"/>
                <w:u w:val="single"/>
                <w:lang w:val="en-US" w:eastAsia="zh-CN"/>
              </w:rPr>
              <w:t>铸造工业大气污染物排放标准》</w:t>
            </w:r>
            <w:r>
              <w:rPr>
                <w:rFonts w:hint="eastAsia" w:cs="Times New Roman"/>
                <w:color w:val="auto"/>
                <w:sz w:val="24"/>
                <w:highlight w:val="none"/>
                <w:u w:val="single"/>
                <w:lang w:val="en-US" w:eastAsia="zh-CN"/>
              </w:rPr>
              <w:t>（</w:t>
            </w:r>
            <w:r>
              <w:rPr>
                <w:rFonts w:hint="eastAsia" w:ascii="Times New Roman" w:hAnsi="Times New Roman" w:eastAsia="宋体" w:cs="Times New Roman"/>
                <w:color w:val="auto"/>
                <w:sz w:val="24"/>
                <w:highlight w:val="none"/>
                <w:u w:val="single"/>
                <w:lang w:val="en-US" w:eastAsia="zh-CN"/>
              </w:rPr>
              <w:t>GB39726-2020</w:t>
            </w:r>
            <w:r>
              <w:rPr>
                <w:rFonts w:hint="eastAsia" w:cs="Times New Roman"/>
                <w:color w:val="auto"/>
                <w:sz w:val="24"/>
                <w:highlight w:val="none"/>
                <w:u w:val="single"/>
                <w:lang w:val="en-US" w:eastAsia="zh-CN"/>
              </w:rPr>
              <w:t>）</w:t>
            </w:r>
            <w:r>
              <w:rPr>
                <w:rFonts w:hint="eastAsia" w:ascii="Times New Roman" w:hAnsi="Times New Roman" w:eastAsia="宋体" w:cs="Times New Roman"/>
                <w:color w:val="auto"/>
                <w:sz w:val="24"/>
                <w:highlight w:val="none"/>
                <w:u w:val="single"/>
                <w:lang w:val="en-US" w:eastAsia="zh-CN"/>
              </w:rPr>
              <w:t>附录A限值</w:t>
            </w:r>
            <w:r>
              <w:rPr>
                <w:rFonts w:hint="eastAsia" w:ascii="Times New Roman" w:hAnsi="Times New Roman" w:eastAsia="宋体" w:cs="Times New Roman"/>
                <w:sz w:val="24"/>
                <w:u w:val="single"/>
                <w:lang w:val="en-US" w:eastAsia="zh-CN"/>
              </w:rPr>
              <w:t>。</w:t>
            </w:r>
            <w:r>
              <w:rPr>
                <w:rFonts w:hint="eastAsia"/>
                <w:sz w:val="24"/>
                <w:highlight w:val="none"/>
                <w:u w:val="single"/>
              </w:rPr>
              <w:t>根据《排污许可证申请与核发技术规范-</w:t>
            </w:r>
            <w:r>
              <w:rPr>
                <w:rFonts w:hint="eastAsia"/>
                <w:sz w:val="24"/>
                <w:highlight w:val="none"/>
                <w:u w:val="single"/>
                <w:lang w:val="en-US" w:eastAsia="zh-CN"/>
              </w:rPr>
              <w:t>金属铸造工业</w:t>
            </w:r>
            <w:r>
              <w:rPr>
                <w:rFonts w:hint="eastAsia"/>
                <w:sz w:val="24"/>
                <w:highlight w:val="none"/>
                <w:u w:val="single"/>
              </w:rPr>
              <w:t>》（HJ1</w:t>
            </w:r>
            <w:r>
              <w:rPr>
                <w:rFonts w:hint="eastAsia"/>
                <w:sz w:val="24"/>
                <w:highlight w:val="none"/>
                <w:u w:val="single"/>
                <w:lang w:val="en-US" w:eastAsia="zh-CN"/>
              </w:rPr>
              <w:t>115</w:t>
            </w:r>
            <w:r>
              <w:rPr>
                <w:rFonts w:hint="eastAsia"/>
                <w:sz w:val="24"/>
                <w:highlight w:val="none"/>
                <w:u w:val="single"/>
              </w:rPr>
              <w:t>—20</w:t>
            </w:r>
            <w:r>
              <w:rPr>
                <w:rFonts w:hint="eastAsia"/>
                <w:sz w:val="24"/>
                <w:highlight w:val="none"/>
                <w:u w:val="single"/>
                <w:lang w:val="en-US" w:eastAsia="zh-CN"/>
              </w:rPr>
              <w:t>20</w:t>
            </w:r>
            <w:r>
              <w:rPr>
                <w:rFonts w:hint="eastAsia"/>
                <w:sz w:val="24"/>
                <w:highlight w:val="none"/>
                <w:u w:val="single"/>
              </w:rPr>
              <w:t>）中表2</w:t>
            </w:r>
            <w:r>
              <w:rPr>
                <w:rFonts w:ascii="宋体" w:hAnsi="宋体" w:cs="宋体"/>
                <w:sz w:val="24"/>
                <w:szCs w:val="24"/>
                <w:highlight w:val="none"/>
                <w:u w:val="single"/>
              </w:rPr>
              <w:t>排污单位废气产排污环节、污染物项目、排放形式、污染设施治理一览表</w:t>
            </w: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颗粒物</w:t>
            </w:r>
            <w:r>
              <w:rPr>
                <w:rFonts w:hint="eastAsia" w:ascii="宋体" w:hAnsi="宋体" w:cs="宋体"/>
                <w:sz w:val="24"/>
                <w:szCs w:val="24"/>
                <w:highlight w:val="none"/>
                <w:u w:val="single"/>
              </w:rPr>
              <w:t>污染治理工艺采用</w:t>
            </w:r>
            <w:r>
              <w:rPr>
                <w:rFonts w:hint="eastAsia" w:ascii="宋体" w:hAnsi="宋体" w:cs="宋体"/>
                <w:sz w:val="24"/>
                <w:szCs w:val="24"/>
                <w:highlight w:val="none"/>
                <w:u w:val="single"/>
                <w:lang w:val="en-US" w:eastAsia="zh-CN"/>
              </w:rPr>
              <w:t>袋式除尘器</w:t>
            </w:r>
            <w:r>
              <w:rPr>
                <w:rFonts w:hint="eastAsia"/>
                <w:sz w:val="24"/>
                <w:highlight w:val="none"/>
                <w:u w:val="single"/>
              </w:rPr>
              <w:t>为可行技术</w:t>
            </w:r>
            <w:r>
              <w:rPr>
                <w:rFonts w:hint="eastAsia"/>
                <w:sz w:val="24"/>
                <w:highlight w:val="none"/>
                <w:u w:val="single"/>
                <w:lang w:eastAsia="zh-CN"/>
              </w:rPr>
              <w:t>；</w:t>
            </w:r>
            <w:r>
              <w:rPr>
                <w:rFonts w:hint="eastAsia" w:ascii="Times New Roman" w:hAnsi="Times New Roman" w:eastAsia="宋体" w:cs="Times New Roman"/>
                <w:sz w:val="24"/>
                <w:highlight w:val="none"/>
                <w:u w:val="single"/>
                <w:lang w:val="en-US" w:eastAsia="zh-CN"/>
              </w:rPr>
              <w:t>造型废气、制芯废气、浇注废气中有组织排放的非甲烷总烃能满足非《大气污染物综合排放标准》（GB16297-1996）表2级排放标准要求</w:t>
            </w:r>
            <w:r>
              <w:rPr>
                <w:rFonts w:hint="eastAsia" w:cs="Times New Roman"/>
                <w:sz w:val="24"/>
                <w:highlight w:val="none"/>
                <w:u w:val="single"/>
                <w:lang w:val="en-US" w:eastAsia="zh-CN"/>
              </w:rPr>
              <w:t>，</w:t>
            </w:r>
            <w:r>
              <w:rPr>
                <w:rFonts w:hint="eastAsia" w:ascii="Times New Roman" w:hAnsi="Times New Roman" w:eastAsia="宋体" w:cs="Times New Roman"/>
                <w:sz w:val="24"/>
                <w:highlight w:val="none"/>
                <w:u w:val="single"/>
                <w:lang w:val="en-US" w:eastAsia="zh-CN"/>
              </w:rPr>
              <w:t>无组织排放执行《大气污染物综合排放标准》（GB16297-1996）中的无组织排放监控浓度限值要求，</w:t>
            </w:r>
            <w:r>
              <w:rPr>
                <w:rFonts w:hint="eastAsia" w:ascii="Times New Roman" w:hAnsi="Times New Roman" w:eastAsia="宋体" w:cs="Times New Roman"/>
                <w:sz w:val="24"/>
                <w:u w:val="single"/>
                <w:lang w:val="en-US" w:eastAsia="zh-CN"/>
              </w:rPr>
              <w:t>根据《</w:t>
            </w:r>
            <w:r>
              <w:rPr>
                <w:rFonts w:hint="eastAsia"/>
                <w:sz w:val="24"/>
                <w:u w:val="single"/>
                <w:lang w:val="en-US" w:eastAsia="zh-CN"/>
              </w:rPr>
              <w:t>排放源统计调查产排污核算方法和系数手册2021》（生态环境部）中的“机械行业产排污量核算系数手册（33）”中“铸造”工艺中末端治理技术，非甲烷总烃治理采用活性炭箱，属于可行技术。</w:t>
            </w:r>
          </w:p>
          <w:p w14:paraId="1CD4AF61">
            <w:pPr>
              <w:numPr>
                <w:ilvl w:val="0"/>
                <w:numId w:val="0"/>
              </w:numPr>
              <w:spacing w:line="360" w:lineRule="auto"/>
              <w:ind w:firstLine="482" w:firstLineChars="200"/>
              <w:rPr>
                <w:rFonts w:hint="default"/>
                <w:b/>
                <w:bCs/>
                <w:sz w:val="24"/>
                <w:u w:val="single"/>
                <w:lang w:val="en-US" w:eastAsia="zh-CN"/>
              </w:rPr>
            </w:pPr>
            <w:r>
              <w:rPr>
                <w:rFonts w:hint="eastAsia"/>
                <w:b/>
                <w:bCs/>
                <w:sz w:val="24"/>
                <w:szCs w:val="24"/>
                <w:u w:val="single"/>
                <w:lang w:val="en-US" w:eastAsia="zh-CN"/>
              </w:rPr>
              <w:t>3、</w:t>
            </w:r>
            <w:r>
              <w:rPr>
                <w:rFonts w:hint="eastAsia"/>
                <w:b/>
                <w:bCs/>
                <w:sz w:val="24"/>
                <w:u w:val="single"/>
                <w:lang w:val="en-US" w:eastAsia="zh-CN"/>
              </w:rPr>
              <w:t>废气排放口基本情况</w:t>
            </w:r>
          </w:p>
          <w:p w14:paraId="439FE898">
            <w:pPr>
              <w:spacing w:line="360" w:lineRule="auto"/>
              <w:ind w:firstLine="480" w:firstLineChars="200"/>
              <w:rPr>
                <w:rFonts w:hint="eastAsia"/>
                <w:sz w:val="24"/>
                <w:u w:val="single"/>
                <w:lang w:val="en-US" w:eastAsia="zh-CN"/>
              </w:rPr>
            </w:pPr>
            <w:r>
              <w:rPr>
                <w:rFonts w:hint="eastAsia"/>
                <w:sz w:val="24"/>
                <w:u w:val="single"/>
                <w:lang w:val="en-US" w:eastAsia="zh-CN"/>
              </w:rPr>
              <w:t>本项目废气排放口基本情况见下表。</w:t>
            </w:r>
          </w:p>
          <w:p w14:paraId="2177C459">
            <w:pPr>
              <w:bidi w:val="0"/>
              <w:jc w:val="center"/>
              <w:rPr>
                <w:rFonts w:hint="eastAsia"/>
                <w:b/>
                <w:u w:val="single"/>
                <w:lang w:val="en-US" w:eastAsia="zh-CN"/>
              </w:rPr>
            </w:pPr>
            <w:r>
              <w:rPr>
                <w:rFonts w:hint="eastAsia"/>
                <w:b/>
                <w:u w:val="single"/>
                <w:lang w:val="en-US" w:eastAsia="zh-CN"/>
              </w:rPr>
              <w:t>表4-7  废气排放口基本情况</w:t>
            </w:r>
          </w:p>
          <w:tbl>
            <w:tblPr>
              <w:tblStyle w:val="22"/>
              <w:tblW w:w="7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754"/>
              <w:gridCol w:w="1060"/>
              <w:gridCol w:w="866"/>
              <w:gridCol w:w="754"/>
              <w:gridCol w:w="1182"/>
              <w:gridCol w:w="1975"/>
            </w:tblGrid>
            <w:tr w14:paraId="351B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05" w:type="dxa"/>
                  <w:vMerge w:val="restart"/>
                  <w:noWrap w:val="0"/>
                  <w:vAlign w:val="center"/>
                </w:tcPr>
                <w:p w14:paraId="47922695">
                  <w:pPr>
                    <w:jc w:val="center"/>
                    <w:rPr>
                      <w:rFonts w:hint="eastAsia" w:ascii="Times New Roman" w:hAnsi="Times New Roman" w:eastAsia="宋体" w:cs="Times New Roman"/>
                      <w:b/>
                      <w:bCs/>
                      <w:u w:val="single"/>
                      <w:lang w:val="en-US" w:eastAsia="zh-CN"/>
                    </w:rPr>
                  </w:pPr>
                  <w:r>
                    <w:rPr>
                      <w:rFonts w:hint="eastAsia" w:ascii="Times New Roman" w:hAnsi="Times New Roman" w:eastAsia="宋体" w:cs="Times New Roman"/>
                      <w:b/>
                      <w:bCs/>
                      <w:u w:val="single"/>
                      <w:lang w:val="en-US" w:eastAsia="zh-CN"/>
                    </w:rPr>
                    <w:t>编号及名称</w:t>
                  </w:r>
                </w:p>
              </w:tc>
              <w:tc>
                <w:tcPr>
                  <w:tcW w:w="754" w:type="dxa"/>
                  <w:vMerge w:val="restart"/>
                  <w:noWrap w:val="0"/>
                  <w:vAlign w:val="center"/>
                </w:tcPr>
                <w:p w14:paraId="71D1BDFC">
                  <w:pPr>
                    <w:jc w:val="center"/>
                    <w:rPr>
                      <w:rFonts w:hint="eastAsia" w:ascii="Times New Roman" w:hAnsi="Times New Roman" w:eastAsia="宋体" w:cs="Times New Roman"/>
                      <w:b/>
                      <w:bCs/>
                      <w:u w:val="single"/>
                      <w:lang w:val="en-US" w:eastAsia="zh-CN"/>
                    </w:rPr>
                  </w:pPr>
                  <w:r>
                    <w:rPr>
                      <w:rFonts w:hint="eastAsia" w:ascii="Times New Roman" w:hAnsi="Times New Roman" w:eastAsia="宋体" w:cs="Times New Roman"/>
                      <w:b/>
                      <w:bCs/>
                      <w:u w:val="single"/>
                      <w:lang w:val="en-US" w:eastAsia="zh-CN"/>
                    </w:rPr>
                    <w:t>高度（m）</w:t>
                  </w:r>
                </w:p>
              </w:tc>
              <w:tc>
                <w:tcPr>
                  <w:tcW w:w="1060" w:type="dxa"/>
                  <w:vMerge w:val="restart"/>
                  <w:noWrap w:val="0"/>
                  <w:vAlign w:val="center"/>
                </w:tcPr>
                <w:p w14:paraId="72538242">
                  <w:pPr>
                    <w:jc w:val="center"/>
                    <w:rPr>
                      <w:rFonts w:hint="eastAsia" w:ascii="Times New Roman" w:hAnsi="Times New Roman" w:eastAsia="宋体" w:cs="Times New Roman"/>
                      <w:b/>
                      <w:bCs/>
                      <w:u w:val="single"/>
                      <w:lang w:val="en-US" w:eastAsia="zh-CN"/>
                    </w:rPr>
                  </w:pPr>
                  <w:r>
                    <w:rPr>
                      <w:rFonts w:hint="eastAsia" w:ascii="Times New Roman" w:hAnsi="Times New Roman" w:eastAsia="宋体" w:cs="Times New Roman"/>
                      <w:b/>
                      <w:bCs/>
                      <w:u w:val="single"/>
                      <w:lang w:val="en-US" w:eastAsia="zh-CN"/>
                    </w:rPr>
                    <w:t>排放口直径（m）</w:t>
                  </w:r>
                </w:p>
              </w:tc>
              <w:tc>
                <w:tcPr>
                  <w:tcW w:w="866" w:type="dxa"/>
                  <w:vMerge w:val="restart"/>
                  <w:noWrap w:val="0"/>
                  <w:vAlign w:val="center"/>
                </w:tcPr>
                <w:p w14:paraId="09AF2FAD">
                  <w:pPr>
                    <w:jc w:val="center"/>
                    <w:rPr>
                      <w:rFonts w:hint="eastAsia" w:ascii="Times New Roman" w:hAnsi="Times New Roman" w:eastAsia="宋体" w:cs="Times New Roman"/>
                      <w:b/>
                      <w:bCs/>
                      <w:u w:val="single"/>
                      <w:lang w:val="en-US" w:eastAsia="zh-CN"/>
                    </w:rPr>
                  </w:pPr>
                  <w:r>
                    <w:rPr>
                      <w:rFonts w:hint="eastAsia" w:ascii="Times New Roman" w:hAnsi="Times New Roman" w:eastAsia="宋体" w:cs="Times New Roman"/>
                      <w:b/>
                      <w:bCs/>
                      <w:u w:val="single"/>
                      <w:lang w:val="en-US" w:eastAsia="zh-CN"/>
                    </w:rPr>
                    <w:t>温度℃</w:t>
                  </w:r>
                </w:p>
              </w:tc>
              <w:tc>
                <w:tcPr>
                  <w:tcW w:w="754" w:type="dxa"/>
                  <w:vMerge w:val="restart"/>
                  <w:noWrap w:val="0"/>
                  <w:vAlign w:val="center"/>
                </w:tcPr>
                <w:p w14:paraId="5D45C5FE">
                  <w:pPr>
                    <w:jc w:val="center"/>
                    <w:rPr>
                      <w:rFonts w:hint="eastAsia" w:ascii="Times New Roman" w:hAnsi="Times New Roman" w:eastAsia="宋体" w:cs="Times New Roman"/>
                      <w:b/>
                      <w:bCs/>
                      <w:u w:val="single"/>
                      <w:lang w:val="en-US" w:eastAsia="zh-CN"/>
                    </w:rPr>
                  </w:pPr>
                  <w:r>
                    <w:rPr>
                      <w:rFonts w:hint="eastAsia" w:ascii="Times New Roman" w:hAnsi="Times New Roman" w:eastAsia="宋体" w:cs="Times New Roman"/>
                      <w:b/>
                      <w:bCs/>
                      <w:u w:val="single"/>
                      <w:lang w:val="en-US" w:eastAsia="zh-CN"/>
                    </w:rPr>
                    <w:t>类型</w:t>
                  </w:r>
                </w:p>
              </w:tc>
              <w:tc>
                <w:tcPr>
                  <w:tcW w:w="1182" w:type="dxa"/>
                  <w:vMerge w:val="restart"/>
                  <w:noWrap w:val="0"/>
                  <w:vAlign w:val="center"/>
                </w:tcPr>
                <w:p w14:paraId="7A4293C1">
                  <w:pPr>
                    <w:jc w:val="center"/>
                    <w:rPr>
                      <w:rFonts w:hint="eastAsia" w:ascii="Times New Roman" w:hAnsi="Times New Roman" w:eastAsia="宋体" w:cs="Times New Roman"/>
                      <w:b/>
                      <w:bCs/>
                      <w:u w:val="single"/>
                      <w:lang w:val="en-US" w:eastAsia="zh-CN"/>
                    </w:rPr>
                  </w:pPr>
                  <w:r>
                    <w:rPr>
                      <w:rFonts w:hint="eastAsia" w:ascii="Times New Roman" w:hAnsi="Times New Roman" w:eastAsia="宋体" w:cs="Times New Roman"/>
                      <w:b/>
                      <w:bCs/>
                      <w:u w:val="single"/>
                      <w:lang w:val="en-US" w:eastAsia="zh-CN"/>
                    </w:rPr>
                    <w:t>地理坐标</w:t>
                  </w:r>
                </w:p>
              </w:tc>
              <w:tc>
                <w:tcPr>
                  <w:tcW w:w="1975" w:type="dxa"/>
                  <w:vMerge w:val="restart"/>
                  <w:noWrap w:val="0"/>
                  <w:vAlign w:val="center"/>
                </w:tcPr>
                <w:p w14:paraId="0D8B6E90">
                  <w:pPr>
                    <w:adjustRightInd w:val="0"/>
                    <w:snapToGrid w:val="0"/>
                    <w:jc w:val="center"/>
                    <w:rPr>
                      <w:rFonts w:hint="eastAsia" w:ascii="仿宋" w:hAnsi="仿宋" w:eastAsia="仿宋" w:cs="仿宋"/>
                      <w:b/>
                      <w:bCs/>
                      <w:kern w:val="21"/>
                      <w:szCs w:val="21"/>
                      <w:u w:val="single"/>
                    </w:rPr>
                  </w:pPr>
                  <w:r>
                    <w:rPr>
                      <w:rFonts w:hint="eastAsia" w:ascii="Times New Roman" w:hAnsi="Times New Roman" w:eastAsia="宋体" w:cs="Times New Roman"/>
                      <w:b/>
                      <w:bCs/>
                      <w:u w:val="single"/>
                      <w:lang w:val="en-US" w:eastAsia="zh-CN"/>
                    </w:rPr>
                    <w:t>排放标准</w:t>
                  </w:r>
                </w:p>
              </w:tc>
            </w:tr>
            <w:tr w14:paraId="2A1A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5" w:type="dxa"/>
                  <w:vMerge w:val="continue"/>
                  <w:noWrap w:val="0"/>
                  <w:vAlign w:val="top"/>
                </w:tcPr>
                <w:p w14:paraId="482F2E22">
                  <w:pPr>
                    <w:jc w:val="center"/>
                    <w:rPr>
                      <w:rFonts w:hint="eastAsia" w:ascii="Times New Roman" w:hAnsi="Times New Roman" w:eastAsia="宋体" w:cs="Times New Roman"/>
                      <w:u w:val="single"/>
                      <w:lang w:val="en-US" w:eastAsia="zh-CN"/>
                    </w:rPr>
                  </w:pPr>
                </w:p>
              </w:tc>
              <w:tc>
                <w:tcPr>
                  <w:tcW w:w="754" w:type="dxa"/>
                  <w:vMerge w:val="continue"/>
                  <w:noWrap w:val="0"/>
                  <w:vAlign w:val="top"/>
                </w:tcPr>
                <w:p w14:paraId="54EE9EAF">
                  <w:pPr>
                    <w:jc w:val="center"/>
                    <w:rPr>
                      <w:rFonts w:hint="eastAsia" w:ascii="Times New Roman" w:hAnsi="Times New Roman" w:eastAsia="宋体" w:cs="Times New Roman"/>
                      <w:u w:val="single"/>
                      <w:lang w:val="en-US" w:eastAsia="zh-CN"/>
                    </w:rPr>
                  </w:pPr>
                </w:p>
              </w:tc>
              <w:tc>
                <w:tcPr>
                  <w:tcW w:w="1060" w:type="dxa"/>
                  <w:vMerge w:val="continue"/>
                  <w:noWrap w:val="0"/>
                  <w:vAlign w:val="top"/>
                </w:tcPr>
                <w:p w14:paraId="49E55EFA">
                  <w:pPr>
                    <w:jc w:val="center"/>
                    <w:rPr>
                      <w:rFonts w:hint="eastAsia" w:ascii="Times New Roman" w:hAnsi="Times New Roman" w:eastAsia="宋体" w:cs="Times New Roman"/>
                      <w:u w:val="single"/>
                      <w:lang w:val="en-US" w:eastAsia="zh-CN"/>
                    </w:rPr>
                  </w:pPr>
                </w:p>
              </w:tc>
              <w:tc>
                <w:tcPr>
                  <w:tcW w:w="866" w:type="dxa"/>
                  <w:vMerge w:val="continue"/>
                  <w:noWrap w:val="0"/>
                  <w:vAlign w:val="top"/>
                </w:tcPr>
                <w:p w14:paraId="58D9099E">
                  <w:pPr>
                    <w:jc w:val="center"/>
                    <w:rPr>
                      <w:rFonts w:hint="eastAsia" w:ascii="Times New Roman" w:hAnsi="Times New Roman" w:eastAsia="宋体" w:cs="Times New Roman"/>
                      <w:u w:val="single"/>
                      <w:lang w:val="en-US" w:eastAsia="zh-CN"/>
                    </w:rPr>
                  </w:pPr>
                </w:p>
              </w:tc>
              <w:tc>
                <w:tcPr>
                  <w:tcW w:w="754" w:type="dxa"/>
                  <w:vMerge w:val="continue"/>
                  <w:noWrap w:val="0"/>
                  <w:vAlign w:val="top"/>
                </w:tcPr>
                <w:p w14:paraId="247F499B">
                  <w:pPr>
                    <w:jc w:val="center"/>
                    <w:rPr>
                      <w:rFonts w:hint="eastAsia" w:ascii="Times New Roman" w:hAnsi="Times New Roman" w:eastAsia="宋体" w:cs="Times New Roman"/>
                      <w:u w:val="single"/>
                      <w:lang w:val="en-US" w:eastAsia="zh-CN"/>
                    </w:rPr>
                  </w:pPr>
                </w:p>
              </w:tc>
              <w:tc>
                <w:tcPr>
                  <w:tcW w:w="1182" w:type="dxa"/>
                  <w:vMerge w:val="continue"/>
                  <w:noWrap w:val="0"/>
                  <w:vAlign w:val="top"/>
                </w:tcPr>
                <w:p w14:paraId="3D3A793F">
                  <w:pPr>
                    <w:jc w:val="center"/>
                    <w:rPr>
                      <w:rFonts w:hint="eastAsia" w:ascii="Times New Roman" w:hAnsi="Times New Roman" w:eastAsia="宋体" w:cs="Times New Roman"/>
                      <w:u w:val="single"/>
                      <w:lang w:val="en-US" w:eastAsia="zh-CN"/>
                    </w:rPr>
                  </w:pPr>
                </w:p>
              </w:tc>
              <w:tc>
                <w:tcPr>
                  <w:tcW w:w="1975" w:type="dxa"/>
                  <w:vMerge w:val="continue"/>
                  <w:noWrap w:val="0"/>
                  <w:vAlign w:val="top"/>
                </w:tcPr>
                <w:p w14:paraId="4785D6B4">
                  <w:pPr>
                    <w:adjustRightInd w:val="0"/>
                    <w:snapToGrid w:val="0"/>
                    <w:jc w:val="center"/>
                    <w:rPr>
                      <w:rFonts w:hint="eastAsia" w:ascii="仿宋" w:hAnsi="仿宋" w:eastAsia="仿宋" w:cs="仿宋"/>
                      <w:b/>
                      <w:u w:val="single"/>
                    </w:rPr>
                  </w:pPr>
                </w:p>
              </w:tc>
            </w:tr>
            <w:tr w14:paraId="2FAD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905" w:type="dxa"/>
                  <w:noWrap w:val="0"/>
                  <w:vAlign w:val="center"/>
                </w:tcPr>
                <w:p w14:paraId="3DA62B59">
                  <w:pPr>
                    <w:jc w:val="center"/>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DA001/</w:t>
                  </w:r>
                  <w:r>
                    <w:rPr>
                      <w:rFonts w:hint="eastAsia" w:cs="Times New Roman"/>
                      <w:u w:val="single"/>
                      <w:lang w:val="en-US" w:eastAsia="zh-CN"/>
                    </w:rPr>
                    <w:t>熔炼、浇注</w:t>
                  </w:r>
                  <w:r>
                    <w:rPr>
                      <w:rFonts w:hint="eastAsia" w:ascii="Times New Roman" w:hAnsi="Times New Roman" w:eastAsia="宋体" w:cs="Times New Roman"/>
                      <w:u w:val="single"/>
                      <w:lang w:val="en-US" w:eastAsia="zh-CN"/>
                    </w:rPr>
                    <w:t>废气排放口</w:t>
                  </w:r>
                </w:p>
              </w:tc>
              <w:tc>
                <w:tcPr>
                  <w:tcW w:w="754" w:type="dxa"/>
                  <w:noWrap w:val="0"/>
                  <w:vAlign w:val="center"/>
                </w:tcPr>
                <w:p w14:paraId="41002DF2">
                  <w:pPr>
                    <w:jc w:val="center"/>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15</w:t>
                  </w:r>
                </w:p>
              </w:tc>
              <w:tc>
                <w:tcPr>
                  <w:tcW w:w="1060" w:type="dxa"/>
                  <w:noWrap w:val="0"/>
                  <w:vAlign w:val="center"/>
                </w:tcPr>
                <w:p w14:paraId="4239B04B">
                  <w:pPr>
                    <w:jc w:val="center"/>
                    <w:rPr>
                      <w:rFonts w:hint="eastAsia" w:ascii="Times New Roman" w:hAnsi="Times New Roman" w:eastAsia="宋体" w:cs="Times New Roman"/>
                      <w:highlight w:val="none"/>
                      <w:u w:val="single"/>
                      <w:lang w:val="en-US" w:eastAsia="zh-CN"/>
                    </w:rPr>
                  </w:pPr>
                  <w:r>
                    <w:rPr>
                      <w:rFonts w:hint="eastAsia" w:ascii="Times New Roman" w:hAnsi="Times New Roman" w:eastAsia="宋体" w:cs="Times New Roman"/>
                      <w:highlight w:val="none"/>
                      <w:u w:val="single"/>
                      <w:lang w:val="en-US" w:eastAsia="zh-CN"/>
                    </w:rPr>
                    <w:t>0.3</w:t>
                  </w:r>
                </w:p>
              </w:tc>
              <w:tc>
                <w:tcPr>
                  <w:tcW w:w="866" w:type="dxa"/>
                  <w:noWrap w:val="0"/>
                  <w:vAlign w:val="center"/>
                </w:tcPr>
                <w:p w14:paraId="7904B5AB">
                  <w:pPr>
                    <w:jc w:val="center"/>
                    <w:rPr>
                      <w:rFonts w:hint="default" w:ascii="Times New Roman" w:hAnsi="Times New Roman" w:eastAsia="宋体" w:cs="Times New Roman"/>
                      <w:highlight w:val="none"/>
                      <w:u w:val="single"/>
                      <w:lang w:val="en-US" w:eastAsia="zh-CN"/>
                    </w:rPr>
                  </w:pPr>
                  <w:r>
                    <w:rPr>
                      <w:rFonts w:hint="eastAsia" w:cs="Times New Roman"/>
                      <w:highlight w:val="none"/>
                      <w:u w:val="single"/>
                      <w:lang w:val="en-US" w:eastAsia="zh-CN"/>
                    </w:rPr>
                    <w:t>30-40</w:t>
                  </w:r>
                </w:p>
              </w:tc>
              <w:tc>
                <w:tcPr>
                  <w:tcW w:w="754" w:type="dxa"/>
                  <w:noWrap w:val="0"/>
                  <w:vAlign w:val="center"/>
                </w:tcPr>
                <w:p w14:paraId="00815931">
                  <w:pPr>
                    <w:jc w:val="center"/>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一般排放口</w:t>
                  </w:r>
                </w:p>
              </w:tc>
              <w:tc>
                <w:tcPr>
                  <w:tcW w:w="1182" w:type="dxa"/>
                  <w:noWrap w:val="0"/>
                  <w:vAlign w:val="center"/>
                </w:tcPr>
                <w:p w14:paraId="209C7139">
                  <w:pPr>
                    <w:jc w:val="center"/>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东经：112.401986743</w:t>
                  </w:r>
                </w:p>
                <w:p w14:paraId="0B83BAC6">
                  <w:pPr>
                    <w:jc w:val="center"/>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北纬：28.551326995</w:t>
                  </w:r>
                </w:p>
              </w:tc>
              <w:tc>
                <w:tcPr>
                  <w:tcW w:w="1975" w:type="dxa"/>
                  <w:vMerge w:val="restart"/>
                  <w:noWrap w:val="0"/>
                  <w:vAlign w:val="top"/>
                </w:tcPr>
                <w:p w14:paraId="29A33566">
                  <w:pPr>
                    <w:adjustRightInd w:val="0"/>
                    <w:snapToGrid w:val="0"/>
                    <w:jc w:val="center"/>
                    <w:rPr>
                      <w:rFonts w:hint="eastAsia" w:ascii="仿宋" w:hAnsi="仿宋" w:eastAsia="仿宋" w:cs="仿宋"/>
                      <w:bCs/>
                      <w:kern w:val="21"/>
                      <w:szCs w:val="21"/>
                      <w:u w:val="single"/>
                    </w:rPr>
                  </w:pPr>
                  <w:r>
                    <w:rPr>
                      <w:rFonts w:hint="eastAsia" w:ascii="Times New Roman" w:hAnsi="Times New Roman" w:eastAsia="宋体" w:cs="Times New Roman"/>
                      <w:u w:val="single"/>
                      <w:lang w:val="en-US" w:eastAsia="zh-CN"/>
                    </w:rPr>
                    <w:t>《铸造工业大气污染物排放标准》（GB39726-2020）表1大气污染物排放限值《大气污染物综合排放标准》（GB16297-1996）新污染源大气污染物排放二级标准</w:t>
                  </w:r>
                </w:p>
              </w:tc>
            </w:tr>
            <w:tr w14:paraId="783A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905" w:type="dxa"/>
                  <w:noWrap w:val="0"/>
                  <w:vAlign w:val="center"/>
                </w:tcPr>
                <w:p w14:paraId="798395FA">
                  <w:pPr>
                    <w:jc w:val="center"/>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DA002/</w:t>
                  </w:r>
                  <w:r>
                    <w:rPr>
                      <w:rFonts w:hint="eastAsia" w:cs="Times New Roman"/>
                      <w:u w:val="single"/>
                      <w:lang w:val="en-US" w:eastAsia="zh-CN"/>
                    </w:rPr>
                    <w:t>混砂、造型、制芯</w:t>
                  </w:r>
                  <w:r>
                    <w:rPr>
                      <w:rFonts w:hint="eastAsia" w:ascii="Times New Roman" w:hAnsi="Times New Roman" w:eastAsia="宋体" w:cs="Times New Roman"/>
                      <w:u w:val="single"/>
                      <w:lang w:val="en-US" w:eastAsia="zh-CN"/>
                    </w:rPr>
                    <w:t>废气排放口</w:t>
                  </w:r>
                </w:p>
              </w:tc>
              <w:tc>
                <w:tcPr>
                  <w:tcW w:w="754" w:type="dxa"/>
                  <w:noWrap w:val="0"/>
                  <w:vAlign w:val="center"/>
                </w:tcPr>
                <w:p w14:paraId="60922ECC">
                  <w:pPr>
                    <w:jc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15</w:t>
                  </w:r>
                </w:p>
              </w:tc>
              <w:tc>
                <w:tcPr>
                  <w:tcW w:w="1060" w:type="dxa"/>
                  <w:noWrap w:val="0"/>
                  <w:vAlign w:val="center"/>
                </w:tcPr>
                <w:p w14:paraId="462BAFEF">
                  <w:pPr>
                    <w:jc w:val="center"/>
                    <w:rPr>
                      <w:rFonts w:hint="eastAsia" w:ascii="Times New Roman" w:hAnsi="Times New Roman" w:eastAsia="宋体" w:cs="Times New Roman"/>
                      <w:highlight w:val="none"/>
                      <w:u w:val="single"/>
                      <w:lang w:val="en-US" w:eastAsia="zh-CN"/>
                    </w:rPr>
                  </w:pPr>
                  <w:r>
                    <w:rPr>
                      <w:rFonts w:hint="eastAsia" w:ascii="Times New Roman" w:hAnsi="Times New Roman" w:eastAsia="宋体" w:cs="Times New Roman"/>
                      <w:highlight w:val="none"/>
                      <w:u w:val="single"/>
                      <w:lang w:val="en-US" w:eastAsia="zh-CN"/>
                    </w:rPr>
                    <w:t>0.3</w:t>
                  </w:r>
                </w:p>
              </w:tc>
              <w:tc>
                <w:tcPr>
                  <w:tcW w:w="866" w:type="dxa"/>
                  <w:noWrap w:val="0"/>
                  <w:vAlign w:val="center"/>
                </w:tcPr>
                <w:p w14:paraId="3050EA4A">
                  <w:pPr>
                    <w:jc w:val="center"/>
                    <w:rPr>
                      <w:rFonts w:hint="eastAsia" w:ascii="Times New Roman" w:hAnsi="Times New Roman" w:eastAsia="宋体" w:cs="Times New Roman"/>
                      <w:highlight w:val="none"/>
                      <w:u w:val="single"/>
                      <w:lang w:val="en-US" w:eastAsia="zh-CN"/>
                    </w:rPr>
                  </w:pPr>
                  <w:r>
                    <w:rPr>
                      <w:rFonts w:hint="eastAsia" w:cs="Times New Roman"/>
                      <w:highlight w:val="none"/>
                      <w:u w:val="single"/>
                      <w:lang w:val="en-US" w:eastAsia="zh-CN"/>
                    </w:rPr>
                    <w:t>30-40</w:t>
                  </w:r>
                </w:p>
              </w:tc>
              <w:tc>
                <w:tcPr>
                  <w:tcW w:w="754" w:type="dxa"/>
                  <w:noWrap w:val="0"/>
                  <w:vAlign w:val="center"/>
                </w:tcPr>
                <w:p w14:paraId="4BB9D1F8">
                  <w:pPr>
                    <w:jc w:val="center"/>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一般排放口</w:t>
                  </w:r>
                </w:p>
              </w:tc>
              <w:tc>
                <w:tcPr>
                  <w:tcW w:w="1182" w:type="dxa"/>
                  <w:noWrap w:val="0"/>
                  <w:vAlign w:val="center"/>
                </w:tcPr>
                <w:p w14:paraId="1DC6E5ED">
                  <w:pPr>
                    <w:jc w:val="center"/>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东经：112.401986743</w:t>
                  </w:r>
                </w:p>
                <w:p w14:paraId="1C31CD43">
                  <w:pPr>
                    <w:jc w:val="center"/>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北纬：28.551326995</w:t>
                  </w:r>
                </w:p>
              </w:tc>
              <w:tc>
                <w:tcPr>
                  <w:tcW w:w="1975" w:type="dxa"/>
                  <w:vMerge w:val="continue"/>
                  <w:noWrap w:val="0"/>
                  <w:vAlign w:val="top"/>
                </w:tcPr>
                <w:p w14:paraId="177FBE0C">
                  <w:pPr>
                    <w:adjustRightInd w:val="0"/>
                    <w:snapToGrid w:val="0"/>
                    <w:jc w:val="center"/>
                    <w:rPr>
                      <w:rFonts w:hint="eastAsia" w:ascii="仿宋" w:hAnsi="仿宋" w:eastAsia="仿宋" w:cs="仿宋"/>
                      <w:bCs/>
                      <w:kern w:val="21"/>
                      <w:szCs w:val="21"/>
                      <w:u w:val="single"/>
                    </w:rPr>
                  </w:pPr>
                </w:p>
              </w:tc>
            </w:tr>
          </w:tbl>
          <w:p w14:paraId="61F3BE09">
            <w:pPr>
              <w:numPr>
                <w:ilvl w:val="0"/>
                <w:numId w:val="0"/>
              </w:numPr>
              <w:spacing w:line="360" w:lineRule="auto"/>
              <w:ind w:firstLine="482" w:firstLineChars="200"/>
              <w:rPr>
                <w:rFonts w:hint="default"/>
                <w:b/>
                <w:bCs/>
                <w:sz w:val="24"/>
                <w:szCs w:val="24"/>
                <w:u w:val="single"/>
                <w:lang w:val="en-US" w:eastAsia="zh-CN"/>
              </w:rPr>
            </w:pPr>
            <w:r>
              <w:rPr>
                <w:rFonts w:hint="eastAsia"/>
                <w:b/>
                <w:bCs/>
                <w:sz w:val="24"/>
                <w:szCs w:val="24"/>
                <w:u w:val="single"/>
                <w:lang w:val="en-US" w:eastAsia="zh-CN"/>
              </w:rPr>
              <w:t>4、废气污染源监测计划</w:t>
            </w:r>
          </w:p>
          <w:p w14:paraId="0467C838">
            <w:pPr>
              <w:spacing w:line="360" w:lineRule="auto"/>
              <w:ind w:firstLine="480" w:firstLineChars="200"/>
              <w:rPr>
                <w:rFonts w:hint="eastAsia"/>
                <w:sz w:val="24"/>
                <w:u w:val="single"/>
                <w:lang w:val="en-US" w:eastAsia="zh-CN"/>
              </w:rPr>
            </w:pPr>
            <w:r>
              <w:rPr>
                <w:rFonts w:hint="eastAsia"/>
                <w:sz w:val="24"/>
                <w:u w:val="single"/>
                <w:lang w:val="en-US" w:eastAsia="zh-CN"/>
              </w:rPr>
              <w:t>根据依据《排污单位自行监测技术指南总则》（HJ819-2017）、《排污许可证申请与核发技术规范-金属铸造工业》（HJ1115—2020）等要求开展自行监测，本项目营运期环境监测计划详见下表。</w:t>
            </w:r>
          </w:p>
          <w:p w14:paraId="7A1F686A">
            <w:pPr>
              <w:ind w:firstLine="422" w:firstLineChars="200"/>
              <w:jc w:val="center"/>
              <w:rPr>
                <w:b/>
                <w:bCs/>
                <w:u w:val="single"/>
              </w:rPr>
            </w:pPr>
            <w:r>
              <w:rPr>
                <w:rFonts w:hint="eastAsia"/>
                <w:b/>
                <w:bCs/>
                <w:u w:val="single"/>
              </w:rPr>
              <w:t>表4-</w:t>
            </w:r>
            <w:r>
              <w:rPr>
                <w:rFonts w:hint="eastAsia"/>
                <w:b/>
                <w:bCs/>
                <w:u w:val="single"/>
                <w:lang w:val="en-US" w:eastAsia="zh-CN"/>
              </w:rPr>
              <w:t>8</w:t>
            </w:r>
            <w:r>
              <w:rPr>
                <w:rFonts w:hint="eastAsia"/>
                <w:b/>
                <w:bCs/>
                <w:u w:val="single"/>
              </w:rPr>
              <w:t xml:space="preserve">   废气监测要求一览表</w:t>
            </w:r>
          </w:p>
          <w:tbl>
            <w:tblPr>
              <w:tblStyle w:val="21"/>
              <w:tblW w:w="74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4"/>
              <w:gridCol w:w="1374"/>
              <w:gridCol w:w="1104"/>
              <w:gridCol w:w="846"/>
              <w:gridCol w:w="770"/>
              <w:gridCol w:w="2679"/>
            </w:tblGrid>
            <w:tr w14:paraId="6B209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684" w:type="dxa"/>
                  <w:noWrap w:val="0"/>
                  <w:vAlign w:val="center"/>
                </w:tcPr>
                <w:p w14:paraId="0AC8DD90">
                  <w:pPr>
                    <w:jc w:val="center"/>
                    <w:rPr>
                      <w:b/>
                      <w:bCs/>
                      <w:u w:val="single"/>
                    </w:rPr>
                  </w:pPr>
                  <w:r>
                    <w:rPr>
                      <w:rFonts w:hint="eastAsia"/>
                      <w:b/>
                      <w:bCs/>
                      <w:u w:val="single"/>
                    </w:rPr>
                    <w:t>监测类别</w:t>
                  </w:r>
                </w:p>
              </w:tc>
              <w:tc>
                <w:tcPr>
                  <w:tcW w:w="1374" w:type="dxa"/>
                  <w:noWrap w:val="0"/>
                  <w:vAlign w:val="center"/>
                </w:tcPr>
                <w:p w14:paraId="2DCC5DBA">
                  <w:pPr>
                    <w:jc w:val="center"/>
                    <w:rPr>
                      <w:b/>
                      <w:bCs/>
                      <w:u w:val="single"/>
                    </w:rPr>
                  </w:pPr>
                  <w:r>
                    <w:rPr>
                      <w:rFonts w:hint="eastAsia"/>
                      <w:b/>
                      <w:bCs/>
                      <w:u w:val="single"/>
                    </w:rPr>
                    <w:t>生产</w:t>
                  </w:r>
                </w:p>
                <w:p w14:paraId="70DE1DAF">
                  <w:pPr>
                    <w:jc w:val="center"/>
                    <w:rPr>
                      <w:b/>
                      <w:bCs/>
                      <w:u w:val="single"/>
                    </w:rPr>
                  </w:pPr>
                  <w:r>
                    <w:rPr>
                      <w:rFonts w:hint="eastAsia"/>
                      <w:b/>
                      <w:bCs/>
                      <w:u w:val="single"/>
                    </w:rPr>
                    <w:t>设施</w:t>
                  </w:r>
                </w:p>
              </w:tc>
              <w:tc>
                <w:tcPr>
                  <w:tcW w:w="1104" w:type="dxa"/>
                  <w:noWrap w:val="0"/>
                  <w:vAlign w:val="center"/>
                </w:tcPr>
                <w:p w14:paraId="7555F2B0">
                  <w:pPr>
                    <w:jc w:val="center"/>
                    <w:rPr>
                      <w:b/>
                      <w:bCs/>
                      <w:u w:val="single"/>
                    </w:rPr>
                  </w:pPr>
                  <w:r>
                    <w:rPr>
                      <w:rFonts w:hint="eastAsia"/>
                      <w:b/>
                      <w:bCs/>
                      <w:u w:val="single"/>
                    </w:rPr>
                    <w:t>监测点位</w:t>
                  </w:r>
                </w:p>
              </w:tc>
              <w:tc>
                <w:tcPr>
                  <w:tcW w:w="846" w:type="dxa"/>
                  <w:noWrap w:val="0"/>
                  <w:vAlign w:val="center"/>
                </w:tcPr>
                <w:p w14:paraId="16A5CC4B">
                  <w:pPr>
                    <w:jc w:val="center"/>
                    <w:rPr>
                      <w:b/>
                      <w:bCs/>
                      <w:u w:val="single"/>
                    </w:rPr>
                  </w:pPr>
                  <w:r>
                    <w:rPr>
                      <w:rFonts w:hint="eastAsia"/>
                      <w:b/>
                      <w:bCs/>
                      <w:u w:val="single"/>
                    </w:rPr>
                    <w:t>监测项目</w:t>
                  </w:r>
                </w:p>
              </w:tc>
              <w:tc>
                <w:tcPr>
                  <w:tcW w:w="770" w:type="dxa"/>
                  <w:noWrap w:val="0"/>
                  <w:vAlign w:val="center"/>
                </w:tcPr>
                <w:p w14:paraId="59472360">
                  <w:pPr>
                    <w:jc w:val="center"/>
                    <w:rPr>
                      <w:b/>
                      <w:bCs/>
                      <w:u w:val="single"/>
                    </w:rPr>
                  </w:pPr>
                  <w:r>
                    <w:rPr>
                      <w:rFonts w:hint="eastAsia"/>
                      <w:b/>
                      <w:bCs/>
                      <w:u w:val="single"/>
                    </w:rPr>
                    <w:t>监测</w:t>
                  </w:r>
                </w:p>
                <w:p w14:paraId="300FB1DE">
                  <w:pPr>
                    <w:jc w:val="center"/>
                    <w:rPr>
                      <w:b/>
                      <w:bCs/>
                      <w:u w:val="single"/>
                    </w:rPr>
                  </w:pPr>
                  <w:r>
                    <w:rPr>
                      <w:rFonts w:hint="eastAsia"/>
                      <w:b/>
                      <w:bCs/>
                      <w:u w:val="single"/>
                    </w:rPr>
                    <w:t>频次</w:t>
                  </w:r>
                </w:p>
              </w:tc>
              <w:tc>
                <w:tcPr>
                  <w:tcW w:w="2679" w:type="dxa"/>
                  <w:noWrap w:val="0"/>
                  <w:vAlign w:val="center"/>
                </w:tcPr>
                <w:p w14:paraId="4B13E231">
                  <w:pPr>
                    <w:jc w:val="center"/>
                    <w:rPr>
                      <w:b/>
                      <w:bCs/>
                      <w:u w:val="single"/>
                    </w:rPr>
                  </w:pPr>
                  <w:r>
                    <w:rPr>
                      <w:rFonts w:hint="eastAsia"/>
                      <w:b/>
                      <w:bCs/>
                      <w:u w:val="single"/>
                    </w:rPr>
                    <w:t>执行标准</w:t>
                  </w:r>
                </w:p>
              </w:tc>
            </w:tr>
            <w:tr w14:paraId="206EC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23" w:hRule="atLeast"/>
                <w:jc w:val="center"/>
              </w:trPr>
              <w:tc>
                <w:tcPr>
                  <w:tcW w:w="684" w:type="dxa"/>
                  <w:noWrap w:val="0"/>
                  <w:vAlign w:val="center"/>
                </w:tcPr>
                <w:p w14:paraId="6674DAD2">
                  <w:pPr>
                    <w:keepNext w:val="0"/>
                    <w:keepLines w:val="0"/>
                    <w:pageBreakBefore w:val="0"/>
                    <w:kinsoku/>
                    <w:wordWrap/>
                    <w:overflowPunct/>
                    <w:topLinePunct w:val="0"/>
                    <w:autoSpaceDE/>
                    <w:autoSpaceDN/>
                    <w:bidi w:val="0"/>
                    <w:adjustRightInd/>
                    <w:spacing w:line="240" w:lineRule="auto"/>
                    <w:jc w:val="center"/>
                    <w:textAlignment w:val="auto"/>
                    <w:rPr>
                      <w:rFonts w:hint="eastAsia" w:cs="Times New Roman"/>
                      <w:u w:val="single"/>
                      <w:lang w:val="en-US" w:eastAsia="zh-CN"/>
                    </w:rPr>
                  </w:pPr>
                  <w:r>
                    <w:rPr>
                      <w:rFonts w:hint="eastAsia" w:cs="Times New Roman"/>
                      <w:u w:val="single"/>
                      <w:lang w:val="en-US" w:eastAsia="zh-CN"/>
                    </w:rPr>
                    <w:t>有组织废气</w:t>
                  </w:r>
                </w:p>
              </w:tc>
              <w:tc>
                <w:tcPr>
                  <w:tcW w:w="1374" w:type="dxa"/>
                  <w:noWrap w:val="0"/>
                  <w:vAlign w:val="center"/>
                </w:tcPr>
                <w:p w14:paraId="5EFA2B61">
                  <w:pPr>
                    <w:keepNext w:val="0"/>
                    <w:keepLines w:val="0"/>
                    <w:pageBreakBefore w:val="0"/>
                    <w:kinsoku/>
                    <w:wordWrap/>
                    <w:overflowPunct/>
                    <w:topLinePunct w:val="0"/>
                    <w:autoSpaceDE/>
                    <w:autoSpaceDN/>
                    <w:bidi w:val="0"/>
                    <w:adjustRightInd/>
                    <w:spacing w:line="240" w:lineRule="auto"/>
                    <w:jc w:val="center"/>
                    <w:textAlignment w:val="auto"/>
                    <w:rPr>
                      <w:rFonts w:hint="eastAsia" w:cs="Times New Roman"/>
                      <w:u w:val="single"/>
                      <w:lang w:val="en-US" w:eastAsia="zh-CN"/>
                    </w:rPr>
                  </w:pPr>
                  <w:r>
                    <w:rPr>
                      <w:rFonts w:hint="eastAsia" w:cs="Times New Roman"/>
                      <w:u w:val="single"/>
                      <w:lang w:val="en-US" w:eastAsia="zh-CN"/>
                    </w:rPr>
                    <w:t>熔炼、浇注废气排放口；混砂、造型、制芯废气排放口</w:t>
                  </w:r>
                </w:p>
              </w:tc>
              <w:tc>
                <w:tcPr>
                  <w:tcW w:w="1104" w:type="dxa"/>
                  <w:noWrap w:val="0"/>
                  <w:vAlign w:val="center"/>
                </w:tcPr>
                <w:p w14:paraId="22494ADB">
                  <w:pPr>
                    <w:keepNext w:val="0"/>
                    <w:keepLines w:val="0"/>
                    <w:pageBreakBefore w:val="0"/>
                    <w:kinsoku/>
                    <w:wordWrap/>
                    <w:overflowPunct/>
                    <w:topLinePunct w:val="0"/>
                    <w:autoSpaceDE/>
                    <w:autoSpaceDN/>
                    <w:bidi w:val="0"/>
                    <w:adjustRightInd/>
                    <w:spacing w:line="240" w:lineRule="auto"/>
                    <w:jc w:val="center"/>
                    <w:textAlignment w:val="auto"/>
                    <w:rPr>
                      <w:rFonts w:hint="eastAsia" w:cs="Times New Roman"/>
                      <w:u w:val="single"/>
                      <w:lang w:val="en-US" w:eastAsia="zh-CN"/>
                    </w:rPr>
                  </w:pPr>
                  <w:r>
                    <w:rPr>
                      <w:rFonts w:hint="eastAsia" w:cs="Times New Roman"/>
                      <w:u w:val="single"/>
                      <w:lang w:val="en-US" w:eastAsia="zh-CN"/>
                    </w:rPr>
                    <w:t>DA001；DA002</w:t>
                  </w:r>
                </w:p>
              </w:tc>
              <w:tc>
                <w:tcPr>
                  <w:tcW w:w="846" w:type="dxa"/>
                  <w:noWrap w:val="0"/>
                  <w:vAlign w:val="center"/>
                </w:tcPr>
                <w:p w14:paraId="288D179B">
                  <w:pPr>
                    <w:keepNext w:val="0"/>
                    <w:keepLines w:val="0"/>
                    <w:pageBreakBefore w:val="0"/>
                    <w:kinsoku/>
                    <w:wordWrap/>
                    <w:overflowPunct/>
                    <w:topLinePunct w:val="0"/>
                    <w:autoSpaceDE/>
                    <w:autoSpaceDN/>
                    <w:bidi w:val="0"/>
                    <w:adjustRightInd/>
                    <w:spacing w:line="240" w:lineRule="auto"/>
                    <w:jc w:val="center"/>
                    <w:textAlignment w:val="auto"/>
                    <w:rPr>
                      <w:rFonts w:hint="default" w:cs="Times New Roman"/>
                      <w:u w:val="single"/>
                      <w:lang w:val="en-US" w:eastAsia="zh-CN"/>
                    </w:rPr>
                  </w:pPr>
                  <w:r>
                    <w:rPr>
                      <w:rFonts w:hint="eastAsia" w:cs="Times New Roman"/>
                      <w:u w:val="single"/>
                      <w:lang w:val="en-US" w:eastAsia="zh-CN"/>
                    </w:rPr>
                    <w:t>颗粒物、非甲烷总烃</w:t>
                  </w:r>
                </w:p>
              </w:tc>
              <w:tc>
                <w:tcPr>
                  <w:tcW w:w="770" w:type="dxa"/>
                  <w:tcBorders>
                    <w:bottom w:val="single" w:color="auto" w:sz="4" w:space="0"/>
                  </w:tcBorders>
                  <w:noWrap w:val="0"/>
                  <w:vAlign w:val="center"/>
                </w:tcPr>
                <w:p w14:paraId="59705EAC">
                  <w:pPr>
                    <w:keepNext w:val="0"/>
                    <w:keepLines w:val="0"/>
                    <w:pageBreakBefore w:val="0"/>
                    <w:kinsoku/>
                    <w:wordWrap/>
                    <w:overflowPunct/>
                    <w:topLinePunct w:val="0"/>
                    <w:autoSpaceDE/>
                    <w:autoSpaceDN/>
                    <w:bidi w:val="0"/>
                    <w:adjustRightInd/>
                    <w:spacing w:line="240" w:lineRule="auto"/>
                    <w:jc w:val="center"/>
                    <w:textAlignment w:val="auto"/>
                    <w:rPr>
                      <w:rFonts w:hint="eastAsia" w:cs="Times New Roman"/>
                      <w:u w:val="single"/>
                      <w:lang w:val="en-US" w:eastAsia="zh-CN"/>
                    </w:rPr>
                  </w:pPr>
                  <w:r>
                    <w:rPr>
                      <w:rFonts w:hint="eastAsia" w:cs="Times New Roman"/>
                      <w:u w:val="single"/>
                      <w:lang w:val="en-US" w:eastAsia="zh-CN"/>
                    </w:rPr>
                    <w:t>1次/年</w:t>
                  </w:r>
                </w:p>
              </w:tc>
              <w:tc>
                <w:tcPr>
                  <w:tcW w:w="2679" w:type="dxa"/>
                  <w:noWrap w:val="0"/>
                  <w:vAlign w:val="center"/>
                </w:tcPr>
                <w:p w14:paraId="617CB7D1">
                  <w:pPr>
                    <w:keepNext w:val="0"/>
                    <w:keepLines w:val="0"/>
                    <w:pageBreakBefore w:val="0"/>
                    <w:kinsoku/>
                    <w:wordWrap/>
                    <w:overflowPunct/>
                    <w:topLinePunct w:val="0"/>
                    <w:autoSpaceDE/>
                    <w:autoSpaceDN/>
                    <w:bidi w:val="0"/>
                    <w:adjustRightInd/>
                    <w:spacing w:line="240" w:lineRule="auto"/>
                    <w:jc w:val="center"/>
                    <w:textAlignment w:val="auto"/>
                    <w:rPr>
                      <w:rFonts w:hint="eastAsia" w:cs="Times New Roman"/>
                      <w:u w:val="single"/>
                      <w:lang w:val="en-US" w:eastAsia="zh-CN"/>
                    </w:rPr>
                  </w:pPr>
                  <w:r>
                    <w:rPr>
                      <w:rFonts w:hint="eastAsia"/>
                      <w:u w:val="single"/>
                    </w:rPr>
                    <w:t>①</w:t>
                  </w:r>
                  <w:r>
                    <w:rPr>
                      <w:rFonts w:hint="eastAsia"/>
                      <w:u w:val="single"/>
                      <w:lang w:val="en-US" w:eastAsia="zh-CN"/>
                    </w:rPr>
                    <w:t>有</w:t>
                  </w:r>
                  <w:r>
                    <w:rPr>
                      <w:rFonts w:hint="eastAsia" w:cs="Times New Roman"/>
                      <w:u w:val="single"/>
                      <w:lang w:val="en-US" w:eastAsia="zh-CN"/>
                    </w:rPr>
                    <w:t>组织颗粒物参照执行《铸造工业大气污染物排放标准》（GB39726-2020）表1大气污染物排放限值</w:t>
                  </w:r>
                </w:p>
                <w:p w14:paraId="33EFA7FE">
                  <w:pPr>
                    <w:keepNext w:val="0"/>
                    <w:keepLines w:val="0"/>
                    <w:pageBreakBefore w:val="0"/>
                    <w:kinsoku/>
                    <w:wordWrap/>
                    <w:overflowPunct/>
                    <w:topLinePunct w:val="0"/>
                    <w:autoSpaceDE/>
                    <w:autoSpaceDN/>
                    <w:bidi w:val="0"/>
                    <w:adjustRightInd/>
                    <w:spacing w:line="240" w:lineRule="auto"/>
                    <w:jc w:val="center"/>
                    <w:textAlignment w:val="auto"/>
                    <w:rPr>
                      <w:rFonts w:hint="eastAsia" w:cs="Times New Roman"/>
                      <w:u w:val="single"/>
                      <w:lang w:val="en-US" w:eastAsia="zh-CN"/>
                    </w:rPr>
                  </w:pPr>
                  <w:r>
                    <w:rPr>
                      <w:rFonts w:hint="eastAsia" w:cs="Times New Roman"/>
                      <w:u w:val="single"/>
                      <w:lang w:val="en-US" w:eastAsia="zh-CN"/>
                    </w:rPr>
                    <w:t>②有组织非甲烷总烃《大气污染物综合排放标准》（GB16297-1996）新污染源大气污染物排放二级标准</w:t>
                  </w:r>
                </w:p>
              </w:tc>
            </w:tr>
            <w:tr w14:paraId="2BE22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6" w:hRule="atLeast"/>
                <w:jc w:val="center"/>
              </w:trPr>
              <w:tc>
                <w:tcPr>
                  <w:tcW w:w="684" w:type="dxa"/>
                  <w:noWrap w:val="0"/>
                  <w:vAlign w:val="center"/>
                </w:tcPr>
                <w:p w14:paraId="66D8B5CE">
                  <w:pPr>
                    <w:keepNext w:val="0"/>
                    <w:keepLines w:val="0"/>
                    <w:pageBreakBefore w:val="0"/>
                    <w:kinsoku/>
                    <w:wordWrap/>
                    <w:overflowPunct/>
                    <w:topLinePunct w:val="0"/>
                    <w:autoSpaceDE/>
                    <w:autoSpaceDN/>
                    <w:bidi w:val="0"/>
                    <w:adjustRightInd/>
                    <w:spacing w:line="240" w:lineRule="auto"/>
                    <w:jc w:val="center"/>
                    <w:textAlignment w:val="auto"/>
                    <w:rPr>
                      <w:u w:val="single"/>
                    </w:rPr>
                  </w:pPr>
                  <w:r>
                    <w:rPr>
                      <w:rFonts w:hint="eastAsia"/>
                      <w:u w:val="single"/>
                    </w:rPr>
                    <w:t>无组织废气</w:t>
                  </w:r>
                </w:p>
              </w:tc>
              <w:tc>
                <w:tcPr>
                  <w:tcW w:w="1374" w:type="dxa"/>
                  <w:noWrap w:val="0"/>
                  <w:vAlign w:val="center"/>
                </w:tcPr>
                <w:p w14:paraId="6A45EBDB">
                  <w:pPr>
                    <w:keepNext w:val="0"/>
                    <w:keepLines w:val="0"/>
                    <w:pageBreakBefore w:val="0"/>
                    <w:kinsoku/>
                    <w:wordWrap/>
                    <w:overflowPunct/>
                    <w:topLinePunct w:val="0"/>
                    <w:autoSpaceDE/>
                    <w:autoSpaceDN/>
                    <w:bidi w:val="0"/>
                    <w:adjustRightInd/>
                    <w:spacing w:line="240" w:lineRule="auto"/>
                    <w:jc w:val="center"/>
                    <w:textAlignment w:val="auto"/>
                    <w:rPr>
                      <w:rFonts w:hint="default" w:eastAsia="宋体"/>
                      <w:u w:val="single"/>
                      <w:lang w:val="en-US" w:eastAsia="zh-CN"/>
                    </w:rPr>
                  </w:pPr>
                  <w:r>
                    <w:rPr>
                      <w:rFonts w:hint="eastAsia"/>
                      <w:u w:val="single"/>
                      <w:lang w:val="en-US" w:eastAsia="zh-CN"/>
                    </w:rPr>
                    <w:t>抛丸机、落砂工序</w:t>
                  </w:r>
                </w:p>
              </w:tc>
              <w:tc>
                <w:tcPr>
                  <w:tcW w:w="1104" w:type="dxa"/>
                  <w:noWrap w:val="0"/>
                  <w:vAlign w:val="center"/>
                </w:tcPr>
                <w:p w14:paraId="2D854989">
                  <w:pPr>
                    <w:pStyle w:val="10"/>
                    <w:keepNext w:val="0"/>
                    <w:keepLines w:val="0"/>
                    <w:pageBreakBefore w:val="0"/>
                    <w:kinsoku/>
                    <w:wordWrap/>
                    <w:overflowPunct/>
                    <w:topLinePunct w:val="0"/>
                    <w:autoSpaceDE/>
                    <w:autoSpaceDN/>
                    <w:bidi w:val="0"/>
                    <w:adjustRightInd/>
                    <w:spacing w:line="240" w:lineRule="auto"/>
                    <w:jc w:val="center"/>
                    <w:textAlignment w:val="auto"/>
                    <w:rPr>
                      <w:rFonts w:hint="eastAsia" w:eastAsia="宋体"/>
                      <w:u w:val="single"/>
                      <w:lang w:val="en-US" w:eastAsia="zh-CN"/>
                    </w:rPr>
                  </w:pPr>
                  <w:r>
                    <w:rPr>
                      <w:rFonts w:hint="eastAsia" w:ascii="Times New Roman" w:hAnsi="Times New Roman" w:eastAsia="宋体" w:cs="Times New Roman"/>
                      <w:kern w:val="2"/>
                      <w:sz w:val="21"/>
                      <w:szCs w:val="22"/>
                      <w:u w:val="single"/>
                      <w:lang w:val="en-US" w:eastAsia="zh-CN" w:bidi="ar-SA"/>
                    </w:rPr>
                    <w:t>厂区（在厂房外</w:t>
                  </w:r>
                  <w:r>
                    <w:rPr>
                      <w:rFonts w:hint="eastAsia" w:cs="Times New Roman"/>
                      <w:kern w:val="2"/>
                      <w:sz w:val="21"/>
                      <w:szCs w:val="22"/>
                      <w:u w:val="single"/>
                      <w:lang w:val="en-US" w:eastAsia="zh-CN" w:bidi="ar-SA"/>
                    </w:rPr>
                    <w:t>设置监控点</w:t>
                  </w:r>
                  <w:r>
                    <w:rPr>
                      <w:rFonts w:hint="eastAsia" w:ascii="Times New Roman" w:hAnsi="Times New Roman" w:eastAsia="宋体" w:cs="Times New Roman"/>
                      <w:kern w:val="2"/>
                      <w:sz w:val="21"/>
                      <w:szCs w:val="22"/>
                      <w:u w:val="single"/>
                      <w:lang w:val="en-US" w:eastAsia="zh-CN" w:bidi="ar-SA"/>
                    </w:rPr>
                    <w:t>）</w:t>
                  </w:r>
                </w:p>
              </w:tc>
              <w:tc>
                <w:tcPr>
                  <w:tcW w:w="846" w:type="dxa"/>
                  <w:noWrap w:val="0"/>
                  <w:vAlign w:val="center"/>
                </w:tcPr>
                <w:p w14:paraId="0D404626">
                  <w:pPr>
                    <w:keepNext w:val="0"/>
                    <w:keepLines w:val="0"/>
                    <w:pageBreakBefore w:val="0"/>
                    <w:kinsoku/>
                    <w:wordWrap/>
                    <w:overflowPunct/>
                    <w:topLinePunct w:val="0"/>
                    <w:autoSpaceDE/>
                    <w:autoSpaceDN/>
                    <w:bidi w:val="0"/>
                    <w:adjustRightInd/>
                    <w:spacing w:line="240" w:lineRule="auto"/>
                    <w:jc w:val="center"/>
                    <w:textAlignment w:val="auto"/>
                    <w:rPr>
                      <w:rFonts w:hint="eastAsia" w:eastAsia="宋体"/>
                      <w:u w:val="single"/>
                      <w:lang w:val="en-US" w:eastAsia="zh-CN"/>
                    </w:rPr>
                  </w:pPr>
                  <w:r>
                    <w:rPr>
                      <w:rFonts w:hint="eastAsia"/>
                      <w:u w:val="single"/>
                    </w:rPr>
                    <w:t>颗粒物、</w:t>
                  </w:r>
                  <w:r>
                    <w:rPr>
                      <w:rFonts w:hint="eastAsia"/>
                      <w:u w:val="single"/>
                      <w:lang w:val="en-US" w:eastAsia="zh-CN"/>
                    </w:rPr>
                    <w:t>非甲烷总烃</w:t>
                  </w:r>
                </w:p>
              </w:tc>
              <w:tc>
                <w:tcPr>
                  <w:tcW w:w="770" w:type="dxa"/>
                  <w:noWrap w:val="0"/>
                  <w:vAlign w:val="center"/>
                </w:tcPr>
                <w:p w14:paraId="3DA7B87C">
                  <w:pPr>
                    <w:keepNext w:val="0"/>
                    <w:keepLines w:val="0"/>
                    <w:pageBreakBefore w:val="0"/>
                    <w:kinsoku/>
                    <w:wordWrap/>
                    <w:overflowPunct/>
                    <w:topLinePunct w:val="0"/>
                    <w:autoSpaceDE/>
                    <w:autoSpaceDN/>
                    <w:bidi w:val="0"/>
                    <w:adjustRightInd/>
                    <w:spacing w:line="240" w:lineRule="auto"/>
                    <w:jc w:val="center"/>
                    <w:textAlignment w:val="auto"/>
                    <w:rPr>
                      <w:u w:val="single"/>
                    </w:rPr>
                  </w:pPr>
                  <w:r>
                    <w:rPr>
                      <w:rFonts w:hint="eastAsia" w:cs="Times New Roman"/>
                      <w:u w:val="single"/>
                      <w:lang w:val="en-US" w:eastAsia="zh-CN"/>
                    </w:rPr>
                    <w:t>1次/年</w:t>
                  </w:r>
                </w:p>
              </w:tc>
              <w:tc>
                <w:tcPr>
                  <w:tcW w:w="2679" w:type="dxa"/>
                  <w:noWrap w:val="0"/>
                  <w:vAlign w:val="center"/>
                </w:tcPr>
                <w:p w14:paraId="1DD1F679">
                  <w:pPr>
                    <w:keepNext w:val="0"/>
                    <w:keepLines w:val="0"/>
                    <w:pageBreakBefore w:val="0"/>
                    <w:kinsoku/>
                    <w:wordWrap/>
                    <w:overflowPunct/>
                    <w:topLinePunct w:val="0"/>
                    <w:autoSpaceDE/>
                    <w:autoSpaceDN/>
                    <w:bidi w:val="0"/>
                    <w:adjustRightInd/>
                    <w:spacing w:line="240" w:lineRule="auto"/>
                    <w:jc w:val="center"/>
                    <w:textAlignment w:val="auto"/>
                    <w:rPr>
                      <w:rFonts w:hint="eastAsia" w:cs="Times New Roman"/>
                      <w:u w:val="single"/>
                      <w:lang w:val="en-US" w:eastAsia="zh-CN"/>
                    </w:rPr>
                  </w:pPr>
                  <w:r>
                    <w:rPr>
                      <w:rFonts w:hint="eastAsia"/>
                      <w:u w:val="single"/>
                    </w:rPr>
                    <w:t>①无</w:t>
                  </w:r>
                  <w:r>
                    <w:rPr>
                      <w:rFonts w:hint="eastAsia" w:cs="Times New Roman"/>
                      <w:u w:val="single"/>
                      <w:lang w:val="en-US" w:eastAsia="zh-CN"/>
                    </w:rPr>
                    <w:t>组织颗粒物执行《铸造工业大气污染物排放标准》（GB39726-2020）附录A限值；</w:t>
                  </w:r>
                </w:p>
                <w:p w14:paraId="3F8AE7CE">
                  <w:pPr>
                    <w:keepNext w:val="0"/>
                    <w:keepLines w:val="0"/>
                    <w:pageBreakBefore w:val="0"/>
                    <w:kinsoku/>
                    <w:wordWrap/>
                    <w:overflowPunct/>
                    <w:topLinePunct w:val="0"/>
                    <w:autoSpaceDE/>
                    <w:autoSpaceDN/>
                    <w:bidi w:val="0"/>
                    <w:adjustRightInd/>
                    <w:spacing w:line="240" w:lineRule="auto"/>
                    <w:jc w:val="center"/>
                    <w:textAlignment w:val="auto"/>
                    <w:rPr>
                      <w:u w:val="single"/>
                    </w:rPr>
                  </w:pPr>
                  <w:r>
                    <w:rPr>
                      <w:rFonts w:hint="eastAsia" w:cs="Times New Roman"/>
                      <w:u w:val="single"/>
                      <w:lang w:val="en-US" w:eastAsia="zh-CN"/>
                    </w:rPr>
                    <w:t>②无组织非甲烷总烃执行《大气污染物综合排放标准》（GB16297-1996）中的无组织排放监控浓度限值</w:t>
                  </w:r>
                </w:p>
              </w:tc>
            </w:tr>
          </w:tbl>
          <w:p w14:paraId="4CE6890F">
            <w:pPr>
              <w:numPr>
                <w:ilvl w:val="0"/>
                <w:numId w:val="0"/>
              </w:numPr>
              <w:spacing w:line="360" w:lineRule="auto"/>
              <w:ind w:firstLine="482" w:firstLineChars="200"/>
              <w:rPr>
                <w:rFonts w:hint="eastAsia" w:ascii="Times New Roman" w:hAnsi="Times New Roman" w:eastAsia="宋体" w:cs="Times New Roman"/>
                <w:b/>
                <w:bCs/>
                <w:sz w:val="24"/>
                <w:szCs w:val="24"/>
                <w:u w:val="single"/>
                <w:lang w:val="en-US" w:eastAsia="zh-CN"/>
              </w:rPr>
            </w:pPr>
            <w:r>
              <w:rPr>
                <w:rFonts w:hint="eastAsia" w:ascii="Times New Roman" w:hAnsi="Times New Roman" w:eastAsia="宋体" w:cs="Times New Roman"/>
                <w:b/>
                <w:bCs/>
                <w:sz w:val="24"/>
                <w:szCs w:val="24"/>
                <w:u w:val="single"/>
                <w:lang w:val="en-US" w:eastAsia="zh-CN"/>
              </w:rPr>
              <w:t>4.2.2运营期废水环境影响及保护措施</w:t>
            </w:r>
          </w:p>
          <w:p w14:paraId="2496126E">
            <w:pPr>
              <w:numPr>
                <w:ilvl w:val="0"/>
                <w:numId w:val="0"/>
              </w:numPr>
              <w:spacing w:line="360" w:lineRule="auto"/>
              <w:ind w:firstLine="482" w:firstLineChars="200"/>
              <w:rPr>
                <w:rFonts w:hint="default"/>
                <w:b/>
                <w:bCs/>
                <w:sz w:val="24"/>
                <w:szCs w:val="24"/>
                <w:u w:val="single"/>
                <w:lang w:val="en-US" w:eastAsia="zh-CN"/>
              </w:rPr>
            </w:pPr>
            <w:r>
              <w:rPr>
                <w:rFonts w:hint="eastAsia"/>
                <w:b/>
                <w:bCs/>
                <w:sz w:val="24"/>
                <w:szCs w:val="24"/>
                <w:u w:val="single"/>
                <w:lang w:val="en-US" w:eastAsia="zh-CN"/>
              </w:rPr>
              <w:t>1、废水污染物产排情况</w:t>
            </w:r>
          </w:p>
          <w:p w14:paraId="653DE611">
            <w:pPr>
              <w:spacing w:line="360" w:lineRule="auto"/>
              <w:ind w:firstLine="480" w:firstLineChars="200"/>
              <w:rPr>
                <w:rFonts w:hint="eastAsia" w:ascii="Times New Roman" w:hAnsi="Times New Roman" w:eastAsia="宋体" w:cs="Times New Roman"/>
                <w:sz w:val="24"/>
                <w:u w:val="single"/>
                <w:lang w:val="en-US" w:eastAsia="zh-CN"/>
              </w:rPr>
            </w:pPr>
            <w:r>
              <w:rPr>
                <w:rFonts w:hint="eastAsia" w:ascii="Times New Roman" w:hAnsi="Times New Roman" w:eastAsia="宋体" w:cs="Times New Roman"/>
                <w:sz w:val="24"/>
                <w:u w:val="single"/>
                <w:lang w:val="en-US" w:eastAsia="zh-CN"/>
              </w:rPr>
              <w:t>本项目无生产废水产生，只有生活污水。本项目生活污水产生量608t/a，生活</w:t>
            </w:r>
            <w:r>
              <w:rPr>
                <w:color w:val="auto"/>
                <w:sz w:val="24"/>
                <w:highlight w:val="none"/>
                <w:u w:val="single"/>
              </w:rPr>
              <w:t>污水中主要污染物为COD、BOD</w:t>
            </w:r>
            <w:r>
              <w:rPr>
                <w:color w:val="auto"/>
                <w:sz w:val="24"/>
                <w:highlight w:val="none"/>
                <w:u w:val="single"/>
                <w:vertAlign w:val="subscript"/>
              </w:rPr>
              <w:t>5</w:t>
            </w:r>
            <w:r>
              <w:rPr>
                <w:color w:val="auto"/>
                <w:sz w:val="24"/>
                <w:highlight w:val="none"/>
                <w:u w:val="single"/>
              </w:rPr>
              <w:t>、氨氮、SS、动植物油等，其浓度一般分别约为250mg/L、1</w:t>
            </w:r>
            <w:r>
              <w:rPr>
                <w:rFonts w:hint="eastAsia"/>
                <w:color w:val="auto"/>
                <w:sz w:val="24"/>
                <w:highlight w:val="none"/>
                <w:u w:val="single"/>
              </w:rPr>
              <w:t>8</w:t>
            </w:r>
            <w:r>
              <w:rPr>
                <w:color w:val="auto"/>
                <w:sz w:val="24"/>
                <w:highlight w:val="none"/>
                <w:u w:val="single"/>
              </w:rPr>
              <w:t>0mg/L、</w:t>
            </w:r>
            <w:r>
              <w:rPr>
                <w:rFonts w:hint="eastAsia"/>
                <w:color w:val="auto"/>
                <w:sz w:val="24"/>
                <w:highlight w:val="none"/>
                <w:u w:val="single"/>
              </w:rPr>
              <w:t>30</w:t>
            </w:r>
            <w:r>
              <w:rPr>
                <w:color w:val="auto"/>
                <w:sz w:val="24"/>
                <w:highlight w:val="none"/>
                <w:u w:val="single"/>
              </w:rPr>
              <w:t>mg/L、</w:t>
            </w:r>
            <w:r>
              <w:rPr>
                <w:rFonts w:hint="eastAsia"/>
                <w:color w:val="auto"/>
                <w:sz w:val="24"/>
                <w:highlight w:val="none"/>
                <w:u w:val="single"/>
              </w:rPr>
              <w:t>120</w:t>
            </w:r>
            <w:r>
              <w:rPr>
                <w:color w:val="auto"/>
                <w:sz w:val="24"/>
                <w:highlight w:val="none"/>
                <w:u w:val="single"/>
              </w:rPr>
              <w:t>mg/L、</w:t>
            </w:r>
            <w:r>
              <w:rPr>
                <w:rFonts w:hint="eastAsia"/>
                <w:color w:val="auto"/>
                <w:sz w:val="24"/>
                <w:highlight w:val="none"/>
                <w:u w:val="single"/>
              </w:rPr>
              <w:t>25</w:t>
            </w:r>
            <w:r>
              <w:rPr>
                <w:color w:val="auto"/>
                <w:sz w:val="24"/>
                <w:highlight w:val="none"/>
                <w:u w:val="single"/>
              </w:rPr>
              <w:t>mg/L</w:t>
            </w:r>
          </w:p>
          <w:p w14:paraId="6F8B2542">
            <w:pPr>
              <w:spacing w:line="360" w:lineRule="auto"/>
              <w:rPr>
                <w:rFonts w:ascii="Times New Roman" w:hAnsi="Times New Roman" w:eastAsia="宋体" w:cs="Times New Roman"/>
                <w:color w:val="auto"/>
                <w:sz w:val="24"/>
                <w:highlight w:val="none"/>
                <w:u w:val="single"/>
              </w:rPr>
            </w:pPr>
            <w:r>
              <w:rPr>
                <w:rFonts w:hint="eastAsia" w:ascii="宋体" w:hAnsi="宋体" w:eastAsia="宋体" w:cs="宋体"/>
                <w:color w:val="000000"/>
                <w:kern w:val="0"/>
                <w:sz w:val="24"/>
                <w:szCs w:val="24"/>
                <w:u w:val="single"/>
                <w:lang w:val="en-US" w:eastAsia="zh-CN" w:bidi="ar"/>
              </w:rPr>
              <w:t>。</w:t>
            </w:r>
            <w:r>
              <w:rPr>
                <w:rFonts w:hint="eastAsia" w:ascii="Times New Roman" w:hAnsi="Times New Roman" w:eastAsia="宋体" w:cs="Times New Roman"/>
                <w:color w:val="auto"/>
                <w:sz w:val="24"/>
                <w:highlight w:val="none"/>
                <w:u w:val="single"/>
                <w:lang w:val="en-US" w:eastAsia="zh-CN"/>
              </w:rPr>
              <w:t>经隔油池、化粪池处理后排入洪江市工业集中区双溪片区污水处理厂处理达到《城镇污水处理厂污染物排放标准》（GB18918-2002）一级A标准后排入双溪，最终汇入舞水。</w:t>
            </w:r>
          </w:p>
          <w:p w14:paraId="09458FCD">
            <w:pPr>
              <w:spacing w:line="360" w:lineRule="auto"/>
              <w:ind w:firstLine="480" w:firstLineChars="200"/>
              <w:rPr>
                <w:rFonts w:hint="eastAsia" w:ascii="Times New Roman" w:hAnsi="Times New Roman" w:eastAsia="宋体" w:cs="Times New Roman"/>
                <w:color w:val="auto"/>
                <w:sz w:val="24"/>
                <w:highlight w:val="none"/>
                <w:u w:val="single"/>
              </w:rPr>
            </w:pPr>
            <w:r>
              <w:rPr>
                <w:rFonts w:ascii="Times New Roman" w:hAnsi="Times New Roman" w:eastAsia="宋体" w:cs="Times New Roman"/>
                <w:color w:val="auto"/>
                <w:sz w:val="24"/>
                <w:highlight w:val="none"/>
                <w:u w:val="single"/>
              </w:rPr>
              <w:t>本项目废水污染物产生及排放具体如下表所示。</w:t>
            </w:r>
          </w:p>
          <w:p w14:paraId="2ABAF07A">
            <w:pPr>
              <w:jc w:val="center"/>
              <w:rPr>
                <w:rFonts w:hint="eastAsia"/>
                <w:b/>
                <w:bCs/>
                <w:color w:val="auto"/>
                <w:highlight w:val="none"/>
                <w:u w:val="single"/>
              </w:rPr>
            </w:pPr>
            <w:r>
              <w:rPr>
                <w:rFonts w:hint="eastAsia"/>
                <w:b/>
                <w:bCs/>
                <w:color w:val="auto"/>
                <w:highlight w:val="none"/>
                <w:u w:val="single"/>
              </w:rPr>
              <w:t>表4-</w:t>
            </w:r>
            <w:r>
              <w:rPr>
                <w:rFonts w:hint="eastAsia"/>
                <w:b/>
                <w:bCs/>
                <w:color w:val="auto"/>
                <w:highlight w:val="none"/>
                <w:u w:val="single"/>
                <w:lang w:val="en-US" w:eastAsia="zh-CN"/>
              </w:rPr>
              <w:t>9</w:t>
            </w:r>
            <w:r>
              <w:rPr>
                <w:rFonts w:hint="eastAsia"/>
                <w:b/>
                <w:bCs/>
                <w:color w:val="auto"/>
                <w:highlight w:val="none"/>
                <w:u w:val="single"/>
              </w:rPr>
              <w:t>本项目污水产生及排放情况一览表</w:t>
            </w:r>
          </w:p>
          <w:tbl>
            <w:tblPr>
              <w:tblStyle w:val="21"/>
              <w:tblW w:w="7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256"/>
              <w:gridCol w:w="1098"/>
              <w:gridCol w:w="998"/>
              <w:gridCol w:w="954"/>
              <w:gridCol w:w="1127"/>
              <w:gridCol w:w="998"/>
            </w:tblGrid>
            <w:tr w14:paraId="57BD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1206" w:type="dxa"/>
                  <w:noWrap w:val="0"/>
                  <w:vAlign w:val="center"/>
                </w:tcPr>
                <w:p w14:paraId="3B8B028A">
                  <w:pPr>
                    <w:jc w:val="center"/>
                    <w:rPr>
                      <w:rFonts w:hint="eastAsia"/>
                      <w:color w:val="auto"/>
                      <w:szCs w:val="21"/>
                      <w:highlight w:val="none"/>
                      <w:u w:val="single"/>
                    </w:rPr>
                  </w:pPr>
                  <w:r>
                    <w:rPr>
                      <w:rFonts w:hint="eastAsia"/>
                      <w:color w:val="auto"/>
                      <w:szCs w:val="21"/>
                      <w:highlight w:val="none"/>
                      <w:u w:val="single"/>
                    </w:rPr>
                    <w:t>排放源</w:t>
                  </w:r>
                </w:p>
              </w:tc>
              <w:tc>
                <w:tcPr>
                  <w:tcW w:w="1256" w:type="dxa"/>
                  <w:noWrap w:val="0"/>
                  <w:vAlign w:val="center"/>
                </w:tcPr>
                <w:p w14:paraId="207CD44C">
                  <w:pPr>
                    <w:jc w:val="center"/>
                    <w:rPr>
                      <w:rFonts w:hint="eastAsia"/>
                      <w:color w:val="auto"/>
                      <w:szCs w:val="21"/>
                      <w:highlight w:val="none"/>
                      <w:u w:val="single"/>
                    </w:rPr>
                  </w:pPr>
                  <w:r>
                    <w:rPr>
                      <w:rFonts w:hint="eastAsia"/>
                      <w:color w:val="auto"/>
                      <w:szCs w:val="21"/>
                      <w:highlight w:val="none"/>
                      <w:u w:val="single"/>
                    </w:rPr>
                    <w:t>污染物</w:t>
                  </w:r>
                </w:p>
              </w:tc>
              <w:tc>
                <w:tcPr>
                  <w:tcW w:w="1098" w:type="dxa"/>
                  <w:noWrap w:val="0"/>
                  <w:vAlign w:val="center"/>
                </w:tcPr>
                <w:p w14:paraId="13665628">
                  <w:pPr>
                    <w:jc w:val="center"/>
                    <w:rPr>
                      <w:rFonts w:hint="eastAsia"/>
                      <w:color w:val="auto"/>
                      <w:szCs w:val="21"/>
                      <w:highlight w:val="none"/>
                      <w:u w:val="single"/>
                    </w:rPr>
                  </w:pPr>
                  <w:r>
                    <w:rPr>
                      <w:rFonts w:hint="eastAsia"/>
                      <w:color w:val="auto"/>
                      <w:szCs w:val="21"/>
                      <w:highlight w:val="none"/>
                      <w:u w:val="single"/>
                    </w:rPr>
                    <w:t>产生浓度（mg/L）</w:t>
                  </w:r>
                </w:p>
              </w:tc>
              <w:tc>
                <w:tcPr>
                  <w:tcW w:w="998" w:type="dxa"/>
                  <w:noWrap w:val="0"/>
                  <w:vAlign w:val="center"/>
                </w:tcPr>
                <w:p w14:paraId="0A24987E">
                  <w:pPr>
                    <w:jc w:val="center"/>
                    <w:rPr>
                      <w:rFonts w:hint="eastAsia"/>
                      <w:color w:val="auto"/>
                      <w:szCs w:val="21"/>
                      <w:highlight w:val="none"/>
                      <w:u w:val="single"/>
                    </w:rPr>
                  </w:pPr>
                  <w:r>
                    <w:rPr>
                      <w:rFonts w:hint="eastAsia"/>
                      <w:color w:val="auto"/>
                      <w:szCs w:val="21"/>
                      <w:highlight w:val="none"/>
                      <w:u w:val="single"/>
                    </w:rPr>
                    <w:t>产生量（t/a）</w:t>
                  </w:r>
                </w:p>
              </w:tc>
              <w:tc>
                <w:tcPr>
                  <w:tcW w:w="954" w:type="dxa"/>
                  <w:noWrap w:val="0"/>
                  <w:vAlign w:val="center"/>
                </w:tcPr>
                <w:p w14:paraId="72C4FAF9">
                  <w:pPr>
                    <w:jc w:val="center"/>
                    <w:rPr>
                      <w:rFonts w:hint="eastAsia"/>
                      <w:color w:val="auto"/>
                      <w:szCs w:val="21"/>
                      <w:highlight w:val="none"/>
                      <w:u w:val="single"/>
                    </w:rPr>
                  </w:pPr>
                  <w:r>
                    <w:rPr>
                      <w:rFonts w:hint="eastAsia"/>
                      <w:color w:val="auto"/>
                      <w:szCs w:val="21"/>
                      <w:highlight w:val="none"/>
                      <w:u w:val="single"/>
                    </w:rPr>
                    <w:t>处理措施</w:t>
                  </w:r>
                </w:p>
              </w:tc>
              <w:tc>
                <w:tcPr>
                  <w:tcW w:w="1127" w:type="dxa"/>
                  <w:noWrap w:val="0"/>
                  <w:vAlign w:val="center"/>
                </w:tcPr>
                <w:p w14:paraId="19DB442F">
                  <w:pPr>
                    <w:jc w:val="center"/>
                    <w:rPr>
                      <w:rFonts w:hint="eastAsia"/>
                      <w:color w:val="auto"/>
                      <w:szCs w:val="21"/>
                      <w:highlight w:val="none"/>
                      <w:u w:val="single"/>
                    </w:rPr>
                  </w:pPr>
                  <w:r>
                    <w:rPr>
                      <w:rFonts w:hint="eastAsia"/>
                      <w:color w:val="auto"/>
                      <w:szCs w:val="21"/>
                      <w:highlight w:val="none"/>
                      <w:u w:val="single"/>
                    </w:rPr>
                    <w:t>排放浓度（mg/L）</w:t>
                  </w:r>
                </w:p>
              </w:tc>
              <w:tc>
                <w:tcPr>
                  <w:tcW w:w="998" w:type="dxa"/>
                  <w:noWrap w:val="0"/>
                  <w:vAlign w:val="center"/>
                </w:tcPr>
                <w:p w14:paraId="4B46C1A9">
                  <w:pPr>
                    <w:jc w:val="center"/>
                    <w:rPr>
                      <w:rFonts w:hint="eastAsia"/>
                      <w:color w:val="auto"/>
                      <w:szCs w:val="21"/>
                      <w:highlight w:val="none"/>
                      <w:u w:val="single"/>
                    </w:rPr>
                  </w:pPr>
                  <w:r>
                    <w:rPr>
                      <w:rFonts w:hint="eastAsia"/>
                      <w:color w:val="auto"/>
                      <w:szCs w:val="21"/>
                      <w:highlight w:val="none"/>
                      <w:u w:val="single"/>
                    </w:rPr>
                    <w:t>排放量（t/a）</w:t>
                  </w:r>
                </w:p>
              </w:tc>
            </w:tr>
            <w:tr w14:paraId="60BA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dxa"/>
                  <w:vMerge w:val="restart"/>
                  <w:noWrap w:val="0"/>
                  <w:vAlign w:val="center"/>
                </w:tcPr>
                <w:p w14:paraId="281E9D41">
                  <w:pPr>
                    <w:jc w:val="center"/>
                    <w:rPr>
                      <w:rFonts w:hint="eastAsia"/>
                      <w:color w:val="auto"/>
                      <w:szCs w:val="21"/>
                      <w:highlight w:val="none"/>
                      <w:u w:val="single"/>
                    </w:rPr>
                  </w:pPr>
                  <w:r>
                    <w:rPr>
                      <w:rFonts w:hint="eastAsia"/>
                      <w:color w:val="auto"/>
                      <w:szCs w:val="21"/>
                      <w:highlight w:val="none"/>
                      <w:u w:val="single"/>
                    </w:rPr>
                    <w:t>生活污水</w:t>
                  </w:r>
                  <w:r>
                    <w:rPr>
                      <w:rFonts w:hint="eastAsia"/>
                      <w:color w:val="auto"/>
                      <w:szCs w:val="21"/>
                      <w:highlight w:val="none"/>
                      <w:u w:val="single"/>
                      <w:lang w:val="en-US" w:eastAsia="zh-CN"/>
                    </w:rPr>
                    <w:t>608</w:t>
                  </w:r>
                  <w:r>
                    <w:rPr>
                      <w:rFonts w:hint="eastAsia"/>
                      <w:color w:val="auto"/>
                      <w:szCs w:val="21"/>
                      <w:highlight w:val="none"/>
                      <w:u w:val="single"/>
                    </w:rPr>
                    <w:t>t/a</w:t>
                  </w:r>
                </w:p>
              </w:tc>
              <w:tc>
                <w:tcPr>
                  <w:tcW w:w="1256" w:type="dxa"/>
                  <w:noWrap w:val="0"/>
                  <w:vAlign w:val="center"/>
                </w:tcPr>
                <w:p w14:paraId="3186E5B6">
                  <w:pPr>
                    <w:jc w:val="center"/>
                    <w:rPr>
                      <w:rFonts w:hint="eastAsia"/>
                      <w:color w:val="auto"/>
                      <w:szCs w:val="21"/>
                      <w:highlight w:val="none"/>
                      <w:u w:val="single"/>
                    </w:rPr>
                  </w:pPr>
                  <w:r>
                    <w:rPr>
                      <w:rFonts w:hint="eastAsia"/>
                      <w:color w:val="auto"/>
                      <w:szCs w:val="21"/>
                      <w:highlight w:val="none"/>
                      <w:u w:val="single"/>
                    </w:rPr>
                    <w:t>COD</w:t>
                  </w:r>
                </w:p>
              </w:tc>
              <w:tc>
                <w:tcPr>
                  <w:tcW w:w="1098" w:type="dxa"/>
                  <w:noWrap w:val="0"/>
                  <w:vAlign w:val="center"/>
                </w:tcPr>
                <w:p w14:paraId="10DC83D4">
                  <w:pPr>
                    <w:jc w:val="center"/>
                    <w:rPr>
                      <w:color w:val="auto"/>
                      <w:szCs w:val="21"/>
                      <w:highlight w:val="none"/>
                      <w:u w:val="single"/>
                    </w:rPr>
                  </w:pPr>
                  <w:r>
                    <w:rPr>
                      <w:rFonts w:hint="eastAsia"/>
                      <w:color w:val="auto"/>
                      <w:szCs w:val="21"/>
                      <w:highlight w:val="none"/>
                      <w:u w:val="single"/>
                    </w:rPr>
                    <w:t>250</w:t>
                  </w:r>
                </w:p>
              </w:tc>
              <w:tc>
                <w:tcPr>
                  <w:tcW w:w="998" w:type="dxa"/>
                  <w:noWrap w:val="0"/>
                  <w:vAlign w:val="center"/>
                </w:tcPr>
                <w:p w14:paraId="4357611E">
                  <w:pPr>
                    <w:keepNext w:val="0"/>
                    <w:keepLines w:val="0"/>
                    <w:widowControl/>
                    <w:suppressLineNumbers w:val="0"/>
                    <w:jc w:val="center"/>
                    <w:textAlignment w:val="center"/>
                    <w:rPr>
                      <w:rFonts w:hint="eastAsia" w:ascii="Times New Roman" w:hAnsi="Times New Roman" w:eastAsia="宋体" w:cs="Times New Roman"/>
                      <w:color w:val="auto"/>
                      <w:szCs w:val="21"/>
                      <w:highlight w:val="none"/>
                      <w:u w:val="single"/>
                    </w:rPr>
                  </w:pPr>
                  <w:r>
                    <w:rPr>
                      <w:rFonts w:hint="default" w:ascii="Times New Roman" w:hAnsi="Times New Roman" w:eastAsia="宋体" w:cs="Times New Roman"/>
                      <w:i w:val="0"/>
                      <w:iCs w:val="0"/>
                      <w:color w:val="000000"/>
                      <w:kern w:val="0"/>
                      <w:sz w:val="21"/>
                      <w:szCs w:val="21"/>
                      <w:u w:val="single"/>
                      <w:lang w:val="en-US" w:eastAsia="zh-CN" w:bidi="ar"/>
                    </w:rPr>
                    <w:t>0.1520</w:t>
                  </w:r>
                </w:p>
              </w:tc>
              <w:tc>
                <w:tcPr>
                  <w:tcW w:w="954" w:type="dxa"/>
                  <w:vMerge w:val="restart"/>
                  <w:noWrap w:val="0"/>
                  <w:vAlign w:val="center"/>
                </w:tcPr>
                <w:p w14:paraId="1C837C73">
                  <w:pPr>
                    <w:jc w:val="center"/>
                    <w:rPr>
                      <w:rFonts w:hint="default" w:eastAsia="宋体"/>
                      <w:color w:val="auto"/>
                      <w:szCs w:val="21"/>
                      <w:highlight w:val="none"/>
                      <w:u w:val="single"/>
                      <w:lang w:val="en-US" w:eastAsia="zh-CN"/>
                    </w:rPr>
                  </w:pPr>
                  <w:r>
                    <w:rPr>
                      <w:rFonts w:hint="eastAsia"/>
                      <w:color w:val="auto"/>
                      <w:szCs w:val="21"/>
                      <w:highlight w:val="none"/>
                      <w:u w:val="single"/>
                      <w:lang w:val="en-US" w:eastAsia="zh-CN"/>
                    </w:rPr>
                    <w:t>一体化生活污水处理设施</w:t>
                  </w:r>
                </w:p>
              </w:tc>
              <w:tc>
                <w:tcPr>
                  <w:tcW w:w="1127" w:type="dxa"/>
                  <w:noWrap w:val="0"/>
                  <w:vAlign w:val="center"/>
                </w:tcPr>
                <w:p w14:paraId="650C655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eastAsia="宋体"/>
                      <w:color w:val="auto"/>
                      <w:szCs w:val="21"/>
                      <w:highlight w:val="none"/>
                      <w:u w:val="single"/>
                      <w:lang w:val="en-US" w:eastAsia="zh-CN"/>
                    </w:rPr>
                  </w:pPr>
                  <w:r>
                    <w:rPr>
                      <w:rFonts w:hint="default" w:ascii="Times New Roman" w:hAnsi="Times New Roman" w:eastAsia="仿宋" w:cs="Times New Roman"/>
                      <w:kern w:val="2"/>
                      <w:sz w:val="21"/>
                      <w:szCs w:val="21"/>
                      <w:u w:val="single"/>
                      <w:lang w:val="en-US" w:eastAsia="zh-CN" w:bidi="ar-SA"/>
                    </w:rPr>
                    <w:t>50</w:t>
                  </w:r>
                </w:p>
              </w:tc>
              <w:tc>
                <w:tcPr>
                  <w:tcW w:w="998" w:type="dxa"/>
                  <w:noWrap w:val="0"/>
                  <w:vAlign w:val="center"/>
                </w:tcPr>
                <w:p w14:paraId="6B9BE55C">
                  <w:pPr>
                    <w:keepNext w:val="0"/>
                    <w:keepLines w:val="0"/>
                    <w:widowControl/>
                    <w:suppressLineNumbers w:val="0"/>
                    <w:jc w:val="center"/>
                    <w:textAlignment w:val="center"/>
                    <w:rPr>
                      <w:rFonts w:hint="eastAsia"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0.0304</w:t>
                  </w:r>
                </w:p>
              </w:tc>
            </w:tr>
            <w:tr w14:paraId="0944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206" w:type="dxa"/>
                  <w:vMerge w:val="continue"/>
                  <w:noWrap w:val="0"/>
                  <w:vAlign w:val="center"/>
                </w:tcPr>
                <w:p w14:paraId="3A5FD062">
                  <w:pPr>
                    <w:jc w:val="center"/>
                    <w:rPr>
                      <w:rFonts w:hint="eastAsia"/>
                      <w:color w:val="auto"/>
                      <w:szCs w:val="21"/>
                      <w:highlight w:val="none"/>
                      <w:u w:val="single"/>
                    </w:rPr>
                  </w:pPr>
                </w:p>
              </w:tc>
              <w:tc>
                <w:tcPr>
                  <w:tcW w:w="1256" w:type="dxa"/>
                  <w:noWrap w:val="0"/>
                  <w:vAlign w:val="center"/>
                </w:tcPr>
                <w:p w14:paraId="0629157B">
                  <w:pPr>
                    <w:jc w:val="center"/>
                    <w:rPr>
                      <w:rFonts w:hint="eastAsia"/>
                      <w:color w:val="auto"/>
                      <w:szCs w:val="21"/>
                      <w:highlight w:val="none"/>
                      <w:u w:val="single"/>
                    </w:rPr>
                  </w:pPr>
                  <w:r>
                    <w:rPr>
                      <w:rFonts w:hint="eastAsia"/>
                      <w:color w:val="auto"/>
                      <w:szCs w:val="21"/>
                      <w:highlight w:val="none"/>
                      <w:u w:val="single"/>
                    </w:rPr>
                    <w:t>BOD</w:t>
                  </w:r>
                  <w:r>
                    <w:rPr>
                      <w:rFonts w:hint="eastAsia"/>
                      <w:color w:val="auto"/>
                      <w:szCs w:val="21"/>
                      <w:highlight w:val="none"/>
                      <w:u w:val="single"/>
                      <w:vertAlign w:val="subscript"/>
                    </w:rPr>
                    <w:t>5</w:t>
                  </w:r>
                </w:p>
              </w:tc>
              <w:tc>
                <w:tcPr>
                  <w:tcW w:w="1098" w:type="dxa"/>
                  <w:noWrap w:val="0"/>
                  <w:vAlign w:val="center"/>
                </w:tcPr>
                <w:p w14:paraId="6D3552E7">
                  <w:pPr>
                    <w:jc w:val="center"/>
                    <w:rPr>
                      <w:rFonts w:hint="eastAsia"/>
                      <w:color w:val="auto"/>
                      <w:szCs w:val="21"/>
                      <w:highlight w:val="none"/>
                      <w:u w:val="single"/>
                    </w:rPr>
                  </w:pPr>
                  <w:r>
                    <w:rPr>
                      <w:rFonts w:hint="eastAsia"/>
                      <w:color w:val="auto"/>
                      <w:szCs w:val="21"/>
                      <w:highlight w:val="none"/>
                      <w:u w:val="single"/>
                    </w:rPr>
                    <w:t>180</w:t>
                  </w:r>
                </w:p>
              </w:tc>
              <w:tc>
                <w:tcPr>
                  <w:tcW w:w="998" w:type="dxa"/>
                  <w:noWrap w:val="0"/>
                  <w:vAlign w:val="center"/>
                </w:tcPr>
                <w:p w14:paraId="35C547EE">
                  <w:pPr>
                    <w:keepNext w:val="0"/>
                    <w:keepLines w:val="0"/>
                    <w:widowControl/>
                    <w:suppressLineNumbers w:val="0"/>
                    <w:jc w:val="center"/>
                    <w:textAlignment w:val="center"/>
                    <w:rPr>
                      <w:rFonts w:hint="eastAsia" w:ascii="Times New Roman" w:hAnsi="Times New Roman" w:eastAsia="宋体" w:cs="Times New Roman"/>
                      <w:color w:val="auto"/>
                      <w:szCs w:val="21"/>
                      <w:highlight w:val="none"/>
                      <w:u w:val="single"/>
                    </w:rPr>
                  </w:pPr>
                  <w:r>
                    <w:rPr>
                      <w:rFonts w:hint="default" w:ascii="Times New Roman" w:hAnsi="Times New Roman" w:eastAsia="宋体" w:cs="Times New Roman"/>
                      <w:i w:val="0"/>
                      <w:iCs w:val="0"/>
                      <w:color w:val="000000"/>
                      <w:kern w:val="0"/>
                      <w:sz w:val="21"/>
                      <w:szCs w:val="21"/>
                      <w:u w:val="single"/>
                      <w:lang w:val="en-US" w:eastAsia="zh-CN" w:bidi="ar"/>
                    </w:rPr>
                    <w:t>0.1094</w:t>
                  </w:r>
                </w:p>
              </w:tc>
              <w:tc>
                <w:tcPr>
                  <w:tcW w:w="954" w:type="dxa"/>
                  <w:vMerge w:val="continue"/>
                  <w:noWrap w:val="0"/>
                  <w:vAlign w:val="center"/>
                </w:tcPr>
                <w:p w14:paraId="572011FE">
                  <w:pPr>
                    <w:jc w:val="center"/>
                    <w:rPr>
                      <w:rFonts w:hint="eastAsia"/>
                      <w:color w:val="auto"/>
                      <w:szCs w:val="21"/>
                      <w:highlight w:val="none"/>
                      <w:u w:val="single"/>
                    </w:rPr>
                  </w:pPr>
                </w:p>
              </w:tc>
              <w:tc>
                <w:tcPr>
                  <w:tcW w:w="1127" w:type="dxa"/>
                  <w:noWrap w:val="0"/>
                  <w:vAlign w:val="center"/>
                </w:tcPr>
                <w:p w14:paraId="68C7EDC8">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color w:val="auto"/>
                      <w:szCs w:val="21"/>
                      <w:highlight w:val="none"/>
                      <w:u w:val="single"/>
                    </w:rPr>
                  </w:pPr>
                  <w:r>
                    <w:rPr>
                      <w:rFonts w:hint="default" w:ascii="Times New Roman" w:hAnsi="Times New Roman" w:eastAsia="仿宋" w:cs="Times New Roman"/>
                      <w:kern w:val="2"/>
                      <w:sz w:val="21"/>
                      <w:szCs w:val="21"/>
                      <w:u w:val="single"/>
                      <w:lang w:val="en-US" w:eastAsia="zh-CN" w:bidi="ar-SA"/>
                    </w:rPr>
                    <w:t>10</w:t>
                  </w:r>
                </w:p>
              </w:tc>
              <w:tc>
                <w:tcPr>
                  <w:tcW w:w="998" w:type="dxa"/>
                  <w:noWrap w:val="0"/>
                  <w:vAlign w:val="center"/>
                </w:tcPr>
                <w:p w14:paraId="5937BE60">
                  <w:pPr>
                    <w:keepNext w:val="0"/>
                    <w:keepLines w:val="0"/>
                    <w:widowControl/>
                    <w:suppressLineNumbers w:val="0"/>
                    <w:jc w:val="center"/>
                    <w:textAlignment w:val="center"/>
                    <w:rPr>
                      <w:rFonts w:hint="eastAsia"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0.0061</w:t>
                  </w:r>
                </w:p>
              </w:tc>
            </w:tr>
            <w:tr w14:paraId="764C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06" w:type="dxa"/>
                  <w:vMerge w:val="continue"/>
                  <w:noWrap w:val="0"/>
                  <w:vAlign w:val="center"/>
                </w:tcPr>
                <w:p w14:paraId="2C5AE3E4">
                  <w:pPr>
                    <w:jc w:val="center"/>
                    <w:rPr>
                      <w:rFonts w:hint="eastAsia"/>
                      <w:color w:val="auto"/>
                      <w:szCs w:val="21"/>
                      <w:highlight w:val="none"/>
                      <w:u w:val="single"/>
                    </w:rPr>
                  </w:pPr>
                </w:p>
              </w:tc>
              <w:tc>
                <w:tcPr>
                  <w:tcW w:w="1256" w:type="dxa"/>
                  <w:noWrap w:val="0"/>
                  <w:vAlign w:val="center"/>
                </w:tcPr>
                <w:p w14:paraId="16889041">
                  <w:pPr>
                    <w:jc w:val="center"/>
                    <w:rPr>
                      <w:rFonts w:hint="eastAsia"/>
                      <w:color w:val="auto"/>
                      <w:szCs w:val="21"/>
                      <w:highlight w:val="none"/>
                      <w:u w:val="single"/>
                    </w:rPr>
                  </w:pPr>
                  <w:r>
                    <w:rPr>
                      <w:rFonts w:hint="eastAsia"/>
                      <w:color w:val="auto"/>
                      <w:szCs w:val="21"/>
                      <w:highlight w:val="none"/>
                      <w:u w:val="single"/>
                    </w:rPr>
                    <w:t>NH</w:t>
                  </w:r>
                  <w:r>
                    <w:rPr>
                      <w:rFonts w:hint="eastAsia"/>
                      <w:color w:val="auto"/>
                      <w:szCs w:val="21"/>
                      <w:highlight w:val="none"/>
                      <w:u w:val="single"/>
                      <w:vertAlign w:val="subscript"/>
                    </w:rPr>
                    <w:t>3</w:t>
                  </w:r>
                  <w:r>
                    <w:rPr>
                      <w:rFonts w:hint="eastAsia"/>
                      <w:color w:val="auto"/>
                      <w:szCs w:val="21"/>
                      <w:highlight w:val="none"/>
                      <w:u w:val="single"/>
                    </w:rPr>
                    <w:t>-N</w:t>
                  </w:r>
                </w:p>
              </w:tc>
              <w:tc>
                <w:tcPr>
                  <w:tcW w:w="1098" w:type="dxa"/>
                  <w:noWrap w:val="0"/>
                  <w:vAlign w:val="center"/>
                </w:tcPr>
                <w:p w14:paraId="2E7D7C6F">
                  <w:pPr>
                    <w:jc w:val="center"/>
                    <w:rPr>
                      <w:rFonts w:hint="eastAsia"/>
                      <w:color w:val="auto"/>
                      <w:szCs w:val="21"/>
                      <w:highlight w:val="none"/>
                      <w:u w:val="single"/>
                    </w:rPr>
                  </w:pPr>
                  <w:r>
                    <w:rPr>
                      <w:rFonts w:hint="eastAsia"/>
                      <w:color w:val="auto"/>
                      <w:szCs w:val="21"/>
                      <w:highlight w:val="none"/>
                      <w:u w:val="single"/>
                    </w:rPr>
                    <w:t>30</w:t>
                  </w:r>
                </w:p>
              </w:tc>
              <w:tc>
                <w:tcPr>
                  <w:tcW w:w="998" w:type="dxa"/>
                  <w:noWrap w:val="0"/>
                  <w:vAlign w:val="center"/>
                </w:tcPr>
                <w:p w14:paraId="6A12D00C">
                  <w:pPr>
                    <w:keepNext w:val="0"/>
                    <w:keepLines w:val="0"/>
                    <w:widowControl/>
                    <w:suppressLineNumbers w:val="0"/>
                    <w:jc w:val="center"/>
                    <w:textAlignment w:val="center"/>
                    <w:rPr>
                      <w:rFonts w:hint="eastAsia" w:ascii="Times New Roman" w:hAnsi="Times New Roman" w:eastAsia="宋体" w:cs="Times New Roman"/>
                      <w:color w:val="auto"/>
                      <w:szCs w:val="21"/>
                      <w:highlight w:val="none"/>
                      <w:u w:val="single"/>
                    </w:rPr>
                  </w:pPr>
                  <w:r>
                    <w:rPr>
                      <w:rFonts w:hint="default" w:ascii="Times New Roman" w:hAnsi="Times New Roman" w:eastAsia="宋体" w:cs="Times New Roman"/>
                      <w:i w:val="0"/>
                      <w:iCs w:val="0"/>
                      <w:color w:val="000000"/>
                      <w:kern w:val="0"/>
                      <w:sz w:val="21"/>
                      <w:szCs w:val="21"/>
                      <w:u w:val="single"/>
                      <w:lang w:val="en-US" w:eastAsia="zh-CN" w:bidi="ar"/>
                    </w:rPr>
                    <w:t>0.0182</w:t>
                  </w:r>
                </w:p>
              </w:tc>
              <w:tc>
                <w:tcPr>
                  <w:tcW w:w="954" w:type="dxa"/>
                  <w:vMerge w:val="continue"/>
                  <w:noWrap w:val="0"/>
                  <w:vAlign w:val="center"/>
                </w:tcPr>
                <w:p w14:paraId="7272D96E">
                  <w:pPr>
                    <w:jc w:val="center"/>
                    <w:rPr>
                      <w:rFonts w:hint="eastAsia"/>
                      <w:color w:val="auto"/>
                      <w:szCs w:val="21"/>
                      <w:highlight w:val="none"/>
                      <w:u w:val="single"/>
                    </w:rPr>
                  </w:pPr>
                </w:p>
              </w:tc>
              <w:tc>
                <w:tcPr>
                  <w:tcW w:w="1127" w:type="dxa"/>
                  <w:noWrap w:val="0"/>
                  <w:vAlign w:val="center"/>
                </w:tcPr>
                <w:p w14:paraId="7B1EB388">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color w:val="auto"/>
                      <w:szCs w:val="21"/>
                      <w:highlight w:val="none"/>
                      <w:u w:val="single"/>
                    </w:rPr>
                  </w:pPr>
                  <w:r>
                    <w:rPr>
                      <w:rFonts w:hint="eastAsia" w:ascii="Times New Roman" w:hAnsi="Times New Roman" w:eastAsia="仿宋" w:cs="Times New Roman"/>
                      <w:kern w:val="2"/>
                      <w:sz w:val="21"/>
                      <w:szCs w:val="21"/>
                      <w:u w:val="single"/>
                      <w:lang w:val="en-US" w:eastAsia="zh-CN" w:bidi="ar-SA"/>
                    </w:rPr>
                    <w:t>5</w:t>
                  </w:r>
                </w:p>
              </w:tc>
              <w:tc>
                <w:tcPr>
                  <w:tcW w:w="998" w:type="dxa"/>
                  <w:noWrap w:val="0"/>
                  <w:vAlign w:val="center"/>
                </w:tcPr>
                <w:p w14:paraId="3833385B">
                  <w:pPr>
                    <w:keepNext w:val="0"/>
                    <w:keepLines w:val="0"/>
                    <w:widowControl/>
                    <w:suppressLineNumbers w:val="0"/>
                    <w:jc w:val="center"/>
                    <w:textAlignment w:val="center"/>
                    <w:rPr>
                      <w:rFonts w:hint="eastAsia"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0.0030</w:t>
                  </w:r>
                </w:p>
              </w:tc>
            </w:tr>
            <w:tr w14:paraId="5EE2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206" w:type="dxa"/>
                  <w:vMerge w:val="continue"/>
                  <w:noWrap w:val="0"/>
                  <w:vAlign w:val="center"/>
                </w:tcPr>
                <w:p w14:paraId="35F90C47">
                  <w:pPr>
                    <w:jc w:val="center"/>
                    <w:rPr>
                      <w:rFonts w:hint="eastAsia"/>
                      <w:color w:val="auto"/>
                      <w:szCs w:val="21"/>
                      <w:highlight w:val="none"/>
                      <w:u w:val="single"/>
                    </w:rPr>
                  </w:pPr>
                </w:p>
              </w:tc>
              <w:tc>
                <w:tcPr>
                  <w:tcW w:w="1256" w:type="dxa"/>
                  <w:noWrap w:val="0"/>
                  <w:vAlign w:val="center"/>
                </w:tcPr>
                <w:p w14:paraId="607F303D">
                  <w:pPr>
                    <w:jc w:val="center"/>
                    <w:rPr>
                      <w:rFonts w:hint="eastAsia"/>
                      <w:color w:val="auto"/>
                      <w:szCs w:val="21"/>
                      <w:highlight w:val="none"/>
                      <w:u w:val="single"/>
                    </w:rPr>
                  </w:pPr>
                  <w:r>
                    <w:rPr>
                      <w:rFonts w:hint="eastAsia"/>
                      <w:color w:val="auto"/>
                      <w:szCs w:val="21"/>
                      <w:highlight w:val="none"/>
                      <w:u w:val="single"/>
                    </w:rPr>
                    <w:t>SS</w:t>
                  </w:r>
                </w:p>
              </w:tc>
              <w:tc>
                <w:tcPr>
                  <w:tcW w:w="1098" w:type="dxa"/>
                  <w:noWrap w:val="0"/>
                  <w:vAlign w:val="center"/>
                </w:tcPr>
                <w:p w14:paraId="76DB2032">
                  <w:pPr>
                    <w:jc w:val="center"/>
                    <w:rPr>
                      <w:rFonts w:hint="eastAsia"/>
                      <w:color w:val="auto"/>
                      <w:szCs w:val="21"/>
                      <w:highlight w:val="none"/>
                      <w:u w:val="single"/>
                    </w:rPr>
                  </w:pPr>
                  <w:r>
                    <w:rPr>
                      <w:rFonts w:hint="eastAsia"/>
                      <w:color w:val="auto"/>
                      <w:szCs w:val="21"/>
                      <w:highlight w:val="none"/>
                      <w:u w:val="single"/>
                    </w:rPr>
                    <w:t>120</w:t>
                  </w:r>
                </w:p>
              </w:tc>
              <w:tc>
                <w:tcPr>
                  <w:tcW w:w="998" w:type="dxa"/>
                  <w:noWrap w:val="0"/>
                  <w:vAlign w:val="center"/>
                </w:tcPr>
                <w:p w14:paraId="27373B4E">
                  <w:pPr>
                    <w:keepNext w:val="0"/>
                    <w:keepLines w:val="0"/>
                    <w:widowControl/>
                    <w:suppressLineNumbers w:val="0"/>
                    <w:jc w:val="center"/>
                    <w:textAlignment w:val="center"/>
                    <w:rPr>
                      <w:rFonts w:hint="eastAsia" w:ascii="Times New Roman" w:hAnsi="Times New Roman" w:eastAsia="宋体" w:cs="Times New Roman"/>
                      <w:color w:val="auto"/>
                      <w:szCs w:val="21"/>
                      <w:highlight w:val="none"/>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0.0730 </w:t>
                  </w:r>
                </w:p>
              </w:tc>
              <w:tc>
                <w:tcPr>
                  <w:tcW w:w="954" w:type="dxa"/>
                  <w:vMerge w:val="continue"/>
                  <w:noWrap w:val="0"/>
                  <w:vAlign w:val="center"/>
                </w:tcPr>
                <w:p w14:paraId="6164422D">
                  <w:pPr>
                    <w:jc w:val="center"/>
                    <w:rPr>
                      <w:rFonts w:hint="eastAsia"/>
                      <w:color w:val="auto"/>
                      <w:szCs w:val="21"/>
                      <w:highlight w:val="none"/>
                      <w:u w:val="single"/>
                    </w:rPr>
                  </w:pPr>
                </w:p>
              </w:tc>
              <w:tc>
                <w:tcPr>
                  <w:tcW w:w="1127" w:type="dxa"/>
                  <w:noWrap w:val="0"/>
                  <w:vAlign w:val="center"/>
                </w:tcPr>
                <w:p w14:paraId="6721BC6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color w:val="auto"/>
                      <w:szCs w:val="21"/>
                      <w:highlight w:val="none"/>
                      <w:u w:val="single"/>
                      <w:lang w:val="en-US"/>
                    </w:rPr>
                  </w:pPr>
                  <w:r>
                    <w:rPr>
                      <w:rFonts w:hint="eastAsia" w:ascii="Times New Roman" w:hAnsi="Times New Roman" w:eastAsia="仿宋" w:cs="Times New Roman"/>
                      <w:kern w:val="2"/>
                      <w:sz w:val="21"/>
                      <w:szCs w:val="21"/>
                      <w:u w:val="single"/>
                      <w:lang w:val="en-US" w:eastAsia="zh-CN" w:bidi="ar-SA"/>
                    </w:rPr>
                    <w:t>10</w:t>
                  </w:r>
                </w:p>
              </w:tc>
              <w:tc>
                <w:tcPr>
                  <w:tcW w:w="998" w:type="dxa"/>
                  <w:noWrap w:val="0"/>
                  <w:vAlign w:val="center"/>
                </w:tcPr>
                <w:p w14:paraId="1FE1C241">
                  <w:pPr>
                    <w:keepNext w:val="0"/>
                    <w:keepLines w:val="0"/>
                    <w:widowControl/>
                    <w:suppressLineNumbers w:val="0"/>
                    <w:jc w:val="center"/>
                    <w:textAlignment w:val="center"/>
                    <w:rPr>
                      <w:rFonts w:hint="eastAsia"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0.0061</w:t>
                  </w:r>
                </w:p>
              </w:tc>
            </w:tr>
            <w:tr w14:paraId="2EE4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06" w:type="dxa"/>
                  <w:vMerge w:val="continue"/>
                  <w:noWrap w:val="0"/>
                  <w:vAlign w:val="center"/>
                </w:tcPr>
                <w:p w14:paraId="6ABF2D38">
                  <w:pPr>
                    <w:jc w:val="center"/>
                    <w:rPr>
                      <w:color w:val="auto"/>
                      <w:highlight w:val="none"/>
                      <w:u w:val="single"/>
                    </w:rPr>
                  </w:pPr>
                </w:p>
              </w:tc>
              <w:tc>
                <w:tcPr>
                  <w:tcW w:w="1256" w:type="dxa"/>
                  <w:noWrap w:val="0"/>
                  <w:vAlign w:val="center"/>
                </w:tcPr>
                <w:p w14:paraId="50EAA968">
                  <w:pPr>
                    <w:jc w:val="center"/>
                    <w:rPr>
                      <w:color w:val="auto"/>
                      <w:szCs w:val="21"/>
                      <w:highlight w:val="none"/>
                      <w:u w:val="single"/>
                    </w:rPr>
                  </w:pPr>
                  <w:r>
                    <w:rPr>
                      <w:rFonts w:hint="eastAsia"/>
                      <w:color w:val="auto"/>
                      <w:szCs w:val="21"/>
                      <w:highlight w:val="none"/>
                      <w:u w:val="single"/>
                    </w:rPr>
                    <w:t>动植物油</w:t>
                  </w:r>
                </w:p>
              </w:tc>
              <w:tc>
                <w:tcPr>
                  <w:tcW w:w="1098" w:type="dxa"/>
                  <w:noWrap w:val="0"/>
                  <w:vAlign w:val="center"/>
                </w:tcPr>
                <w:p w14:paraId="720A08EC">
                  <w:pPr>
                    <w:jc w:val="center"/>
                    <w:rPr>
                      <w:color w:val="auto"/>
                      <w:szCs w:val="21"/>
                      <w:highlight w:val="none"/>
                      <w:u w:val="single"/>
                    </w:rPr>
                  </w:pPr>
                  <w:r>
                    <w:rPr>
                      <w:rFonts w:hint="eastAsia"/>
                      <w:color w:val="auto"/>
                      <w:szCs w:val="21"/>
                      <w:highlight w:val="none"/>
                      <w:u w:val="single"/>
                    </w:rPr>
                    <w:t>25</w:t>
                  </w:r>
                </w:p>
              </w:tc>
              <w:tc>
                <w:tcPr>
                  <w:tcW w:w="998" w:type="dxa"/>
                  <w:noWrap w:val="0"/>
                  <w:vAlign w:val="center"/>
                </w:tcPr>
                <w:p w14:paraId="2CFEEA09">
                  <w:pPr>
                    <w:keepNext w:val="0"/>
                    <w:keepLines w:val="0"/>
                    <w:widowControl/>
                    <w:suppressLineNumbers w:val="0"/>
                    <w:jc w:val="center"/>
                    <w:textAlignment w:val="center"/>
                    <w:rPr>
                      <w:rFonts w:hint="eastAsia" w:ascii="Times New Roman" w:hAnsi="Times New Roman" w:eastAsia="宋体" w:cs="Times New Roman"/>
                      <w:color w:val="auto"/>
                      <w:szCs w:val="21"/>
                      <w:highlight w:val="none"/>
                      <w:u w:val="single"/>
                    </w:rPr>
                  </w:pPr>
                  <w:r>
                    <w:rPr>
                      <w:rFonts w:hint="default" w:ascii="Times New Roman" w:hAnsi="Times New Roman" w:eastAsia="宋体" w:cs="Times New Roman"/>
                      <w:i w:val="0"/>
                      <w:iCs w:val="0"/>
                      <w:color w:val="000000"/>
                      <w:kern w:val="0"/>
                      <w:sz w:val="21"/>
                      <w:szCs w:val="21"/>
                      <w:u w:val="single"/>
                      <w:lang w:val="en-US" w:eastAsia="zh-CN" w:bidi="ar"/>
                    </w:rPr>
                    <w:t>0.0152</w:t>
                  </w:r>
                </w:p>
              </w:tc>
              <w:tc>
                <w:tcPr>
                  <w:tcW w:w="954" w:type="dxa"/>
                  <w:vMerge w:val="continue"/>
                  <w:noWrap w:val="0"/>
                  <w:vAlign w:val="center"/>
                </w:tcPr>
                <w:p w14:paraId="1E52CD68">
                  <w:pPr>
                    <w:jc w:val="center"/>
                    <w:rPr>
                      <w:rFonts w:hint="eastAsia"/>
                      <w:color w:val="auto"/>
                      <w:szCs w:val="21"/>
                      <w:highlight w:val="none"/>
                      <w:u w:val="single"/>
                    </w:rPr>
                  </w:pPr>
                </w:p>
              </w:tc>
              <w:tc>
                <w:tcPr>
                  <w:tcW w:w="1127" w:type="dxa"/>
                  <w:noWrap w:val="0"/>
                  <w:vAlign w:val="center"/>
                </w:tcPr>
                <w:p w14:paraId="377E424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color w:val="auto"/>
                      <w:szCs w:val="21"/>
                      <w:highlight w:val="none"/>
                      <w:u w:val="single"/>
                    </w:rPr>
                  </w:pPr>
                  <w:r>
                    <w:rPr>
                      <w:rFonts w:hint="default" w:ascii="Times New Roman" w:hAnsi="Times New Roman" w:eastAsia="仿宋" w:cs="Times New Roman"/>
                      <w:kern w:val="2"/>
                      <w:sz w:val="21"/>
                      <w:szCs w:val="21"/>
                      <w:u w:val="single"/>
                      <w:lang w:val="en-US" w:eastAsia="zh-CN" w:bidi="ar-SA"/>
                    </w:rPr>
                    <w:t>1</w:t>
                  </w:r>
                </w:p>
              </w:tc>
              <w:tc>
                <w:tcPr>
                  <w:tcW w:w="998" w:type="dxa"/>
                  <w:noWrap w:val="0"/>
                  <w:vAlign w:val="center"/>
                </w:tcPr>
                <w:p w14:paraId="63F94998">
                  <w:pPr>
                    <w:keepNext w:val="0"/>
                    <w:keepLines w:val="0"/>
                    <w:widowControl/>
                    <w:suppressLineNumbers w:val="0"/>
                    <w:jc w:val="center"/>
                    <w:textAlignment w:val="center"/>
                    <w:rPr>
                      <w:rFonts w:hint="eastAsia"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0.0006</w:t>
                  </w:r>
                </w:p>
              </w:tc>
            </w:tr>
          </w:tbl>
          <w:p w14:paraId="319AB440">
            <w:pPr>
              <w:numPr>
                <w:ilvl w:val="0"/>
                <w:numId w:val="0"/>
              </w:numPr>
              <w:spacing w:line="360" w:lineRule="auto"/>
              <w:ind w:firstLine="482" w:firstLineChars="200"/>
              <w:rPr>
                <w:rFonts w:hint="default" w:ascii="Times New Roman" w:hAnsi="Times New Roman" w:eastAsia="宋体" w:cs="Times New Roman"/>
                <w:b/>
                <w:bCs/>
                <w:sz w:val="24"/>
                <w:szCs w:val="24"/>
                <w:u w:val="single"/>
                <w:lang w:val="en-US" w:eastAsia="zh-CN"/>
              </w:rPr>
            </w:pPr>
            <w:r>
              <w:rPr>
                <w:rFonts w:hint="eastAsia" w:ascii="Times New Roman" w:hAnsi="Times New Roman" w:eastAsia="宋体" w:cs="Times New Roman"/>
                <w:b/>
                <w:bCs/>
                <w:sz w:val="24"/>
                <w:szCs w:val="24"/>
                <w:u w:val="single"/>
                <w:lang w:val="en-US" w:eastAsia="zh-CN"/>
              </w:rPr>
              <w:t>2、废水排放去向及可行性分析</w:t>
            </w:r>
          </w:p>
          <w:p w14:paraId="00CEBBCF">
            <w:pPr>
              <w:spacing w:line="360" w:lineRule="auto"/>
              <w:ind w:firstLine="480" w:firstLineChars="200"/>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 xml:space="preserve">洪江市工业集中区双溪片区污水处理厂位于洪江市工业集中区双溪片区内 黔城镇严家团村、黔城镇人民政府园艺场，项目地理位置坐标 </w:t>
            </w:r>
            <w:r>
              <w:rPr>
                <w:rFonts w:hint="default" w:ascii="Times New Roman" w:hAnsi="Times New Roman" w:eastAsia="宋体" w:cs="Times New Roman"/>
                <w:color w:val="auto"/>
                <w:sz w:val="24"/>
                <w:highlight w:val="none"/>
                <w:u w:val="single"/>
                <w:lang w:val="en-US" w:eastAsia="zh-CN"/>
              </w:rPr>
              <w:t>E109°51′48″</w:t>
            </w:r>
            <w:r>
              <w:rPr>
                <w:rFonts w:hint="eastAsia" w:ascii="Times New Roman" w:hAnsi="Times New Roman" w:eastAsia="宋体" w:cs="Times New Roman"/>
                <w:color w:val="auto"/>
                <w:sz w:val="24"/>
                <w:highlight w:val="none"/>
                <w:u w:val="single"/>
                <w:lang w:val="en-US" w:eastAsia="zh-CN"/>
              </w:rPr>
              <w:t>、</w:t>
            </w:r>
            <w:r>
              <w:rPr>
                <w:rFonts w:hint="default" w:ascii="Times New Roman" w:hAnsi="Times New Roman" w:eastAsia="宋体" w:cs="Times New Roman"/>
                <w:color w:val="auto"/>
                <w:sz w:val="24"/>
                <w:highlight w:val="none"/>
                <w:u w:val="single"/>
                <w:lang w:val="en-US" w:eastAsia="zh-CN"/>
              </w:rPr>
              <w:t>27°15′4″</w:t>
            </w:r>
            <w:r>
              <w:rPr>
                <w:rFonts w:hint="eastAsia" w:ascii="Times New Roman" w:hAnsi="Times New Roman" w:eastAsia="宋体" w:cs="Times New Roman"/>
                <w:color w:val="auto"/>
                <w:sz w:val="24"/>
                <w:highlight w:val="none"/>
                <w:u w:val="single"/>
                <w:lang w:val="en-US" w:eastAsia="zh-CN"/>
              </w:rPr>
              <w:t>，总设计规模1.4</w:t>
            </w:r>
            <w:r>
              <w:rPr>
                <w:rFonts w:hint="default" w:ascii="Times New Roman" w:hAnsi="Times New Roman" w:eastAsia="宋体" w:cs="Times New Roman"/>
                <w:color w:val="auto"/>
                <w:sz w:val="24"/>
                <w:highlight w:val="none"/>
                <w:u w:val="single"/>
                <w:lang w:val="en-US" w:eastAsia="zh-CN"/>
              </w:rPr>
              <w:t>×</w:t>
            </w:r>
            <w:r>
              <w:rPr>
                <w:rFonts w:hint="eastAsia" w:ascii="Times New Roman" w:hAnsi="Times New Roman" w:eastAsia="宋体" w:cs="Times New Roman"/>
                <w:color w:val="auto"/>
                <w:sz w:val="24"/>
                <w:highlight w:val="none"/>
                <w:u w:val="single"/>
                <w:lang w:val="en-US" w:eastAsia="zh-CN"/>
              </w:rPr>
              <w:t>10</w:t>
            </w:r>
            <w:r>
              <w:rPr>
                <w:rFonts w:hint="eastAsia" w:ascii="Times New Roman" w:hAnsi="Times New Roman" w:eastAsia="宋体" w:cs="Times New Roman"/>
                <w:color w:val="auto"/>
                <w:sz w:val="24"/>
                <w:highlight w:val="none"/>
                <w:u w:val="single"/>
                <w:vertAlign w:val="superscript"/>
                <w:lang w:val="en-US" w:eastAsia="zh-CN"/>
              </w:rPr>
              <w:t>4</w:t>
            </w:r>
            <w:r>
              <w:rPr>
                <w:rFonts w:hint="default" w:ascii="Times New Roman" w:hAnsi="Times New Roman" w:eastAsia="宋体" w:cs="Times New Roman"/>
                <w:color w:val="auto"/>
                <w:sz w:val="24"/>
                <w:highlight w:val="none"/>
                <w:u w:val="single"/>
                <w:lang w:val="en-US" w:eastAsia="zh-CN"/>
              </w:rPr>
              <w:t>m</w:t>
            </w:r>
            <w:r>
              <w:rPr>
                <w:rFonts w:hint="default" w:ascii="Times New Roman" w:hAnsi="Times New Roman" w:eastAsia="宋体" w:cs="Times New Roman"/>
                <w:color w:val="auto"/>
                <w:sz w:val="24"/>
                <w:highlight w:val="none"/>
                <w:u w:val="single"/>
                <w:vertAlign w:val="superscript"/>
                <w:lang w:val="en-US" w:eastAsia="zh-CN"/>
              </w:rPr>
              <w:t>3</w:t>
            </w:r>
            <w:r>
              <w:rPr>
                <w:rFonts w:hint="eastAsia" w:ascii="Times New Roman" w:hAnsi="Times New Roman" w:eastAsia="宋体" w:cs="Times New Roman"/>
                <w:color w:val="auto"/>
                <w:sz w:val="24"/>
                <w:highlight w:val="none"/>
                <w:u w:val="single"/>
                <w:lang w:val="en-US" w:eastAsia="zh-CN"/>
              </w:rPr>
              <w:t>/d，分两期建设，近期污水处理规模为</w:t>
            </w:r>
            <w:r>
              <w:rPr>
                <w:rFonts w:hint="default" w:ascii="Times New Roman" w:hAnsi="Times New Roman" w:eastAsia="宋体" w:cs="Times New Roman"/>
                <w:color w:val="auto"/>
                <w:sz w:val="24"/>
                <w:highlight w:val="none"/>
                <w:u w:val="single"/>
                <w:lang w:val="en-US" w:eastAsia="zh-CN"/>
              </w:rPr>
              <w:t>0.2×10</w:t>
            </w:r>
            <w:r>
              <w:rPr>
                <w:rFonts w:hint="default" w:ascii="Times New Roman" w:hAnsi="Times New Roman" w:eastAsia="宋体" w:cs="Times New Roman"/>
                <w:color w:val="auto"/>
                <w:sz w:val="24"/>
                <w:highlight w:val="none"/>
                <w:u w:val="single"/>
                <w:vertAlign w:val="superscript"/>
                <w:lang w:val="en-US" w:eastAsia="zh-CN"/>
              </w:rPr>
              <w:t>4</w:t>
            </w:r>
            <w:r>
              <w:rPr>
                <w:rFonts w:hint="default" w:ascii="Times New Roman" w:hAnsi="Times New Roman" w:eastAsia="宋体" w:cs="Times New Roman"/>
                <w:color w:val="auto"/>
                <w:sz w:val="24"/>
                <w:highlight w:val="none"/>
                <w:u w:val="single"/>
                <w:lang w:val="en-US" w:eastAsia="zh-CN"/>
              </w:rPr>
              <w:t>m</w:t>
            </w:r>
            <w:r>
              <w:rPr>
                <w:rFonts w:hint="default" w:ascii="Times New Roman" w:hAnsi="Times New Roman" w:eastAsia="宋体" w:cs="Times New Roman"/>
                <w:color w:val="auto"/>
                <w:sz w:val="24"/>
                <w:highlight w:val="none"/>
                <w:u w:val="single"/>
                <w:vertAlign w:val="superscript"/>
                <w:lang w:val="en-US" w:eastAsia="zh-CN"/>
              </w:rPr>
              <w:t>3</w:t>
            </w:r>
            <w:r>
              <w:rPr>
                <w:rFonts w:hint="default" w:ascii="Times New Roman" w:hAnsi="Times New Roman" w:eastAsia="宋体" w:cs="Times New Roman"/>
                <w:color w:val="auto"/>
                <w:sz w:val="24"/>
                <w:highlight w:val="none"/>
                <w:u w:val="single"/>
                <w:lang w:val="en-US" w:eastAsia="zh-CN"/>
              </w:rPr>
              <w:t>/d</w:t>
            </w:r>
            <w:r>
              <w:rPr>
                <w:rFonts w:hint="eastAsia" w:ascii="Times New Roman" w:hAnsi="Times New Roman" w:eastAsia="宋体" w:cs="Times New Roman"/>
                <w:color w:val="auto"/>
                <w:sz w:val="24"/>
                <w:highlight w:val="none"/>
                <w:u w:val="single"/>
                <w:lang w:val="en-US" w:eastAsia="zh-CN"/>
              </w:rPr>
              <w:t>，远期扩建到</w:t>
            </w:r>
            <w:r>
              <w:rPr>
                <w:rFonts w:hint="default" w:ascii="Times New Roman" w:hAnsi="Times New Roman" w:eastAsia="宋体" w:cs="Times New Roman"/>
                <w:color w:val="auto"/>
                <w:sz w:val="24"/>
                <w:highlight w:val="none"/>
                <w:u w:val="single"/>
                <w:lang w:val="en-US" w:eastAsia="zh-CN"/>
              </w:rPr>
              <w:t>1.4×10</w:t>
            </w:r>
            <w:r>
              <w:rPr>
                <w:rFonts w:hint="default" w:ascii="Times New Roman" w:hAnsi="Times New Roman" w:eastAsia="宋体" w:cs="Times New Roman"/>
                <w:color w:val="auto"/>
                <w:sz w:val="24"/>
                <w:highlight w:val="none"/>
                <w:u w:val="single"/>
                <w:vertAlign w:val="superscript"/>
                <w:lang w:val="en-US" w:eastAsia="zh-CN"/>
              </w:rPr>
              <w:t>4</w:t>
            </w:r>
            <w:r>
              <w:rPr>
                <w:rFonts w:hint="default" w:ascii="Times New Roman" w:hAnsi="Times New Roman" w:eastAsia="宋体" w:cs="Times New Roman"/>
                <w:color w:val="auto"/>
                <w:sz w:val="24"/>
                <w:highlight w:val="none"/>
                <w:u w:val="single"/>
                <w:lang w:val="en-US" w:eastAsia="zh-CN"/>
              </w:rPr>
              <w:t>m</w:t>
            </w:r>
            <w:r>
              <w:rPr>
                <w:rFonts w:hint="default" w:ascii="Times New Roman" w:hAnsi="Times New Roman" w:eastAsia="宋体" w:cs="Times New Roman"/>
                <w:color w:val="auto"/>
                <w:sz w:val="24"/>
                <w:highlight w:val="none"/>
                <w:u w:val="single"/>
                <w:vertAlign w:val="superscript"/>
                <w:lang w:val="en-US" w:eastAsia="zh-CN"/>
              </w:rPr>
              <w:t>3</w:t>
            </w:r>
            <w:r>
              <w:rPr>
                <w:rFonts w:hint="default" w:ascii="Times New Roman" w:hAnsi="Times New Roman" w:eastAsia="宋体" w:cs="Times New Roman"/>
                <w:color w:val="auto"/>
                <w:sz w:val="24"/>
                <w:highlight w:val="none"/>
                <w:u w:val="single"/>
                <w:lang w:val="en-US" w:eastAsia="zh-CN"/>
              </w:rPr>
              <w:t>/d</w:t>
            </w:r>
            <w:r>
              <w:rPr>
                <w:rFonts w:hint="eastAsia" w:ascii="Times New Roman" w:hAnsi="Times New Roman" w:eastAsia="宋体" w:cs="Times New Roman"/>
                <w:color w:val="auto"/>
                <w:sz w:val="24"/>
                <w:highlight w:val="none"/>
                <w:u w:val="single"/>
                <w:lang w:val="en-US" w:eastAsia="zh-CN"/>
              </w:rPr>
              <w:t>。双溪片区污水处理厂近期用地</w:t>
            </w:r>
            <w:r>
              <w:rPr>
                <w:rFonts w:hint="default" w:ascii="Times New Roman" w:hAnsi="Times New Roman" w:eastAsia="宋体" w:cs="Times New Roman"/>
                <w:color w:val="auto"/>
                <w:sz w:val="24"/>
                <w:highlight w:val="none"/>
                <w:u w:val="single"/>
                <w:lang w:val="en-US" w:eastAsia="zh-CN"/>
              </w:rPr>
              <w:t>12.02</w:t>
            </w:r>
            <w:r>
              <w:rPr>
                <w:rFonts w:hint="eastAsia" w:ascii="Times New Roman" w:hAnsi="Times New Roman" w:eastAsia="宋体" w:cs="Times New Roman"/>
                <w:color w:val="auto"/>
                <w:sz w:val="24"/>
                <w:highlight w:val="none"/>
                <w:u w:val="single"/>
                <w:lang w:val="en-US" w:eastAsia="zh-CN"/>
              </w:rPr>
              <w:t>亩，远期总用地面积</w:t>
            </w:r>
            <w:r>
              <w:rPr>
                <w:rFonts w:hint="default" w:ascii="Times New Roman" w:hAnsi="Times New Roman" w:eastAsia="宋体" w:cs="Times New Roman"/>
                <w:color w:val="auto"/>
                <w:sz w:val="24"/>
                <w:highlight w:val="none"/>
                <w:u w:val="single"/>
                <w:lang w:val="en-US" w:eastAsia="zh-CN"/>
              </w:rPr>
              <w:t>31.08</w:t>
            </w:r>
            <w:r>
              <w:rPr>
                <w:rFonts w:hint="eastAsia" w:ascii="Times New Roman" w:hAnsi="Times New Roman" w:eastAsia="宋体" w:cs="Times New Roman"/>
                <w:color w:val="auto"/>
                <w:sz w:val="24"/>
                <w:highlight w:val="none"/>
                <w:u w:val="single"/>
                <w:lang w:val="en-US" w:eastAsia="zh-CN"/>
              </w:rPr>
              <w:t>亩，纳污范围为洪江市工业集中区双溪片区所有产业区区域（规划</w:t>
            </w:r>
            <w:r>
              <w:rPr>
                <w:rFonts w:hint="default" w:ascii="Times New Roman" w:hAnsi="Times New Roman" w:eastAsia="宋体" w:cs="Times New Roman"/>
                <w:color w:val="auto"/>
                <w:sz w:val="24"/>
                <w:highlight w:val="none"/>
                <w:u w:val="single"/>
                <w:lang w:val="en-US" w:eastAsia="zh-CN"/>
              </w:rPr>
              <w:t>5</w:t>
            </w:r>
            <w:r>
              <w:rPr>
                <w:rFonts w:hint="eastAsia" w:ascii="Times New Roman" w:hAnsi="Times New Roman" w:eastAsia="宋体" w:cs="Times New Roman"/>
                <w:color w:val="auto"/>
                <w:sz w:val="24"/>
                <w:highlight w:val="none"/>
                <w:u w:val="single"/>
                <w:lang w:val="en-US" w:eastAsia="zh-CN"/>
              </w:rPr>
              <w:t>路以北区域），采用处理工艺为格栅</w:t>
            </w:r>
            <w:r>
              <w:rPr>
                <w:rFonts w:hint="default" w:ascii="Times New Roman" w:hAnsi="Times New Roman" w:eastAsia="宋体" w:cs="Times New Roman"/>
                <w:color w:val="auto"/>
                <w:sz w:val="24"/>
                <w:highlight w:val="none"/>
                <w:u w:val="single"/>
                <w:lang w:val="en-US" w:eastAsia="zh-CN"/>
              </w:rPr>
              <w:t>+</w:t>
            </w:r>
            <w:r>
              <w:rPr>
                <w:rFonts w:hint="eastAsia" w:ascii="Times New Roman" w:hAnsi="Times New Roman" w:eastAsia="宋体" w:cs="Times New Roman"/>
                <w:color w:val="auto"/>
                <w:sz w:val="24"/>
                <w:highlight w:val="none"/>
                <w:u w:val="single"/>
                <w:lang w:val="en-US" w:eastAsia="zh-CN"/>
              </w:rPr>
              <w:t>沉砂池</w:t>
            </w:r>
            <w:r>
              <w:rPr>
                <w:rFonts w:hint="default" w:ascii="Times New Roman" w:hAnsi="Times New Roman" w:eastAsia="宋体" w:cs="Times New Roman"/>
                <w:color w:val="auto"/>
                <w:sz w:val="24"/>
                <w:highlight w:val="none"/>
                <w:u w:val="single"/>
                <w:lang w:val="en-US" w:eastAsia="zh-CN"/>
              </w:rPr>
              <w:t>+</w:t>
            </w:r>
            <w:r>
              <w:rPr>
                <w:rFonts w:hint="eastAsia" w:ascii="Times New Roman" w:hAnsi="Times New Roman" w:eastAsia="宋体" w:cs="Times New Roman"/>
                <w:color w:val="auto"/>
                <w:sz w:val="24"/>
                <w:highlight w:val="none"/>
                <w:u w:val="single"/>
                <w:lang w:val="en-US" w:eastAsia="zh-CN"/>
              </w:rPr>
              <w:t>水解酸化</w:t>
            </w:r>
            <w:r>
              <w:rPr>
                <w:rFonts w:hint="default" w:ascii="Times New Roman" w:hAnsi="Times New Roman" w:eastAsia="宋体" w:cs="Times New Roman"/>
                <w:color w:val="auto"/>
                <w:sz w:val="24"/>
                <w:highlight w:val="none"/>
                <w:u w:val="single"/>
                <w:lang w:val="en-US" w:eastAsia="zh-CN"/>
              </w:rPr>
              <w:t>+</w:t>
            </w:r>
            <w:r>
              <w:rPr>
                <w:rFonts w:hint="eastAsia" w:ascii="Times New Roman" w:hAnsi="Times New Roman" w:eastAsia="宋体" w:cs="Times New Roman"/>
                <w:color w:val="auto"/>
                <w:sz w:val="24"/>
                <w:highlight w:val="none"/>
                <w:u w:val="single"/>
                <w:lang w:val="en-US" w:eastAsia="zh-CN"/>
              </w:rPr>
              <w:t>氧化沟</w:t>
            </w:r>
            <w:r>
              <w:rPr>
                <w:rFonts w:hint="default" w:ascii="Times New Roman" w:hAnsi="Times New Roman" w:eastAsia="宋体" w:cs="Times New Roman"/>
                <w:color w:val="auto"/>
                <w:sz w:val="24"/>
                <w:highlight w:val="none"/>
                <w:u w:val="single"/>
                <w:lang w:val="en-US" w:eastAsia="zh-CN"/>
              </w:rPr>
              <w:t>+</w:t>
            </w:r>
            <w:r>
              <w:rPr>
                <w:rFonts w:hint="eastAsia" w:ascii="Times New Roman" w:hAnsi="Times New Roman" w:eastAsia="宋体" w:cs="Times New Roman"/>
                <w:color w:val="auto"/>
                <w:sz w:val="24"/>
                <w:highlight w:val="none"/>
                <w:u w:val="single"/>
                <w:lang w:val="en-US" w:eastAsia="zh-CN"/>
              </w:rPr>
              <w:t>高效沉淀池</w:t>
            </w:r>
            <w:r>
              <w:rPr>
                <w:rFonts w:hint="default" w:ascii="Times New Roman" w:hAnsi="Times New Roman" w:eastAsia="宋体" w:cs="Times New Roman"/>
                <w:color w:val="auto"/>
                <w:sz w:val="24"/>
                <w:highlight w:val="none"/>
                <w:u w:val="single"/>
                <w:lang w:val="en-US" w:eastAsia="zh-CN"/>
              </w:rPr>
              <w:t>+</w:t>
            </w:r>
            <w:r>
              <w:rPr>
                <w:rFonts w:hint="eastAsia" w:ascii="Times New Roman" w:hAnsi="Times New Roman" w:eastAsia="宋体" w:cs="Times New Roman"/>
                <w:color w:val="auto"/>
                <w:sz w:val="24"/>
                <w:highlight w:val="none"/>
                <w:u w:val="single"/>
                <w:lang w:val="en-US" w:eastAsia="zh-CN"/>
              </w:rPr>
              <w:t>微孔过滤</w:t>
            </w:r>
            <w:r>
              <w:rPr>
                <w:rFonts w:hint="default" w:ascii="Times New Roman" w:hAnsi="Times New Roman" w:eastAsia="宋体" w:cs="Times New Roman"/>
                <w:color w:val="auto"/>
                <w:sz w:val="24"/>
                <w:highlight w:val="none"/>
                <w:u w:val="single"/>
                <w:lang w:val="en-US" w:eastAsia="zh-CN"/>
              </w:rPr>
              <w:t>+</w:t>
            </w:r>
            <w:r>
              <w:rPr>
                <w:rFonts w:hint="eastAsia" w:ascii="Times New Roman" w:hAnsi="Times New Roman" w:eastAsia="宋体" w:cs="Times New Roman"/>
                <w:color w:val="auto"/>
                <w:sz w:val="24"/>
                <w:highlight w:val="none"/>
                <w:u w:val="single"/>
                <w:lang w:val="en-US" w:eastAsia="zh-CN"/>
              </w:rPr>
              <w:t>紫外消毒，出水达到《城镇污水处理厂污染物排放标准》（</w:t>
            </w:r>
            <w:r>
              <w:rPr>
                <w:rFonts w:hint="default" w:ascii="Times New Roman" w:hAnsi="Times New Roman" w:eastAsia="宋体" w:cs="Times New Roman"/>
                <w:color w:val="auto"/>
                <w:sz w:val="24"/>
                <w:highlight w:val="none"/>
                <w:u w:val="single"/>
                <w:lang w:val="en-US" w:eastAsia="zh-CN"/>
              </w:rPr>
              <w:t xml:space="preserve">GB18918-2002 </w:t>
            </w:r>
            <w:r>
              <w:rPr>
                <w:rFonts w:hint="eastAsia" w:ascii="Times New Roman" w:hAnsi="Times New Roman" w:eastAsia="宋体" w:cs="Times New Roman"/>
                <w:color w:val="auto"/>
                <w:sz w:val="24"/>
                <w:highlight w:val="none"/>
                <w:u w:val="single"/>
                <w:lang w:val="en-US" w:eastAsia="zh-CN"/>
              </w:rPr>
              <w:t xml:space="preserve">及其修改单）一级 </w:t>
            </w:r>
            <w:r>
              <w:rPr>
                <w:rFonts w:hint="default" w:ascii="Times New Roman" w:hAnsi="Times New Roman" w:eastAsia="宋体" w:cs="Times New Roman"/>
                <w:color w:val="auto"/>
                <w:sz w:val="24"/>
                <w:highlight w:val="none"/>
                <w:u w:val="single"/>
                <w:lang w:val="en-US" w:eastAsia="zh-CN"/>
              </w:rPr>
              <w:t xml:space="preserve">A </w:t>
            </w:r>
            <w:r>
              <w:rPr>
                <w:rFonts w:hint="eastAsia" w:ascii="Times New Roman" w:hAnsi="Times New Roman" w:eastAsia="宋体" w:cs="Times New Roman"/>
                <w:color w:val="auto"/>
                <w:sz w:val="24"/>
                <w:highlight w:val="none"/>
                <w:u w:val="single"/>
                <w:lang w:val="en-US" w:eastAsia="zh-CN"/>
              </w:rPr>
              <w:t>标准。洪江市工业集中区双溪片区污水处理厂于2018年已完成洪江市工业集中区双溪片区污水处理厂（近期）建设工程竣工环境保护验收，经咨询洪江高新技术产业开发区（洪江市）管理委员会，当前洪江市工业集中区双溪片区污水处理厂实际日处理水不足200m</w:t>
            </w:r>
            <w:r>
              <w:rPr>
                <w:rFonts w:hint="eastAsia" w:ascii="Times New Roman" w:hAnsi="Times New Roman" w:eastAsia="宋体" w:cs="Times New Roman"/>
                <w:color w:val="auto"/>
                <w:sz w:val="24"/>
                <w:highlight w:val="none"/>
                <w:u w:val="single"/>
                <w:vertAlign w:val="superscript"/>
                <w:lang w:val="en-US" w:eastAsia="zh-CN"/>
              </w:rPr>
              <w:t>3</w:t>
            </w:r>
            <w:r>
              <w:rPr>
                <w:rFonts w:hint="eastAsia" w:ascii="Times New Roman" w:hAnsi="Times New Roman" w:eastAsia="宋体" w:cs="Times New Roman"/>
                <w:color w:val="auto"/>
                <w:sz w:val="24"/>
                <w:highlight w:val="none"/>
                <w:u w:val="single"/>
                <w:lang w:val="en-US" w:eastAsia="zh-CN"/>
              </w:rPr>
              <w:t>/d，本项目建设完成后预计</w:t>
            </w:r>
            <w:r>
              <w:rPr>
                <w:rFonts w:hint="eastAsia" w:cs="Times New Roman"/>
                <w:color w:val="auto"/>
                <w:sz w:val="24"/>
                <w:highlight w:val="none"/>
                <w:u w:val="single"/>
                <w:lang w:val="en-US" w:eastAsia="zh-CN"/>
              </w:rPr>
              <w:t>生活污水</w:t>
            </w:r>
            <w:r>
              <w:rPr>
                <w:rFonts w:hint="eastAsia" w:ascii="Times New Roman" w:hAnsi="Times New Roman" w:eastAsia="宋体" w:cs="Times New Roman"/>
                <w:color w:val="auto"/>
                <w:sz w:val="24"/>
                <w:highlight w:val="none"/>
                <w:u w:val="single"/>
                <w:lang w:val="en-US" w:eastAsia="zh-CN"/>
              </w:rPr>
              <w:t>排放量为</w:t>
            </w:r>
            <w:r>
              <w:rPr>
                <w:rFonts w:hint="eastAsia" w:ascii="Times New Roman" w:hAnsi="Times New Roman" w:eastAsia="宋体" w:cs="Times New Roman"/>
                <w:sz w:val="24"/>
                <w:u w:val="single"/>
                <w:lang w:val="en-US" w:eastAsia="zh-CN"/>
              </w:rPr>
              <w:t>608t/a，1.95</w:t>
            </w:r>
            <w:r>
              <w:rPr>
                <w:rFonts w:hint="eastAsia" w:ascii="Times New Roman" w:hAnsi="Times New Roman" w:eastAsia="宋体" w:cs="Times New Roman"/>
                <w:color w:val="auto"/>
                <w:sz w:val="24"/>
                <w:highlight w:val="none"/>
                <w:u w:val="single"/>
                <w:lang w:val="en-US" w:eastAsia="zh-CN"/>
              </w:rPr>
              <w:t>m</w:t>
            </w:r>
            <w:r>
              <w:rPr>
                <w:rFonts w:hint="eastAsia" w:ascii="Times New Roman" w:hAnsi="Times New Roman" w:eastAsia="宋体" w:cs="Times New Roman"/>
                <w:color w:val="auto"/>
                <w:sz w:val="24"/>
                <w:highlight w:val="none"/>
                <w:u w:val="single"/>
                <w:vertAlign w:val="superscript"/>
                <w:lang w:val="en-US" w:eastAsia="zh-CN"/>
              </w:rPr>
              <w:t>3</w:t>
            </w:r>
            <w:r>
              <w:rPr>
                <w:rFonts w:hint="eastAsia" w:ascii="Times New Roman" w:hAnsi="Times New Roman" w:eastAsia="宋体" w:cs="Times New Roman"/>
                <w:color w:val="auto"/>
                <w:sz w:val="24"/>
                <w:highlight w:val="none"/>
                <w:u w:val="single"/>
                <w:lang w:val="en-US" w:eastAsia="zh-CN"/>
              </w:rPr>
              <w:t>/d，本项目生活污水依托洪江市工业集中区双溪片区污水处理厂处置具有可行性。</w:t>
            </w:r>
          </w:p>
          <w:p w14:paraId="7942BEB6">
            <w:pPr>
              <w:numPr>
                <w:ilvl w:val="0"/>
                <w:numId w:val="0"/>
              </w:numPr>
              <w:spacing w:line="360" w:lineRule="auto"/>
              <w:ind w:firstLine="482" w:firstLineChars="200"/>
              <w:rPr>
                <w:rFonts w:hint="default" w:ascii="Times New Roman" w:hAnsi="Times New Roman" w:eastAsia="宋体" w:cs="Times New Roman"/>
                <w:b/>
                <w:bCs/>
                <w:sz w:val="24"/>
                <w:szCs w:val="24"/>
                <w:u w:val="single"/>
                <w:lang w:val="en-US" w:eastAsia="zh-CN"/>
              </w:rPr>
            </w:pPr>
            <w:r>
              <w:rPr>
                <w:rFonts w:hint="eastAsia" w:ascii="Times New Roman" w:hAnsi="Times New Roman" w:eastAsia="宋体" w:cs="Times New Roman"/>
                <w:b/>
                <w:bCs/>
                <w:sz w:val="24"/>
                <w:szCs w:val="24"/>
                <w:u w:val="single"/>
                <w:lang w:val="en-US" w:eastAsia="zh-CN"/>
              </w:rPr>
              <w:t>3、废气污染源监测计划</w:t>
            </w:r>
          </w:p>
          <w:p w14:paraId="68FCA678">
            <w:pPr>
              <w:spacing w:line="360" w:lineRule="auto"/>
              <w:ind w:firstLine="480" w:firstLineChars="200"/>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根据依据《排污单位自行监测技术指南总则》（HJ819-2017）、《排污许可证申请与核发技术规范-金属铸造工业》（HJ1115—2020）等要求开展自行监测，本项目营运期环境监测计划详见下表。</w:t>
            </w:r>
          </w:p>
          <w:p w14:paraId="19FDC74C">
            <w:pPr>
              <w:ind w:firstLine="422" w:firstLineChars="200"/>
              <w:jc w:val="center"/>
              <w:rPr>
                <w:color w:val="auto"/>
                <w:kern w:val="0"/>
                <w:szCs w:val="21"/>
                <w:highlight w:val="none"/>
                <w:u w:val="single"/>
              </w:rPr>
            </w:pPr>
            <w:r>
              <w:rPr>
                <w:b/>
                <w:bCs/>
                <w:color w:val="auto"/>
                <w:highlight w:val="none"/>
                <w:u w:val="single"/>
              </w:rPr>
              <w:t>表</w:t>
            </w:r>
            <w:r>
              <w:rPr>
                <w:rFonts w:hint="eastAsia"/>
                <w:b/>
                <w:bCs/>
                <w:color w:val="auto"/>
                <w:highlight w:val="none"/>
                <w:u w:val="single"/>
                <w:lang w:val="en-US" w:eastAsia="zh-CN"/>
              </w:rPr>
              <w:t>4-10</w:t>
            </w:r>
            <w:r>
              <w:rPr>
                <w:rFonts w:hint="eastAsia"/>
                <w:b/>
                <w:bCs/>
                <w:color w:val="auto"/>
                <w:highlight w:val="none"/>
                <w:u w:val="single"/>
              </w:rPr>
              <w:t xml:space="preserve">  废水</w:t>
            </w:r>
            <w:r>
              <w:rPr>
                <w:rFonts w:hint="eastAsia"/>
                <w:b/>
                <w:bCs/>
                <w:color w:val="auto"/>
                <w:highlight w:val="none"/>
                <w:u w:val="single"/>
                <w:lang w:val="en-US" w:eastAsia="zh-CN"/>
              </w:rPr>
              <w:t>污染源监测计划一览</w:t>
            </w:r>
            <w:r>
              <w:rPr>
                <w:b/>
                <w:bCs/>
                <w:color w:val="auto"/>
                <w:highlight w:val="none"/>
                <w:u w:val="single"/>
              </w:rPr>
              <w:t>表</w:t>
            </w:r>
            <w:r>
              <w:rPr>
                <w:color w:val="auto"/>
                <w:kern w:val="0"/>
                <w:szCs w:val="21"/>
                <w:highlight w:val="none"/>
                <w:u w:val="single"/>
              </w:rPr>
              <w:t>。</w:t>
            </w:r>
          </w:p>
          <w:tbl>
            <w:tblPr>
              <w:tblStyle w:val="38"/>
              <w:tblW w:w="7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6"/>
              <w:gridCol w:w="1914"/>
              <w:gridCol w:w="3002"/>
              <w:gridCol w:w="1535"/>
            </w:tblGrid>
            <w:tr w14:paraId="5E520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106" w:type="dxa"/>
                  <w:tcBorders>
                    <w:tl2br w:val="nil"/>
                    <w:tr2bl w:val="nil"/>
                  </w:tcBorders>
                  <w:noWrap w:val="0"/>
                  <w:vAlign w:val="center"/>
                </w:tcPr>
                <w:p w14:paraId="73ACF19C">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类别</w:t>
                  </w:r>
                </w:p>
              </w:tc>
              <w:tc>
                <w:tcPr>
                  <w:tcW w:w="1914" w:type="dxa"/>
                  <w:tcBorders>
                    <w:tl2br w:val="nil"/>
                    <w:tr2bl w:val="nil"/>
                  </w:tcBorders>
                  <w:noWrap w:val="0"/>
                  <w:vAlign w:val="center"/>
                </w:tcPr>
                <w:p w14:paraId="21789CD4">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监测点位</w:t>
                  </w:r>
                </w:p>
              </w:tc>
              <w:tc>
                <w:tcPr>
                  <w:tcW w:w="3002" w:type="dxa"/>
                  <w:tcBorders>
                    <w:tl2br w:val="nil"/>
                    <w:tr2bl w:val="nil"/>
                  </w:tcBorders>
                  <w:noWrap w:val="0"/>
                  <w:vAlign w:val="center"/>
                </w:tcPr>
                <w:p w14:paraId="249D1437">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监测因子</w:t>
                  </w:r>
                </w:p>
              </w:tc>
              <w:tc>
                <w:tcPr>
                  <w:tcW w:w="1535" w:type="dxa"/>
                  <w:tcBorders>
                    <w:tl2br w:val="nil"/>
                    <w:tr2bl w:val="nil"/>
                  </w:tcBorders>
                  <w:noWrap w:val="0"/>
                  <w:vAlign w:val="center"/>
                </w:tcPr>
                <w:p w14:paraId="77EA34B0">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监测频次</w:t>
                  </w:r>
                </w:p>
              </w:tc>
            </w:tr>
            <w:tr w14:paraId="1E71F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jc w:val="center"/>
              </w:trPr>
              <w:tc>
                <w:tcPr>
                  <w:tcW w:w="1106" w:type="dxa"/>
                  <w:tcBorders>
                    <w:tl2br w:val="nil"/>
                    <w:tr2bl w:val="nil"/>
                  </w:tcBorders>
                  <w:noWrap w:val="0"/>
                  <w:vAlign w:val="center"/>
                </w:tcPr>
                <w:p w14:paraId="499ED480">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lang w:val="en-US" w:eastAsia="zh-CN"/>
                    </w:rPr>
                    <w:t>生活污</w:t>
                  </w:r>
                  <w:r>
                    <w:rPr>
                      <w:rFonts w:hint="eastAsia" w:ascii="Times New Roman" w:hAnsi="Times New Roman" w:eastAsia="宋体" w:cs="Times New Roman"/>
                      <w:color w:val="auto"/>
                      <w:highlight w:val="none"/>
                      <w:u w:val="single"/>
                    </w:rPr>
                    <w:t>水</w:t>
                  </w:r>
                </w:p>
              </w:tc>
              <w:tc>
                <w:tcPr>
                  <w:tcW w:w="1914" w:type="dxa"/>
                  <w:tcBorders>
                    <w:tl2br w:val="nil"/>
                    <w:tr2bl w:val="nil"/>
                  </w:tcBorders>
                  <w:noWrap w:val="0"/>
                  <w:vAlign w:val="center"/>
                </w:tcPr>
                <w:p w14:paraId="0C5E2598">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lang w:val="en-US" w:eastAsia="zh-CN"/>
                    </w:rPr>
                    <w:t>企业</w:t>
                  </w:r>
                  <w:r>
                    <w:rPr>
                      <w:rFonts w:hint="eastAsia" w:ascii="Times New Roman" w:hAnsi="Times New Roman" w:eastAsia="宋体" w:cs="Times New Roman"/>
                      <w:color w:val="auto"/>
                      <w:highlight w:val="none"/>
                      <w:u w:val="single"/>
                    </w:rPr>
                    <w:t>总排口DW001</w:t>
                  </w:r>
                </w:p>
              </w:tc>
              <w:tc>
                <w:tcPr>
                  <w:tcW w:w="3002" w:type="dxa"/>
                  <w:tcBorders>
                    <w:tl2br w:val="nil"/>
                    <w:tr2bl w:val="nil"/>
                  </w:tcBorders>
                  <w:noWrap w:val="0"/>
                  <w:vAlign w:val="center"/>
                </w:tcPr>
                <w:p w14:paraId="52175BC3">
                  <w:pPr>
                    <w:jc w:val="center"/>
                    <w:rPr>
                      <w:rFonts w:hint="default" w:ascii="Times New Roman" w:hAnsi="Times New Roman" w:eastAsia="宋体" w:cs="Times New Roman"/>
                      <w:color w:val="auto"/>
                      <w:highlight w:val="none"/>
                      <w:u w:val="single"/>
                      <w:lang w:val="en-US" w:eastAsia="zh-CN"/>
                    </w:rPr>
                  </w:pPr>
                  <w:r>
                    <w:rPr>
                      <w:rFonts w:hint="eastAsia" w:ascii="Times New Roman" w:hAnsi="Times New Roman" w:eastAsia="宋体" w:cs="Times New Roman"/>
                      <w:color w:val="auto"/>
                      <w:highlight w:val="none"/>
                      <w:u w:val="single"/>
                    </w:rPr>
                    <w:t>pH值、</w:t>
                  </w:r>
                  <w:r>
                    <w:rPr>
                      <w:rFonts w:hint="eastAsia" w:ascii="Times New Roman" w:hAnsi="Times New Roman" w:eastAsia="宋体" w:cs="Times New Roman"/>
                      <w:color w:val="auto"/>
                      <w:highlight w:val="none"/>
                      <w:u w:val="single"/>
                      <w:lang w:val="en-US" w:eastAsia="zh-CN"/>
                    </w:rPr>
                    <w:t>色度、SS、</w:t>
                  </w:r>
                  <w:r>
                    <w:rPr>
                      <w:rFonts w:hint="eastAsia" w:ascii="Times New Roman" w:hAnsi="Times New Roman" w:eastAsia="宋体" w:cs="Times New Roman"/>
                      <w:color w:val="auto"/>
                      <w:highlight w:val="none"/>
                      <w:u w:val="single"/>
                    </w:rPr>
                    <w:t>COD、BOD</w:t>
                  </w:r>
                  <w:r>
                    <w:rPr>
                      <w:rFonts w:hint="eastAsia" w:ascii="Times New Roman" w:hAnsi="Times New Roman" w:eastAsia="宋体" w:cs="Times New Roman"/>
                      <w:color w:val="auto"/>
                      <w:highlight w:val="none"/>
                      <w:u w:val="single"/>
                      <w:vertAlign w:val="subscript"/>
                    </w:rPr>
                    <w:t>5</w:t>
                  </w:r>
                  <w:r>
                    <w:rPr>
                      <w:rFonts w:hint="eastAsia" w:ascii="Times New Roman" w:hAnsi="Times New Roman" w:eastAsia="宋体" w:cs="Times New Roman"/>
                      <w:color w:val="auto"/>
                      <w:highlight w:val="none"/>
                      <w:u w:val="single"/>
                      <w:vertAlign w:val="subscript"/>
                      <w:lang w:eastAsia="zh-CN"/>
                    </w:rPr>
                    <w:t>、</w:t>
                  </w:r>
                  <w:r>
                    <w:rPr>
                      <w:rFonts w:hint="eastAsia" w:ascii="Times New Roman" w:hAnsi="Times New Roman" w:eastAsia="宋体" w:cs="Times New Roman"/>
                      <w:color w:val="auto"/>
                      <w:highlight w:val="none"/>
                      <w:u w:val="single"/>
                      <w:lang w:val="en-US" w:eastAsia="zh-CN"/>
                    </w:rPr>
                    <w:t>NH</w:t>
                  </w:r>
                  <w:r>
                    <w:rPr>
                      <w:rFonts w:hint="eastAsia" w:ascii="Times New Roman" w:hAnsi="Times New Roman" w:eastAsia="宋体" w:cs="Times New Roman"/>
                      <w:color w:val="auto"/>
                      <w:highlight w:val="none"/>
                      <w:u w:val="single"/>
                      <w:vertAlign w:val="subscript"/>
                      <w:lang w:val="en-US" w:eastAsia="zh-CN"/>
                    </w:rPr>
                    <w:t>3</w:t>
                  </w:r>
                  <w:r>
                    <w:rPr>
                      <w:rFonts w:hint="eastAsia" w:ascii="Times New Roman" w:hAnsi="Times New Roman" w:eastAsia="宋体" w:cs="Times New Roman"/>
                      <w:color w:val="auto"/>
                      <w:highlight w:val="none"/>
                      <w:u w:val="single"/>
                      <w:lang w:val="en-US" w:eastAsia="zh-CN"/>
                    </w:rPr>
                    <w:t>-N、</w:t>
                  </w:r>
                  <w:r>
                    <w:rPr>
                      <w:rFonts w:hint="eastAsia" w:ascii="Times New Roman" w:hAnsi="Times New Roman" w:eastAsia="宋体" w:cs="Times New Roman"/>
                      <w:color w:val="auto"/>
                      <w:highlight w:val="none"/>
                      <w:u w:val="single"/>
                    </w:rPr>
                    <w:t>TP</w:t>
                  </w:r>
                  <w:r>
                    <w:rPr>
                      <w:rFonts w:hint="eastAsia" w:ascii="Times New Roman" w:hAnsi="Times New Roman" w:eastAsia="宋体" w:cs="Times New Roman"/>
                      <w:color w:val="auto"/>
                      <w:highlight w:val="none"/>
                      <w:u w:val="single"/>
                      <w:lang w:eastAsia="zh-CN"/>
                    </w:rPr>
                    <w:t>、</w:t>
                  </w:r>
                  <w:r>
                    <w:rPr>
                      <w:rFonts w:hint="eastAsia" w:ascii="Times New Roman" w:hAnsi="Times New Roman" w:eastAsia="宋体" w:cs="Times New Roman"/>
                      <w:color w:val="auto"/>
                      <w:highlight w:val="none"/>
                      <w:u w:val="single"/>
                    </w:rPr>
                    <w:t>TN</w:t>
                  </w:r>
                </w:p>
              </w:tc>
              <w:tc>
                <w:tcPr>
                  <w:tcW w:w="1535" w:type="dxa"/>
                  <w:tcBorders>
                    <w:tl2br w:val="nil"/>
                    <w:tr2bl w:val="nil"/>
                  </w:tcBorders>
                  <w:noWrap w:val="0"/>
                  <w:vAlign w:val="center"/>
                </w:tcPr>
                <w:p w14:paraId="5E9EC055">
                  <w:pPr>
                    <w:jc w:val="center"/>
                    <w:rPr>
                      <w:rFonts w:hint="default" w:ascii="Times New Roman" w:hAnsi="Times New Roman" w:eastAsia="宋体" w:cs="Times New Roman"/>
                      <w:color w:val="auto"/>
                      <w:highlight w:val="none"/>
                      <w:u w:val="single"/>
                      <w:lang w:val="en-US" w:eastAsia="zh-CN"/>
                    </w:rPr>
                  </w:pPr>
                  <w:r>
                    <w:rPr>
                      <w:rFonts w:hint="eastAsia" w:ascii="Times New Roman" w:hAnsi="Times New Roman" w:eastAsia="宋体" w:cs="Times New Roman"/>
                      <w:color w:val="auto"/>
                      <w:highlight w:val="none"/>
                      <w:u w:val="single"/>
                      <w:lang w:val="en-US" w:eastAsia="zh-CN"/>
                    </w:rPr>
                    <w:t>1次/年</w:t>
                  </w:r>
                </w:p>
              </w:tc>
            </w:tr>
          </w:tbl>
          <w:p w14:paraId="3FAF520B">
            <w:pPr>
              <w:numPr>
                <w:ilvl w:val="0"/>
                <w:numId w:val="0"/>
              </w:numPr>
              <w:spacing w:line="360" w:lineRule="auto"/>
              <w:ind w:firstLine="482" w:firstLineChars="200"/>
              <w:rPr>
                <w:rFonts w:hint="default" w:ascii="Times New Roman" w:hAnsi="Times New Roman" w:eastAsia="宋体" w:cs="Times New Roman"/>
                <w:b/>
                <w:bCs/>
                <w:sz w:val="24"/>
                <w:szCs w:val="24"/>
                <w:u w:val="none"/>
                <w:lang w:val="en-US" w:eastAsia="zh-CN"/>
              </w:rPr>
            </w:pPr>
            <w:r>
              <w:rPr>
                <w:rFonts w:hint="eastAsia" w:ascii="Times New Roman" w:hAnsi="Times New Roman" w:eastAsia="宋体" w:cs="Times New Roman"/>
                <w:b/>
                <w:bCs/>
                <w:sz w:val="24"/>
                <w:szCs w:val="24"/>
                <w:u w:val="none"/>
                <w:lang w:val="en-US" w:eastAsia="zh-CN"/>
              </w:rPr>
              <w:t>4.2.3运营期噪声环境影响及保护措施</w:t>
            </w:r>
          </w:p>
          <w:p w14:paraId="5EAC5418">
            <w:pPr>
              <w:numPr>
                <w:ilvl w:val="0"/>
                <w:numId w:val="0"/>
              </w:numPr>
              <w:spacing w:line="360" w:lineRule="auto"/>
              <w:ind w:firstLine="482" w:firstLineChars="200"/>
              <w:rPr>
                <w:rFonts w:hint="eastAsia" w:ascii="Times New Roman" w:hAnsi="Times New Roman" w:eastAsia="宋体" w:cs="Times New Roman"/>
                <w:b/>
                <w:bCs/>
                <w:sz w:val="24"/>
                <w:szCs w:val="24"/>
                <w:u w:val="none"/>
                <w:lang w:val="en-US" w:eastAsia="zh-CN"/>
              </w:rPr>
            </w:pPr>
            <w:r>
              <w:rPr>
                <w:rFonts w:hint="eastAsia" w:ascii="Times New Roman" w:hAnsi="Times New Roman" w:eastAsia="宋体" w:cs="Times New Roman"/>
                <w:b/>
                <w:bCs/>
                <w:sz w:val="24"/>
                <w:szCs w:val="24"/>
                <w:u w:val="none"/>
                <w:lang w:val="en-US" w:eastAsia="zh-CN"/>
              </w:rPr>
              <w:t>1、噪声源强</w:t>
            </w:r>
          </w:p>
          <w:p w14:paraId="6D7113AB">
            <w:pPr>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本次项目噪声主要来自生产车间的设备，噪声在85~91dB(A)。本项目选用低噪声设备，同时采取厂房隔声、隔声罩、减振以及厂区绿化等措施， 起到隔声降噪作用。 本项目污染源及治理措施见下表4-11。</w:t>
            </w:r>
          </w:p>
          <w:p w14:paraId="148C7D6D">
            <w:pPr>
              <w:ind w:firstLine="422" w:firstLineChars="200"/>
              <w:jc w:val="center"/>
              <w:rPr>
                <w:rFonts w:ascii="Times New Roman" w:hAnsi="Times New Roman" w:eastAsia="宋体" w:cs="Times New Roman"/>
                <w:b/>
                <w:bCs/>
                <w:color w:val="auto"/>
                <w:highlight w:val="none"/>
                <w:u w:val="none"/>
              </w:rPr>
            </w:pPr>
            <w:r>
              <w:rPr>
                <w:rFonts w:hint="eastAsia" w:ascii="Times New Roman" w:hAnsi="Times New Roman" w:eastAsia="宋体" w:cs="Times New Roman"/>
                <w:b/>
                <w:bCs/>
                <w:color w:val="auto"/>
                <w:highlight w:val="none"/>
                <w:u w:val="none"/>
              </w:rPr>
              <w:t>表4-</w:t>
            </w:r>
            <w:r>
              <w:rPr>
                <w:rFonts w:hint="eastAsia" w:ascii="Times New Roman" w:hAnsi="Times New Roman" w:eastAsia="宋体" w:cs="Times New Roman"/>
                <w:b/>
                <w:bCs/>
                <w:color w:val="auto"/>
                <w:highlight w:val="none"/>
                <w:u w:val="none"/>
                <w:lang w:val="en-US" w:eastAsia="zh-CN"/>
              </w:rPr>
              <w:t>11</w:t>
            </w:r>
            <w:r>
              <w:rPr>
                <w:rFonts w:hint="eastAsia" w:ascii="Times New Roman" w:hAnsi="Times New Roman" w:eastAsia="宋体" w:cs="Times New Roman"/>
                <w:b/>
                <w:bCs/>
                <w:color w:val="auto"/>
                <w:highlight w:val="none"/>
                <w:u w:val="none"/>
              </w:rPr>
              <w:t xml:space="preserve">  本项目主要高噪声设备一览表</w:t>
            </w:r>
          </w:p>
          <w:tbl>
            <w:tblPr>
              <w:tblStyle w:val="21"/>
              <w:tblW w:w="73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1015"/>
              <w:gridCol w:w="716"/>
              <w:gridCol w:w="969"/>
              <w:gridCol w:w="2008"/>
              <w:gridCol w:w="1050"/>
              <w:gridCol w:w="1164"/>
            </w:tblGrid>
            <w:tr w14:paraId="691C4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56" w:type="dxa"/>
                  <w:tcBorders>
                    <w:tl2br w:val="nil"/>
                    <w:tr2bl w:val="nil"/>
                  </w:tcBorders>
                  <w:shd w:val="clear" w:color="auto" w:fill="auto"/>
                  <w:vAlign w:val="center"/>
                </w:tcPr>
                <w:p w14:paraId="269D6E3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序号</w:t>
                  </w:r>
                </w:p>
              </w:tc>
              <w:tc>
                <w:tcPr>
                  <w:tcW w:w="1015" w:type="dxa"/>
                  <w:tcBorders>
                    <w:tl2br w:val="nil"/>
                    <w:tr2bl w:val="nil"/>
                  </w:tcBorders>
                  <w:shd w:val="clear" w:color="auto" w:fill="auto"/>
                  <w:vAlign w:val="center"/>
                </w:tcPr>
                <w:p w14:paraId="520C2DF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设备名称</w:t>
                  </w:r>
                </w:p>
              </w:tc>
              <w:tc>
                <w:tcPr>
                  <w:tcW w:w="716" w:type="dxa"/>
                  <w:tcBorders>
                    <w:tl2br w:val="nil"/>
                    <w:tr2bl w:val="nil"/>
                  </w:tcBorders>
                  <w:shd w:val="clear" w:color="auto" w:fill="auto"/>
                  <w:vAlign w:val="center"/>
                </w:tcPr>
                <w:p w14:paraId="6E9DBCB3">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数量</w:t>
                  </w:r>
                  <w:r>
                    <w:rPr>
                      <w:rFonts w:hint="eastAsia" w:cs="Times New Roman"/>
                      <w:color w:val="auto"/>
                      <w:highlight w:val="none"/>
                      <w:u w:val="none"/>
                      <w:lang w:eastAsia="zh-CN"/>
                    </w:rPr>
                    <w:t>（</w:t>
                  </w:r>
                  <w:r>
                    <w:rPr>
                      <w:rFonts w:hint="eastAsia" w:ascii="Times New Roman" w:hAnsi="Times New Roman" w:eastAsia="宋体" w:cs="Times New Roman"/>
                      <w:color w:val="auto"/>
                      <w:highlight w:val="none"/>
                      <w:u w:val="none"/>
                    </w:rPr>
                    <w:t>台/套</w:t>
                  </w:r>
                  <w:r>
                    <w:rPr>
                      <w:rFonts w:hint="eastAsia" w:cs="Times New Roman"/>
                      <w:color w:val="auto"/>
                      <w:highlight w:val="none"/>
                      <w:u w:val="none"/>
                      <w:lang w:eastAsia="zh-CN"/>
                    </w:rPr>
                    <w:t>）</w:t>
                  </w:r>
                </w:p>
              </w:tc>
              <w:tc>
                <w:tcPr>
                  <w:tcW w:w="969" w:type="dxa"/>
                  <w:tcBorders>
                    <w:tl2br w:val="nil"/>
                    <w:tr2bl w:val="nil"/>
                  </w:tcBorders>
                  <w:shd w:val="clear" w:color="auto" w:fill="auto"/>
                  <w:vAlign w:val="center"/>
                </w:tcPr>
                <w:p w14:paraId="4FDD341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设备噪声声级dB(A)</w:t>
                  </w:r>
                </w:p>
              </w:tc>
              <w:tc>
                <w:tcPr>
                  <w:tcW w:w="2008" w:type="dxa"/>
                  <w:tcBorders>
                    <w:tl2br w:val="nil"/>
                    <w:tr2bl w:val="nil"/>
                  </w:tcBorders>
                  <w:shd w:val="clear" w:color="auto" w:fill="auto"/>
                  <w:vAlign w:val="center"/>
                </w:tcPr>
                <w:p w14:paraId="58B2B13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防治措施</w:t>
                  </w:r>
                </w:p>
              </w:tc>
              <w:tc>
                <w:tcPr>
                  <w:tcW w:w="1050" w:type="dxa"/>
                  <w:tcBorders>
                    <w:tl2br w:val="nil"/>
                    <w:tr2bl w:val="nil"/>
                  </w:tcBorders>
                  <w:shd w:val="clear" w:color="auto" w:fill="auto"/>
                  <w:vAlign w:val="center"/>
                </w:tcPr>
                <w:p w14:paraId="349FE39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降噪效果dB(A)</w:t>
                  </w:r>
                </w:p>
              </w:tc>
              <w:tc>
                <w:tcPr>
                  <w:tcW w:w="1164" w:type="dxa"/>
                  <w:tcBorders>
                    <w:tl2br w:val="nil"/>
                    <w:tr2bl w:val="nil"/>
                  </w:tcBorders>
                  <w:shd w:val="clear" w:color="auto" w:fill="auto"/>
                  <w:vAlign w:val="center"/>
                </w:tcPr>
                <w:p w14:paraId="5FDC08D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厂界最近距离m</w:t>
                  </w:r>
                </w:p>
              </w:tc>
            </w:tr>
            <w:tr w14:paraId="464AC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456" w:type="dxa"/>
                  <w:tcBorders>
                    <w:tl2br w:val="nil"/>
                    <w:tr2bl w:val="nil"/>
                  </w:tcBorders>
                  <w:shd w:val="clear" w:color="auto" w:fill="auto"/>
                  <w:vAlign w:val="center"/>
                </w:tcPr>
                <w:p w14:paraId="5BEA9EF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1</w:t>
                  </w:r>
                </w:p>
              </w:tc>
              <w:tc>
                <w:tcPr>
                  <w:tcW w:w="1015" w:type="dxa"/>
                  <w:tcBorders>
                    <w:tl2br w:val="nil"/>
                    <w:tr2bl w:val="nil"/>
                  </w:tcBorders>
                  <w:shd w:val="clear" w:color="auto" w:fill="auto"/>
                  <w:vAlign w:val="center"/>
                </w:tcPr>
                <w:p w14:paraId="5599924B">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中频电感炉</w:t>
                  </w:r>
                </w:p>
              </w:tc>
              <w:tc>
                <w:tcPr>
                  <w:tcW w:w="716" w:type="dxa"/>
                  <w:tcBorders>
                    <w:tl2br w:val="nil"/>
                    <w:tr2bl w:val="nil"/>
                  </w:tcBorders>
                  <w:shd w:val="clear" w:color="auto" w:fill="auto"/>
                  <w:vAlign w:val="center"/>
                </w:tcPr>
                <w:p w14:paraId="599A736B">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w:t>
                  </w:r>
                </w:p>
              </w:tc>
              <w:tc>
                <w:tcPr>
                  <w:tcW w:w="969" w:type="dxa"/>
                  <w:tcBorders>
                    <w:tl2br w:val="nil"/>
                    <w:tr2bl w:val="nil"/>
                  </w:tcBorders>
                  <w:shd w:val="clear" w:color="auto" w:fill="auto"/>
                  <w:vAlign w:val="center"/>
                </w:tcPr>
                <w:p w14:paraId="40A9C29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85~88</w:t>
                  </w:r>
                </w:p>
              </w:tc>
              <w:tc>
                <w:tcPr>
                  <w:tcW w:w="2008" w:type="dxa"/>
                  <w:tcBorders>
                    <w:tl2br w:val="nil"/>
                    <w:tr2bl w:val="nil"/>
                  </w:tcBorders>
                  <w:shd w:val="clear" w:color="auto" w:fill="auto"/>
                  <w:vAlign w:val="center"/>
                </w:tcPr>
                <w:p w14:paraId="678D04B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厂房隔音、减振垫、消声材料</w:t>
                  </w:r>
                </w:p>
              </w:tc>
              <w:tc>
                <w:tcPr>
                  <w:tcW w:w="1050" w:type="dxa"/>
                  <w:tcBorders>
                    <w:tl2br w:val="nil"/>
                    <w:tr2bl w:val="nil"/>
                  </w:tcBorders>
                  <w:shd w:val="clear" w:color="auto" w:fill="auto"/>
                  <w:vAlign w:val="center"/>
                </w:tcPr>
                <w:p w14:paraId="234E4A0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w:t>
                  </w:r>
                </w:p>
              </w:tc>
              <w:tc>
                <w:tcPr>
                  <w:tcW w:w="1164" w:type="dxa"/>
                  <w:tcBorders>
                    <w:tl2br w:val="nil"/>
                    <w:tr2bl w:val="nil"/>
                  </w:tcBorders>
                  <w:shd w:val="clear" w:color="auto" w:fill="auto"/>
                  <w:vAlign w:val="center"/>
                </w:tcPr>
                <w:p w14:paraId="4D4D8DA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SE，20</w:t>
                  </w:r>
                </w:p>
              </w:tc>
            </w:tr>
            <w:tr w14:paraId="1270C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6" w:type="dxa"/>
                  <w:tcBorders>
                    <w:tl2br w:val="nil"/>
                    <w:tr2bl w:val="nil"/>
                  </w:tcBorders>
                  <w:shd w:val="clear" w:color="auto" w:fill="auto"/>
                  <w:vAlign w:val="center"/>
                </w:tcPr>
                <w:p w14:paraId="575D2E7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w:t>
                  </w:r>
                </w:p>
              </w:tc>
              <w:tc>
                <w:tcPr>
                  <w:tcW w:w="1015" w:type="dxa"/>
                  <w:tcBorders>
                    <w:tl2br w:val="nil"/>
                    <w:tr2bl w:val="nil"/>
                  </w:tcBorders>
                  <w:shd w:val="clear" w:color="auto" w:fill="auto"/>
                  <w:vAlign w:val="center"/>
                </w:tcPr>
                <w:p w14:paraId="404846D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震动落砂机</w:t>
                  </w:r>
                </w:p>
              </w:tc>
              <w:tc>
                <w:tcPr>
                  <w:tcW w:w="716" w:type="dxa"/>
                  <w:tcBorders>
                    <w:tl2br w:val="nil"/>
                    <w:tr2bl w:val="nil"/>
                  </w:tcBorders>
                  <w:shd w:val="clear" w:color="auto" w:fill="auto"/>
                  <w:vAlign w:val="center"/>
                </w:tcPr>
                <w:p w14:paraId="7CB0BB0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1</w:t>
                  </w:r>
                </w:p>
              </w:tc>
              <w:tc>
                <w:tcPr>
                  <w:tcW w:w="969" w:type="dxa"/>
                  <w:tcBorders>
                    <w:tl2br w:val="nil"/>
                    <w:tr2bl w:val="nil"/>
                  </w:tcBorders>
                  <w:shd w:val="clear" w:color="auto" w:fill="auto"/>
                  <w:vAlign w:val="center"/>
                </w:tcPr>
                <w:p w14:paraId="3523E7A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75~80</w:t>
                  </w:r>
                </w:p>
              </w:tc>
              <w:tc>
                <w:tcPr>
                  <w:tcW w:w="2008" w:type="dxa"/>
                  <w:tcBorders>
                    <w:tl2br w:val="nil"/>
                    <w:tr2bl w:val="nil"/>
                  </w:tcBorders>
                  <w:shd w:val="clear" w:color="auto" w:fill="auto"/>
                  <w:vAlign w:val="center"/>
                </w:tcPr>
                <w:p w14:paraId="5663961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厂房隔音、减振垫</w:t>
                  </w:r>
                </w:p>
              </w:tc>
              <w:tc>
                <w:tcPr>
                  <w:tcW w:w="1050" w:type="dxa"/>
                  <w:tcBorders>
                    <w:tl2br w:val="nil"/>
                    <w:tr2bl w:val="nil"/>
                  </w:tcBorders>
                  <w:shd w:val="clear" w:color="auto" w:fill="auto"/>
                  <w:vAlign w:val="center"/>
                </w:tcPr>
                <w:p w14:paraId="45F3E90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20</w:t>
                  </w:r>
                </w:p>
              </w:tc>
              <w:tc>
                <w:tcPr>
                  <w:tcW w:w="1164" w:type="dxa"/>
                  <w:tcBorders>
                    <w:tl2br w:val="nil"/>
                    <w:tr2bl w:val="nil"/>
                  </w:tcBorders>
                  <w:shd w:val="clear" w:color="auto" w:fill="auto"/>
                  <w:vAlign w:val="center"/>
                </w:tcPr>
                <w:p w14:paraId="315DB05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SW，70</w:t>
                  </w:r>
                </w:p>
              </w:tc>
            </w:tr>
            <w:tr w14:paraId="431D5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6" w:type="dxa"/>
                  <w:tcBorders>
                    <w:tl2br w:val="nil"/>
                    <w:tr2bl w:val="nil"/>
                  </w:tcBorders>
                  <w:shd w:val="clear" w:color="auto" w:fill="auto"/>
                  <w:vAlign w:val="center"/>
                </w:tcPr>
                <w:p w14:paraId="1899BAF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w:t>
                  </w:r>
                </w:p>
              </w:tc>
              <w:tc>
                <w:tcPr>
                  <w:tcW w:w="1015" w:type="dxa"/>
                  <w:tcBorders>
                    <w:tl2br w:val="nil"/>
                    <w:tr2bl w:val="nil"/>
                  </w:tcBorders>
                  <w:shd w:val="clear" w:color="auto" w:fill="auto"/>
                  <w:vAlign w:val="center"/>
                </w:tcPr>
                <w:p w14:paraId="25E94C3B">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造型机</w:t>
                  </w:r>
                </w:p>
              </w:tc>
              <w:tc>
                <w:tcPr>
                  <w:tcW w:w="716" w:type="dxa"/>
                  <w:tcBorders>
                    <w:tl2br w:val="nil"/>
                    <w:tr2bl w:val="nil"/>
                  </w:tcBorders>
                  <w:shd w:val="clear" w:color="auto" w:fill="auto"/>
                  <w:vAlign w:val="center"/>
                </w:tcPr>
                <w:p w14:paraId="376641C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w:t>
                  </w:r>
                </w:p>
              </w:tc>
              <w:tc>
                <w:tcPr>
                  <w:tcW w:w="969" w:type="dxa"/>
                  <w:tcBorders>
                    <w:tl2br w:val="nil"/>
                    <w:tr2bl w:val="nil"/>
                  </w:tcBorders>
                  <w:shd w:val="clear" w:color="auto" w:fill="auto"/>
                  <w:vAlign w:val="center"/>
                </w:tcPr>
                <w:p w14:paraId="7A263B4D">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85~88</w:t>
                  </w:r>
                </w:p>
              </w:tc>
              <w:tc>
                <w:tcPr>
                  <w:tcW w:w="2008" w:type="dxa"/>
                  <w:tcBorders>
                    <w:tl2br w:val="nil"/>
                    <w:tr2bl w:val="nil"/>
                  </w:tcBorders>
                  <w:shd w:val="clear" w:color="auto" w:fill="auto"/>
                  <w:vAlign w:val="center"/>
                </w:tcPr>
                <w:p w14:paraId="4A9AA1F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厂房隔音、减振垫</w:t>
                  </w:r>
                </w:p>
              </w:tc>
              <w:tc>
                <w:tcPr>
                  <w:tcW w:w="1050" w:type="dxa"/>
                  <w:tcBorders>
                    <w:tl2br w:val="nil"/>
                    <w:tr2bl w:val="nil"/>
                  </w:tcBorders>
                  <w:shd w:val="clear" w:color="auto" w:fill="auto"/>
                  <w:vAlign w:val="center"/>
                </w:tcPr>
                <w:p w14:paraId="1684E8B9">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w:t>
                  </w:r>
                </w:p>
              </w:tc>
              <w:tc>
                <w:tcPr>
                  <w:tcW w:w="1164" w:type="dxa"/>
                  <w:tcBorders>
                    <w:tl2br w:val="nil"/>
                    <w:tr2bl w:val="nil"/>
                  </w:tcBorders>
                  <w:shd w:val="clear" w:color="auto" w:fill="auto"/>
                  <w:vAlign w:val="center"/>
                </w:tcPr>
                <w:p w14:paraId="19BC3A2A">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W，50</w:t>
                  </w:r>
                </w:p>
              </w:tc>
            </w:tr>
            <w:tr w14:paraId="67809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456" w:type="dxa"/>
                  <w:tcBorders>
                    <w:tl2br w:val="nil"/>
                    <w:tr2bl w:val="nil"/>
                  </w:tcBorders>
                  <w:shd w:val="clear" w:color="auto" w:fill="auto"/>
                  <w:vAlign w:val="center"/>
                </w:tcPr>
                <w:p w14:paraId="5855E21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4</w:t>
                  </w:r>
                </w:p>
              </w:tc>
              <w:tc>
                <w:tcPr>
                  <w:tcW w:w="1015" w:type="dxa"/>
                  <w:tcBorders>
                    <w:tl2br w:val="nil"/>
                    <w:tr2bl w:val="nil"/>
                  </w:tcBorders>
                  <w:shd w:val="clear" w:color="auto" w:fill="auto"/>
                  <w:vAlign w:val="center"/>
                </w:tcPr>
                <w:p w14:paraId="5A7F1E9C">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抛丸机</w:t>
                  </w:r>
                </w:p>
              </w:tc>
              <w:tc>
                <w:tcPr>
                  <w:tcW w:w="716" w:type="dxa"/>
                  <w:tcBorders>
                    <w:tl2br w:val="nil"/>
                    <w:tr2bl w:val="nil"/>
                  </w:tcBorders>
                  <w:shd w:val="clear" w:color="auto" w:fill="auto"/>
                  <w:vAlign w:val="center"/>
                </w:tcPr>
                <w:p w14:paraId="0A9EBA4A">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1</w:t>
                  </w:r>
                </w:p>
              </w:tc>
              <w:tc>
                <w:tcPr>
                  <w:tcW w:w="969" w:type="dxa"/>
                  <w:tcBorders>
                    <w:tl2br w:val="nil"/>
                    <w:tr2bl w:val="nil"/>
                  </w:tcBorders>
                  <w:shd w:val="clear" w:color="auto" w:fill="auto"/>
                  <w:vAlign w:val="center"/>
                </w:tcPr>
                <w:p w14:paraId="0478B25D">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88~91</w:t>
                  </w:r>
                </w:p>
              </w:tc>
              <w:tc>
                <w:tcPr>
                  <w:tcW w:w="2008" w:type="dxa"/>
                  <w:tcBorders>
                    <w:tl2br w:val="nil"/>
                    <w:tr2bl w:val="nil"/>
                  </w:tcBorders>
                  <w:shd w:val="clear" w:color="auto" w:fill="auto"/>
                  <w:vAlign w:val="center"/>
                </w:tcPr>
                <w:p w14:paraId="26DAD2CB">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厂房隔音、减振垫</w:t>
                  </w:r>
                </w:p>
              </w:tc>
              <w:tc>
                <w:tcPr>
                  <w:tcW w:w="1050" w:type="dxa"/>
                  <w:tcBorders>
                    <w:tl2br w:val="nil"/>
                    <w:tr2bl w:val="nil"/>
                  </w:tcBorders>
                  <w:shd w:val="clear" w:color="auto" w:fill="auto"/>
                  <w:vAlign w:val="center"/>
                </w:tcPr>
                <w:p w14:paraId="14F48FD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w:t>
                  </w:r>
                </w:p>
              </w:tc>
              <w:tc>
                <w:tcPr>
                  <w:tcW w:w="1164" w:type="dxa"/>
                  <w:tcBorders>
                    <w:tl2br w:val="nil"/>
                    <w:tr2bl w:val="nil"/>
                  </w:tcBorders>
                  <w:shd w:val="clear" w:color="auto" w:fill="auto"/>
                  <w:vAlign w:val="center"/>
                </w:tcPr>
                <w:p w14:paraId="7B9F6FE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NW，25</w:t>
                  </w:r>
                </w:p>
              </w:tc>
            </w:tr>
            <w:tr w14:paraId="51220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56" w:type="dxa"/>
                  <w:tcBorders>
                    <w:tl2br w:val="nil"/>
                    <w:tr2bl w:val="nil"/>
                  </w:tcBorders>
                  <w:shd w:val="clear" w:color="auto" w:fill="auto"/>
                  <w:vAlign w:val="center"/>
                </w:tcPr>
                <w:p w14:paraId="52C5FC8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5</w:t>
                  </w:r>
                </w:p>
              </w:tc>
              <w:tc>
                <w:tcPr>
                  <w:tcW w:w="1015" w:type="dxa"/>
                  <w:tcBorders>
                    <w:tl2br w:val="nil"/>
                    <w:tr2bl w:val="nil"/>
                  </w:tcBorders>
                  <w:shd w:val="clear" w:color="auto" w:fill="auto"/>
                  <w:vAlign w:val="center"/>
                </w:tcPr>
                <w:p w14:paraId="002E7E8D">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磁选机</w:t>
                  </w:r>
                </w:p>
              </w:tc>
              <w:tc>
                <w:tcPr>
                  <w:tcW w:w="716" w:type="dxa"/>
                  <w:tcBorders>
                    <w:tl2br w:val="nil"/>
                    <w:tr2bl w:val="nil"/>
                  </w:tcBorders>
                  <w:shd w:val="clear" w:color="auto" w:fill="auto"/>
                  <w:vAlign w:val="center"/>
                </w:tcPr>
                <w:p w14:paraId="29ABBBE2">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1</w:t>
                  </w:r>
                </w:p>
              </w:tc>
              <w:tc>
                <w:tcPr>
                  <w:tcW w:w="969" w:type="dxa"/>
                  <w:tcBorders>
                    <w:tl2br w:val="nil"/>
                    <w:tr2bl w:val="nil"/>
                  </w:tcBorders>
                  <w:shd w:val="clear" w:color="auto" w:fill="auto"/>
                  <w:vAlign w:val="center"/>
                </w:tcPr>
                <w:p w14:paraId="6DB0119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80~85</w:t>
                  </w:r>
                </w:p>
              </w:tc>
              <w:tc>
                <w:tcPr>
                  <w:tcW w:w="2008" w:type="dxa"/>
                  <w:tcBorders>
                    <w:tl2br w:val="nil"/>
                    <w:tr2bl w:val="nil"/>
                  </w:tcBorders>
                  <w:shd w:val="clear" w:color="auto" w:fill="auto"/>
                  <w:vAlign w:val="center"/>
                </w:tcPr>
                <w:p w14:paraId="2C25EEF6">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厂房隔音、减振垫</w:t>
                  </w:r>
                </w:p>
              </w:tc>
              <w:tc>
                <w:tcPr>
                  <w:tcW w:w="1050" w:type="dxa"/>
                  <w:tcBorders>
                    <w:tl2br w:val="nil"/>
                    <w:tr2bl w:val="nil"/>
                  </w:tcBorders>
                  <w:shd w:val="clear" w:color="auto" w:fill="auto"/>
                  <w:vAlign w:val="center"/>
                </w:tcPr>
                <w:p w14:paraId="40F0FE19">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20</w:t>
                  </w:r>
                </w:p>
              </w:tc>
              <w:tc>
                <w:tcPr>
                  <w:tcW w:w="1164" w:type="dxa"/>
                  <w:tcBorders>
                    <w:tl2br w:val="nil"/>
                    <w:tr2bl w:val="nil"/>
                  </w:tcBorders>
                  <w:shd w:val="clear" w:color="auto" w:fill="auto"/>
                  <w:vAlign w:val="center"/>
                </w:tcPr>
                <w:p w14:paraId="6D67B9B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NW，25</w:t>
                  </w:r>
                </w:p>
              </w:tc>
            </w:tr>
            <w:tr w14:paraId="29C29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56" w:type="dxa"/>
                  <w:tcBorders>
                    <w:tl2br w:val="nil"/>
                    <w:tr2bl w:val="nil"/>
                  </w:tcBorders>
                  <w:shd w:val="clear" w:color="auto" w:fill="auto"/>
                  <w:vAlign w:val="center"/>
                </w:tcPr>
                <w:p w14:paraId="645E6F9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6</w:t>
                  </w:r>
                </w:p>
              </w:tc>
              <w:tc>
                <w:tcPr>
                  <w:tcW w:w="1015" w:type="dxa"/>
                  <w:tcBorders>
                    <w:tl2br w:val="nil"/>
                    <w:tr2bl w:val="nil"/>
                  </w:tcBorders>
                  <w:shd w:val="clear" w:color="auto" w:fill="auto"/>
                  <w:vAlign w:val="center"/>
                </w:tcPr>
                <w:p w14:paraId="2BB08FA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风机</w:t>
                  </w:r>
                </w:p>
              </w:tc>
              <w:tc>
                <w:tcPr>
                  <w:tcW w:w="716" w:type="dxa"/>
                  <w:tcBorders>
                    <w:tl2br w:val="nil"/>
                    <w:tr2bl w:val="nil"/>
                  </w:tcBorders>
                  <w:shd w:val="clear" w:color="auto" w:fill="auto"/>
                  <w:vAlign w:val="center"/>
                </w:tcPr>
                <w:p w14:paraId="0D9C0900">
                  <w:pPr>
                    <w:jc w:val="center"/>
                    <w:rPr>
                      <w:rFonts w:hint="default" w:ascii="Times New Roman" w:hAnsi="Times New Roman" w:eastAsia="宋体" w:cs="Times New Roman"/>
                      <w:color w:val="auto"/>
                      <w:highlight w:val="none"/>
                      <w:u w:val="none"/>
                      <w:lang w:val="en-US" w:eastAsia="zh-CN"/>
                    </w:rPr>
                  </w:pPr>
                  <w:r>
                    <w:rPr>
                      <w:rFonts w:hint="eastAsia" w:ascii="Times New Roman" w:hAnsi="Times New Roman" w:eastAsia="宋体" w:cs="Times New Roman"/>
                      <w:color w:val="auto"/>
                      <w:highlight w:val="none"/>
                      <w:u w:val="none"/>
                      <w:lang w:val="en-US" w:eastAsia="zh-CN"/>
                    </w:rPr>
                    <w:t>10</w:t>
                  </w:r>
                </w:p>
              </w:tc>
              <w:tc>
                <w:tcPr>
                  <w:tcW w:w="969" w:type="dxa"/>
                  <w:tcBorders>
                    <w:tl2br w:val="nil"/>
                    <w:tr2bl w:val="nil"/>
                  </w:tcBorders>
                  <w:shd w:val="clear" w:color="auto" w:fill="auto"/>
                  <w:vAlign w:val="center"/>
                </w:tcPr>
                <w:p w14:paraId="56E2E45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88~91</w:t>
                  </w:r>
                </w:p>
              </w:tc>
              <w:tc>
                <w:tcPr>
                  <w:tcW w:w="2008" w:type="dxa"/>
                  <w:tcBorders>
                    <w:tl2br w:val="nil"/>
                    <w:tr2bl w:val="nil"/>
                  </w:tcBorders>
                  <w:shd w:val="clear" w:color="auto" w:fill="auto"/>
                  <w:vAlign w:val="center"/>
                </w:tcPr>
                <w:p w14:paraId="4F20049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厂房隔音、减振垫、消声器</w:t>
                  </w:r>
                </w:p>
              </w:tc>
              <w:tc>
                <w:tcPr>
                  <w:tcW w:w="1050" w:type="dxa"/>
                  <w:tcBorders>
                    <w:tl2br w:val="nil"/>
                    <w:tr2bl w:val="nil"/>
                  </w:tcBorders>
                  <w:shd w:val="clear" w:color="auto" w:fill="auto"/>
                  <w:vAlign w:val="center"/>
                </w:tcPr>
                <w:p w14:paraId="12DFF3E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w:t>
                  </w:r>
                </w:p>
              </w:tc>
              <w:tc>
                <w:tcPr>
                  <w:tcW w:w="1164" w:type="dxa"/>
                  <w:tcBorders>
                    <w:tl2br w:val="nil"/>
                    <w:tr2bl w:val="nil"/>
                  </w:tcBorders>
                  <w:shd w:val="clear" w:color="auto" w:fill="auto"/>
                  <w:vAlign w:val="center"/>
                </w:tcPr>
                <w:p w14:paraId="42529762">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W，35</w:t>
                  </w:r>
                </w:p>
              </w:tc>
            </w:tr>
            <w:tr w14:paraId="2FB17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56" w:type="dxa"/>
                  <w:tcBorders>
                    <w:tl2br w:val="nil"/>
                    <w:tr2bl w:val="nil"/>
                  </w:tcBorders>
                  <w:shd w:val="clear" w:color="auto" w:fill="auto"/>
                  <w:vAlign w:val="center"/>
                </w:tcPr>
                <w:p w14:paraId="0E16D20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7</w:t>
                  </w:r>
                </w:p>
              </w:tc>
              <w:tc>
                <w:tcPr>
                  <w:tcW w:w="1015" w:type="dxa"/>
                  <w:tcBorders>
                    <w:tl2br w:val="nil"/>
                    <w:tr2bl w:val="nil"/>
                  </w:tcBorders>
                  <w:shd w:val="clear" w:color="auto" w:fill="auto"/>
                  <w:vAlign w:val="center"/>
                </w:tcPr>
                <w:p w14:paraId="6DF2C5B3">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冷却塔</w:t>
                  </w:r>
                </w:p>
              </w:tc>
              <w:tc>
                <w:tcPr>
                  <w:tcW w:w="716" w:type="dxa"/>
                  <w:tcBorders>
                    <w:tl2br w:val="nil"/>
                    <w:tr2bl w:val="nil"/>
                  </w:tcBorders>
                  <w:shd w:val="clear" w:color="auto" w:fill="auto"/>
                  <w:vAlign w:val="center"/>
                </w:tcPr>
                <w:p w14:paraId="329667F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1</w:t>
                  </w:r>
                </w:p>
              </w:tc>
              <w:tc>
                <w:tcPr>
                  <w:tcW w:w="969" w:type="dxa"/>
                  <w:tcBorders>
                    <w:tl2br w:val="nil"/>
                    <w:tr2bl w:val="nil"/>
                  </w:tcBorders>
                  <w:shd w:val="clear" w:color="auto" w:fill="auto"/>
                  <w:vAlign w:val="center"/>
                </w:tcPr>
                <w:p w14:paraId="1DEFB089">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88~91</w:t>
                  </w:r>
                </w:p>
              </w:tc>
              <w:tc>
                <w:tcPr>
                  <w:tcW w:w="2008" w:type="dxa"/>
                  <w:tcBorders>
                    <w:tl2br w:val="nil"/>
                    <w:tr2bl w:val="nil"/>
                  </w:tcBorders>
                  <w:shd w:val="clear" w:color="auto" w:fill="auto"/>
                  <w:vAlign w:val="center"/>
                </w:tcPr>
                <w:p w14:paraId="474163D2">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隔音、减振垫</w:t>
                  </w:r>
                </w:p>
              </w:tc>
              <w:tc>
                <w:tcPr>
                  <w:tcW w:w="1050" w:type="dxa"/>
                  <w:tcBorders>
                    <w:tl2br w:val="nil"/>
                    <w:tr2bl w:val="nil"/>
                  </w:tcBorders>
                  <w:shd w:val="clear" w:color="auto" w:fill="auto"/>
                  <w:vAlign w:val="center"/>
                </w:tcPr>
                <w:p w14:paraId="5FFCF1EB">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w:t>
                  </w:r>
                </w:p>
              </w:tc>
              <w:tc>
                <w:tcPr>
                  <w:tcW w:w="1164" w:type="dxa"/>
                  <w:tcBorders>
                    <w:tl2br w:val="nil"/>
                    <w:tr2bl w:val="nil"/>
                  </w:tcBorders>
                  <w:shd w:val="clear" w:color="auto" w:fill="auto"/>
                  <w:vAlign w:val="center"/>
                </w:tcPr>
                <w:p w14:paraId="56A8EF72">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NE，80</w:t>
                  </w:r>
                </w:p>
              </w:tc>
            </w:tr>
          </w:tbl>
          <w:p w14:paraId="4A22E7C0">
            <w:pPr>
              <w:numPr>
                <w:ilvl w:val="0"/>
                <w:numId w:val="0"/>
              </w:numPr>
              <w:spacing w:line="360" w:lineRule="auto"/>
              <w:ind w:firstLine="482" w:firstLineChars="200"/>
              <w:rPr>
                <w:rFonts w:hint="eastAsia" w:ascii="Times New Roman" w:hAnsi="Times New Roman" w:eastAsia="宋体" w:cs="Times New Roman"/>
                <w:b/>
                <w:bCs/>
                <w:sz w:val="24"/>
                <w:szCs w:val="24"/>
                <w:u w:val="none"/>
                <w:lang w:val="en-US" w:eastAsia="zh-CN"/>
              </w:rPr>
            </w:pPr>
            <w:r>
              <w:rPr>
                <w:rFonts w:hint="eastAsia" w:ascii="Times New Roman" w:hAnsi="Times New Roman" w:eastAsia="宋体" w:cs="Times New Roman"/>
                <w:b/>
                <w:bCs/>
                <w:sz w:val="24"/>
                <w:szCs w:val="24"/>
                <w:u w:val="none"/>
                <w:lang w:val="en-US" w:eastAsia="zh-CN"/>
              </w:rPr>
              <w:t>2、噪声防治措施</w:t>
            </w:r>
          </w:p>
          <w:p w14:paraId="603B76E2">
            <w:pPr>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（1）控制设备噪声：在设备选型时选用先进的低噪声设备，在满足工艺设计的前提下，尽量选用满足国际标准的低噪声、低振动型号的设备，降低噪声源强。</w:t>
            </w:r>
          </w:p>
          <w:p w14:paraId="445E1F81">
            <w:pPr>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2）设备减振、隔声：对各类风机的进、出口处安装阻性消声器，并在机组与地基之间安置减震器在风机与排气筒之间设置软连接，对风机采取配套的通风散热装置设置消声器，对有机废气排气筒设置排气消声器，可降噪约25dB</w:t>
            </w:r>
            <w:r>
              <w:rPr>
                <w:rFonts w:hint="eastAsia" w:cs="Times New Roman"/>
                <w:color w:val="auto"/>
                <w:sz w:val="24"/>
                <w:highlight w:val="none"/>
                <w:u w:val="none"/>
                <w:lang w:val="en-US" w:eastAsia="zh-CN"/>
              </w:rPr>
              <w:t>（</w:t>
            </w:r>
            <w:r>
              <w:rPr>
                <w:rFonts w:hint="eastAsia" w:ascii="Times New Roman" w:hAnsi="Times New Roman" w:eastAsia="宋体" w:cs="Times New Roman"/>
                <w:color w:val="auto"/>
                <w:sz w:val="24"/>
                <w:highlight w:val="none"/>
                <w:u w:val="none"/>
                <w:lang w:val="en-US" w:eastAsia="zh-CN"/>
              </w:rPr>
              <w:t>A</w:t>
            </w:r>
            <w:r>
              <w:rPr>
                <w:rFonts w:hint="eastAsia" w:cs="Times New Roman"/>
                <w:color w:val="auto"/>
                <w:sz w:val="24"/>
                <w:highlight w:val="none"/>
                <w:u w:val="none"/>
                <w:lang w:val="en-US" w:eastAsia="zh-CN"/>
              </w:rPr>
              <w:t>）</w:t>
            </w:r>
            <w:r>
              <w:rPr>
                <w:rFonts w:hint="eastAsia" w:ascii="Times New Roman" w:hAnsi="Times New Roman" w:eastAsia="宋体" w:cs="Times New Roman"/>
                <w:color w:val="auto"/>
                <w:sz w:val="24"/>
                <w:highlight w:val="none"/>
                <w:u w:val="none"/>
                <w:lang w:val="en-US" w:eastAsia="zh-CN"/>
              </w:rPr>
              <w:t>左右。</w:t>
            </w:r>
          </w:p>
          <w:p w14:paraId="1E6FE992">
            <w:pPr>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（3）加强建筑物隔声措施：项目设备均安置在室内，有效利用了建筑隔声，并采取隔声、吸声材料制作门窗、墙体等，防止噪声的扩散和传播，采取隔声措施，降噪量约10dB</w:t>
            </w:r>
            <w:r>
              <w:rPr>
                <w:rFonts w:hint="eastAsia" w:cs="Times New Roman"/>
                <w:color w:val="auto"/>
                <w:sz w:val="24"/>
                <w:highlight w:val="none"/>
                <w:u w:val="none"/>
                <w:lang w:val="en-US" w:eastAsia="zh-CN"/>
              </w:rPr>
              <w:t>（</w:t>
            </w:r>
            <w:r>
              <w:rPr>
                <w:rFonts w:hint="eastAsia" w:ascii="Times New Roman" w:hAnsi="Times New Roman" w:eastAsia="宋体" w:cs="Times New Roman"/>
                <w:color w:val="auto"/>
                <w:sz w:val="24"/>
                <w:highlight w:val="none"/>
                <w:u w:val="none"/>
                <w:lang w:val="en-US" w:eastAsia="zh-CN"/>
              </w:rPr>
              <w:t>A</w:t>
            </w:r>
            <w:r>
              <w:rPr>
                <w:rFonts w:hint="eastAsia" w:cs="Times New Roman"/>
                <w:color w:val="auto"/>
                <w:sz w:val="24"/>
                <w:highlight w:val="none"/>
                <w:u w:val="none"/>
                <w:lang w:val="en-US" w:eastAsia="zh-CN"/>
              </w:rPr>
              <w:t>）</w:t>
            </w:r>
            <w:r>
              <w:rPr>
                <w:rFonts w:hint="eastAsia" w:ascii="Times New Roman" w:hAnsi="Times New Roman" w:eastAsia="宋体" w:cs="Times New Roman"/>
                <w:color w:val="auto"/>
                <w:sz w:val="24"/>
                <w:highlight w:val="none"/>
                <w:u w:val="none"/>
                <w:lang w:val="en-US" w:eastAsia="zh-CN"/>
              </w:rPr>
              <w:t>左右。</w:t>
            </w:r>
          </w:p>
          <w:p w14:paraId="523DA0B3">
            <w:pPr>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（4）强化生产管理：确保各类</w:t>
            </w:r>
            <w:r>
              <w:rPr>
                <w:rFonts w:hint="eastAsia" w:cs="Times New Roman"/>
                <w:color w:val="auto"/>
                <w:sz w:val="24"/>
                <w:highlight w:val="none"/>
                <w:u w:val="none"/>
                <w:lang w:val="en-US" w:eastAsia="zh-CN"/>
              </w:rPr>
              <w:t>防治措施</w:t>
            </w:r>
            <w:r>
              <w:rPr>
                <w:rFonts w:hint="eastAsia" w:ascii="Times New Roman" w:hAnsi="Times New Roman" w:eastAsia="宋体" w:cs="Times New Roman"/>
                <w:color w:val="auto"/>
                <w:sz w:val="24"/>
                <w:highlight w:val="none"/>
                <w:u w:val="none"/>
                <w:lang w:val="en-US" w:eastAsia="zh-CN"/>
              </w:rPr>
              <w:t>有效运行，各设备均保持良好运行状态，防止突发噪声。</w:t>
            </w:r>
          </w:p>
          <w:p w14:paraId="12789E94">
            <w:pPr>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（5）合理布局：在厂区总图布置中尽可能将高噪声布置在车间及厂区中央，</w:t>
            </w:r>
            <w:r>
              <w:rPr>
                <w:rFonts w:hint="eastAsia" w:cs="Times New Roman"/>
                <w:color w:val="auto"/>
                <w:sz w:val="24"/>
                <w:highlight w:val="none"/>
                <w:u w:val="none"/>
                <w:lang w:val="en-US" w:eastAsia="zh-CN"/>
              </w:rPr>
              <w:t>其他噪声源</w:t>
            </w:r>
            <w:r>
              <w:rPr>
                <w:rFonts w:hint="eastAsia" w:ascii="Times New Roman" w:hAnsi="Times New Roman" w:eastAsia="宋体" w:cs="Times New Roman"/>
                <w:color w:val="auto"/>
                <w:sz w:val="24"/>
                <w:highlight w:val="none"/>
                <w:u w:val="none"/>
                <w:lang w:val="en-US" w:eastAsia="zh-CN"/>
              </w:rPr>
              <w:t>亦尽可能远离厂界，以减轻对外界环境的影响。纵观全厂平面布局，厂区平面布置较合理。</w:t>
            </w:r>
          </w:p>
          <w:p w14:paraId="7C50799C">
            <w:pPr>
              <w:numPr>
                <w:ilvl w:val="0"/>
                <w:numId w:val="0"/>
              </w:numPr>
              <w:spacing w:line="360" w:lineRule="auto"/>
              <w:ind w:firstLine="482" w:firstLineChars="200"/>
              <w:rPr>
                <w:rFonts w:hint="eastAsia" w:ascii="Times New Roman" w:hAnsi="Times New Roman" w:eastAsia="宋体" w:cs="Times New Roman"/>
                <w:b/>
                <w:bCs/>
                <w:sz w:val="24"/>
                <w:szCs w:val="24"/>
                <w:u w:val="none"/>
                <w:lang w:val="en-US" w:eastAsia="zh-CN"/>
              </w:rPr>
            </w:pPr>
            <w:r>
              <w:rPr>
                <w:rFonts w:hint="eastAsia" w:ascii="Times New Roman" w:hAnsi="Times New Roman" w:eastAsia="宋体" w:cs="Times New Roman"/>
                <w:b/>
                <w:bCs/>
                <w:sz w:val="24"/>
                <w:szCs w:val="24"/>
                <w:u w:val="none"/>
                <w:lang w:val="en-US" w:eastAsia="zh-CN"/>
              </w:rPr>
              <w:t>3、噪声影响分析</w:t>
            </w:r>
          </w:p>
          <w:p w14:paraId="381C61A3">
            <w:pPr>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据本工程设备噪声源的特征和厂址周围环境的特点，本次噪声影响评价选用点源的噪声预测模式，将所有噪声设备合成</w:t>
            </w:r>
            <w:r>
              <w:rPr>
                <w:rFonts w:hint="eastAsia" w:cs="Times New Roman"/>
                <w:color w:val="auto"/>
                <w:sz w:val="24"/>
                <w:highlight w:val="none"/>
                <w:u w:val="none"/>
                <w:lang w:val="en-US" w:eastAsia="zh-CN"/>
              </w:rPr>
              <w:t>为</w:t>
            </w:r>
            <w:r>
              <w:rPr>
                <w:rFonts w:hint="eastAsia" w:ascii="Times New Roman" w:hAnsi="Times New Roman" w:eastAsia="宋体" w:cs="Times New Roman"/>
                <w:color w:val="auto"/>
                <w:sz w:val="24"/>
                <w:highlight w:val="none"/>
                <w:u w:val="none"/>
                <w:lang w:val="en-US" w:eastAsia="zh-CN"/>
              </w:rPr>
              <w:t>一个点噪声源，预先求得该整体声源的声功率级，然后计算该整体声源辐射的声能在受向点传播过程中由各种因素引起的衰减，最后求得预测受声点的噪声级。噪声预测公式如下。</w:t>
            </w:r>
          </w:p>
          <w:p w14:paraId="239B068D">
            <w:pPr>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噪声点源距离衰减公式</w:t>
            </w:r>
          </w:p>
          <w:p w14:paraId="35B67815">
            <w:pPr>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噪声点源距离衰减公式</w:t>
            </w:r>
          </w:p>
          <w:p w14:paraId="387D92A6">
            <w:pPr>
              <w:spacing w:line="360" w:lineRule="auto"/>
              <w:ind w:firstLine="480" w:firstLineChars="200"/>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pict>
                <v:shape id="_x0000_s2052" o:spid="_x0000_s2052" o:spt="75" type="#_x0000_t75" style="position:absolute;left:0pt;margin-left:125.1pt;margin-top:7.3pt;height:19.45pt;width:128.2pt;mso-wrap-distance-bottom:0pt;mso-wrap-distance-top:0pt;z-index:251660288;mso-width-relative:page;mso-height-relative:page;" o:ole="t" filled="f" o:preferrelative="t" stroked="f" coordsize="21600,21600">
                  <v:path/>
                  <v:fill on="f" focussize="0,0"/>
                  <v:stroke on="f" joinstyle="miter"/>
                  <v:imagedata r:id="rId14" o:title=""/>
                  <o:lock v:ext="edit" aspectratio="t"/>
                  <w10:wrap type="topAndBottom"/>
                </v:shape>
                <o:OLEObject Type="Embed" ProgID="Equation.3" ShapeID="_x0000_s2052" DrawAspect="Content" ObjectID="_1468075725" r:id="rId13">
                  <o:LockedField>false</o:LockedField>
                </o:OLEObject>
              </w:pict>
            </w:r>
            <w:r>
              <w:rPr>
                <w:rFonts w:hint="eastAsia" w:ascii="Times New Roman" w:hAnsi="Times New Roman" w:eastAsia="宋体" w:cs="Times New Roman"/>
                <w:color w:val="auto"/>
                <w:sz w:val="24"/>
                <w:highlight w:val="none"/>
                <w:u w:val="none"/>
                <w:lang w:val="en-US" w:eastAsia="zh-CN"/>
              </w:rPr>
              <w:t>式中：</w:t>
            </w:r>
          </w:p>
          <w:p w14:paraId="7F644511">
            <w:pPr>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Lr—预测点声压级，dB（A）；</w:t>
            </w:r>
          </w:p>
          <w:p w14:paraId="00DEBC0D">
            <w:pPr>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L0—噪声源强，dB（A）；</w:t>
            </w:r>
          </w:p>
          <w:p w14:paraId="305136FB">
            <w:pPr>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r—预测点离噪声源的距离，m；</w:t>
            </w:r>
          </w:p>
          <w:p w14:paraId="241DCB73">
            <w:pPr>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ΔL—各种因素引起的衰减量（包括路面吸收等引起的衰减量），dB（A）。</w:t>
            </w:r>
          </w:p>
          <w:p w14:paraId="3EF87450">
            <w:pPr>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噪声源叠加公式</w:t>
            </w:r>
          </w:p>
          <w:p w14:paraId="21825871">
            <w:pPr>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pict>
                <v:shape id="_x0000_s2053" o:spid="_x0000_s2053" o:spt="75" type="#_x0000_t75" style="position:absolute;left:0pt;margin-left:152.2pt;margin-top:2.8pt;height:38.75pt;width:97.9pt;mso-wrap-distance-bottom:0pt;mso-wrap-distance-top:0pt;z-index:251661312;mso-width-relative:page;mso-height-relative:page;" o:ole="t" filled="f" o:preferrelative="t" stroked="f" coordsize="21600,21600">
                  <v:path/>
                  <v:fill on="f" focussize="0,0"/>
                  <v:stroke on="f" joinstyle="miter"/>
                  <v:imagedata r:id="rId16" o:title=""/>
                  <o:lock v:ext="edit" aspectratio="t"/>
                  <w10:wrap type="topAndBottom"/>
                </v:shape>
                <o:OLEObject Type="Embed" ProgID="Equation.3" ShapeID="_x0000_s2053" DrawAspect="Content" ObjectID="_1468075726" r:id="rId15">
                  <o:LockedField>false</o:LockedField>
                </o:OLEObject>
              </w:pict>
            </w:r>
            <w:r>
              <w:rPr>
                <w:rFonts w:hint="eastAsia" w:ascii="Times New Roman" w:hAnsi="Times New Roman" w:eastAsia="宋体" w:cs="Times New Roman"/>
                <w:color w:val="auto"/>
                <w:sz w:val="24"/>
                <w:highlight w:val="none"/>
                <w:u w:val="none"/>
                <w:lang w:val="en-US" w:eastAsia="zh-CN"/>
              </w:rPr>
              <w:t>式中：L—总声压级，dB（A）；</w:t>
            </w:r>
          </w:p>
          <w:p w14:paraId="5C025ADE">
            <w:pPr>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Li—第i个噪声源的声压级，dB（A）；</w:t>
            </w:r>
          </w:p>
          <w:p w14:paraId="0E1C9B76">
            <w:pPr>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n—噪声源数。</w:t>
            </w:r>
          </w:p>
          <w:p w14:paraId="2564851C">
            <w:pPr>
              <w:ind w:firstLine="422" w:firstLineChars="200"/>
              <w:jc w:val="center"/>
              <w:rPr>
                <w:rFonts w:hint="eastAsia" w:ascii="Times New Roman" w:hAnsi="Times New Roman" w:eastAsia="宋体" w:cs="Times New Roman"/>
                <w:b/>
                <w:bCs/>
                <w:color w:val="auto"/>
                <w:highlight w:val="none"/>
                <w:u w:val="none"/>
              </w:rPr>
            </w:pPr>
            <w:r>
              <w:rPr>
                <w:rFonts w:hint="eastAsia" w:ascii="Times New Roman" w:hAnsi="Times New Roman" w:eastAsia="宋体" w:cs="Times New Roman"/>
                <w:b/>
                <w:bCs/>
                <w:color w:val="auto"/>
                <w:highlight w:val="none"/>
                <w:u w:val="none"/>
              </w:rPr>
              <w:t>表4-1</w:t>
            </w:r>
            <w:r>
              <w:rPr>
                <w:rFonts w:hint="eastAsia" w:ascii="Times New Roman" w:hAnsi="Times New Roman" w:eastAsia="宋体" w:cs="Times New Roman"/>
                <w:b/>
                <w:bCs/>
                <w:color w:val="auto"/>
                <w:highlight w:val="none"/>
                <w:u w:val="none"/>
                <w:lang w:val="en-US" w:eastAsia="zh-CN"/>
              </w:rPr>
              <w:t>2</w:t>
            </w:r>
            <w:r>
              <w:rPr>
                <w:rFonts w:hint="eastAsia" w:ascii="Times New Roman" w:hAnsi="Times New Roman" w:eastAsia="宋体" w:cs="Times New Roman"/>
                <w:b/>
                <w:bCs/>
                <w:color w:val="auto"/>
                <w:highlight w:val="none"/>
                <w:u w:val="none"/>
              </w:rPr>
              <w:t xml:space="preserve">  各设备贡献值计算结果</w:t>
            </w:r>
          </w:p>
          <w:tbl>
            <w:tblPr>
              <w:tblStyle w:val="21"/>
              <w:tblW w:w="72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729"/>
              <w:gridCol w:w="729"/>
              <w:gridCol w:w="729"/>
              <w:gridCol w:w="735"/>
              <w:gridCol w:w="727"/>
              <w:gridCol w:w="729"/>
              <w:gridCol w:w="729"/>
              <w:gridCol w:w="729"/>
              <w:gridCol w:w="734"/>
            </w:tblGrid>
            <w:tr w14:paraId="14112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3651" w:type="dxa"/>
                  <w:gridSpan w:val="5"/>
                  <w:tcBorders>
                    <w:tl2br w:val="nil"/>
                    <w:tr2bl w:val="nil"/>
                  </w:tcBorders>
                  <w:shd w:val="clear" w:color="auto" w:fill="auto"/>
                  <w:noWrap/>
                  <w:vAlign w:val="center"/>
                </w:tcPr>
                <w:p w14:paraId="12FA783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中频电感炉</w:t>
                  </w:r>
                </w:p>
              </w:tc>
              <w:tc>
                <w:tcPr>
                  <w:tcW w:w="3648" w:type="dxa"/>
                  <w:gridSpan w:val="5"/>
                  <w:tcBorders>
                    <w:tl2br w:val="nil"/>
                    <w:tr2bl w:val="nil"/>
                  </w:tcBorders>
                  <w:shd w:val="clear" w:color="auto" w:fill="auto"/>
                  <w:noWrap/>
                  <w:vAlign w:val="center"/>
                </w:tcPr>
                <w:p w14:paraId="66E33D3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震动落砂机</w:t>
                  </w:r>
                </w:p>
              </w:tc>
            </w:tr>
            <w:tr w14:paraId="1D21C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29" w:type="dxa"/>
                  <w:tcBorders>
                    <w:tl2br w:val="nil"/>
                    <w:tr2bl w:val="nil"/>
                  </w:tcBorders>
                  <w:shd w:val="clear" w:color="auto" w:fill="auto"/>
                  <w:noWrap/>
                  <w:vAlign w:val="center"/>
                </w:tcPr>
                <w:p w14:paraId="70CB2E8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方位</w:t>
                  </w:r>
                </w:p>
              </w:tc>
              <w:tc>
                <w:tcPr>
                  <w:tcW w:w="729" w:type="dxa"/>
                  <w:tcBorders>
                    <w:tl2br w:val="nil"/>
                    <w:tr2bl w:val="nil"/>
                  </w:tcBorders>
                  <w:shd w:val="clear" w:color="auto" w:fill="auto"/>
                  <w:noWrap/>
                  <w:vAlign w:val="center"/>
                </w:tcPr>
                <w:p w14:paraId="40E83909">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Lr</w:t>
                  </w:r>
                </w:p>
              </w:tc>
              <w:tc>
                <w:tcPr>
                  <w:tcW w:w="729" w:type="dxa"/>
                  <w:tcBorders>
                    <w:tl2br w:val="nil"/>
                    <w:tr2bl w:val="nil"/>
                  </w:tcBorders>
                  <w:shd w:val="clear" w:color="auto" w:fill="auto"/>
                  <w:noWrap/>
                  <w:vAlign w:val="center"/>
                </w:tcPr>
                <w:p w14:paraId="2EE6388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L0</w:t>
                  </w:r>
                </w:p>
              </w:tc>
              <w:tc>
                <w:tcPr>
                  <w:tcW w:w="729" w:type="dxa"/>
                  <w:tcBorders>
                    <w:tl2br w:val="nil"/>
                    <w:tr2bl w:val="nil"/>
                  </w:tcBorders>
                  <w:shd w:val="clear" w:color="auto" w:fill="auto"/>
                  <w:noWrap/>
                  <w:vAlign w:val="center"/>
                </w:tcPr>
                <w:p w14:paraId="5AABFFA0">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r</w:t>
                  </w:r>
                </w:p>
              </w:tc>
              <w:tc>
                <w:tcPr>
                  <w:tcW w:w="735" w:type="dxa"/>
                  <w:tcBorders>
                    <w:tl2br w:val="nil"/>
                    <w:tr2bl w:val="nil"/>
                  </w:tcBorders>
                  <w:shd w:val="clear" w:color="auto" w:fill="auto"/>
                  <w:noWrap/>
                  <w:vAlign w:val="center"/>
                </w:tcPr>
                <w:p w14:paraId="0C14345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ΔL</w:t>
                  </w:r>
                </w:p>
              </w:tc>
              <w:tc>
                <w:tcPr>
                  <w:tcW w:w="727" w:type="dxa"/>
                  <w:tcBorders>
                    <w:tl2br w:val="nil"/>
                    <w:tr2bl w:val="nil"/>
                  </w:tcBorders>
                  <w:shd w:val="clear" w:color="auto" w:fill="auto"/>
                  <w:noWrap/>
                  <w:vAlign w:val="center"/>
                </w:tcPr>
                <w:p w14:paraId="1E1220D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方位</w:t>
                  </w:r>
                </w:p>
              </w:tc>
              <w:tc>
                <w:tcPr>
                  <w:tcW w:w="729" w:type="dxa"/>
                  <w:tcBorders>
                    <w:tl2br w:val="nil"/>
                    <w:tr2bl w:val="nil"/>
                  </w:tcBorders>
                  <w:shd w:val="clear" w:color="auto" w:fill="auto"/>
                  <w:noWrap/>
                  <w:vAlign w:val="center"/>
                </w:tcPr>
                <w:p w14:paraId="58B0394C">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Lr</w:t>
                  </w:r>
                </w:p>
              </w:tc>
              <w:tc>
                <w:tcPr>
                  <w:tcW w:w="729" w:type="dxa"/>
                  <w:tcBorders>
                    <w:tl2br w:val="nil"/>
                    <w:tr2bl w:val="nil"/>
                  </w:tcBorders>
                  <w:shd w:val="clear" w:color="auto" w:fill="auto"/>
                  <w:noWrap/>
                  <w:vAlign w:val="center"/>
                </w:tcPr>
                <w:p w14:paraId="1D5AABF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L0</w:t>
                  </w:r>
                </w:p>
              </w:tc>
              <w:tc>
                <w:tcPr>
                  <w:tcW w:w="729" w:type="dxa"/>
                  <w:tcBorders>
                    <w:tl2br w:val="nil"/>
                    <w:tr2bl w:val="nil"/>
                  </w:tcBorders>
                  <w:shd w:val="clear" w:color="auto" w:fill="auto"/>
                  <w:noWrap/>
                  <w:vAlign w:val="center"/>
                </w:tcPr>
                <w:p w14:paraId="5E84183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r</w:t>
                  </w:r>
                </w:p>
              </w:tc>
              <w:tc>
                <w:tcPr>
                  <w:tcW w:w="734" w:type="dxa"/>
                  <w:tcBorders>
                    <w:tl2br w:val="nil"/>
                    <w:tr2bl w:val="nil"/>
                  </w:tcBorders>
                  <w:shd w:val="clear" w:color="auto" w:fill="auto"/>
                  <w:noWrap/>
                  <w:vAlign w:val="center"/>
                </w:tcPr>
                <w:p w14:paraId="55AD1F8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20.00</w:t>
                  </w:r>
                </w:p>
              </w:tc>
            </w:tr>
            <w:tr w14:paraId="3A624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29" w:type="dxa"/>
                  <w:tcBorders>
                    <w:tl2br w:val="nil"/>
                    <w:tr2bl w:val="nil"/>
                  </w:tcBorders>
                  <w:shd w:val="clear" w:color="auto" w:fill="auto"/>
                  <w:noWrap/>
                  <w:vAlign w:val="center"/>
                </w:tcPr>
                <w:p w14:paraId="53A5F95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东</w:t>
                  </w:r>
                </w:p>
              </w:tc>
              <w:tc>
                <w:tcPr>
                  <w:tcW w:w="729" w:type="dxa"/>
                  <w:tcBorders>
                    <w:tl2br w:val="nil"/>
                    <w:tr2bl w:val="nil"/>
                  </w:tcBorders>
                  <w:shd w:val="clear" w:color="auto" w:fill="auto"/>
                  <w:noWrap/>
                  <w:vAlign w:val="center"/>
                </w:tcPr>
                <w:p w14:paraId="26BC836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40.08</w:t>
                  </w:r>
                </w:p>
              </w:tc>
              <w:tc>
                <w:tcPr>
                  <w:tcW w:w="729" w:type="dxa"/>
                  <w:tcBorders>
                    <w:tl2br w:val="nil"/>
                    <w:tr2bl w:val="nil"/>
                  </w:tcBorders>
                  <w:shd w:val="clear" w:color="auto" w:fill="auto"/>
                  <w:noWrap/>
                  <w:vAlign w:val="center"/>
                </w:tcPr>
                <w:p w14:paraId="0C61B8B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88.00</w:t>
                  </w:r>
                </w:p>
              </w:tc>
              <w:tc>
                <w:tcPr>
                  <w:tcW w:w="729" w:type="dxa"/>
                  <w:tcBorders>
                    <w:tl2br w:val="nil"/>
                    <w:tr2bl w:val="nil"/>
                  </w:tcBorders>
                  <w:shd w:val="clear" w:color="auto" w:fill="auto"/>
                  <w:noWrap/>
                  <w:vAlign w:val="center"/>
                </w:tcPr>
                <w:p w14:paraId="7109F4B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14.00</w:t>
                  </w:r>
                </w:p>
              </w:tc>
              <w:tc>
                <w:tcPr>
                  <w:tcW w:w="735" w:type="dxa"/>
                  <w:tcBorders>
                    <w:tl2br w:val="nil"/>
                    <w:tr2bl w:val="nil"/>
                  </w:tcBorders>
                  <w:shd w:val="clear" w:color="auto" w:fill="auto"/>
                  <w:noWrap/>
                  <w:vAlign w:val="center"/>
                </w:tcPr>
                <w:p w14:paraId="72E9C292">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25.00</w:t>
                  </w:r>
                </w:p>
              </w:tc>
              <w:tc>
                <w:tcPr>
                  <w:tcW w:w="727" w:type="dxa"/>
                  <w:tcBorders>
                    <w:tl2br w:val="nil"/>
                    <w:tr2bl w:val="nil"/>
                  </w:tcBorders>
                  <w:shd w:val="clear" w:color="auto" w:fill="auto"/>
                  <w:noWrap/>
                  <w:vAlign w:val="center"/>
                </w:tcPr>
                <w:p w14:paraId="0EE8BDBA">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东</w:t>
                  </w:r>
                </w:p>
              </w:tc>
              <w:tc>
                <w:tcPr>
                  <w:tcW w:w="729" w:type="dxa"/>
                  <w:tcBorders>
                    <w:tl2br w:val="nil"/>
                    <w:tr2bl w:val="nil"/>
                  </w:tcBorders>
                  <w:shd w:val="clear" w:color="auto" w:fill="auto"/>
                  <w:noWrap/>
                  <w:vAlign w:val="center"/>
                </w:tcPr>
                <w:p w14:paraId="44378A7A">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38.42</w:t>
                  </w:r>
                </w:p>
              </w:tc>
              <w:tc>
                <w:tcPr>
                  <w:tcW w:w="729" w:type="dxa"/>
                  <w:tcBorders>
                    <w:tl2br w:val="nil"/>
                    <w:tr2bl w:val="nil"/>
                  </w:tcBorders>
                  <w:shd w:val="clear" w:color="auto" w:fill="auto"/>
                  <w:noWrap/>
                  <w:vAlign w:val="center"/>
                </w:tcPr>
                <w:p w14:paraId="08B73EA6">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80.00</w:t>
                  </w:r>
                </w:p>
              </w:tc>
              <w:tc>
                <w:tcPr>
                  <w:tcW w:w="729" w:type="dxa"/>
                  <w:tcBorders>
                    <w:tl2br w:val="nil"/>
                    <w:tr2bl w:val="nil"/>
                  </w:tcBorders>
                  <w:shd w:val="clear" w:color="auto" w:fill="auto"/>
                  <w:noWrap/>
                  <w:vAlign w:val="center"/>
                </w:tcPr>
                <w:p w14:paraId="7C49C41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12.00</w:t>
                  </w:r>
                </w:p>
              </w:tc>
              <w:tc>
                <w:tcPr>
                  <w:tcW w:w="734" w:type="dxa"/>
                  <w:tcBorders>
                    <w:tl2br w:val="nil"/>
                    <w:tr2bl w:val="nil"/>
                  </w:tcBorders>
                  <w:shd w:val="clear" w:color="auto" w:fill="auto"/>
                  <w:noWrap/>
                  <w:vAlign w:val="center"/>
                </w:tcPr>
                <w:p w14:paraId="3A3AA04A">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20.00</w:t>
                  </w:r>
                </w:p>
              </w:tc>
            </w:tr>
            <w:tr w14:paraId="6104F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29" w:type="dxa"/>
                  <w:tcBorders>
                    <w:tl2br w:val="nil"/>
                    <w:tr2bl w:val="nil"/>
                  </w:tcBorders>
                  <w:shd w:val="clear" w:color="auto" w:fill="auto"/>
                  <w:noWrap/>
                  <w:vAlign w:val="center"/>
                </w:tcPr>
                <w:p w14:paraId="7B35789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南</w:t>
                  </w:r>
                </w:p>
              </w:tc>
              <w:tc>
                <w:tcPr>
                  <w:tcW w:w="729" w:type="dxa"/>
                  <w:tcBorders>
                    <w:tl2br w:val="nil"/>
                    <w:tr2bl w:val="nil"/>
                  </w:tcBorders>
                  <w:shd w:val="clear" w:color="auto" w:fill="auto"/>
                  <w:noWrap/>
                  <w:vAlign w:val="center"/>
                </w:tcPr>
                <w:p w14:paraId="7FF3AD1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30.33</w:t>
                  </w:r>
                </w:p>
              </w:tc>
              <w:tc>
                <w:tcPr>
                  <w:tcW w:w="729" w:type="dxa"/>
                  <w:tcBorders>
                    <w:tl2br w:val="nil"/>
                    <w:tr2bl w:val="nil"/>
                  </w:tcBorders>
                  <w:shd w:val="clear" w:color="auto" w:fill="auto"/>
                  <w:noWrap/>
                  <w:vAlign w:val="center"/>
                </w:tcPr>
                <w:p w14:paraId="17A30470">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88.00</w:t>
                  </w:r>
                </w:p>
              </w:tc>
              <w:tc>
                <w:tcPr>
                  <w:tcW w:w="729" w:type="dxa"/>
                  <w:tcBorders>
                    <w:tl2br w:val="nil"/>
                    <w:tr2bl w:val="nil"/>
                  </w:tcBorders>
                  <w:shd w:val="clear" w:color="auto" w:fill="auto"/>
                  <w:noWrap/>
                  <w:vAlign w:val="center"/>
                </w:tcPr>
                <w:p w14:paraId="0FEED26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43.00</w:t>
                  </w:r>
                </w:p>
              </w:tc>
              <w:tc>
                <w:tcPr>
                  <w:tcW w:w="735" w:type="dxa"/>
                  <w:tcBorders>
                    <w:tl2br w:val="nil"/>
                    <w:tr2bl w:val="nil"/>
                  </w:tcBorders>
                  <w:shd w:val="clear" w:color="auto" w:fill="auto"/>
                  <w:noWrap/>
                  <w:vAlign w:val="center"/>
                </w:tcPr>
                <w:p w14:paraId="1C9AE2F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25.00</w:t>
                  </w:r>
                </w:p>
              </w:tc>
              <w:tc>
                <w:tcPr>
                  <w:tcW w:w="727" w:type="dxa"/>
                  <w:tcBorders>
                    <w:tl2br w:val="nil"/>
                    <w:tr2bl w:val="nil"/>
                  </w:tcBorders>
                  <w:shd w:val="clear" w:color="auto" w:fill="auto"/>
                  <w:noWrap/>
                  <w:vAlign w:val="center"/>
                </w:tcPr>
                <w:p w14:paraId="4FBDF152">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南</w:t>
                  </w:r>
                </w:p>
              </w:tc>
              <w:tc>
                <w:tcPr>
                  <w:tcW w:w="729" w:type="dxa"/>
                  <w:tcBorders>
                    <w:tl2br w:val="nil"/>
                    <w:tr2bl w:val="nil"/>
                  </w:tcBorders>
                  <w:shd w:val="clear" w:color="auto" w:fill="auto"/>
                  <w:noWrap/>
                  <w:vAlign w:val="center"/>
                </w:tcPr>
                <w:p w14:paraId="2B48739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22.73</w:t>
                  </w:r>
                </w:p>
              </w:tc>
              <w:tc>
                <w:tcPr>
                  <w:tcW w:w="729" w:type="dxa"/>
                  <w:tcBorders>
                    <w:tl2br w:val="nil"/>
                    <w:tr2bl w:val="nil"/>
                  </w:tcBorders>
                  <w:shd w:val="clear" w:color="auto" w:fill="auto"/>
                  <w:noWrap/>
                  <w:vAlign w:val="center"/>
                </w:tcPr>
                <w:p w14:paraId="18759132">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80.00</w:t>
                  </w:r>
                </w:p>
              </w:tc>
              <w:tc>
                <w:tcPr>
                  <w:tcW w:w="729" w:type="dxa"/>
                  <w:tcBorders>
                    <w:tl2br w:val="nil"/>
                    <w:tr2bl w:val="nil"/>
                  </w:tcBorders>
                  <w:shd w:val="clear" w:color="auto" w:fill="auto"/>
                  <w:noWrap/>
                  <w:vAlign w:val="center"/>
                </w:tcPr>
                <w:p w14:paraId="03DA920A">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73.00</w:t>
                  </w:r>
                </w:p>
              </w:tc>
              <w:tc>
                <w:tcPr>
                  <w:tcW w:w="734" w:type="dxa"/>
                  <w:tcBorders>
                    <w:tl2br w:val="nil"/>
                    <w:tr2bl w:val="nil"/>
                  </w:tcBorders>
                  <w:shd w:val="clear" w:color="auto" w:fill="auto"/>
                  <w:noWrap/>
                  <w:vAlign w:val="center"/>
                </w:tcPr>
                <w:p w14:paraId="58CD8782">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20.00</w:t>
                  </w:r>
                </w:p>
              </w:tc>
            </w:tr>
            <w:tr w14:paraId="43095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29" w:type="dxa"/>
                  <w:tcBorders>
                    <w:tl2br w:val="nil"/>
                    <w:tr2bl w:val="nil"/>
                  </w:tcBorders>
                  <w:shd w:val="clear" w:color="auto" w:fill="auto"/>
                  <w:noWrap/>
                  <w:vAlign w:val="center"/>
                </w:tcPr>
                <w:p w14:paraId="28D5D8A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西</w:t>
                  </w:r>
                </w:p>
              </w:tc>
              <w:tc>
                <w:tcPr>
                  <w:tcW w:w="729" w:type="dxa"/>
                  <w:tcBorders>
                    <w:tl2br w:val="nil"/>
                    <w:tr2bl w:val="nil"/>
                  </w:tcBorders>
                  <w:shd w:val="clear" w:color="auto" w:fill="auto"/>
                  <w:noWrap/>
                  <w:vAlign w:val="center"/>
                </w:tcPr>
                <w:p w14:paraId="7F2B353B">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28.04</w:t>
                  </w:r>
                </w:p>
              </w:tc>
              <w:tc>
                <w:tcPr>
                  <w:tcW w:w="729" w:type="dxa"/>
                  <w:tcBorders>
                    <w:tl2br w:val="nil"/>
                    <w:tr2bl w:val="nil"/>
                  </w:tcBorders>
                  <w:shd w:val="clear" w:color="auto" w:fill="auto"/>
                  <w:noWrap/>
                  <w:vAlign w:val="center"/>
                </w:tcPr>
                <w:p w14:paraId="3782C5B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88.00</w:t>
                  </w:r>
                </w:p>
              </w:tc>
              <w:tc>
                <w:tcPr>
                  <w:tcW w:w="729" w:type="dxa"/>
                  <w:tcBorders>
                    <w:tl2br w:val="nil"/>
                    <w:tr2bl w:val="nil"/>
                  </w:tcBorders>
                  <w:shd w:val="clear" w:color="auto" w:fill="auto"/>
                  <w:noWrap/>
                  <w:vAlign w:val="center"/>
                </w:tcPr>
                <w:p w14:paraId="3FCEE0C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56.00</w:t>
                  </w:r>
                </w:p>
              </w:tc>
              <w:tc>
                <w:tcPr>
                  <w:tcW w:w="735" w:type="dxa"/>
                  <w:tcBorders>
                    <w:tl2br w:val="nil"/>
                    <w:tr2bl w:val="nil"/>
                  </w:tcBorders>
                  <w:shd w:val="clear" w:color="auto" w:fill="auto"/>
                  <w:noWrap/>
                  <w:vAlign w:val="center"/>
                </w:tcPr>
                <w:p w14:paraId="5214096D">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25.00</w:t>
                  </w:r>
                </w:p>
              </w:tc>
              <w:tc>
                <w:tcPr>
                  <w:tcW w:w="727" w:type="dxa"/>
                  <w:tcBorders>
                    <w:tl2br w:val="nil"/>
                    <w:tr2bl w:val="nil"/>
                  </w:tcBorders>
                  <w:shd w:val="clear" w:color="auto" w:fill="auto"/>
                  <w:noWrap/>
                  <w:vAlign w:val="center"/>
                </w:tcPr>
                <w:p w14:paraId="6C8ACC4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西</w:t>
                  </w:r>
                </w:p>
              </w:tc>
              <w:tc>
                <w:tcPr>
                  <w:tcW w:w="729" w:type="dxa"/>
                  <w:tcBorders>
                    <w:tl2br w:val="nil"/>
                    <w:tr2bl w:val="nil"/>
                  </w:tcBorders>
                  <w:shd w:val="clear" w:color="auto" w:fill="auto"/>
                  <w:noWrap/>
                  <w:vAlign w:val="center"/>
                </w:tcPr>
                <w:p w14:paraId="357135FC">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24.44</w:t>
                  </w:r>
                </w:p>
              </w:tc>
              <w:tc>
                <w:tcPr>
                  <w:tcW w:w="729" w:type="dxa"/>
                  <w:tcBorders>
                    <w:tl2br w:val="nil"/>
                    <w:tr2bl w:val="nil"/>
                  </w:tcBorders>
                  <w:shd w:val="clear" w:color="auto" w:fill="auto"/>
                  <w:noWrap/>
                  <w:vAlign w:val="center"/>
                </w:tcPr>
                <w:p w14:paraId="32ECCBD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80.00</w:t>
                  </w:r>
                </w:p>
              </w:tc>
              <w:tc>
                <w:tcPr>
                  <w:tcW w:w="729" w:type="dxa"/>
                  <w:tcBorders>
                    <w:tl2br w:val="nil"/>
                    <w:tr2bl w:val="nil"/>
                  </w:tcBorders>
                  <w:shd w:val="clear" w:color="auto" w:fill="auto"/>
                  <w:noWrap/>
                  <w:vAlign w:val="center"/>
                </w:tcPr>
                <w:p w14:paraId="3C1C2A1C">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60.00</w:t>
                  </w:r>
                </w:p>
              </w:tc>
              <w:tc>
                <w:tcPr>
                  <w:tcW w:w="734" w:type="dxa"/>
                  <w:tcBorders>
                    <w:tl2br w:val="nil"/>
                    <w:tr2bl w:val="nil"/>
                  </w:tcBorders>
                  <w:shd w:val="clear" w:color="auto" w:fill="auto"/>
                  <w:noWrap/>
                  <w:vAlign w:val="center"/>
                </w:tcPr>
                <w:p w14:paraId="3FA25C1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20.00</w:t>
                  </w:r>
                </w:p>
              </w:tc>
            </w:tr>
            <w:tr w14:paraId="7E7D7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29" w:type="dxa"/>
                  <w:tcBorders>
                    <w:tl2br w:val="nil"/>
                    <w:tr2bl w:val="nil"/>
                  </w:tcBorders>
                  <w:shd w:val="clear" w:color="auto" w:fill="auto"/>
                  <w:noWrap/>
                  <w:vAlign w:val="center"/>
                </w:tcPr>
                <w:p w14:paraId="3843433B">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北</w:t>
                  </w:r>
                </w:p>
              </w:tc>
              <w:tc>
                <w:tcPr>
                  <w:tcW w:w="729" w:type="dxa"/>
                  <w:tcBorders>
                    <w:tl2br w:val="nil"/>
                    <w:tr2bl w:val="nil"/>
                  </w:tcBorders>
                  <w:shd w:val="clear" w:color="auto" w:fill="auto"/>
                  <w:noWrap/>
                  <w:vAlign w:val="center"/>
                </w:tcPr>
                <w:p w14:paraId="5EEAD2E0">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29.38</w:t>
                  </w:r>
                </w:p>
              </w:tc>
              <w:tc>
                <w:tcPr>
                  <w:tcW w:w="729" w:type="dxa"/>
                  <w:tcBorders>
                    <w:tl2br w:val="nil"/>
                    <w:tr2bl w:val="nil"/>
                  </w:tcBorders>
                  <w:shd w:val="clear" w:color="auto" w:fill="auto"/>
                  <w:noWrap/>
                  <w:vAlign w:val="center"/>
                </w:tcPr>
                <w:p w14:paraId="1CF2C993">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88.00</w:t>
                  </w:r>
                </w:p>
              </w:tc>
              <w:tc>
                <w:tcPr>
                  <w:tcW w:w="729" w:type="dxa"/>
                  <w:tcBorders>
                    <w:tl2br w:val="nil"/>
                    <w:tr2bl w:val="nil"/>
                  </w:tcBorders>
                  <w:shd w:val="clear" w:color="auto" w:fill="auto"/>
                  <w:noWrap/>
                  <w:vAlign w:val="center"/>
                </w:tcPr>
                <w:p w14:paraId="746C223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48.00</w:t>
                  </w:r>
                </w:p>
              </w:tc>
              <w:tc>
                <w:tcPr>
                  <w:tcW w:w="735" w:type="dxa"/>
                  <w:tcBorders>
                    <w:tl2br w:val="nil"/>
                    <w:tr2bl w:val="nil"/>
                  </w:tcBorders>
                  <w:shd w:val="clear" w:color="auto" w:fill="auto"/>
                  <w:noWrap/>
                  <w:vAlign w:val="center"/>
                </w:tcPr>
                <w:p w14:paraId="09BD15FB">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25.00</w:t>
                  </w:r>
                </w:p>
              </w:tc>
              <w:tc>
                <w:tcPr>
                  <w:tcW w:w="727" w:type="dxa"/>
                  <w:tcBorders>
                    <w:tl2br w:val="nil"/>
                    <w:tr2bl w:val="nil"/>
                  </w:tcBorders>
                  <w:shd w:val="clear" w:color="auto" w:fill="auto"/>
                  <w:noWrap/>
                  <w:vAlign w:val="center"/>
                </w:tcPr>
                <w:p w14:paraId="285B12B2">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北</w:t>
                  </w:r>
                </w:p>
              </w:tc>
              <w:tc>
                <w:tcPr>
                  <w:tcW w:w="729" w:type="dxa"/>
                  <w:tcBorders>
                    <w:tl2br w:val="nil"/>
                    <w:tr2bl w:val="nil"/>
                  </w:tcBorders>
                  <w:shd w:val="clear" w:color="auto" w:fill="auto"/>
                  <w:noWrap/>
                  <w:vAlign w:val="center"/>
                </w:tcPr>
                <w:p w14:paraId="14917340">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33.15</w:t>
                  </w:r>
                </w:p>
              </w:tc>
              <w:tc>
                <w:tcPr>
                  <w:tcW w:w="729" w:type="dxa"/>
                  <w:tcBorders>
                    <w:tl2br w:val="nil"/>
                    <w:tr2bl w:val="nil"/>
                  </w:tcBorders>
                  <w:shd w:val="clear" w:color="auto" w:fill="auto"/>
                  <w:noWrap/>
                  <w:vAlign w:val="center"/>
                </w:tcPr>
                <w:p w14:paraId="18EB9A4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80.00</w:t>
                  </w:r>
                </w:p>
              </w:tc>
              <w:tc>
                <w:tcPr>
                  <w:tcW w:w="729" w:type="dxa"/>
                  <w:tcBorders>
                    <w:tl2br w:val="nil"/>
                    <w:tr2bl w:val="nil"/>
                  </w:tcBorders>
                  <w:shd w:val="clear" w:color="auto" w:fill="auto"/>
                  <w:noWrap/>
                  <w:vAlign w:val="center"/>
                </w:tcPr>
                <w:p w14:paraId="12C444B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22.00</w:t>
                  </w:r>
                </w:p>
              </w:tc>
              <w:tc>
                <w:tcPr>
                  <w:tcW w:w="734" w:type="dxa"/>
                  <w:tcBorders>
                    <w:tl2br w:val="nil"/>
                    <w:tr2bl w:val="nil"/>
                  </w:tcBorders>
                  <w:shd w:val="clear" w:color="auto" w:fill="auto"/>
                  <w:noWrap/>
                  <w:vAlign w:val="center"/>
                </w:tcPr>
                <w:p w14:paraId="18D53B5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20.00</w:t>
                  </w:r>
                </w:p>
              </w:tc>
            </w:tr>
            <w:tr w14:paraId="6BDA6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3651" w:type="dxa"/>
                  <w:gridSpan w:val="5"/>
                  <w:tcBorders>
                    <w:tl2br w:val="nil"/>
                    <w:tr2bl w:val="nil"/>
                  </w:tcBorders>
                  <w:shd w:val="clear" w:color="auto" w:fill="auto"/>
                  <w:noWrap/>
                  <w:vAlign w:val="center"/>
                </w:tcPr>
                <w:p w14:paraId="6D9300F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造型机</w:t>
                  </w:r>
                </w:p>
              </w:tc>
              <w:tc>
                <w:tcPr>
                  <w:tcW w:w="3648" w:type="dxa"/>
                  <w:gridSpan w:val="5"/>
                  <w:tcBorders>
                    <w:tl2br w:val="nil"/>
                    <w:tr2bl w:val="nil"/>
                  </w:tcBorders>
                  <w:shd w:val="clear" w:color="auto" w:fill="auto"/>
                  <w:noWrap/>
                  <w:vAlign w:val="center"/>
                </w:tcPr>
                <w:p w14:paraId="476E8A93">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抛丸机</w:t>
                  </w:r>
                </w:p>
              </w:tc>
            </w:tr>
            <w:tr w14:paraId="5D33C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29" w:type="dxa"/>
                  <w:tcBorders>
                    <w:tl2br w:val="nil"/>
                    <w:tr2bl w:val="nil"/>
                  </w:tcBorders>
                  <w:shd w:val="clear" w:color="auto" w:fill="auto"/>
                  <w:noWrap/>
                  <w:vAlign w:val="center"/>
                </w:tcPr>
                <w:p w14:paraId="0ECAEB36">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方位</w:t>
                  </w:r>
                </w:p>
              </w:tc>
              <w:tc>
                <w:tcPr>
                  <w:tcW w:w="729" w:type="dxa"/>
                  <w:tcBorders>
                    <w:tl2br w:val="nil"/>
                    <w:tr2bl w:val="nil"/>
                  </w:tcBorders>
                  <w:shd w:val="clear" w:color="auto" w:fill="auto"/>
                  <w:noWrap/>
                  <w:vAlign w:val="center"/>
                </w:tcPr>
                <w:p w14:paraId="1E38670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Lr</w:t>
                  </w:r>
                </w:p>
              </w:tc>
              <w:tc>
                <w:tcPr>
                  <w:tcW w:w="729" w:type="dxa"/>
                  <w:tcBorders>
                    <w:tl2br w:val="nil"/>
                    <w:tr2bl w:val="nil"/>
                  </w:tcBorders>
                  <w:shd w:val="clear" w:color="auto" w:fill="auto"/>
                  <w:noWrap/>
                  <w:vAlign w:val="center"/>
                </w:tcPr>
                <w:p w14:paraId="4056A24D">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L0</w:t>
                  </w:r>
                </w:p>
              </w:tc>
              <w:tc>
                <w:tcPr>
                  <w:tcW w:w="729" w:type="dxa"/>
                  <w:tcBorders>
                    <w:tl2br w:val="nil"/>
                    <w:tr2bl w:val="nil"/>
                  </w:tcBorders>
                  <w:shd w:val="clear" w:color="auto" w:fill="auto"/>
                  <w:noWrap/>
                  <w:vAlign w:val="center"/>
                </w:tcPr>
                <w:p w14:paraId="0132658B">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r</w:t>
                  </w:r>
                </w:p>
              </w:tc>
              <w:tc>
                <w:tcPr>
                  <w:tcW w:w="735" w:type="dxa"/>
                  <w:tcBorders>
                    <w:tl2br w:val="nil"/>
                    <w:tr2bl w:val="nil"/>
                  </w:tcBorders>
                  <w:shd w:val="clear" w:color="auto" w:fill="auto"/>
                  <w:noWrap/>
                  <w:vAlign w:val="center"/>
                </w:tcPr>
                <w:p w14:paraId="5B64E86C">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ΔL</w:t>
                  </w:r>
                </w:p>
              </w:tc>
              <w:tc>
                <w:tcPr>
                  <w:tcW w:w="727" w:type="dxa"/>
                  <w:tcBorders>
                    <w:tl2br w:val="nil"/>
                    <w:tr2bl w:val="nil"/>
                  </w:tcBorders>
                  <w:shd w:val="clear" w:color="auto" w:fill="auto"/>
                  <w:noWrap/>
                  <w:vAlign w:val="center"/>
                </w:tcPr>
                <w:p w14:paraId="72A2CA4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方位</w:t>
                  </w:r>
                </w:p>
              </w:tc>
              <w:tc>
                <w:tcPr>
                  <w:tcW w:w="729" w:type="dxa"/>
                  <w:tcBorders>
                    <w:tl2br w:val="nil"/>
                    <w:tr2bl w:val="nil"/>
                  </w:tcBorders>
                  <w:shd w:val="clear" w:color="auto" w:fill="auto"/>
                  <w:noWrap/>
                  <w:vAlign w:val="center"/>
                </w:tcPr>
                <w:p w14:paraId="1A6F326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Lr</w:t>
                  </w:r>
                </w:p>
              </w:tc>
              <w:tc>
                <w:tcPr>
                  <w:tcW w:w="729" w:type="dxa"/>
                  <w:tcBorders>
                    <w:tl2br w:val="nil"/>
                    <w:tr2bl w:val="nil"/>
                  </w:tcBorders>
                  <w:shd w:val="clear" w:color="auto" w:fill="auto"/>
                  <w:noWrap/>
                  <w:vAlign w:val="center"/>
                </w:tcPr>
                <w:p w14:paraId="3A34DBDB">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L0</w:t>
                  </w:r>
                </w:p>
              </w:tc>
              <w:tc>
                <w:tcPr>
                  <w:tcW w:w="729" w:type="dxa"/>
                  <w:tcBorders>
                    <w:tl2br w:val="nil"/>
                    <w:tr2bl w:val="nil"/>
                  </w:tcBorders>
                  <w:shd w:val="clear" w:color="auto" w:fill="auto"/>
                  <w:noWrap/>
                  <w:vAlign w:val="center"/>
                </w:tcPr>
                <w:p w14:paraId="550CF78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r</w:t>
                  </w:r>
                </w:p>
              </w:tc>
              <w:tc>
                <w:tcPr>
                  <w:tcW w:w="734" w:type="dxa"/>
                  <w:tcBorders>
                    <w:tl2br w:val="nil"/>
                    <w:tr2bl w:val="nil"/>
                  </w:tcBorders>
                  <w:shd w:val="clear" w:color="auto" w:fill="auto"/>
                  <w:noWrap/>
                  <w:vAlign w:val="center"/>
                </w:tcPr>
                <w:p w14:paraId="61DA36D2">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ΔL</w:t>
                  </w:r>
                </w:p>
              </w:tc>
            </w:tr>
            <w:tr w14:paraId="55BF5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29" w:type="dxa"/>
                  <w:tcBorders>
                    <w:tl2br w:val="nil"/>
                    <w:tr2bl w:val="nil"/>
                  </w:tcBorders>
                  <w:shd w:val="clear" w:color="auto" w:fill="auto"/>
                  <w:noWrap/>
                  <w:vAlign w:val="center"/>
                </w:tcPr>
                <w:p w14:paraId="7855052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东</w:t>
                  </w:r>
                </w:p>
              </w:tc>
              <w:tc>
                <w:tcPr>
                  <w:tcW w:w="729" w:type="dxa"/>
                  <w:tcBorders>
                    <w:tl2br w:val="nil"/>
                    <w:tr2bl w:val="nil"/>
                  </w:tcBorders>
                  <w:shd w:val="clear" w:color="auto" w:fill="auto"/>
                  <w:noWrap/>
                  <w:vAlign w:val="center"/>
                </w:tcPr>
                <w:p w14:paraId="7C9449A9">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33.46</w:t>
                  </w:r>
                </w:p>
              </w:tc>
              <w:tc>
                <w:tcPr>
                  <w:tcW w:w="729" w:type="dxa"/>
                  <w:tcBorders>
                    <w:tl2br w:val="nil"/>
                    <w:tr2bl w:val="nil"/>
                  </w:tcBorders>
                  <w:shd w:val="clear" w:color="auto" w:fill="auto"/>
                  <w:noWrap/>
                  <w:vAlign w:val="center"/>
                </w:tcPr>
                <w:p w14:paraId="00C56600">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88.00</w:t>
                  </w:r>
                </w:p>
              </w:tc>
              <w:tc>
                <w:tcPr>
                  <w:tcW w:w="729" w:type="dxa"/>
                  <w:tcBorders>
                    <w:tl2br w:val="nil"/>
                    <w:tr2bl w:val="nil"/>
                  </w:tcBorders>
                  <w:shd w:val="clear" w:color="auto" w:fill="auto"/>
                  <w:noWrap/>
                  <w:vAlign w:val="center"/>
                </w:tcPr>
                <w:p w14:paraId="5EC0A2A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30.00</w:t>
                  </w:r>
                </w:p>
              </w:tc>
              <w:tc>
                <w:tcPr>
                  <w:tcW w:w="735" w:type="dxa"/>
                  <w:tcBorders>
                    <w:tl2br w:val="nil"/>
                    <w:tr2bl w:val="nil"/>
                  </w:tcBorders>
                  <w:shd w:val="clear" w:color="auto" w:fill="auto"/>
                  <w:noWrap/>
                  <w:vAlign w:val="center"/>
                </w:tcPr>
                <w:p w14:paraId="2D059B5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25.00</w:t>
                  </w:r>
                </w:p>
              </w:tc>
              <w:tc>
                <w:tcPr>
                  <w:tcW w:w="727" w:type="dxa"/>
                  <w:tcBorders>
                    <w:tl2br w:val="nil"/>
                    <w:tr2bl w:val="nil"/>
                  </w:tcBorders>
                  <w:shd w:val="clear" w:color="auto" w:fill="auto"/>
                  <w:noWrap/>
                  <w:vAlign w:val="center"/>
                </w:tcPr>
                <w:p w14:paraId="0F445CE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东</w:t>
                  </w:r>
                </w:p>
              </w:tc>
              <w:tc>
                <w:tcPr>
                  <w:tcW w:w="729" w:type="dxa"/>
                  <w:tcBorders>
                    <w:tl2br w:val="nil"/>
                    <w:tr2bl w:val="nil"/>
                  </w:tcBorders>
                  <w:shd w:val="clear" w:color="auto" w:fill="auto"/>
                  <w:noWrap/>
                  <w:vAlign w:val="center"/>
                </w:tcPr>
                <w:p w14:paraId="6729326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34.87</w:t>
                  </w:r>
                </w:p>
              </w:tc>
              <w:tc>
                <w:tcPr>
                  <w:tcW w:w="729" w:type="dxa"/>
                  <w:tcBorders>
                    <w:tl2br w:val="nil"/>
                    <w:tr2bl w:val="nil"/>
                  </w:tcBorders>
                  <w:shd w:val="clear" w:color="auto" w:fill="auto"/>
                  <w:noWrap/>
                  <w:vAlign w:val="center"/>
                </w:tcPr>
                <w:p w14:paraId="2BE7F99D">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91.00</w:t>
                  </w:r>
                </w:p>
              </w:tc>
              <w:tc>
                <w:tcPr>
                  <w:tcW w:w="729" w:type="dxa"/>
                  <w:tcBorders>
                    <w:tl2br w:val="nil"/>
                    <w:tr2bl w:val="nil"/>
                  </w:tcBorders>
                  <w:shd w:val="clear" w:color="auto" w:fill="auto"/>
                  <w:noWrap/>
                  <w:vAlign w:val="center"/>
                </w:tcPr>
                <w:p w14:paraId="0CA1901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36.00</w:t>
                  </w:r>
                </w:p>
              </w:tc>
              <w:tc>
                <w:tcPr>
                  <w:tcW w:w="734" w:type="dxa"/>
                  <w:tcBorders>
                    <w:tl2br w:val="nil"/>
                    <w:tr2bl w:val="nil"/>
                  </w:tcBorders>
                  <w:shd w:val="clear" w:color="auto" w:fill="auto"/>
                  <w:noWrap/>
                  <w:vAlign w:val="center"/>
                </w:tcPr>
                <w:p w14:paraId="559DB6F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25.00</w:t>
                  </w:r>
                </w:p>
              </w:tc>
            </w:tr>
            <w:tr w14:paraId="23D8B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29" w:type="dxa"/>
                  <w:tcBorders>
                    <w:tl2br w:val="nil"/>
                    <w:tr2bl w:val="nil"/>
                  </w:tcBorders>
                  <w:shd w:val="clear" w:color="auto" w:fill="auto"/>
                  <w:noWrap/>
                  <w:vAlign w:val="center"/>
                </w:tcPr>
                <w:p w14:paraId="0987319D">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南</w:t>
                  </w:r>
                </w:p>
              </w:tc>
              <w:tc>
                <w:tcPr>
                  <w:tcW w:w="729" w:type="dxa"/>
                  <w:tcBorders>
                    <w:tl2br w:val="nil"/>
                    <w:tr2bl w:val="nil"/>
                  </w:tcBorders>
                  <w:shd w:val="clear" w:color="auto" w:fill="auto"/>
                  <w:noWrap/>
                  <w:vAlign w:val="center"/>
                </w:tcPr>
                <w:p w14:paraId="21B46539">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24.94</w:t>
                  </w:r>
                </w:p>
              </w:tc>
              <w:tc>
                <w:tcPr>
                  <w:tcW w:w="729" w:type="dxa"/>
                  <w:tcBorders>
                    <w:tl2br w:val="nil"/>
                    <w:tr2bl w:val="nil"/>
                  </w:tcBorders>
                  <w:shd w:val="clear" w:color="auto" w:fill="auto"/>
                  <w:noWrap/>
                  <w:vAlign w:val="center"/>
                </w:tcPr>
                <w:p w14:paraId="5099714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88.00</w:t>
                  </w:r>
                </w:p>
              </w:tc>
              <w:tc>
                <w:tcPr>
                  <w:tcW w:w="729" w:type="dxa"/>
                  <w:tcBorders>
                    <w:tl2br w:val="nil"/>
                    <w:tr2bl w:val="nil"/>
                  </w:tcBorders>
                  <w:shd w:val="clear" w:color="auto" w:fill="auto"/>
                  <w:noWrap/>
                  <w:vAlign w:val="center"/>
                </w:tcPr>
                <w:p w14:paraId="55620F5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80.00</w:t>
                  </w:r>
                </w:p>
              </w:tc>
              <w:tc>
                <w:tcPr>
                  <w:tcW w:w="735" w:type="dxa"/>
                  <w:tcBorders>
                    <w:tl2br w:val="nil"/>
                    <w:tr2bl w:val="nil"/>
                  </w:tcBorders>
                  <w:shd w:val="clear" w:color="auto" w:fill="auto"/>
                  <w:noWrap/>
                  <w:vAlign w:val="center"/>
                </w:tcPr>
                <w:p w14:paraId="47D48E5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25.00</w:t>
                  </w:r>
                </w:p>
              </w:tc>
              <w:tc>
                <w:tcPr>
                  <w:tcW w:w="727" w:type="dxa"/>
                  <w:tcBorders>
                    <w:tl2br w:val="nil"/>
                    <w:tr2bl w:val="nil"/>
                  </w:tcBorders>
                  <w:shd w:val="clear" w:color="auto" w:fill="auto"/>
                  <w:noWrap/>
                  <w:vAlign w:val="center"/>
                </w:tcPr>
                <w:p w14:paraId="7701F63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南</w:t>
                  </w:r>
                </w:p>
              </w:tc>
              <w:tc>
                <w:tcPr>
                  <w:tcW w:w="729" w:type="dxa"/>
                  <w:tcBorders>
                    <w:tl2br w:val="nil"/>
                    <w:tr2bl w:val="nil"/>
                  </w:tcBorders>
                  <w:shd w:val="clear" w:color="auto" w:fill="auto"/>
                  <w:noWrap/>
                  <w:vAlign w:val="center"/>
                </w:tcPr>
                <w:p w14:paraId="542DE64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33.33</w:t>
                  </w:r>
                </w:p>
              </w:tc>
              <w:tc>
                <w:tcPr>
                  <w:tcW w:w="729" w:type="dxa"/>
                  <w:tcBorders>
                    <w:tl2br w:val="nil"/>
                    <w:tr2bl w:val="nil"/>
                  </w:tcBorders>
                  <w:shd w:val="clear" w:color="auto" w:fill="auto"/>
                  <w:noWrap/>
                  <w:vAlign w:val="center"/>
                </w:tcPr>
                <w:p w14:paraId="17A5CE6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91.00</w:t>
                  </w:r>
                </w:p>
              </w:tc>
              <w:tc>
                <w:tcPr>
                  <w:tcW w:w="729" w:type="dxa"/>
                  <w:tcBorders>
                    <w:tl2br w:val="nil"/>
                    <w:tr2bl w:val="nil"/>
                  </w:tcBorders>
                  <w:shd w:val="clear" w:color="auto" w:fill="auto"/>
                  <w:noWrap/>
                  <w:vAlign w:val="center"/>
                </w:tcPr>
                <w:p w14:paraId="0C8BDE96">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43.00</w:t>
                  </w:r>
                </w:p>
              </w:tc>
              <w:tc>
                <w:tcPr>
                  <w:tcW w:w="734" w:type="dxa"/>
                  <w:tcBorders>
                    <w:tl2br w:val="nil"/>
                    <w:tr2bl w:val="nil"/>
                  </w:tcBorders>
                  <w:shd w:val="clear" w:color="auto" w:fill="auto"/>
                  <w:noWrap/>
                  <w:vAlign w:val="center"/>
                </w:tcPr>
                <w:p w14:paraId="298C727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25.00</w:t>
                  </w:r>
                </w:p>
              </w:tc>
            </w:tr>
            <w:tr w14:paraId="16137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29" w:type="dxa"/>
                  <w:tcBorders>
                    <w:tl2br w:val="nil"/>
                    <w:tr2bl w:val="nil"/>
                  </w:tcBorders>
                  <w:shd w:val="clear" w:color="auto" w:fill="auto"/>
                  <w:noWrap/>
                  <w:vAlign w:val="center"/>
                </w:tcPr>
                <w:p w14:paraId="02F34E73">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西</w:t>
                  </w:r>
                </w:p>
              </w:tc>
              <w:tc>
                <w:tcPr>
                  <w:tcW w:w="729" w:type="dxa"/>
                  <w:tcBorders>
                    <w:tl2br w:val="nil"/>
                    <w:tr2bl w:val="nil"/>
                  </w:tcBorders>
                  <w:shd w:val="clear" w:color="auto" w:fill="auto"/>
                  <w:noWrap/>
                  <w:vAlign w:val="center"/>
                </w:tcPr>
                <w:p w14:paraId="51B21D7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29.94</w:t>
                  </w:r>
                </w:p>
              </w:tc>
              <w:tc>
                <w:tcPr>
                  <w:tcW w:w="729" w:type="dxa"/>
                  <w:tcBorders>
                    <w:tl2br w:val="nil"/>
                    <w:tr2bl w:val="nil"/>
                  </w:tcBorders>
                  <w:shd w:val="clear" w:color="auto" w:fill="auto"/>
                  <w:noWrap/>
                  <w:vAlign w:val="center"/>
                </w:tcPr>
                <w:p w14:paraId="31A6AEF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88.00</w:t>
                  </w:r>
                </w:p>
              </w:tc>
              <w:tc>
                <w:tcPr>
                  <w:tcW w:w="729" w:type="dxa"/>
                  <w:tcBorders>
                    <w:tl2br w:val="nil"/>
                    <w:tr2bl w:val="nil"/>
                  </w:tcBorders>
                  <w:shd w:val="clear" w:color="auto" w:fill="auto"/>
                  <w:noWrap/>
                  <w:vAlign w:val="center"/>
                </w:tcPr>
                <w:p w14:paraId="7D4CBFC6">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45.00</w:t>
                  </w:r>
                </w:p>
              </w:tc>
              <w:tc>
                <w:tcPr>
                  <w:tcW w:w="735" w:type="dxa"/>
                  <w:tcBorders>
                    <w:tl2br w:val="nil"/>
                    <w:tr2bl w:val="nil"/>
                  </w:tcBorders>
                  <w:shd w:val="clear" w:color="auto" w:fill="auto"/>
                  <w:noWrap/>
                  <w:vAlign w:val="center"/>
                </w:tcPr>
                <w:p w14:paraId="099D3F1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25.00</w:t>
                  </w:r>
                </w:p>
              </w:tc>
              <w:tc>
                <w:tcPr>
                  <w:tcW w:w="727" w:type="dxa"/>
                  <w:tcBorders>
                    <w:tl2br w:val="nil"/>
                    <w:tr2bl w:val="nil"/>
                  </w:tcBorders>
                  <w:shd w:val="clear" w:color="auto" w:fill="auto"/>
                  <w:noWrap/>
                  <w:vAlign w:val="center"/>
                </w:tcPr>
                <w:p w14:paraId="5E8B97D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西</w:t>
                  </w:r>
                </w:p>
              </w:tc>
              <w:tc>
                <w:tcPr>
                  <w:tcW w:w="729" w:type="dxa"/>
                  <w:tcBorders>
                    <w:tl2br w:val="nil"/>
                    <w:tr2bl w:val="nil"/>
                  </w:tcBorders>
                  <w:shd w:val="clear" w:color="auto" w:fill="auto"/>
                  <w:noWrap/>
                  <w:vAlign w:val="center"/>
                </w:tcPr>
                <w:p w14:paraId="47BE27CA">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34.64</w:t>
                  </w:r>
                </w:p>
              </w:tc>
              <w:tc>
                <w:tcPr>
                  <w:tcW w:w="729" w:type="dxa"/>
                  <w:tcBorders>
                    <w:tl2br w:val="nil"/>
                    <w:tr2bl w:val="nil"/>
                  </w:tcBorders>
                  <w:shd w:val="clear" w:color="auto" w:fill="auto"/>
                  <w:noWrap/>
                  <w:vAlign w:val="center"/>
                </w:tcPr>
                <w:p w14:paraId="6A1BBA96">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91.00</w:t>
                  </w:r>
                </w:p>
              </w:tc>
              <w:tc>
                <w:tcPr>
                  <w:tcW w:w="729" w:type="dxa"/>
                  <w:tcBorders>
                    <w:tl2br w:val="nil"/>
                    <w:tr2bl w:val="nil"/>
                  </w:tcBorders>
                  <w:shd w:val="clear" w:color="auto" w:fill="auto"/>
                  <w:noWrap/>
                  <w:vAlign w:val="center"/>
                </w:tcPr>
                <w:p w14:paraId="27E64B12">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37.00</w:t>
                  </w:r>
                </w:p>
              </w:tc>
              <w:tc>
                <w:tcPr>
                  <w:tcW w:w="734" w:type="dxa"/>
                  <w:tcBorders>
                    <w:tl2br w:val="nil"/>
                    <w:tr2bl w:val="nil"/>
                  </w:tcBorders>
                  <w:shd w:val="clear" w:color="auto" w:fill="auto"/>
                  <w:noWrap/>
                  <w:vAlign w:val="center"/>
                </w:tcPr>
                <w:p w14:paraId="2ED9BBB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25.00</w:t>
                  </w:r>
                </w:p>
              </w:tc>
            </w:tr>
            <w:tr w14:paraId="34B28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29" w:type="dxa"/>
                  <w:tcBorders>
                    <w:tl2br w:val="nil"/>
                    <w:tr2bl w:val="nil"/>
                  </w:tcBorders>
                  <w:shd w:val="clear" w:color="auto" w:fill="auto"/>
                  <w:noWrap/>
                  <w:vAlign w:val="center"/>
                </w:tcPr>
                <w:p w14:paraId="5AA53CD6">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北</w:t>
                  </w:r>
                </w:p>
              </w:tc>
              <w:tc>
                <w:tcPr>
                  <w:tcW w:w="729" w:type="dxa"/>
                  <w:tcBorders>
                    <w:tl2br w:val="nil"/>
                    <w:tr2bl w:val="nil"/>
                  </w:tcBorders>
                  <w:shd w:val="clear" w:color="auto" w:fill="auto"/>
                  <w:noWrap/>
                  <w:vAlign w:val="center"/>
                </w:tcPr>
                <w:p w14:paraId="1394D16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37.89</w:t>
                  </w:r>
                </w:p>
              </w:tc>
              <w:tc>
                <w:tcPr>
                  <w:tcW w:w="729" w:type="dxa"/>
                  <w:tcBorders>
                    <w:tl2br w:val="nil"/>
                    <w:tr2bl w:val="nil"/>
                  </w:tcBorders>
                  <w:shd w:val="clear" w:color="auto" w:fill="auto"/>
                  <w:noWrap/>
                  <w:vAlign w:val="center"/>
                </w:tcPr>
                <w:p w14:paraId="7D6024E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88.00</w:t>
                  </w:r>
                </w:p>
              </w:tc>
              <w:tc>
                <w:tcPr>
                  <w:tcW w:w="729" w:type="dxa"/>
                  <w:tcBorders>
                    <w:tl2br w:val="nil"/>
                    <w:tr2bl w:val="nil"/>
                  </w:tcBorders>
                  <w:shd w:val="clear" w:color="auto" w:fill="auto"/>
                  <w:noWrap/>
                  <w:vAlign w:val="center"/>
                </w:tcPr>
                <w:p w14:paraId="165E4ED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18.00</w:t>
                  </w:r>
                </w:p>
              </w:tc>
              <w:tc>
                <w:tcPr>
                  <w:tcW w:w="735" w:type="dxa"/>
                  <w:tcBorders>
                    <w:tl2br w:val="nil"/>
                    <w:tr2bl w:val="nil"/>
                  </w:tcBorders>
                  <w:shd w:val="clear" w:color="auto" w:fill="auto"/>
                  <w:noWrap/>
                  <w:vAlign w:val="center"/>
                </w:tcPr>
                <w:p w14:paraId="7729A599">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25.00</w:t>
                  </w:r>
                </w:p>
              </w:tc>
              <w:tc>
                <w:tcPr>
                  <w:tcW w:w="727" w:type="dxa"/>
                  <w:tcBorders>
                    <w:tl2br w:val="nil"/>
                    <w:tr2bl w:val="nil"/>
                  </w:tcBorders>
                  <w:shd w:val="clear" w:color="auto" w:fill="auto"/>
                  <w:noWrap/>
                  <w:vAlign w:val="center"/>
                </w:tcPr>
                <w:p w14:paraId="20E33DF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北</w:t>
                  </w:r>
                </w:p>
              </w:tc>
              <w:tc>
                <w:tcPr>
                  <w:tcW w:w="729" w:type="dxa"/>
                  <w:tcBorders>
                    <w:tl2br w:val="nil"/>
                    <w:tr2bl w:val="nil"/>
                  </w:tcBorders>
                  <w:shd w:val="clear" w:color="auto" w:fill="auto"/>
                  <w:noWrap/>
                  <w:vAlign w:val="center"/>
                </w:tcPr>
                <w:p w14:paraId="71F8833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32.02</w:t>
                  </w:r>
                </w:p>
              </w:tc>
              <w:tc>
                <w:tcPr>
                  <w:tcW w:w="729" w:type="dxa"/>
                  <w:tcBorders>
                    <w:tl2br w:val="nil"/>
                    <w:tr2bl w:val="nil"/>
                  </w:tcBorders>
                  <w:shd w:val="clear" w:color="auto" w:fill="auto"/>
                  <w:noWrap/>
                  <w:vAlign w:val="center"/>
                </w:tcPr>
                <w:p w14:paraId="1572A88C">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91.00</w:t>
                  </w:r>
                </w:p>
              </w:tc>
              <w:tc>
                <w:tcPr>
                  <w:tcW w:w="729" w:type="dxa"/>
                  <w:tcBorders>
                    <w:tl2br w:val="nil"/>
                    <w:tr2bl w:val="nil"/>
                  </w:tcBorders>
                  <w:shd w:val="clear" w:color="auto" w:fill="auto"/>
                  <w:noWrap/>
                  <w:vAlign w:val="center"/>
                </w:tcPr>
                <w:p w14:paraId="11F68A69">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50.00</w:t>
                  </w:r>
                </w:p>
              </w:tc>
              <w:tc>
                <w:tcPr>
                  <w:tcW w:w="734" w:type="dxa"/>
                  <w:tcBorders>
                    <w:tl2br w:val="nil"/>
                    <w:tr2bl w:val="nil"/>
                  </w:tcBorders>
                  <w:shd w:val="clear" w:color="auto" w:fill="auto"/>
                  <w:noWrap/>
                  <w:vAlign w:val="center"/>
                </w:tcPr>
                <w:p w14:paraId="1195612A">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25.00</w:t>
                  </w:r>
                </w:p>
              </w:tc>
            </w:tr>
            <w:tr w14:paraId="1B63A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3651" w:type="dxa"/>
                  <w:gridSpan w:val="5"/>
                  <w:tcBorders>
                    <w:tl2br w:val="nil"/>
                    <w:tr2bl w:val="nil"/>
                  </w:tcBorders>
                  <w:shd w:val="clear" w:color="auto" w:fill="auto"/>
                  <w:noWrap/>
                  <w:vAlign w:val="center"/>
                </w:tcPr>
                <w:p w14:paraId="65030512">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磁选机</w:t>
                  </w:r>
                </w:p>
              </w:tc>
              <w:tc>
                <w:tcPr>
                  <w:tcW w:w="3648" w:type="dxa"/>
                  <w:gridSpan w:val="5"/>
                  <w:tcBorders>
                    <w:tl2br w:val="nil"/>
                    <w:tr2bl w:val="nil"/>
                  </w:tcBorders>
                  <w:shd w:val="clear" w:color="auto" w:fill="auto"/>
                  <w:noWrap/>
                  <w:vAlign w:val="center"/>
                </w:tcPr>
                <w:p w14:paraId="534C373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风机</w:t>
                  </w:r>
                </w:p>
              </w:tc>
            </w:tr>
            <w:tr w14:paraId="375BF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29" w:type="dxa"/>
                  <w:tcBorders>
                    <w:tl2br w:val="nil"/>
                    <w:tr2bl w:val="nil"/>
                  </w:tcBorders>
                  <w:shd w:val="clear" w:color="auto" w:fill="auto"/>
                  <w:noWrap/>
                  <w:vAlign w:val="center"/>
                </w:tcPr>
                <w:p w14:paraId="56B1BCD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方位</w:t>
                  </w:r>
                </w:p>
              </w:tc>
              <w:tc>
                <w:tcPr>
                  <w:tcW w:w="729" w:type="dxa"/>
                  <w:tcBorders>
                    <w:tl2br w:val="nil"/>
                    <w:tr2bl w:val="nil"/>
                  </w:tcBorders>
                  <w:shd w:val="clear" w:color="auto" w:fill="auto"/>
                  <w:noWrap/>
                  <w:vAlign w:val="center"/>
                </w:tcPr>
                <w:p w14:paraId="068A3AE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Lr</w:t>
                  </w:r>
                </w:p>
              </w:tc>
              <w:tc>
                <w:tcPr>
                  <w:tcW w:w="729" w:type="dxa"/>
                  <w:tcBorders>
                    <w:tl2br w:val="nil"/>
                    <w:tr2bl w:val="nil"/>
                  </w:tcBorders>
                  <w:shd w:val="clear" w:color="auto" w:fill="auto"/>
                  <w:noWrap/>
                  <w:vAlign w:val="center"/>
                </w:tcPr>
                <w:p w14:paraId="7CB64B7C">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L0</w:t>
                  </w:r>
                </w:p>
              </w:tc>
              <w:tc>
                <w:tcPr>
                  <w:tcW w:w="729" w:type="dxa"/>
                  <w:tcBorders>
                    <w:tl2br w:val="nil"/>
                    <w:tr2bl w:val="nil"/>
                  </w:tcBorders>
                  <w:shd w:val="clear" w:color="auto" w:fill="auto"/>
                  <w:noWrap/>
                  <w:vAlign w:val="center"/>
                </w:tcPr>
                <w:p w14:paraId="7E7543B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r</w:t>
                  </w:r>
                </w:p>
              </w:tc>
              <w:tc>
                <w:tcPr>
                  <w:tcW w:w="735" w:type="dxa"/>
                  <w:tcBorders>
                    <w:tl2br w:val="nil"/>
                    <w:tr2bl w:val="nil"/>
                  </w:tcBorders>
                  <w:shd w:val="clear" w:color="auto" w:fill="auto"/>
                  <w:noWrap/>
                  <w:vAlign w:val="center"/>
                </w:tcPr>
                <w:p w14:paraId="3AC217F2">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ΔL</w:t>
                  </w:r>
                </w:p>
              </w:tc>
              <w:tc>
                <w:tcPr>
                  <w:tcW w:w="727" w:type="dxa"/>
                  <w:tcBorders>
                    <w:tl2br w:val="nil"/>
                    <w:tr2bl w:val="nil"/>
                  </w:tcBorders>
                  <w:shd w:val="clear" w:color="auto" w:fill="auto"/>
                  <w:noWrap/>
                  <w:vAlign w:val="center"/>
                </w:tcPr>
                <w:p w14:paraId="573023E9">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方位</w:t>
                  </w:r>
                </w:p>
              </w:tc>
              <w:tc>
                <w:tcPr>
                  <w:tcW w:w="729" w:type="dxa"/>
                  <w:tcBorders>
                    <w:tl2br w:val="nil"/>
                    <w:tr2bl w:val="nil"/>
                  </w:tcBorders>
                  <w:shd w:val="clear" w:color="auto" w:fill="auto"/>
                  <w:noWrap/>
                  <w:vAlign w:val="center"/>
                </w:tcPr>
                <w:p w14:paraId="62652856">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Lr</w:t>
                  </w:r>
                </w:p>
              </w:tc>
              <w:tc>
                <w:tcPr>
                  <w:tcW w:w="729" w:type="dxa"/>
                  <w:tcBorders>
                    <w:tl2br w:val="nil"/>
                    <w:tr2bl w:val="nil"/>
                  </w:tcBorders>
                  <w:shd w:val="clear" w:color="auto" w:fill="auto"/>
                  <w:noWrap/>
                  <w:vAlign w:val="center"/>
                </w:tcPr>
                <w:p w14:paraId="67A2B0B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L0</w:t>
                  </w:r>
                </w:p>
              </w:tc>
              <w:tc>
                <w:tcPr>
                  <w:tcW w:w="729" w:type="dxa"/>
                  <w:tcBorders>
                    <w:tl2br w:val="nil"/>
                    <w:tr2bl w:val="nil"/>
                  </w:tcBorders>
                  <w:shd w:val="clear" w:color="auto" w:fill="auto"/>
                  <w:noWrap/>
                  <w:vAlign w:val="center"/>
                </w:tcPr>
                <w:p w14:paraId="2F2061A0">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r</w:t>
                  </w:r>
                </w:p>
              </w:tc>
              <w:tc>
                <w:tcPr>
                  <w:tcW w:w="734" w:type="dxa"/>
                  <w:tcBorders>
                    <w:tl2br w:val="nil"/>
                    <w:tr2bl w:val="nil"/>
                  </w:tcBorders>
                  <w:shd w:val="clear" w:color="auto" w:fill="auto"/>
                  <w:noWrap/>
                  <w:vAlign w:val="center"/>
                </w:tcPr>
                <w:p w14:paraId="61E6B81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ΔL</w:t>
                  </w:r>
                </w:p>
              </w:tc>
            </w:tr>
            <w:tr w14:paraId="2779A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29" w:type="dxa"/>
                  <w:tcBorders>
                    <w:tl2br w:val="nil"/>
                    <w:tr2bl w:val="nil"/>
                  </w:tcBorders>
                  <w:shd w:val="clear" w:color="auto" w:fill="auto"/>
                  <w:noWrap/>
                  <w:vAlign w:val="center"/>
                </w:tcPr>
                <w:p w14:paraId="291C303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东</w:t>
                  </w:r>
                </w:p>
              </w:tc>
              <w:tc>
                <w:tcPr>
                  <w:tcW w:w="729" w:type="dxa"/>
                  <w:tcBorders>
                    <w:tl2br w:val="nil"/>
                    <w:tr2bl w:val="nil"/>
                  </w:tcBorders>
                  <w:shd w:val="clear" w:color="auto" w:fill="auto"/>
                  <w:noWrap/>
                  <w:vAlign w:val="center"/>
                </w:tcPr>
                <w:p w14:paraId="783C9E7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31.94</w:t>
                  </w:r>
                </w:p>
              </w:tc>
              <w:tc>
                <w:tcPr>
                  <w:tcW w:w="729" w:type="dxa"/>
                  <w:tcBorders>
                    <w:tl2br w:val="nil"/>
                    <w:tr2bl w:val="nil"/>
                  </w:tcBorders>
                  <w:shd w:val="clear" w:color="auto" w:fill="auto"/>
                  <w:noWrap/>
                  <w:vAlign w:val="center"/>
                </w:tcPr>
                <w:p w14:paraId="4AACDD4C">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85.00</w:t>
                  </w:r>
                </w:p>
              </w:tc>
              <w:tc>
                <w:tcPr>
                  <w:tcW w:w="729" w:type="dxa"/>
                  <w:tcBorders>
                    <w:tl2br w:val="nil"/>
                    <w:tr2bl w:val="nil"/>
                  </w:tcBorders>
                  <w:shd w:val="clear" w:color="auto" w:fill="auto"/>
                  <w:noWrap/>
                  <w:vAlign w:val="center"/>
                </w:tcPr>
                <w:p w14:paraId="2EB88910">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45.00</w:t>
                  </w:r>
                </w:p>
              </w:tc>
              <w:tc>
                <w:tcPr>
                  <w:tcW w:w="735" w:type="dxa"/>
                  <w:tcBorders>
                    <w:tl2br w:val="nil"/>
                    <w:tr2bl w:val="nil"/>
                  </w:tcBorders>
                  <w:shd w:val="clear" w:color="auto" w:fill="auto"/>
                  <w:noWrap/>
                  <w:vAlign w:val="center"/>
                </w:tcPr>
                <w:p w14:paraId="3909CCC9">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20.00</w:t>
                  </w:r>
                </w:p>
              </w:tc>
              <w:tc>
                <w:tcPr>
                  <w:tcW w:w="727" w:type="dxa"/>
                  <w:tcBorders>
                    <w:tl2br w:val="nil"/>
                    <w:tr2bl w:val="nil"/>
                  </w:tcBorders>
                  <w:shd w:val="clear" w:color="auto" w:fill="auto"/>
                  <w:noWrap/>
                  <w:vAlign w:val="center"/>
                </w:tcPr>
                <w:p w14:paraId="62A805F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东</w:t>
                  </w:r>
                </w:p>
              </w:tc>
              <w:tc>
                <w:tcPr>
                  <w:tcW w:w="729" w:type="dxa"/>
                  <w:tcBorders>
                    <w:tl2br w:val="nil"/>
                    <w:tr2bl w:val="nil"/>
                  </w:tcBorders>
                  <w:shd w:val="clear" w:color="auto" w:fill="auto"/>
                  <w:noWrap/>
                  <w:vAlign w:val="center"/>
                </w:tcPr>
                <w:p w14:paraId="425E0AD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43.72</w:t>
                  </w:r>
                </w:p>
              </w:tc>
              <w:tc>
                <w:tcPr>
                  <w:tcW w:w="729" w:type="dxa"/>
                  <w:tcBorders>
                    <w:tl2br w:val="nil"/>
                    <w:tr2bl w:val="nil"/>
                  </w:tcBorders>
                  <w:shd w:val="clear" w:color="auto" w:fill="auto"/>
                  <w:noWrap/>
                  <w:vAlign w:val="center"/>
                </w:tcPr>
                <w:p w14:paraId="70338A7D">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91.00</w:t>
                  </w:r>
                </w:p>
              </w:tc>
              <w:tc>
                <w:tcPr>
                  <w:tcW w:w="729" w:type="dxa"/>
                  <w:tcBorders>
                    <w:tl2br w:val="nil"/>
                    <w:tr2bl w:val="nil"/>
                  </w:tcBorders>
                  <w:shd w:val="clear" w:color="auto" w:fill="auto"/>
                  <w:noWrap/>
                  <w:vAlign w:val="center"/>
                </w:tcPr>
                <w:p w14:paraId="0ABF103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13.00</w:t>
                  </w:r>
                </w:p>
              </w:tc>
              <w:tc>
                <w:tcPr>
                  <w:tcW w:w="734" w:type="dxa"/>
                  <w:tcBorders>
                    <w:tl2br w:val="nil"/>
                    <w:tr2bl w:val="nil"/>
                  </w:tcBorders>
                  <w:shd w:val="clear" w:color="auto" w:fill="auto"/>
                  <w:noWrap/>
                  <w:vAlign w:val="center"/>
                </w:tcPr>
                <w:p w14:paraId="070AD29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25.00</w:t>
                  </w:r>
                </w:p>
              </w:tc>
            </w:tr>
            <w:tr w14:paraId="44044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29" w:type="dxa"/>
                  <w:tcBorders>
                    <w:tl2br w:val="nil"/>
                    <w:tr2bl w:val="nil"/>
                  </w:tcBorders>
                  <w:shd w:val="clear" w:color="auto" w:fill="auto"/>
                  <w:noWrap/>
                  <w:vAlign w:val="center"/>
                </w:tcPr>
                <w:p w14:paraId="446F4D8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南</w:t>
                  </w:r>
                </w:p>
              </w:tc>
              <w:tc>
                <w:tcPr>
                  <w:tcW w:w="729" w:type="dxa"/>
                  <w:tcBorders>
                    <w:tl2br w:val="nil"/>
                    <w:tr2bl w:val="nil"/>
                  </w:tcBorders>
                  <w:shd w:val="clear" w:color="auto" w:fill="auto"/>
                  <w:noWrap/>
                  <w:vAlign w:val="center"/>
                </w:tcPr>
                <w:p w14:paraId="3FA14240">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42.08</w:t>
                  </w:r>
                </w:p>
              </w:tc>
              <w:tc>
                <w:tcPr>
                  <w:tcW w:w="729" w:type="dxa"/>
                  <w:tcBorders>
                    <w:tl2br w:val="nil"/>
                    <w:tr2bl w:val="nil"/>
                  </w:tcBorders>
                  <w:shd w:val="clear" w:color="auto" w:fill="auto"/>
                  <w:noWrap/>
                  <w:vAlign w:val="center"/>
                </w:tcPr>
                <w:p w14:paraId="51CD5AE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85.00</w:t>
                  </w:r>
                </w:p>
              </w:tc>
              <w:tc>
                <w:tcPr>
                  <w:tcW w:w="729" w:type="dxa"/>
                  <w:tcBorders>
                    <w:tl2br w:val="nil"/>
                    <w:tr2bl w:val="nil"/>
                  </w:tcBorders>
                  <w:shd w:val="clear" w:color="auto" w:fill="auto"/>
                  <w:noWrap/>
                  <w:vAlign w:val="center"/>
                </w:tcPr>
                <w:p w14:paraId="51D628AB">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14.00</w:t>
                  </w:r>
                </w:p>
              </w:tc>
              <w:tc>
                <w:tcPr>
                  <w:tcW w:w="735" w:type="dxa"/>
                  <w:tcBorders>
                    <w:tl2br w:val="nil"/>
                    <w:tr2bl w:val="nil"/>
                  </w:tcBorders>
                  <w:shd w:val="clear" w:color="auto" w:fill="auto"/>
                  <w:noWrap/>
                  <w:vAlign w:val="center"/>
                </w:tcPr>
                <w:p w14:paraId="77BFA1B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20.00</w:t>
                  </w:r>
                </w:p>
              </w:tc>
              <w:tc>
                <w:tcPr>
                  <w:tcW w:w="727" w:type="dxa"/>
                  <w:tcBorders>
                    <w:tl2br w:val="nil"/>
                    <w:tr2bl w:val="nil"/>
                  </w:tcBorders>
                  <w:shd w:val="clear" w:color="auto" w:fill="auto"/>
                  <w:noWrap/>
                  <w:vAlign w:val="center"/>
                </w:tcPr>
                <w:p w14:paraId="58428AE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南</w:t>
                  </w:r>
                </w:p>
              </w:tc>
              <w:tc>
                <w:tcPr>
                  <w:tcW w:w="729" w:type="dxa"/>
                  <w:tcBorders>
                    <w:tl2br w:val="nil"/>
                    <w:tr2bl w:val="nil"/>
                  </w:tcBorders>
                  <w:shd w:val="clear" w:color="auto" w:fill="auto"/>
                  <w:noWrap/>
                  <w:vAlign w:val="center"/>
                </w:tcPr>
                <w:p w14:paraId="5634770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31.85</w:t>
                  </w:r>
                </w:p>
              </w:tc>
              <w:tc>
                <w:tcPr>
                  <w:tcW w:w="729" w:type="dxa"/>
                  <w:tcBorders>
                    <w:tl2br w:val="nil"/>
                    <w:tr2bl w:val="nil"/>
                  </w:tcBorders>
                  <w:shd w:val="clear" w:color="auto" w:fill="auto"/>
                  <w:noWrap/>
                  <w:vAlign w:val="center"/>
                </w:tcPr>
                <w:p w14:paraId="74614F0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91.00</w:t>
                  </w:r>
                </w:p>
              </w:tc>
              <w:tc>
                <w:tcPr>
                  <w:tcW w:w="729" w:type="dxa"/>
                  <w:tcBorders>
                    <w:tl2br w:val="nil"/>
                    <w:tr2bl w:val="nil"/>
                  </w:tcBorders>
                  <w:shd w:val="clear" w:color="auto" w:fill="auto"/>
                  <w:noWrap/>
                  <w:vAlign w:val="center"/>
                </w:tcPr>
                <w:p w14:paraId="386A9A1D">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51.00</w:t>
                  </w:r>
                </w:p>
              </w:tc>
              <w:tc>
                <w:tcPr>
                  <w:tcW w:w="734" w:type="dxa"/>
                  <w:tcBorders>
                    <w:tl2br w:val="nil"/>
                    <w:tr2bl w:val="nil"/>
                  </w:tcBorders>
                  <w:shd w:val="clear" w:color="auto" w:fill="auto"/>
                  <w:noWrap/>
                  <w:vAlign w:val="center"/>
                </w:tcPr>
                <w:p w14:paraId="705A1A9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25.00</w:t>
                  </w:r>
                </w:p>
              </w:tc>
            </w:tr>
            <w:tr w14:paraId="3BF72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29" w:type="dxa"/>
                  <w:tcBorders>
                    <w:tl2br w:val="nil"/>
                    <w:tr2bl w:val="nil"/>
                  </w:tcBorders>
                  <w:shd w:val="clear" w:color="auto" w:fill="auto"/>
                  <w:noWrap/>
                  <w:vAlign w:val="center"/>
                </w:tcPr>
                <w:p w14:paraId="493538B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西</w:t>
                  </w:r>
                </w:p>
              </w:tc>
              <w:tc>
                <w:tcPr>
                  <w:tcW w:w="729" w:type="dxa"/>
                  <w:tcBorders>
                    <w:tl2br w:val="nil"/>
                    <w:tr2bl w:val="nil"/>
                  </w:tcBorders>
                  <w:shd w:val="clear" w:color="auto" w:fill="auto"/>
                  <w:noWrap/>
                  <w:vAlign w:val="center"/>
                </w:tcPr>
                <w:p w14:paraId="11E68C7A">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31.02</w:t>
                  </w:r>
                </w:p>
              </w:tc>
              <w:tc>
                <w:tcPr>
                  <w:tcW w:w="729" w:type="dxa"/>
                  <w:tcBorders>
                    <w:tl2br w:val="nil"/>
                    <w:tr2bl w:val="nil"/>
                  </w:tcBorders>
                  <w:shd w:val="clear" w:color="auto" w:fill="auto"/>
                  <w:noWrap/>
                  <w:vAlign w:val="center"/>
                </w:tcPr>
                <w:p w14:paraId="2BA871EA">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85.00</w:t>
                  </w:r>
                </w:p>
              </w:tc>
              <w:tc>
                <w:tcPr>
                  <w:tcW w:w="729" w:type="dxa"/>
                  <w:tcBorders>
                    <w:tl2br w:val="nil"/>
                    <w:tr2bl w:val="nil"/>
                  </w:tcBorders>
                  <w:shd w:val="clear" w:color="auto" w:fill="auto"/>
                  <w:noWrap/>
                  <w:vAlign w:val="center"/>
                </w:tcPr>
                <w:p w14:paraId="2A997B3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50.00</w:t>
                  </w:r>
                </w:p>
              </w:tc>
              <w:tc>
                <w:tcPr>
                  <w:tcW w:w="735" w:type="dxa"/>
                  <w:tcBorders>
                    <w:tl2br w:val="nil"/>
                    <w:tr2bl w:val="nil"/>
                  </w:tcBorders>
                  <w:shd w:val="clear" w:color="auto" w:fill="auto"/>
                  <w:noWrap/>
                  <w:vAlign w:val="center"/>
                </w:tcPr>
                <w:p w14:paraId="32468150">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20.00</w:t>
                  </w:r>
                </w:p>
              </w:tc>
              <w:tc>
                <w:tcPr>
                  <w:tcW w:w="727" w:type="dxa"/>
                  <w:tcBorders>
                    <w:tl2br w:val="nil"/>
                    <w:tr2bl w:val="nil"/>
                  </w:tcBorders>
                  <w:shd w:val="clear" w:color="auto" w:fill="auto"/>
                  <w:noWrap/>
                  <w:vAlign w:val="center"/>
                </w:tcPr>
                <w:p w14:paraId="7056A82D">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西</w:t>
                  </w:r>
                </w:p>
              </w:tc>
              <w:tc>
                <w:tcPr>
                  <w:tcW w:w="729" w:type="dxa"/>
                  <w:tcBorders>
                    <w:tl2br w:val="nil"/>
                    <w:tr2bl w:val="nil"/>
                  </w:tcBorders>
                  <w:shd w:val="clear" w:color="auto" w:fill="auto"/>
                  <w:noWrap/>
                  <w:vAlign w:val="center"/>
                </w:tcPr>
                <w:p w14:paraId="7B64DF4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32.56</w:t>
                  </w:r>
                </w:p>
              </w:tc>
              <w:tc>
                <w:tcPr>
                  <w:tcW w:w="729" w:type="dxa"/>
                  <w:tcBorders>
                    <w:tl2br w:val="nil"/>
                    <w:tr2bl w:val="nil"/>
                  </w:tcBorders>
                  <w:shd w:val="clear" w:color="auto" w:fill="auto"/>
                  <w:noWrap/>
                  <w:vAlign w:val="center"/>
                </w:tcPr>
                <w:p w14:paraId="1F4CE9E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91.00</w:t>
                  </w:r>
                </w:p>
              </w:tc>
              <w:tc>
                <w:tcPr>
                  <w:tcW w:w="729" w:type="dxa"/>
                  <w:tcBorders>
                    <w:tl2br w:val="nil"/>
                    <w:tr2bl w:val="nil"/>
                  </w:tcBorders>
                  <w:shd w:val="clear" w:color="auto" w:fill="auto"/>
                  <w:noWrap/>
                  <w:vAlign w:val="center"/>
                </w:tcPr>
                <w:p w14:paraId="7606D91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47.00</w:t>
                  </w:r>
                </w:p>
              </w:tc>
              <w:tc>
                <w:tcPr>
                  <w:tcW w:w="734" w:type="dxa"/>
                  <w:tcBorders>
                    <w:tl2br w:val="nil"/>
                    <w:tr2bl w:val="nil"/>
                  </w:tcBorders>
                  <w:shd w:val="clear" w:color="auto" w:fill="auto"/>
                  <w:noWrap/>
                  <w:vAlign w:val="center"/>
                </w:tcPr>
                <w:p w14:paraId="0AAC669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25.00</w:t>
                  </w:r>
                </w:p>
              </w:tc>
            </w:tr>
            <w:tr w14:paraId="25D5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29" w:type="dxa"/>
                  <w:tcBorders>
                    <w:tl2br w:val="nil"/>
                    <w:tr2bl w:val="nil"/>
                  </w:tcBorders>
                  <w:shd w:val="clear" w:color="auto" w:fill="auto"/>
                  <w:noWrap/>
                  <w:vAlign w:val="center"/>
                </w:tcPr>
                <w:p w14:paraId="2FC2AF6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北</w:t>
                  </w:r>
                </w:p>
              </w:tc>
              <w:tc>
                <w:tcPr>
                  <w:tcW w:w="729" w:type="dxa"/>
                  <w:tcBorders>
                    <w:tl2br w:val="nil"/>
                    <w:tr2bl w:val="nil"/>
                  </w:tcBorders>
                  <w:shd w:val="clear" w:color="auto" w:fill="auto"/>
                  <w:noWrap/>
                  <w:vAlign w:val="center"/>
                </w:tcPr>
                <w:p w14:paraId="247AE906">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26.94</w:t>
                  </w:r>
                </w:p>
              </w:tc>
              <w:tc>
                <w:tcPr>
                  <w:tcW w:w="729" w:type="dxa"/>
                  <w:tcBorders>
                    <w:tl2br w:val="nil"/>
                    <w:tr2bl w:val="nil"/>
                  </w:tcBorders>
                  <w:shd w:val="clear" w:color="auto" w:fill="auto"/>
                  <w:noWrap/>
                  <w:vAlign w:val="center"/>
                </w:tcPr>
                <w:p w14:paraId="16483163">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85.00</w:t>
                  </w:r>
                </w:p>
              </w:tc>
              <w:tc>
                <w:tcPr>
                  <w:tcW w:w="729" w:type="dxa"/>
                  <w:tcBorders>
                    <w:tl2br w:val="nil"/>
                    <w:tr2bl w:val="nil"/>
                  </w:tcBorders>
                  <w:shd w:val="clear" w:color="auto" w:fill="auto"/>
                  <w:noWrap/>
                  <w:vAlign w:val="center"/>
                </w:tcPr>
                <w:p w14:paraId="11C6597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80.00</w:t>
                  </w:r>
                </w:p>
              </w:tc>
              <w:tc>
                <w:tcPr>
                  <w:tcW w:w="735" w:type="dxa"/>
                  <w:tcBorders>
                    <w:tl2br w:val="nil"/>
                    <w:tr2bl w:val="nil"/>
                  </w:tcBorders>
                  <w:shd w:val="clear" w:color="auto" w:fill="auto"/>
                  <w:noWrap/>
                  <w:vAlign w:val="center"/>
                </w:tcPr>
                <w:p w14:paraId="3DE406A0">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20.00</w:t>
                  </w:r>
                </w:p>
              </w:tc>
              <w:tc>
                <w:tcPr>
                  <w:tcW w:w="727" w:type="dxa"/>
                  <w:tcBorders>
                    <w:tl2br w:val="nil"/>
                    <w:tr2bl w:val="nil"/>
                  </w:tcBorders>
                  <w:shd w:val="clear" w:color="auto" w:fill="auto"/>
                  <w:noWrap/>
                  <w:vAlign w:val="center"/>
                </w:tcPr>
                <w:p w14:paraId="3737945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北</w:t>
                  </w:r>
                </w:p>
              </w:tc>
              <w:tc>
                <w:tcPr>
                  <w:tcW w:w="729" w:type="dxa"/>
                  <w:tcBorders>
                    <w:tl2br w:val="nil"/>
                    <w:tr2bl w:val="nil"/>
                  </w:tcBorders>
                  <w:shd w:val="clear" w:color="auto" w:fill="auto"/>
                  <w:noWrap/>
                  <w:vAlign w:val="center"/>
                </w:tcPr>
                <w:p w14:paraId="767F5E1D">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30.44</w:t>
                  </w:r>
                </w:p>
              </w:tc>
              <w:tc>
                <w:tcPr>
                  <w:tcW w:w="729" w:type="dxa"/>
                  <w:tcBorders>
                    <w:tl2br w:val="nil"/>
                    <w:tr2bl w:val="nil"/>
                  </w:tcBorders>
                  <w:shd w:val="clear" w:color="auto" w:fill="auto"/>
                  <w:noWrap/>
                  <w:vAlign w:val="center"/>
                </w:tcPr>
                <w:p w14:paraId="3380AAFC">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91.00</w:t>
                  </w:r>
                </w:p>
              </w:tc>
              <w:tc>
                <w:tcPr>
                  <w:tcW w:w="729" w:type="dxa"/>
                  <w:tcBorders>
                    <w:tl2br w:val="nil"/>
                    <w:tr2bl w:val="nil"/>
                  </w:tcBorders>
                  <w:shd w:val="clear" w:color="auto" w:fill="auto"/>
                  <w:noWrap/>
                  <w:vAlign w:val="center"/>
                </w:tcPr>
                <w:p w14:paraId="68CEFAC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60.00</w:t>
                  </w:r>
                </w:p>
              </w:tc>
              <w:tc>
                <w:tcPr>
                  <w:tcW w:w="734" w:type="dxa"/>
                  <w:tcBorders>
                    <w:tl2br w:val="nil"/>
                    <w:tr2bl w:val="nil"/>
                  </w:tcBorders>
                  <w:shd w:val="clear" w:color="auto" w:fill="auto"/>
                  <w:noWrap/>
                  <w:vAlign w:val="center"/>
                </w:tcPr>
                <w:p w14:paraId="3254B7A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25.00</w:t>
                  </w:r>
                </w:p>
              </w:tc>
            </w:tr>
            <w:tr w14:paraId="177DC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3651" w:type="dxa"/>
                  <w:gridSpan w:val="5"/>
                  <w:tcBorders>
                    <w:tl2br w:val="nil"/>
                    <w:tr2bl w:val="nil"/>
                  </w:tcBorders>
                  <w:shd w:val="clear" w:color="auto" w:fill="auto"/>
                  <w:noWrap/>
                  <w:vAlign w:val="center"/>
                </w:tcPr>
                <w:p w14:paraId="5BBD2C89">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冷却塔</w:t>
                  </w:r>
                </w:p>
              </w:tc>
              <w:tc>
                <w:tcPr>
                  <w:tcW w:w="3648" w:type="dxa"/>
                  <w:gridSpan w:val="5"/>
                  <w:tcBorders>
                    <w:tl2br w:val="nil"/>
                    <w:tr2bl w:val="nil"/>
                  </w:tcBorders>
                  <w:shd w:val="clear" w:color="auto" w:fill="auto"/>
                  <w:noWrap/>
                  <w:vAlign w:val="center"/>
                </w:tcPr>
                <w:p w14:paraId="20B264D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r>
            <w:tr w14:paraId="5D4B5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29" w:type="dxa"/>
                  <w:tcBorders>
                    <w:tl2br w:val="nil"/>
                    <w:tr2bl w:val="nil"/>
                  </w:tcBorders>
                  <w:shd w:val="clear" w:color="auto" w:fill="auto"/>
                  <w:noWrap/>
                  <w:vAlign w:val="center"/>
                </w:tcPr>
                <w:p w14:paraId="7742557D">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方位</w:t>
                  </w:r>
                </w:p>
              </w:tc>
              <w:tc>
                <w:tcPr>
                  <w:tcW w:w="729" w:type="dxa"/>
                  <w:tcBorders>
                    <w:tl2br w:val="nil"/>
                    <w:tr2bl w:val="nil"/>
                  </w:tcBorders>
                  <w:shd w:val="clear" w:color="auto" w:fill="auto"/>
                  <w:noWrap/>
                  <w:vAlign w:val="center"/>
                </w:tcPr>
                <w:p w14:paraId="035552F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Lr</w:t>
                  </w:r>
                </w:p>
              </w:tc>
              <w:tc>
                <w:tcPr>
                  <w:tcW w:w="729" w:type="dxa"/>
                  <w:tcBorders>
                    <w:tl2br w:val="nil"/>
                    <w:tr2bl w:val="nil"/>
                  </w:tcBorders>
                  <w:shd w:val="clear" w:color="auto" w:fill="auto"/>
                  <w:noWrap/>
                  <w:vAlign w:val="center"/>
                </w:tcPr>
                <w:p w14:paraId="5BAE76B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L0</w:t>
                  </w:r>
                </w:p>
              </w:tc>
              <w:tc>
                <w:tcPr>
                  <w:tcW w:w="729" w:type="dxa"/>
                  <w:tcBorders>
                    <w:tl2br w:val="nil"/>
                    <w:tr2bl w:val="nil"/>
                  </w:tcBorders>
                  <w:shd w:val="clear" w:color="auto" w:fill="auto"/>
                  <w:noWrap/>
                  <w:vAlign w:val="center"/>
                </w:tcPr>
                <w:p w14:paraId="1451B4C9">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r</w:t>
                  </w:r>
                </w:p>
              </w:tc>
              <w:tc>
                <w:tcPr>
                  <w:tcW w:w="735" w:type="dxa"/>
                  <w:tcBorders>
                    <w:tl2br w:val="nil"/>
                    <w:tr2bl w:val="nil"/>
                  </w:tcBorders>
                  <w:shd w:val="clear" w:color="auto" w:fill="auto"/>
                  <w:noWrap/>
                  <w:vAlign w:val="center"/>
                </w:tcPr>
                <w:p w14:paraId="2A9FF5B3">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ΔL</w:t>
                  </w:r>
                </w:p>
              </w:tc>
              <w:tc>
                <w:tcPr>
                  <w:tcW w:w="727" w:type="dxa"/>
                  <w:tcBorders>
                    <w:tl2br w:val="nil"/>
                    <w:tr2bl w:val="nil"/>
                  </w:tcBorders>
                  <w:shd w:val="clear" w:color="auto" w:fill="auto"/>
                  <w:noWrap/>
                  <w:vAlign w:val="center"/>
                </w:tcPr>
                <w:p w14:paraId="3D2248E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c>
                <w:tcPr>
                  <w:tcW w:w="729" w:type="dxa"/>
                  <w:tcBorders>
                    <w:tl2br w:val="nil"/>
                    <w:tr2bl w:val="nil"/>
                  </w:tcBorders>
                  <w:shd w:val="clear" w:color="auto" w:fill="auto"/>
                  <w:noWrap/>
                  <w:vAlign w:val="center"/>
                </w:tcPr>
                <w:p w14:paraId="796FCB56">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c>
                <w:tcPr>
                  <w:tcW w:w="729" w:type="dxa"/>
                  <w:tcBorders>
                    <w:tl2br w:val="nil"/>
                    <w:tr2bl w:val="nil"/>
                  </w:tcBorders>
                  <w:shd w:val="clear" w:color="auto" w:fill="auto"/>
                  <w:noWrap/>
                  <w:vAlign w:val="center"/>
                </w:tcPr>
                <w:p w14:paraId="65A2856D">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c>
                <w:tcPr>
                  <w:tcW w:w="729" w:type="dxa"/>
                  <w:tcBorders>
                    <w:tl2br w:val="nil"/>
                    <w:tr2bl w:val="nil"/>
                  </w:tcBorders>
                  <w:shd w:val="clear" w:color="auto" w:fill="auto"/>
                  <w:noWrap/>
                  <w:vAlign w:val="center"/>
                </w:tcPr>
                <w:p w14:paraId="2E8079BD">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c>
                <w:tcPr>
                  <w:tcW w:w="734" w:type="dxa"/>
                  <w:tcBorders>
                    <w:tl2br w:val="nil"/>
                    <w:tr2bl w:val="nil"/>
                  </w:tcBorders>
                  <w:shd w:val="clear" w:color="auto" w:fill="auto"/>
                  <w:noWrap/>
                  <w:vAlign w:val="center"/>
                </w:tcPr>
                <w:p w14:paraId="234D88F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r>
            <w:tr w14:paraId="6A48F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29" w:type="dxa"/>
                  <w:tcBorders>
                    <w:tl2br w:val="nil"/>
                    <w:tr2bl w:val="nil"/>
                  </w:tcBorders>
                  <w:shd w:val="clear" w:color="auto" w:fill="auto"/>
                  <w:noWrap/>
                  <w:vAlign w:val="center"/>
                </w:tcPr>
                <w:p w14:paraId="6B92846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东</w:t>
                  </w:r>
                </w:p>
              </w:tc>
              <w:tc>
                <w:tcPr>
                  <w:tcW w:w="729" w:type="dxa"/>
                  <w:tcBorders>
                    <w:tl2br w:val="nil"/>
                    <w:tr2bl w:val="nil"/>
                  </w:tcBorders>
                  <w:shd w:val="clear" w:color="auto" w:fill="auto"/>
                  <w:noWrap/>
                  <w:vAlign w:val="center"/>
                </w:tcPr>
                <w:p w14:paraId="5F3B26CB">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39.56</w:t>
                  </w:r>
                </w:p>
              </w:tc>
              <w:tc>
                <w:tcPr>
                  <w:tcW w:w="729" w:type="dxa"/>
                  <w:tcBorders>
                    <w:tl2br w:val="nil"/>
                    <w:tr2bl w:val="nil"/>
                  </w:tcBorders>
                  <w:shd w:val="clear" w:color="auto" w:fill="auto"/>
                  <w:noWrap/>
                  <w:vAlign w:val="center"/>
                </w:tcPr>
                <w:p w14:paraId="1E67955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91.00</w:t>
                  </w:r>
                </w:p>
              </w:tc>
              <w:tc>
                <w:tcPr>
                  <w:tcW w:w="729" w:type="dxa"/>
                  <w:tcBorders>
                    <w:tl2br w:val="nil"/>
                    <w:tr2bl w:val="nil"/>
                  </w:tcBorders>
                  <w:shd w:val="clear" w:color="auto" w:fill="auto"/>
                  <w:noWrap/>
                  <w:vAlign w:val="center"/>
                </w:tcPr>
                <w:p w14:paraId="5AE3825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21.00</w:t>
                  </w:r>
                </w:p>
              </w:tc>
              <w:tc>
                <w:tcPr>
                  <w:tcW w:w="735" w:type="dxa"/>
                  <w:tcBorders>
                    <w:tl2br w:val="nil"/>
                    <w:tr2bl w:val="nil"/>
                  </w:tcBorders>
                  <w:shd w:val="clear" w:color="auto" w:fill="auto"/>
                  <w:noWrap/>
                  <w:vAlign w:val="center"/>
                </w:tcPr>
                <w:p w14:paraId="46F21D89">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25.00</w:t>
                  </w:r>
                </w:p>
              </w:tc>
              <w:tc>
                <w:tcPr>
                  <w:tcW w:w="727" w:type="dxa"/>
                  <w:tcBorders>
                    <w:tl2br w:val="nil"/>
                    <w:tr2bl w:val="nil"/>
                  </w:tcBorders>
                  <w:shd w:val="clear" w:color="auto" w:fill="auto"/>
                  <w:noWrap/>
                  <w:vAlign w:val="center"/>
                </w:tcPr>
                <w:p w14:paraId="7B4B2B8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c>
                <w:tcPr>
                  <w:tcW w:w="729" w:type="dxa"/>
                  <w:tcBorders>
                    <w:tl2br w:val="nil"/>
                    <w:tr2bl w:val="nil"/>
                  </w:tcBorders>
                  <w:shd w:val="clear" w:color="auto" w:fill="auto"/>
                  <w:noWrap/>
                  <w:vAlign w:val="center"/>
                </w:tcPr>
                <w:p w14:paraId="0191255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c>
                <w:tcPr>
                  <w:tcW w:w="729" w:type="dxa"/>
                  <w:tcBorders>
                    <w:tl2br w:val="nil"/>
                    <w:tr2bl w:val="nil"/>
                  </w:tcBorders>
                  <w:shd w:val="clear" w:color="auto" w:fill="auto"/>
                  <w:noWrap/>
                  <w:vAlign w:val="center"/>
                </w:tcPr>
                <w:p w14:paraId="54CA1D53">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c>
                <w:tcPr>
                  <w:tcW w:w="729" w:type="dxa"/>
                  <w:tcBorders>
                    <w:tl2br w:val="nil"/>
                    <w:tr2bl w:val="nil"/>
                  </w:tcBorders>
                  <w:shd w:val="clear" w:color="auto" w:fill="auto"/>
                  <w:noWrap/>
                  <w:vAlign w:val="center"/>
                </w:tcPr>
                <w:p w14:paraId="53269C66">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c>
                <w:tcPr>
                  <w:tcW w:w="734" w:type="dxa"/>
                  <w:tcBorders>
                    <w:tl2br w:val="nil"/>
                    <w:tr2bl w:val="nil"/>
                  </w:tcBorders>
                  <w:shd w:val="clear" w:color="auto" w:fill="auto"/>
                  <w:noWrap/>
                  <w:vAlign w:val="center"/>
                </w:tcPr>
                <w:p w14:paraId="2E1C419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r>
            <w:tr w14:paraId="68B9F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29" w:type="dxa"/>
                  <w:tcBorders>
                    <w:tl2br w:val="nil"/>
                    <w:tr2bl w:val="nil"/>
                  </w:tcBorders>
                  <w:shd w:val="clear" w:color="auto" w:fill="auto"/>
                  <w:noWrap/>
                  <w:vAlign w:val="center"/>
                </w:tcPr>
                <w:p w14:paraId="3D73E31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南</w:t>
                  </w:r>
                </w:p>
              </w:tc>
              <w:tc>
                <w:tcPr>
                  <w:tcW w:w="729" w:type="dxa"/>
                  <w:tcBorders>
                    <w:tl2br w:val="nil"/>
                    <w:tr2bl w:val="nil"/>
                  </w:tcBorders>
                  <w:shd w:val="clear" w:color="auto" w:fill="auto"/>
                  <w:noWrap/>
                  <w:vAlign w:val="center"/>
                </w:tcPr>
                <w:p w14:paraId="4A25D5B9">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35.90</w:t>
                  </w:r>
                </w:p>
              </w:tc>
              <w:tc>
                <w:tcPr>
                  <w:tcW w:w="729" w:type="dxa"/>
                  <w:tcBorders>
                    <w:tl2br w:val="nil"/>
                    <w:tr2bl w:val="nil"/>
                  </w:tcBorders>
                  <w:shd w:val="clear" w:color="auto" w:fill="auto"/>
                  <w:noWrap/>
                  <w:vAlign w:val="center"/>
                </w:tcPr>
                <w:p w14:paraId="702D318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91.00</w:t>
                  </w:r>
                </w:p>
              </w:tc>
              <w:tc>
                <w:tcPr>
                  <w:tcW w:w="729" w:type="dxa"/>
                  <w:tcBorders>
                    <w:tl2br w:val="nil"/>
                    <w:tr2bl w:val="nil"/>
                  </w:tcBorders>
                  <w:shd w:val="clear" w:color="auto" w:fill="auto"/>
                  <w:noWrap/>
                  <w:vAlign w:val="center"/>
                </w:tcPr>
                <w:p w14:paraId="5692ADC9">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32.00</w:t>
                  </w:r>
                </w:p>
              </w:tc>
              <w:tc>
                <w:tcPr>
                  <w:tcW w:w="735" w:type="dxa"/>
                  <w:tcBorders>
                    <w:tl2br w:val="nil"/>
                    <w:tr2bl w:val="nil"/>
                  </w:tcBorders>
                  <w:shd w:val="clear" w:color="auto" w:fill="auto"/>
                  <w:noWrap/>
                  <w:vAlign w:val="center"/>
                </w:tcPr>
                <w:p w14:paraId="7A19737C">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25.00</w:t>
                  </w:r>
                </w:p>
              </w:tc>
              <w:tc>
                <w:tcPr>
                  <w:tcW w:w="727" w:type="dxa"/>
                  <w:tcBorders>
                    <w:tl2br w:val="nil"/>
                    <w:tr2bl w:val="nil"/>
                  </w:tcBorders>
                  <w:shd w:val="clear" w:color="auto" w:fill="auto"/>
                  <w:noWrap/>
                  <w:vAlign w:val="center"/>
                </w:tcPr>
                <w:p w14:paraId="55F9283C">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c>
                <w:tcPr>
                  <w:tcW w:w="729" w:type="dxa"/>
                  <w:tcBorders>
                    <w:tl2br w:val="nil"/>
                    <w:tr2bl w:val="nil"/>
                  </w:tcBorders>
                  <w:shd w:val="clear" w:color="auto" w:fill="auto"/>
                  <w:noWrap/>
                  <w:vAlign w:val="center"/>
                </w:tcPr>
                <w:p w14:paraId="093A24E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c>
                <w:tcPr>
                  <w:tcW w:w="729" w:type="dxa"/>
                  <w:tcBorders>
                    <w:tl2br w:val="nil"/>
                    <w:tr2bl w:val="nil"/>
                  </w:tcBorders>
                  <w:shd w:val="clear" w:color="auto" w:fill="auto"/>
                  <w:noWrap/>
                  <w:vAlign w:val="center"/>
                </w:tcPr>
                <w:p w14:paraId="35BF024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c>
                <w:tcPr>
                  <w:tcW w:w="729" w:type="dxa"/>
                  <w:tcBorders>
                    <w:tl2br w:val="nil"/>
                    <w:tr2bl w:val="nil"/>
                  </w:tcBorders>
                  <w:shd w:val="clear" w:color="auto" w:fill="auto"/>
                  <w:noWrap/>
                  <w:vAlign w:val="center"/>
                </w:tcPr>
                <w:p w14:paraId="331EC512">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c>
                <w:tcPr>
                  <w:tcW w:w="734" w:type="dxa"/>
                  <w:tcBorders>
                    <w:tl2br w:val="nil"/>
                    <w:tr2bl w:val="nil"/>
                  </w:tcBorders>
                  <w:shd w:val="clear" w:color="auto" w:fill="auto"/>
                  <w:noWrap/>
                  <w:vAlign w:val="center"/>
                </w:tcPr>
                <w:p w14:paraId="1414EA0D">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r>
            <w:tr w14:paraId="5147A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29" w:type="dxa"/>
                  <w:tcBorders>
                    <w:tl2br w:val="nil"/>
                    <w:tr2bl w:val="nil"/>
                  </w:tcBorders>
                  <w:shd w:val="clear" w:color="auto" w:fill="auto"/>
                  <w:noWrap/>
                  <w:vAlign w:val="center"/>
                </w:tcPr>
                <w:p w14:paraId="24D1698A">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西</w:t>
                  </w:r>
                </w:p>
              </w:tc>
              <w:tc>
                <w:tcPr>
                  <w:tcW w:w="729" w:type="dxa"/>
                  <w:tcBorders>
                    <w:tl2br w:val="nil"/>
                    <w:tr2bl w:val="nil"/>
                  </w:tcBorders>
                  <w:shd w:val="clear" w:color="auto" w:fill="auto"/>
                  <w:noWrap/>
                  <w:vAlign w:val="center"/>
                </w:tcPr>
                <w:p w14:paraId="201FCA5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31.85</w:t>
                  </w:r>
                </w:p>
              </w:tc>
              <w:tc>
                <w:tcPr>
                  <w:tcW w:w="729" w:type="dxa"/>
                  <w:tcBorders>
                    <w:tl2br w:val="nil"/>
                    <w:tr2bl w:val="nil"/>
                  </w:tcBorders>
                  <w:shd w:val="clear" w:color="auto" w:fill="auto"/>
                  <w:noWrap/>
                  <w:vAlign w:val="center"/>
                </w:tcPr>
                <w:p w14:paraId="311AAD8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91.00</w:t>
                  </w:r>
                </w:p>
              </w:tc>
              <w:tc>
                <w:tcPr>
                  <w:tcW w:w="729" w:type="dxa"/>
                  <w:tcBorders>
                    <w:tl2br w:val="nil"/>
                    <w:tr2bl w:val="nil"/>
                  </w:tcBorders>
                  <w:shd w:val="clear" w:color="auto" w:fill="auto"/>
                  <w:noWrap/>
                  <w:vAlign w:val="center"/>
                </w:tcPr>
                <w:p w14:paraId="0478D4D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51.00</w:t>
                  </w:r>
                </w:p>
              </w:tc>
              <w:tc>
                <w:tcPr>
                  <w:tcW w:w="735" w:type="dxa"/>
                  <w:tcBorders>
                    <w:tl2br w:val="nil"/>
                    <w:tr2bl w:val="nil"/>
                  </w:tcBorders>
                  <w:shd w:val="clear" w:color="auto" w:fill="auto"/>
                  <w:noWrap/>
                  <w:vAlign w:val="center"/>
                </w:tcPr>
                <w:p w14:paraId="2483F37A">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25.00</w:t>
                  </w:r>
                </w:p>
              </w:tc>
              <w:tc>
                <w:tcPr>
                  <w:tcW w:w="727" w:type="dxa"/>
                  <w:tcBorders>
                    <w:tl2br w:val="nil"/>
                    <w:tr2bl w:val="nil"/>
                  </w:tcBorders>
                  <w:shd w:val="clear" w:color="auto" w:fill="auto"/>
                  <w:noWrap/>
                  <w:vAlign w:val="center"/>
                </w:tcPr>
                <w:p w14:paraId="46EA9EF0">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c>
                <w:tcPr>
                  <w:tcW w:w="729" w:type="dxa"/>
                  <w:tcBorders>
                    <w:tl2br w:val="nil"/>
                    <w:tr2bl w:val="nil"/>
                  </w:tcBorders>
                  <w:shd w:val="clear" w:color="auto" w:fill="auto"/>
                  <w:noWrap/>
                  <w:vAlign w:val="center"/>
                </w:tcPr>
                <w:p w14:paraId="572078E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c>
                <w:tcPr>
                  <w:tcW w:w="729" w:type="dxa"/>
                  <w:tcBorders>
                    <w:tl2br w:val="nil"/>
                    <w:tr2bl w:val="nil"/>
                  </w:tcBorders>
                  <w:shd w:val="clear" w:color="auto" w:fill="auto"/>
                  <w:noWrap/>
                  <w:vAlign w:val="center"/>
                </w:tcPr>
                <w:p w14:paraId="0301041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c>
                <w:tcPr>
                  <w:tcW w:w="729" w:type="dxa"/>
                  <w:tcBorders>
                    <w:tl2br w:val="nil"/>
                    <w:tr2bl w:val="nil"/>
                  </w:tcBorders>
                  <w:shd w:val="clear" w:color="auto" w:fill="auto"/>
                  <w:noWrap/>
                  <w:vAlign w:val="center"/>
                </w:tcPr>
                <w:p w14:paraId="1DA6A74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c>
                <w:tcPr>
                  <w:tcW w:w="734" w:type="dxa"/>
                  <w:tcBorders>
                    <w:tl2br w:val="nil"/>
                    <w:tr2bl w:val="nil"/>
                  </w:tcBorders>
                  <w:shd w:val="clear" w:color="auto" w:fill="auto"/>
                  <w:noWrap/>
                  <w:vAlign w:val="center"/>
                </w:tcPr>
                <w:p w14:paraId="378FFE93">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r>
            <w:tr w14:paraId="20B6E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29" w:type="dxa"/>
                  <w:tcBorders>
                    <w:tl2br w:val="nil"/>
                    <w:tr2bl w:val="nil"/>
                  </w:tcBorders>
                  <w:shd w:val="clear" w:color="auto" w:fill="auto"/>
                  <w:noWrap/>
                  <w:vAlign w:val="center"/>
                </w:tcPr>
                <w:p w14:paraId="3AC5A75A">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北</w:t>
                  </w:r>
                </w:p>
              </w:tc>
              <w:tc>
                <w:tcPr>
                  <w:tcW w:w="729" w:type="dxa"/>
                  <w:tcBorders>
                    <w:tl2br w:val="nil"/>
                    <w:tr2bl w:val="nil"/>
                  </w:tcBorders>
                  <w:shd w:val="clear" w:color="auto" w:fill="auto"/>
                  <w:noWrap/>
                  <w:vAlign w:val="center"/>
                </w:tcPr>
                <w:p w14:paraId="7ED04EF6">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30.44</w:t>
                  </w:r>
                </w:p>
              </w:tc>
              <w:tc>
                <w:tcPr>
                  <w:tcW w:w="729" w:type="dxa"/>
                  <w:tcBorders>
                    <w:tl2br w:val="nil"/>
                    <w:tr2bl w:val="nil"/>
                  </w:tcBorders>
                  <w:shd w:val="clear" w:color="auto" w:fill="auto"/>
                  <w:noWrap/>
                  <w:vAlign w:val="center"/>
                </w:tcPr>
                <w:p w14:paraId="642686C3">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91.00</w:t>
                  </w:r>
                </w:p>
              </w:tc>
              <w:tc>
                <w:tcPr>
                  <w:tcW w:w="729" w:type="dxa"/>
                  <w:tcBorders>
                    <w:tl2br w:val="nil"/>
                    <w:tr2bl w:val="nil"/>
                  </w:tcBorders>
                  <w:shd w:val="clear" w:color="auto" w:fill="auto"/>
                  <w:noWrap/>
                  <w:vAlign w:val="center"/>
                </w:tcPr>
                <w:p w14:paraId="7B3EBE4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60.00</w:t>
                  </w:r>
                </w:p>
              </w:tc>
              <w:tc>
                <w:tcPr>
                  <w:tcW w:w="735" w:type="dxa"/>
                  <w:tcBorders>
                    <w:tl2br w:val="nil"/>
                    <w:tr2bl w:val="nil"/>
                  </w:tcBorders>
                  <w:shd w:val="clear" w:color="auto" w:fill="auto"/>
                  <w:noWrap/>
                  <w:vAlign w:val="center"/>
                </w:tcPr>
                <w:p w14:paraId="426C70FB">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25.00</w:t>
                  </w:r>
                </w:p>
              </w:tc>
              <w:tc>
                <w:tcPr>
                  <w:tcW w:w="727" w:type="dxa"/>
                  <w:tcBorders>
                    <w:tl2br w:val="nil"/>
                    <w:tr2bl w:val="nil"/>
                  </w:tcBorders>
                  <w:shd w:val="clear" w:color="auto" w:fill="auto"/>
                  <w:noWrap/>
                  <w:vAlign w:val="center"/>
                </w:tcPr>
                <w:p w14:paraId="1013A090">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c>
                <w:tcPr>
                  <w:tcW w:w="729" w:type="dxa"/>
                  <w:tcBorders>
                    <w:tl2br w:val="nil"/>
                    <w:tr2bl w:val="nil"/>
                  </w:tcBorders>
                  <w:shd w:val="clear" w:color="auto" w:fill="auto"/>
                  <w:noWrap/>
                  <w:vAlign w:val="center"/>
                </w:tcPr>
                <w:p w14:paraId="49B834F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c>
                <w:tcPr>
                  <w:tcW w:w="729" w:type="dxa"/>
                  <w:tcBorders>
                    <w:tl2br w:val="nil"/>
                    <w:tr2bl w:val="nil"/>
                  </w:tcBorders>
                  <w:shd w:val="clear" w:color="auto" w:fill="auto"/>
                  <w:noWrap/>
                  <w:vAlign w:val="center"/>
                </w:tcPr>
                <w:p w14:paraId="1D77FD0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c>
                <w:tcPr>
                  <w:tcW w:w="729" w:type="dxa"/>
                  <w:tcBorders>
                    <w:tl2br w:val="nil"/>
                    <w:tr2bl w:val="nil"/>
                  </w:tcBorders>
                  <w:shd w:val="clear" w:color="auto" w:fill="auto"/>
                  <w:noWrap/>
                  <w:vAlign w:val="center"/>
                </w:tcPr>
                <w:p w14:paraId="70FD70C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c>
                <w:tcPr>
                  <w:tcW w:w="734" w:type="dxa"/>
                  <w:tcBorders>
                    <w:tl2br w:val="nil"/>
                    <w:tr2bl w:val="nil"/>
                  </w:tcBorders>
                  <w:shd w:val="clear" w:color="auto" w:fill="auto"/>
                  <w:noWrap/>
                  <w:vAlign w:val="center"/>
                </w:tcPr>
                <w:p w14:paraId="6B7CCE5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w:t>
                  </w:r>
                </w:p>
              </w:tc>
            </w:tr>
          </w:tbl>
          <w:p w14:paraId="37A8AD65">
            <w:pPr>
              <w:ind w:firstLine="422" w:firstLineChars="200"/>
              <w:jc w:val="center"/>
              <w:rPr>
                <w:rFonts w:hint="eastAsia" w:ascii="Times New Roman" w:hAnsi="Times New Roman" w:eastAsia="宋体" w:cs="Times New Roman"/>
                <w:b/>
                <w:bCs/>
                <w:color w:val="auto"/>
                <w:highlight w:val="none"/>
                <w:u w:val="none"/>
              </w:rPr>
            </w:pPr>
          </w:p>
          <w:p w14:paraId="53B938F7">
            <w:pPr>
              <w:ind w:firstLine="422" w:firstLineChars="200"/>
              <w:jc w:val="center"/>
              <w:rPr>
                <w:rFonts w:hint="eastAsia" w:ascii="Times New Roman" w:hAnsi="Times New Roman" w:eastAsia="宋体" w:cs="Times New Roman"/>
                <w:b/>
                <w:bCs/>
                <w:color w:val="auto"/>
                <w:highlight w:val="none"/>
                <w:u w:val="none"/>
              </w:rPr>
            </w:pPr>
            <w:r>
              <w:rPr>
                <w:rFonts w:hint="eastAsia" w:ascii="Times New Roman" w:hAnsi="Times New Roman" w:eastAsia="宋体" w:cs="Times New Roman"/>
                <w:b/>
                <w:bCs/>
                <w:color w:val="auto"/>
                <w:highlight w:val="none"/>
                <w:u w:val="none"/>
              </w:rPr>
              <w:t>表4-1</w:t>
            </w:r>
            <w:r>
              <w:rPr>
                <w:rFonts w:hint="eastAsia" w:ascii="Times New Roman" w:hAnsi="Times New Roman" w:eastAsia="宋体" w:cs="Times New Roman"/>
                <w:b/>
                <w:bCs/>
                <w:color w:val="auto"/>
                <w:highlight w:val="none"/>
                <w:u w:val="none"/>
                <w:lang w:val="en-US" w:eastAsia="zh-CN"/>
              </w:rPr>
              <w:t>3</w:t>
            </w:r>
            <w:r>
              <w:rPr>
                <w:rFonts w:hint="eastAsia" w:ascii="Times New Roman" w:hAnsi="Times New Roman" w:eastAsia="宋体" w:cs="Times New Roman"/>
                <w:b/>
                <w:bCs/>
                <w:color w:val="auto"/>
                <w:highlight w:val="none"/>
                <w:u w:val="none"/>
              </w:rPr>
              <w:t xml:space="preserve">  叠加后声压级预测</w:t>
            </w:r>
          </w:p>
          <w:tbl>
            <w:tblPr>
              <w:tblStyle w:val="21"/>
              <w:tblW w:w="7137" w:type="dxa"/>
              <w:jc w:val="center"/>
              <w:tblLayout w:type="fixed"/>
              <w:tblCellMar>
                <w:top w:w="0" w:type="dxa"/>
                <w:left w:w="108" w:type="dxa"/>
                <w:bottom w:w="0" w:type="dxa"/>
                <w:right w:w="108" w:type="dxa"/>
              </w:tblCellMar>
            </w:tblPr>
            <w:tblGrid>
              <w:gridCol w:w="1881"/>
              <w:gridCol w:w="1314"/>
              <w:gridCol w:w="1314"/>
              <w:gridCol w:w="1314"/>
              <w:gridCol w:w="1314"/>
            </w:tblGrid>
            <w:tr w14:paraId="77B38739">
              <w:tblPrEx>
                <w:tblCellMar>
                  <w:top w:w="0" w:type="dxa"/>
                  <w:left w:w="108" w:type="dxa"/>
                  <w:bottom w:w="0" w:type="dxa"/>
                  <w:right w:w="108" w:type="dxa"/>
                </w:tblCellMar>
              </w:tblPrEx>
              <w:trPr>
                <w:trHeight w:val="301" w:hRule="atLeast"/>
                <w:jc w:val="center"/>
              </w:trPr>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BBC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方位</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8380">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东</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FB3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南</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86C2">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西</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1409">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北</w:t>
                  </w:r>
                </w:p>
              </w:tc>
            </w:tr>
            <w:tr w14:paraId="7C904445">
              <w:tblPrEx>
                <w:tblCellMar>
                  <w:top w:w="0" w:type="dxa"/>
                  <w:left w:w="108" w:type="dxa"/>
                  <w:bottom w:w="0" w:type="dxa"/>
                  <w:right w:w="108" w:type="dxa"/>
                </w:tblCellMar>
              </w:tblPrEx>
              <w:trPr>
                <w:trHeight w:val="301" w:hRule="atLeast"/>
                <w:jc w:val="center"/>
              </w:trPr>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67CB">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本底值</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FD3B">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52.00</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1CD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52.00</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ECD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52.00</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D6FB">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52.00</w:t>
                  </w:r>
                </w:p>
              </w:tc>
            </w:tr>
            <w:tr w14:paraId="3A14D719">
              <w:tblPrEx>
                <w:tblCellMar>
                  <w:top w:w="0" w:type="dxa"/>
                  <w:left w:w="108" w:type="dxa"/>
                  <w:bottom w:w="0" w:type="dxa"/>
                  <w:right w:w="108" w:type="dxa"/>
                </w:tblCellMar>
              </w:tblPrEx>
              <w:trPr>
                <w:trHeight w:val="301" w:hRule="atLeast"/>
                <w:jc w:val="center"/>
              </w:trPr>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28A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中频电感炉</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C75D">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40.08</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746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30.33</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783D">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28.04</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12E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29.38</w:t>
                  </w:r>
                </w:p>
              </w:tc>
            </w:tr>
            <w:tr w14:paraId="5B99838E">
              <w:tblPrEx>
                <w:tblCellMar>
                  <w:top w:w="0" w:type="dxa"/>
                  <w:left w:w="108" w:type="dxa"/>
                  <w:bottom w:w="0" w:type="dxa"/>
                  <w:right w:w="108" w:type="dxa"/>
                </w:tblCellMar>
              </w:tblPrEx>
              <w:trPr>
                <w:trHeight w:val="301" w:hRule="atLeast"/>
                <w:jc w:val="center"/>
              </w:trPr>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29F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震动落砂机</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240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38.42</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7489">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22.73</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ED2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24.44</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C6F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33.15</w:t>
                  </w:r>
                </w:p>
              </w:tc>
            </w:tr>
            <w:tr w14:paraId="35293B26">
              <w:tblPrEx>
                <w:tblCellMar>
                  <w:top w:w="0" w:type="dxa"/>
                  <w:left w:w="108" w:type="dxa"/>
                  <w:bottom w:w="0" w:type="dxa"/>
                  <w:right w:w="108" w:type="dxa"/>
                </w:tblCellMar>
              </w:tblPrEx>
              <w:trPr>
                <w:trHeight w:val="301" w:hRule="atLeast"/>
                <w:jc w:val="center"/>
              </w:trPr>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5D8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造型机</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A05D">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33.46</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54F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24.94</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FB8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29.94</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6B1F">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37.89</w:t>
                  </w:r>
                </w:p>
              </w:tc>
            </w:tr>
            <w:tr w14:paraId="167DB9E7">
              <w:tblPrEx>
                <w:tblCellMar>
                  <w:top w:w="0" w:type="dxa"/>
                  <w:left w:w="108" w:type="dxa"/>
                  <w:bottom w:w="0" w:type="dxa"/>
                  <w:right w:w="108" w:type="dxa"/>
                </w:tblCellMar>
              </w:tblPrEx>
              <w:trPr>
                <w:trHeight w:val="301" w:hRule="atLeast"/>
                <w:jc w:val="center"/>
              </w:trPr>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D66B">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抛丸机</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E383">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34.87</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F712">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33.33</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B32B">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34.64</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18A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32.02</w:t>
                  </w:r>
                </w:p>
              </w:tc>
            </w:tr>
            <w:tr w14:paraId="671D6180">
              <w:tblPrEx>
                <w:tblCellMar>
                  <w:top w:w="0" w:type="dxa"/>
                  <w:left w:w="108" w:type="dxa"/>
                  <w:bottom w:w="0" w:type="dxa"/>
                  <w:right w:w="108" w:type="dxa"/>
                </w:tblCellMar>
              </w:tblPrEx>
              <w:trPr>
                <w:trHeight w:val="301" w:hRule="atLeast"/>
                <w:jc w:val="center"/>
              </w:trPr>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E08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磁选机</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C2B1">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31.94</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B850">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42.08</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617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31.02</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7412">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26.94</w:t>
                  </w:r>
                </w:p>
              </w:tc>
            </w:tr>
            <w:tr w14:paraId="74A6AB14">
              <w:tblPrEx>
                <w:tblCellMar>
                  <w:top w:w="0" w:type="dxa"/>
                  <w:left w:w="108" w:type="dxa"/>
                  <w:bottom w:w="0" w:type="dxa"/>
                  <w:right w:w="108" w:type="dxa"/>
                </w:tblCellMar>
              </w:tblPrEx>
              <w:trPr>
                <w:trHeight w:val="301" w:hRule="atLeast"/>
                <w:jc w:val="center"/>
              </w:trPr>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F01C">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风机</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B646">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43.72</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A9A9">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31.85</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09D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32.56</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F98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30.44</w:t>
                  </w:r>
                </w:p>
              </w:tc>
            </w:tr>
            <w:tr w14:paraId="5F886358">
              <w:tblPrEx>
                <w:tblCellMar>
                  <w:top w:w="0" w:type="dxa"/>
                  <w:left w:w="108" w:type="dxa"/>
                  <w:bottom w:w="0" w:type="dxa"/>
                  <w:right w:w="108" w:type="dxa"/>
                </w:tblCellMar>
              </w:tblPrEx>
              <w:trPr>
                <w:trHeight w:val="301" w:hRule="atLeast"/>
                <w:jc w:val="center"/>
              </w:trPr>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2779">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冷却塔</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7400">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39.56</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7DD4">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35.90</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44B9">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31.85</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CEB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30.44</w:t>
                  </w:r>
                </w:p>
              </w:tc>
            </w:tr>
            <w:tr w14:paraId="46BF0621">
              <w:tblPrEx>
                <w:tblCellMar>
                  <w:top w:w="0" w:type="dxa"/>
                  <w:left w:w="108" w:type="dxa"/>
                  <w:bottom w:w="0" w:type="dxa"/>
                  <w:right w:w="108" w:type="dxa"/>
                </w:tblCellMar>
              </w:tblPrEx>
              <w:trPr>
                <w:trHeight w:val="301" w:hRule="atLeast"/>
                <w:jc w:val="center"/>
              </w:trPr>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0A82">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叠加后声压级</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E088">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53.33</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953E">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52.64</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A16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52.25</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DC0C">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52.35</w:t>
                  </w:r>
                </w:p>
              </w:tc>
            </w:tr>
            <w:tr w14:paraId="4FB33DDC">
              <w:tblPrEx>
                <w:tblCellMar>
                  <w:top w:w="0" w:type="dxa"/>
                  <w:left w:w="108" w:type="dxa"/>
                  <w:bottom w:w="0" w:type="dxa"/>
                  <w:right w:w="108" w:type="dxa"/>
                </w:tblCellMar>
              </w:tblPrEx>
              <w:trPr>
                <w:trHeight w:val="301" w:hRule="atLeast"/>
                <w:jc w:val="center"/>
              </w:trPr>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9045">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增加量</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0D27">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1.33</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3CBC">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0.64</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98E3">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0.25</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C463">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0.35</w:t>
                  </w:r>
                </w:p>
              </w:tc>
            </w:tr>
            <w:tr w14:paraId="59552408">
              <w:tblPrEx>
                <w:tblCellMar>
                  <w:top w:w="0" w:type="dxa"/>
                  <w:left w:w="108" w:type="dxa"/>
                  <w:bottom w:w="0" w:type="dxa"/>
                  <w:right w:w="108" w:type="dxa"/>
                </w:tblCellMar>
              </w:tblPrEx>
              <w:trPr>
                <w:trHeight w:val="310" w:hRule="atLeast"/>
                <w:jc w:val="center"/>
              </w:trPr>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B9CB">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标准值</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8B19">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65.00</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BBDC">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65.00</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0452">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65.00</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810C">
                  <w:pPr>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65.00</w:t>
                  </w:r>
                </w:p>
              </w:tc>
            </w:tr>
          </w:tbl>
          <w:p w14:paraId="20C105C0">
            <w:pPr>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可见，项目建设后噪声贡献值较小，东、南、西、北侧声压级分别为53.33dB（A）、52.64dB（A）、52.25dB（A）、52.35dB（A）均能满足《工业企业厂界环境噪声排放标准》（GB12348-2008）中3类排放标准。</w:t>
            </w:r>
          </w:p>
          <w:p w14:paraId="2D9E6737">
            <w:pPr>
              <w:numPr>
                <w:ilvl w:val="0"/>
                <w:numId w:val="0"/>
              </w:numPr>
              <w:spacing w:line="360" w:lineRule="auto"/>
              <w:ind w:firstLine="482" w:firstLineChars="200"/>
              <w:rPr>
                <w:rFonts w:hint="eastAsia" w:ascii="Times New Roman" w:hAnsi="Times New Roman" w:eastAsia="宋体" w:cs="Times New Roman"/>
                <w:b/>
                <w:bCs/>
                <w:sz w:val="24"/>
                <w:szCs w:val="24"/>
                <w:u w:val="single"/>
                <w:lang w:val="en-US" w:eastAsia="zh-CN"/>
              </w:rPr>
            </w:pPr>
            <w:r>
              <w:rPr>
                <w:rFonts w:hint="eastAsia" w:ascii="Times New Roman" w:hAnsi="Times New Roman" w:eastAsia="宋体" w:cs="Times New Roman"/>
                <w:b/>
                <w:bCs/>
                <w:sz w:val="24"/>
                <w:szCs w:val="24"/>
                <w:u w:val="single"/>
                <w:lang w:val="en-US" w:eastAsia="zh-CN"/>
              </w:rPr>
              <w:t>4.2.4固体废物环境影响及保护措施</w:t>
            </w:r>
          </w:p>
          <w:p w14:paraId="5EE05FDE">
            <w:pPr>
              <w:keepNext w:val="0"/>
              <w:keepLines w:val="0"/>
              <w:pageBreakBefore w:val="0"/>
              <w:widowControl w:val="0"/>
              <w:tabs>
                <w:tab w:val="left" w:pos="1440"/>
                <w:tab w:val="left" w:pos="1800"/>
              </w:tabs>
              <w:kinsoku w:val="0"/>
              <w:wordWrap w:val="0"/>
              <w:overflowPunct/>
              <w:topLinePunct w:val="0"/>
              <w:autoSpaceDE/>
              <w:autoSpaceDN/>
              <w:bidi w:val="0"/>
              <w:adjustRightInd/>
              <w:snapToGrid/>
              <w:spacing w:line="360" w:lineRule="auto"/>
              <w:ind w:firstLine="482" w:firstLineChars="200"/>
              <w:textAlignment w:val="auto"/>
              <w:rPr>
                <w:b/>
                <w:bCs/>
                <w:sz w:val="24"/>
                <w:u w:val="single"/>
              </w:rPr>
            </w:pPr>
            <w:r>
              <w:rPr>
                <w:rFonts w:hint="eastAsia"/>
                <w:b/>
                <w:bCs/>
                <w:sz w:val="24"/>
                <w:u w:val="single"/>
                <w:lang w:val="en-US" w:eastAsia="zh-CN"/>
              </w:rPr>
              <w:t>1、</w:t>
            </w:r>
            <w:r>
              <w:rPr>
                <w:rFonts w:hint="eastAsia"/>
                <w:b/>
                <w:bCs/>
                <w:sz w:val="24"/>
                <w:u w:val="single"/>
              </w:rPr>
              <w:t>固体废物产生情况分析</w:t>
            </w:r>
          </w:p>
          <w:p w14:paraId="2492BD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（1）炉渣：本项目中频电感炉使用后将有一定的残渣，属于一般固废。依据</w:t>
            </w:r>
            <w:r>
              <w:rPr>
                <w:rFonts w:hint="eastAsia" w:cs="Times New Roman"/>
                <w:color w:val="auto"/>
                <w:sz w:val="24"/>
                <w:highlight w:val="none"/>
                <w:u w:val="single"/>
                <w:lang w:val="en-US" w:eastAsia="zh-CN"/>
              </w:rPr>
              <w:t>建设单位</w:t>
            </w:r>
            <w:r>
              <w:rPr>
                <w:rFonts w:hint="eastAsia" w:ascii="Times New Roman" w:hAnsi="Times New Roman" w:eastAsia="宋体" w:cs="Times New Roman"/>
                <w:color w:val="auto"/>
                <w:sz w:val="24"/>
                <w:highlight w:val="none"/>
                <w:u w:val="single"/>
                <w:lang w:val="en-US" w:eastAsia="zh-CN"/>
              </w:rPr>
              <w:t>行业经验，炉渣产生量约占总投入金属物料的2.5%，项目年使用生铁、废钢6100t，则炉渣产生量=6</w:t>
            </w:r>
            <w:r>
              <w:rPr>
                <w:rFonts w:hint="eastAsia" w:cs="Times New Roman"/>
                <w:color w:val="auto"/>
                <w:sz w:val="24"/>
                <w:highlight w:val="none"/>
                <w:u w:val="single"/>
                <w:lang w:val="en-US" w:eastAsia="zh-CN"/>
              </w:rPr>
              <w:t>1</w:t>
            </w:r>
            <w:r>
              <w:rPr>
                <w:rFonts w:hint="eastAsia" w:ascii="Times New Roman" w:hAnsi="Times New Roman" w:eastAsia="宋体" w:cs="Times New Roman"/>
                <w:color w:val="auto"/>
                <w:sz w:val="24"/>
                <w:highlight w:val="none"/>
                <w:u w:val="single"/>
                <w:lang w:val="en-US" w:eastAsia="zh-CN"/>
              </w:rPr>
              <w:t>00×0.</w:t>
            </w:r>
            <w:r>
              <w:rPr>
                <w:rFonts w:hint="eastAsia" w:cs="Times New Roman"/>
                <w:color w:val="auto"/>
                <w:sz w:val="24"/>
                <w:highlight w:val="none"/>
                <w:u w:val="single"/>
                <w:lang w:val="en-US" w:eastAsia="zh-CN"/>
              </w:rPr>
              <w:t>025</w:t>
            </w:r>
            <w:r>
              <w:rPr>
                <w:rFonts w:hint="eastAsia" w:ascii="Times New Roman" w:hAnsi="Times New Roman" w:eastAsia="宋体" w:cs="Times New Roman"/>
                <w:color w:val="auto"/>
                <w:sz w:val="24"/>
                <w:highlight w:val="none"/>
                <w:u w:val="single"/>
                <w:lang w:val="en-US" w:eastAsia="zh-CN"/>
              </w:rPr>
              <w:t>=152.5t。产生的炉渣可收集后外售再利用。</w:t>
            </w:r>
          </w:p>
          <w:p w14:paraId="25840F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（2）布袋除尘灰</w:t>
            </w:r>
          </w:p>
          <w:p w14:paraId="7D0445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本项目生产过程中产生的颗粒物收集后经布袋除尘处理。经污染物源强核算，除尘灰产量约为</w:t>
            </w:r>
            <w:r>
              <w:rPr>
                <w:rFonts w:hint="eastAsia" w:cs="Times New Roman"/>
                <w:color w:val="auto"/>
                <w:sz w:val="24"/>
                <w:highlight w:val="none"/>
                <w:u w:val="single"/>
                <w:lang w:val="en-US" w:eastAsia="zh-CN"/>
              </w:rPr>
              <w:t>142.10</w:t>
            </w:r>
            <w:r>
              <w:rPr>
                <w:rFonts w:hint="eastAsia" w:ascii="Times New Roman" w:hAnsi="Times New Roman" w:eastAsia="宋体" w:cs="Times New Roman"/>
                <w:color w:val="auto"/>
                <w:sz w:val="24"/>
                <w:highlight w:val="none"/>
                <w:u w:val="single"/>
                <w:lang w:val="en-US" w:eastAsia="zh-CN"/>
              </w:rPr>
              <w:t>t/a，属于一般工业固体废物，由建设单位收集后外售再利用。</w:t>
            </w:r>
          </w:p>
          <w:p w14:paraId="256842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（3）冒口</w:t>
            </w:r>
          </w:p>
          <w:p w14:paraId="5512AF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冒口属于一般工业固体废物，工件在</w:t>
            </w:r>
            <w:r>
              <w:rPr>
                <w:rFonts w:hint="eastAsia" w:cs="Times New Roman"/>
                <w:color w:val="auto"/>
                <w:sz w:val="24"/>
                <w:highlight w:val="none"/>
                <w:u w:val="single"/>
                <w:lang w:val="en-US" w:eastAsia="zh-CN"/>
              </w:rPr>
              <w:t>浇注</w:t>
            </w:r>
            <w:r>
              <w:rPr>
                <w:rFonts w:hint="eastAsia" w:ascii="Times New Roman" w:hAnsi="Times New Roman" w:eastAsia="宋体" w:cs="Times New Roman"/>
                <w:color w:val="auto"/>
                <w:sz w:val="24"/>
                <w:highlight w:val="none"/>
                <w:u w:val="single"/>
                <w:lang w:val="en-US" w:eastAsia="zh-CN"/>
              </w:rPr>
              <w:t>后残留的冒口由</w:t>
            </w:r>
            <w:r>
              <w:rPr>
                <w:rFonts w:hint="eastAsia" w:cs="Times New Roman"/>
                <w:color w:val="auto"/>
                <w:sz w:val="24"/>
                <w:highlight w:val="none"/>
                <w:u w:val="single"/>
                <w:lang w:val="en-US" w:eastAsia="zh-CN"/>
              </w:rPr>
              <w:t>振动</w:t>
            </w:r>
            <w:r>
              <w:rPr>
                <w:rFonts w:hint="eastAsia" w:ascii="Times New Roman" w:hAnsi="Times New Roman" w:eastAsia="宋体" w:cs="Times New Roman"/>
                <w:color w:val="auto"/>
                <w:sz w:val="24"/>
                <w:highlight w:val="none"/>
                <w:u w:val="single"/>
                <w:lang w:val="en-US" w:eastAsia="zh-CN"/>
              </w:rPr>
              <w:t>方式脱落，经业主介绍，该过程中冒口约占工件的5%</w:t>
            </w:r>
            <w:r>
              <w:rPr>
                <w:rFonts w:hint="eastAsia" w:cs="Times New Roman"/>
                <w:color w:val="auto"/>
                <w:sz w:val="24"/>
                <w:highlight w:val="none"/>
                <w:u w:val="single"/>
                <w:lang w:val="en-US" w:eastAsia="zh-CN"/>
              </w:rPr>
              <w:t>～</w:t>
            </w:r>
            <w:r>
              <w:rPr>
                <w:rFonts w:hint="eastAsia" w:ascii="Times New Roman" w:hAnsi="Times New Roman" w:eastAsia="宋体" w:cs="Times New Roman"/>
                <w:color w:val="auto"/>
                <w:sz w:val="24"/>
                <w:highlight w:val="none"/>
                <w:u w:val="single"/>
                <w:lang w:val="en-US" w:eastAsia="zh-CN"/>
              </w:rPr>
              <w:t>10%，环评取中间值7%，则冒口年产生量=6000×0.07=420t/a，收集后全部重投入中频</w:t>
            </w:r>
            <w:r>
              <w:rPr>
                <w:rFonts w:hint="eastAsia" w:cs="Times New Roman"/>
                <w:color w:val="auto"/>
                <w:sz w:val="24"/>
                <w:highlight w:val="none"/>
                <w:u w:val="single"/>
                <w:lang w:val="en-US" w:eastAsia="zh-CN"/>
              </w:rPr>
              <w:t>电感</w:t>
            </w:r>
            <w:r>
              <w:rPr>
                <w:rFonts w:hint="eastAsia" w:ascii="Times New Roman" w:hAnsi="Times New Roman" w:eastAsia="宋体" w:cs="Times New Roman"/>
                <w:color w:val="auto"/>
                <w:sz w:val="24"/>
                <w:highlight w:val="none"/>
                <w:u w:val="single"/>
                <w:lang w:val="en-US" w:eastAsia="zh-CN"/>
              </w:rPr>
              <w:t>炉再利用。</w:t>
            </w:r>
          </w:p>
          <w:p w14:paraId="753B2C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（4）不合格</w:t>
            </w:r>
            <w:r>
              <w:rPr>
                <w:rFonts w:hint="eastAsia" w:cs="Times New Roman"/>
                <w:color w:val="auto"/>
                <w:sz w:val="24"/>
                <w:highlight w:val="none"/>
                <w:u w:val="single"/>
                <w:lang w:val="en-US" w:eastAsia="zh-CN"/>
              </w:rPr>
              <w:t>铸件</w:t>
            </w:r>
          </w:p>
          <w:p w14:paraId="095E23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不合格</w:t>
            </w:r>
            <w:r>
              <w:rPr>
                <w:rFonts w:hint="eastAsia" w:cs="Times New Roman"/>
                <w:color w:val="auto"/>
                <w:sz w:val="24"/>
                <w:highlight w:val="none"/>
                <w:u w:val="single"/>
                <w:lang w:val="en-US" w:eastAsia="zh-CN"/>
              </w:rPr>
              <w:t>铸件</w:t>
            </w:r>
            <w:r>
              <w:rPr>
                <w:rFonts w:hint="eastAsia" w:ascii="Times New Roman" w:hAnsi="Times New Roman" w:eastAsia="宋体" w:cs="Times New Roman"/>
                <w:color w:val="auto"/>
                <w:sz w:val="24"/>
                <w:highlight w:val="none"/>
                <w:u w:val="single"/>
                <w:lang w:val="en-US" w:eastAsia="zh-CN"/>
              </w:rPr>
              <w:t>属于一般工业固体废物，类比同行业经验，铸造行业废品率一般可控制在5%</w:t>
            </w:r>
            <w:r>
              <w:rPr>
                <w:rFonts w:hint="eastAsia" w:cs="Times New Roman"/>
                <w:color w:val="auto"/>
                <w:sz w:val="24"/>
                <w:highlight w:val="none"/>
                <w:u w:val="single"/>
                <w:lang w:val="en-US" w:eastAsia="zh-CN"/>
              </w:rPr>
              <w:t>～</w:t>
            </w:r>
            <w:r>
              <w:rPr>
                <w:rFonts w:hint="eastAsia" w:ascii="Times New Roman" w:hAnsi="Times New Roman" w:eastAsia="宋体" w:cs="Times New Roman"/>
                <w:color w:val="auto"/>
                <w:sz w:val="24"/>
                <w:highlight w:val="none"/>
                <w:u w:val="single"/>
                <w:lang w:val="en-US" w:eastAsia="zh-CN"/>
              </w:rPr>
              <w:t>8%左右，环评取中间值6.5%，则不合格</w:t>
            </w:r>
            <w:r>
              <w:rPr>
                <w:rFonts w:hint="eastAsia" w:cs="Times New Roman"/>
                <w:color w:val="auto"/>
                <w:sz w:val="24"/>
                <w:highlight w:val="none"/>
                <w:u w:val="single"/>
                <w:lang w:val="en-US" w:eastAsia="zh-CN"/>
              </w:rPr>
              <w:t>铸件</w:t>
            </w:r>
            <w:r>
              <w:rPr>
                <w:rFonts w:hint="eastAsia" w:ascii="Times New Roman" w:hAnsi="Times New Roman" w:eastAsia="宋体" w:cs="Times New Roman"/>
                <w:color w:val="auto"/>
                <w:sz w:val="24"/>
                <w:highlight w:val="none"/>
                <w:u w:val="single"/>
                <w:lang w:val="en-US" w:eastAsia="zh-CN"/>
              </w:rPr>
              <w:t>年产生量=6000×0.065=390t。可全部重投入中频</w:t>
            </w:r>
            <w:r>
              <w:rPr>
                <w:rFonts w:hint="eastAsia" w:cs="Times New Roman"/>
                <w:color w:val="auto"/>
                <w:sz w:val="24"/>
                <w:highlight w:val="none"/>
                <w:u w:val="single"/>
                <w:lang w:val="en-US" w:eastAsia="zh-CN"/>
              </w:rPr>
              <w:t>电感</w:t>
            </w:r>
            <w:r>
              <w:rPr>
                <w:rFonts w:hint="eastAsia" w:ascii="Times New Roman" w:hAnsi="Times New Roman" w:eastAsia="宋体" w:cs="Times New Roman"/>
                <w:color w:val="auto"/>
                <w:sz w:val="24"/>
                <w:highlight w:val="none"/>
                <w:u w:val="single"/>
                <w:lang w:val="en-US" w:eastAsia="zh-CN"/>
              </w:rPr>
              <w:t>炉再利用。</w:t>
            </w:r>
          </w:p>
          <w:p w14:paraId="03E711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（5）废</w:t>
            </w:r>
            <w:r>
              <w:rPr>
                <w:rFonts w:hint="eastAsia" w:cs="Times New Roman"/>
                <w:color w:val="auto"/>
                <w:sz w:val="24"/>
                <w:highlight w:val="none"/>
                <w:u w:val="single"/>
                <w:lang w:val="en-US" w:eastAsia="zh-CN"/>
              </w:rPr>
              <w:t>润滑油</w:t>
            </w:r>
          </w:p>
          <w:p w14:paraId="78DE8A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本项目在设备运行、保养过程中会产生废</w:t>
            </w:r>
            <w:r>
              <w:rPr>
                <w:rFonts w:hint="eastAsia" w:cs="Times New Roman"/>
                <w:color w:val="auto"/>
                <w:sz w:val="24"/>
                <w:highlight w:val="none"/>
                <w:u w:val="single"/>
                <w:lang w:val="en-US" w:eastAsia="zh-CN"/>
              </w:rPr>
              <w:t>润滑油</w:t>
            </w:r>
            <w:r>
              <w:rPr>
                <w:rFonts w:hint="eastAsia" w:ascii="Times New Roman" w:hAnsi="Times New Roman" w:eastAsia="宋体" w:cs="Times New Roman"/>
                <w:color w:val="auto"/>
                <w:sz w:val="24"/>
                <w:highlight w:val="none"/>
                <w:u w:val="single"/>
                <w:lang w:val="en-US" w:eastAsia="zh-CN"/>
              </w:rPr>
              <w:t>，</w:t>
            </w:r>
            <w:r>
              <w:rPr>
                <w:rFonts w:hint="eastAsia" w:ascii="Times New Roman" w:hAnsi="Times New Roman" w:eastAsia="宋体" w:cs="Times New Roman"/>
                <w:color w:val="auto"/>
                <w:kern w:val="0"/>
                <w:sz w:val="24"/>
                <w:highlight w:val="none"/>
                <w:u w:val="single"/>
                <w:lang w:val="en-US" w:eastAsia="zh-CN"/>
              </w:rPr>
              <w:t>属于危险废物（HW08废矿物油与含矿物油废物</w:t>
            </w:r>
            <w:r>
              <w:rPr>
                <w:rFonts w:hint="eastAsia" w:cs="Times New Roman"/>
                <w:color w:val="auto"/>
                <w:kern w:val="0"/>
                <w:sz w:val="24"/>
                <w:highlight w:val="none"/>
                <w:u w:val="single"/>
                <w:lang w:val="en-US" w:eastAsia="zh-CN"/>
              </w:rPr>
              <w:t>中</w:t>
            </w:r>
            <w:r>
              <w:rPr>
                <w:rFonts w:hint="eastAsia" w:ascii="Times New Roman" w:hAnsi="Times New Roman" w:eastAsia="宋体" w:cs="Times New Roman"/>
                <w:color w:val="auto"/>
                <w:kern w:val="0"/>
                <w:sz w:val="24"/>
                <w:highlight w:val="none"/>
                <w:u w:val="single"/>
                <w:lang w:val="en-US" w:eastAsia="zh-CN"/>
              </w:rPr>
              <w:t>900-217-08使用工业齿轮油进行机械设备润滑过程中产生的废润滑油）</w:t>
            </w:r>
            <w:r>
              <w:rPr>
                <w:rFonts w:hint="eastAsia" w:ascii="Times New Roman" w:hAnsi="Times New Roman" w:cs="Times New Roman"/>
                <w:color w:val="auto"/>
                <w:kern w:val="0"/>
                <w:sz w:val="24"/>
                <w:highlight w:val="none"/>
                <w:u w:val="single"/>
                <w:lang w:val="en-US" w:eastAsia="zh-CN"/>
              </w:rPr>
              <w:t>，</w:t>
            </w:r>
            <w:r>
              <w:rPr>
                <w:rFonts w:hint="eastAsia" w:ascii="Times New Roman" w:hAnsi="Times New Roman" w:eastAsia="宋体" w:cs="Times New Roman"/>
                <w:color w:val="auto"/>
                <w:sz w:val="24"/>
                <w:highlight w:val="none"/>
                <w:u w:val="single"/>
                <w:lang w:val="en-US" w:eastAsia="zh-CN"/>
              </w:rPr>
              <w:t>根据建设单位提供的资料，项目每年废</w:t>
            </w:r>
            <w:r>
              <w:rPr>
                <w:rFonts w:hint="eastAsia" w:cs="Times New Roman"/>
                <w:color w:val="auto"/>
                <w:sz w:val="24"/>
                <w:highlight w:val="none"/>
                <w:u w:val="single"/>
                <w:lang w:val="en-US" w:eastAsia="zh-CN"/>
              </w:rPr>
              <w:t>润滑油</w:t>
            </w:r>
            <w:r>
              <w:rPr>
                <w:rFonts w:hint="eastAsia" w:ascii="Times New Roman" w:hAnsi="Times New Roman" w:eastAsia="宋体" w:cs="Times New Roman"/>
                <w:color w:val="auto"/>
                <w:sz w:val="24"/>
                <w:highlight w:val="none"/>
                <w:u w:val="single"/>
                <w:lang w:val="en-US" w:eastAsia="zh-CN"/>
              </w:rPr>
              <w:t>约为0.</w:t>
            </w:r>
            <w:r>
              <w:rPr>
                <w:rFonts w:hint="eastAsia" w:cs="Times New Roman"/>
                <w:color w:val="auto"/>
                <w:sz w:val="24"/>
                <w:highlight w:val="none"/>
                <w:u w:val="single"/>
                <w:lang w:val="en-US" w:eastAsia="zh-CN"/>
              </w:rPr>
              <w:t>01</w:t>
            </w:r>
            <w:r>
              <w:rPr>
                <w:rFonts w:hint="eastAsia" w:ascii="Times New Roman" w:hAnsi="Times New Roman" w:eastAsia="宋体" w:cs="Times New Roman"/>
                <w:color w:val="auto"/>
                <w:sz w:val="24"/>
                <w:highlight w:val="none"/>
                <w:u w:val="single"/>
                <w:lang w:val="en-US" w:eastAsia="zh-CN"/>
              </w:rPr>
              <w:t>t，由建设单位收集后，定期委托有资质单位处置。沾染有废</w:t>
            </w:r>
            <w:r>
              <w:rPr>
                <w:rFonts w:hint="eastAsia" w:cs="Times New Roman"/>
                <w:color w:val="auto"/>
                <w:sz w:val="24"/>
                <w:highlight w:val="none"/>
                <w:u w:val="single"/>
                <w:lang w:val="en-US" w:eastAsia="zh-CN"/>
              </w:rPr>
              <w:t>润滑油</w:t>
            </w:r>
            <w:r>
              <w:rPr>
                <w:rFonts w:hint="eastAsia" w:ascii="Times New Roman" w:hAnsi="Times New Roman" w:eastAsia="宋体" w:cs="Times New Roman"/>
                <w:color w:val="auto"/>
                <w:sz w:val="24"/>
                <w:highlight w:val="none"/>
                <w:u w:val="single"/>
                <w:lang w:val="en-US" w:eastAsia="zh-CN"/>
              </w:rPr>
              <w:t>的</w:t>
            </w:r>
            <w:r>
              <w:rPr>
                <w:rFonts w:hint="eastAsia" w:cs="Times New Roman"/>
                <w:color w:val="auto"/>
                <w:sz w:val="24"/>
                <w:highlight w:val="none"/>
                <w:u w:val="single"/>
                <w:lang w:val="en-US" w:eastAsia="zh-CN"/>
              </w:rPr>
              <w:t>润滑油桶</w:t>
            </w:r>
            <w:r>
              <w:rPr>
                <w:rFonts w:hint="eastAsia" w:ascii="Times New Roman" w:hAnsi="Times New Roman" w:eastAsia="宋体" w:cs="Times New Roman"/>
                <w:color w:val="auto"/>
                <w:sz w:val="24"/>
                <w:highlight w:val="none"/>
                <w:u w:val="single"/>
                <w:lang w:val="en-US" w:eastAsia="zh-CN"/>
              </w:rPr>
              <w:t>仍属于危险废物</w:t>
            </w:r>
            <w:r>
              <w:rPr>
                <w:rFonts w:hint="eastAsia" w:cs="Times New Roman"/>
                <w:color w:val="auto"/>
                <w:sz w:val="24"/>
                <w:highlight w:val="none"/>
                <w:u w:val="single"/>
                <w:lang w:val="en-US" w:eastAsia="zh-CN"/>
              </w:rPr>
              <w:t>（</w:t>
            </w:r>
            <w:r>
              <w:rPr>
                <w:rFonts w:hint="eastAsia" w:ascii="Times New Roman" w:hAnsi="Times New Roman" w:eastAsia="宋体" w:cs="Times New Roman"/>
                <w:color w:val="auto"/>
                <w:kern w:val="0"/>
                <w:sz w:val="24"/>
                <w:highlight w:val="none"/>
                <w:u w:val="single"/>
                <w:lang w:val="en-US" w:eastAsia="zh-CN"/>
              </w:rPr>
              <w:t>HW</w:t>
            </w:r>
            <w:r>
              <w:rPr>
                <w:rFonts w:hint="eastAsia" w:cs="Times New Roman"/>
                <w:color w:val="auto"/>
                <w:kern w:val="0"/>
                <w:sz w:val="24"/>
                <w:highlight w:val="none"/>
                <w:u w:val="single"/>
                <w:lang w:val="en-US" w:eastAsia="zh-CN"/>
              </w:rPr>
              <w:t>08</w:t>
            </w:r>
            <w:r>
              <w:rPr>
                <w:rFonts w:hint="eastAsia" w:ascii="Times New Roman" w:hAnsi="Times New Roman" w:eastAsia="宋体" w:cs="Times New Roman"/>
                <w:color w:val="auto"/>
                <w:kern w:val="0"/>
                <w:sz w:val="24"/>
                <w:highlight w:val="none"/>
                <w:u w:val="single"/>
                <w:lang w:val="en-US" w:eastAsia="zh-CN"/>
              </w:rPr>
              <w:t>废矿物油与含矿物油废物</w:t>
            </w:r>
            <w:r>
              <w:rPr>
                <w:rFonts w:hint="eastAsia" w:cs="Times New Roman"/>
                <w:color w:val="auto"/>
                <w:kern w:val="0"/>
                <w:sz w:val="24"/>
                <w:highlight w:val="none"/>
                <w:u w:val="single"/>
                <w:lang w:val="en-US" w:eastAsia="zh-CN"/>
              </w:rPr>
              <w:t>中</w:t>
            </w:r>
            <w:r>
              <w:rPr>
                <w:rFonts w:hint="eastAsia" w:ascii="Times New Roman" w:hAnsi="Times New Roman" w:eastAsia="宋体" w:cs="Times New Roman"/>
                <w:color w:val="auto"/>
                <w:sz w:val="24"/>
                <w:highlight w:val="none"/>
                <w:u w:val="single"/>
                <w:lang w:val="en-US" w:eastAsia="zh-CN"/>
              </w:rPr>
              <w:t>900-</w:t>
            </w:r>
            <w:r>
              <w:rPr>
                <w:rFonts w:hint="eastAsia" w:cs="Times New Roman"/>
                <w:color w:val="auto"/>
                <w:sz w:val="24"/>
                <w:highlight w:val="none"/>
                <w:u w:val="single"/>
                <w:lang w:val="en-US" w:eastAsia="zh-CN"/>
              </w:rPr>
              <w:t>249</w:t>
            </w:r>
            <w:r>
              <w:rPr>
                <w:rFonts w:hint="eastAsia" w:ascii="Times New Roman" w:hAnsi="Times New Roman" w:eastAsia="宋体" w:cs="Times New Roman"/>
                <w:color w:val="auto"/>
                <w:sz w:val="24"/>
                <w:highlight w:val="none"/>
                <w:u w:val="single"/>
                <w:lang w:val="en-US" w:eastAsia="zh-CN"/>
              </w:rPr>
              <w:t>-</w:t>
            </w:r>
            <w:r>
              <w:rPr>
                <w:rFonts w:hint="eastAsia" w:cs="Times New Roman"/>
                <w:color w:val="auto"/>
                <w:sz w:val="24"/>
                <w:highlight w:val="none"/>
                <w:u w:val="single"/>
                <w:lang w:val="en-US" w:eastAsia="zh-CN"/>
              </w:rPr>
              <w:t>08其他生产、销售、使用过程中产生的废矿物油及沾染矿物油的废弃包装物）</w:t>
            </w:r>
            <w:r>
              <w:rPr>
                <w:rFonts w:hint="eastAsia" w:ascii="Times New Roman" w:hAnsi="Times New Roman" w:eastAsia="宋体" w:cs="Times New Roman"/>
                <w:color w:val="auto"/>
                <w:sz w:val="24"/>
                <w:highlight w:val="none"/>
                <w:u w:val="single"/>
                <w:lang w:val="en-US" w:eastAsia="zh-CN"/>
              </w:rPr>
              <w:t>，约0.02</w:t>
            </w:r>
            <w:r>
              <w:rPr>
                <w:rFonts w:hint="eastAsia" w:cs="Times New Roman"/>
                <w:color w:val="auto"/>
                <w:sz w:val="24"/>
                <w:highlight w:val="none"/>
                <w:u w:val="single"/>
                <w:lang w:val="en-US" w:eastAsia="zh-CN"/>
              </w:rPr>
              <w:t>t</w:t>
            </w:r>
            <w:r>
              <w:rPr>
                <w:rFonts w:hint="eastAsia" w:ascii="Times New Roman" w:hAnsi="Times New Roman" w:eastAsia="宋体" w:cs="Times New Roman"/>
                <w:color w:val="auto"/>
                <w:sz w:val="24"/>
                <w:highlight w:val="none"/>
                <w:u w:val="single"/>
                <w:lang w:val="en-US" w:eastAsia="zh-CN"/>
              </w:rPr>
              <w:t>/a</w:t>
            </w:r>
            <w:r>
              <w:rPr>
                <w:rFonts w:hint="eastAsia" w:cs="Times New Roman"/>
                <w:color w:val="auto"/>
                <w:sz w:val="24"/>
                <w:highlight w:val="none"/>
                <w:u w:val="single"/>
                <w:lang w:val="en-US" w:eastAsia="zh-CN"/>
              </w:rPr>
              <w:t>，</w:t>
            </w:r>
            <w:r>
              <w:rPr>
                <w:rFonts w:hint="default" w:ascii="Times New Roman" w:hAnsi="Times New Roman" w:eastAsia="宋体" w:cs="Times New Roman"/>
                <w:color w:val="auto"/>
                <w:sz w:val="24"/>
                <w:highlight w:val="none"/>
                <w:u w:val="single"/>
                <w:lang w:val="en-US" w:eastAsia="zh-CN"/>
              </w:rPr>
              <w:t>暂存于危险废物暂存间，交由有危废资质的单位进行处置</w:t>
            </w:r>
            <w:r>
              <w:rPr>
                <w:rFonts w:hint="eastAsia" w:ascii="Times New Roman" w:hAnsi="Times New Roman" w:eastAsia="宋体" w:cs="Times New Roman"/>
                <w:color w:val="auto"/>
                <w:sz w:val="24"/>
                <w:highlight w:val="none"/>
                <w:u w:val="single"/>
                <w:lang w:val="en-US" w:eastAsia="zh-CN"/>
              </w:rPr>
              <w:t>。</w:t>
            </w:r>
          </w:p>
          <w:p w14:paraId="485A30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w:t>
            </w:r>
            <w:r>
              <w:rPr>
                <w:rFonts w:hint="eastAsia" w:cs="Times New Roman"/>
                <w:color w:val="auto"/>
                <w:sz w:val="24"/>
                <w:highlight w:val="none"/>
                <w:u w:val="single"/>
                <w:lang w:val="en-US" w:eastAsia="zh-CN"/>
              </w:rPr>
              <w:t>6</w:t>
            </w:r>
            <w:r>
              <w:rPr>
                <w:rFonts w:hint="eastAsia" w:ascii="Times New Roman" w:hAnsi="Times New Roman" w:eastAsia="宋体" w:cs="Times New Roman"/>
                <w:color w:val="auto"/>
                <w:sz w:val="24"/>
                <w:highlight w:val="none"/>
                <w:u w:val="single"/>
                <w:lang w:val="en-US" w:eastAsia="zh-CN"/>
              </w:rPr>
              <w:t>）</w:t>
            </w:r>
            <w:r>
              <w:rPr>
                <w:rFonts w:hint="eastAsia" w:cs="Times New Roman"/>
                <w:color w:val="auto"/>
                <w:sz w:val="24"/>
                <w:highlight w:val="none"/>
                <w:u w:val="single"/>
                <w:lang w:val="en-US" w:eastAsia="zh-CN"/>
              </w:rPr>
              <w:t>含油废抹布和手套</w:t>
            </w:r>
          </w:p>
          <w:p w14:paraId="57C5E8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u w:val="single"/>
                <w:lang w:val="en-US" w:eastAsia="zh-CN"/>
              </w:rPr>
            </w:pPr>
            <w:r>
              <w:rPr>
                <w:rFonts w:hint="default" w:ascii="Times New Roman" w:hAnsi="Times New Roman" w:eastAsia="宋体" w:cs="Times New Roman"/>
                <w:color w:val="auto"/>
                <w:sz w:val="24"/>
                <w:highlight w:val="none"/>
                <w:u w:val="single"/>
                <w:lang w:val="en-US" w:eastAsia="zh-CN"/>
              </w:rPr>
              <w:t>项目设备维修过程会产生含油废抹布和手套，产生量约为0.001ta，属于《国家危险废物名录》</w:t>
            </w:r>
            <w:r>
              <w:rPr>
                <w:rFonts w:hint="eastAsia" w:cs="Times New Roman"/>
                <w:color w:val="auto"/>
                <w:sz w:val="24"/>
                <w:highlight w:val="none"/>
                <w:u w:val="single"/>
                <w:lang w:val="en-US" w:eastAsia="zh-CN"/>
              </w:rPr>
              <w:t>（</w:t>
            </w:r>
            <w:r>
              <w:rPr>
                <w:rFonts w:hint="default" w:ascii="Times New Roman" w:hAnsi="Times New Roman" w:eastAsia="宋体" w:cs="Times New Roman"/>
                <w:color w:val="auto"/>
                <w:sz w:val="24"/>
                <w:highlight w:val="none"/>
                <w:u w:val="single"/>
                <w:lang w:val="en-US" w:eastAsia="zh-CN"/>
              </w:rPr>
              <w:t>2021年</w:t>
            </w:r>
            <w:r>
              <w:rPr>
                <w:rFonts w:hint="eastAsia" w:cs="Times New Roman"/>
                <w:color w:val="auto"/>
                <w:sz w:val="24"/>
                <w:highlight w:val="none"/>
                <w:u w:val="single"/>
                <w:lang w:val="en-US" w:eastAsia="zh-CN"/>
              </w:rPr>
              <w:t>）</w:t>
            </w:r>
            <w:r>
              <w:rPr>
                <w:rFonts w:hint="default" w:ascii="Times New Roman" w:hAnsi="Times New Roman" w:eastAsia="宋体" w:cs="Times New Roman"/>
                <w:color w:val="auto"/>
                <w:sz w:val="24"/>
                <w:highlight w:val="none"/>
                <w:u w:val="single"/>
                <w:lang w:val="en-US" w:eastAsia="zh-CN"/>
              </w:rPr>
              <w:t>中的HW49其他废物，代码为900-041-49</w:t>
            </w:r>
            <w:r>
              <w:rPr>
                <w:rFonts w:hint="eastAsia" w:cs="Times New Roman"/>
                <w:color w:val="auto"/>
                <w:sz w:val="24"/>
                <w:highlight w:val="none"/>
                <w:u w:val="single"/>
                <w:lang w:val="en-US" w:eastAsia="zh-CN"/>
              </w:rPr>
              <w:t>（</w:t>
            </w:r>
            <w:r>
              <w:rPr>
                <w:rFonts w:hint="default" w:ascii="Times New Roman" w:hAnsi="Times New Roman" w:eastAsia="宋体" w:cs="Times New Roman"/>
                <w:color w:val="auto"/>
                <w:sz w:val="24"/>
                <w:highlight w:val="none"/>
                <w:u w:val="single"/>
                <w:lang w:val="en-US" w:eastAsia="zh-CN"/>
              </w:rPr>
              <w:t>含有或沾染毒性、感染性危险废物的废弃包装物、容器、过滤吸附介质</w:t>
            </w:r>
            <w:r>
              <w:rPr>
                <w:rFonts w:hint="eastAsia" w:cs="Times New Roman"/>
                <w:color w:val="auto"/>
                <w:sz w:val="24"/>
                <w:highlight w:val="none"/>
                <w:u w:val="single"/>
                <w:lang w:val="en-US" w:eastAsia="zh-CN"/>
              </w:rPr>
              <w:t>）</w:t>
            </w:r>
            <w:r>
              <w:rPr>
                <w:rFonts w:hint="default" w:ascii="Times New Roman" w:hAnsi="Times New Roman" w:eastAsia="宋体" w:cs="Times New Roman"/>
                <w:color w:val="auto"/>
                <w:sz w:val="24"/>
                <w:highlight w:val="none"/>
                <w:u w:val="single"/>
                <w:lang w:val="en-US" w:eastAsia="zh-CN"/>
              </w:rPr>
              <w:t>。经收集后暂存于危险废物暂存间，交由有危废资质的单位进行处置</w:t>
            </w:r>
            <w:r>
              <w:rPr>
                <w:rFonts w:hint="eastAsia" w:cs="Times New Roman"/>
                <w:color w:val="auto"/>
                <w:sz w:val="24"/>
                <w:highlight w:val="none"/>
                <w:u w:val="single"/>
                <w:lang w:val="en-US" w:eastAsia="zh-CN"/>
              </w:rPr>
              <w:t>。</w:t>
            </w:r>
          </w:p>
          <w:p w14:paraId="61C318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（7）废活性炭</w:t>
            </w:r>
          </w:p>
          <w:p w14:paraId="535A09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本项目废气处理过程采用活性炭吸附处理，活性炭吸附饱和后需定期更换，产生废活性炭。根据《国家危险废物名录》（2021），废活性炭属于HW49</w:t>
            </w:r>
            <w:r>
              <w:rPr>
                <w:rFonts w:hint="eastAsia" w:cs="Times New Roman"/>
                <w:color w:val="auto"/>
                <w:sz w:val="24"/>
                <w:highlight w:val="none"/>
                <w:u w:val="single"/>
                <w:lang w:val="en-US" w:eastAsia="zh-CN"/>
              </w:rPr>
              <w:t>其他废物</w:t>
            </w:r>
            <w:r>
              <w:rPr>
                <w:rFonts w:hint="eastAsia" w:ascii="Times New Roman" w:hAnsi="Times New Roman" w:eastAsia="宋体" w:cs="Times New Roman"/>
                <w:color w:val="auto"/>
                <w:sz w:val="24"/>
                <w:highlight w:val="none"/>
                <w:u w:val="single"/>
                <w:lang w:val="en-US" w:eastAsia="zh-CN"/>
              </w:rPr>
              <w:t>（900-039-49），活性炭与有机废气的吸附比取决于CTC，一般为20%</w:t>
            </w:r>
            <w:r>
              <w:rPr>
                <w:rFonts w:hint="eastAsia" w:cs="Times New Roman"/>
                <w:color w:val="auto"/>
                <w:sz w:val="24"/>
                <w:highlight w:val="none"/>
                <w:u w:val="single"/>
                <w:lang w:val="en-US" w:eastAsia="zh-CN"/>
              </w:rPr>
              <w:t>～</w:t>
            </w:r>
            <w:r>
              <w:rPr>
                <w:rFonts w:hint="eastAsia" w:ascii="Times New Roman" w:hAnsi="Times New Roman" w:eastAsia="宋体" w:cs="Times New Roman"/>
                <w:color w:val="auto"/>
                <w:sz w:val="24"/>
                <w:highlight w:val="none"/>
                <w:u w:val="single"/>
                <w:lang w:val="en-US" w:eastAsia="zh-CN"/>
              </w:rPr>
              <w:t>110%，环评取中间值65%，即活性炭与有机废气吸附比=1:0.65；年被活性炭吸附的挥发性有机物产生量1.</w:t>
            </w:r>
            <w:r>
              <w:rPr>
                <w:rFonts w:hint="eastAsia" w:cs="Times New Roman"/>
                <w:color w:val="auto"/>
                <w:sz w:val="24"/>
                <w:highlight w:val="none"/>
                <w:u w:val="single"/>
                <w:lang w:val="en-US" w:eastAsia="zh-CN"/>
              </w:rPr>
              <w:t>77</w:t>
            </w:r>
            <w:r>
              <w:rPr>
                <w:rFonts w:hint="eastAsia" w:ascii="Times New Roman" w:hAnsi="Times New Roman" w:eastAsia="宋体" w:cs="Times New Roman"/>
                <w:color w:val="auto"/>
                <w:sz w:val="24"/>
                <w:highlight w:val="none"/>
                <w:u w:val="single"/>
                <w:lang w:val="en-US" w:eastAsia="zh-CN"/>
              </w:rPr>
              <w:t>t/a，消耗活性炭1.</w:t>
            </w:r>
            <w:r>
              <w:rPr>
                <w:rFonts w:hint="eastAsia" w:cs="Times New Roman"/>
                <w:color w:val="auto"/>
                <w:sz w:val="24"/>
                <w:highlight w:val="none"/>
                <w:u w:val="single"/>
                <w:lang w:val="en-US" w:eastAsia="zh-CN"/>
              </w:rPr>
              <w:t>77</w:t>
            </w:r>
            <w:r>
              <w:rPr>
                <w:rFonts w:hint="eastAsia" w:ascii="Times New Roman" w:hAnsi="Times New Roman" w:eastAsia="宋体" w:cs="Times New Roman"/>
                <w:color w:val="auto"/>
                <w:sz w:val="24"/>
                <w:highlight w:val="none"/>
                <w:u w:val="single"/>
                <w:lang w:val="en-US" w:eastAsia="zh-CN"/>
              </w:rPr>
              <w:t>/0.65=</w:t>
            </w:r>
            <w:r>
              <w:rPr>
                <w:rFonts w:hint="eastAsia" w:cs="Times New Roman"/>
                <w:color w:val="auto"/>
                <w:sz w:val="24"/>
                <w:highlight w:val="none"/>
                <w:u w:val="single"/>
                <w:lang w:val="en-US" w:eastAsia="zh-CN"/>
              </w:rPr>
              <w:t>2.72</w:t>
            </w:r>
            <w:r>
              <w:rPr>
                <w:rFonts w:hint="eastAsia" w:ascii="Times New Roman" w:hAnsi="Times New Roman" w:eastAsia="宋体" w:cs="Times New Roman"/>
                <w:color w:val="auto"/>
                <w:sz w:val="24"/>
                <w:highlight w:val="none"/>
                <w:u w:val="single"/>
                <w:lang w:val="en-US" w:eastAsia="zh-CN"/>
              </w:rPr>
              <w:t>t/a。产生废活性炭1.</w:t>
            </w:r>
            <w:r>
              <w:rPr>
                <w:rFonts w:hint="eastAsia" w:cs="Times New Roman"/>
                <w:color w:val="auto"/>
                <w:sz w:val="24"/>
                <w:highlight w:val="none"/>
                <w:u w:val="single"/>
                <w:lang w:val="en-US" w:eastAsia="zh-CN"/>
              </w:rPr>
              <w:t>77</w:t>
            </w:r>
            <w:r>
              <w:rPr>
                <w:rFonts w:hint="eastAsia" w:ascii="Times New Roman" w:hAnsi="Times New Roman" w:eastAsia="宋体" w:cs="Times New Roman"/>
                <w:color w:val="auto"/>
                <w:sz w:val="24"/>
                <w:highlight w:val="none"/>
                <w:u w:val="single"/>
                <w:lang w:val="en-US" w:eastAsia="zh-CN"/>
              </w:rPr>
              <w:t>+</w:t>
            </w:r>
            <w:r>
              <w:rPr>
                <w:rFonts w:hint="eastAsia" w:cs="Times New Roman"/>
                <w:color w:val="auto"/>
                <w:sz w:val="24"/>
                <w:highlight w:val="none"/>
                <w:u w:val="single"/>
                <w:lang w:val="en-US" w:eastAsia="zh-CN"/>
              </w:rPr>
              <w:t>2.72</w:t>
            </w:r>
            <w:r>
              <w:rPr>
                <w:rFonts w:hint="eastAsia" w:ascii="Times New Roman" w:hAnsi="Times New Roman" w:eastAsia="宋体" w:cs="Times New Roman"/>
                <w:color w:val="auto"/>
                <w:sz w:val="24"/>
                <w:highlight w:val="none"/>
                <w:u w:val="single"/>
                <w:lang w:val="en-US" w:eastAsia="zh-CN"/>
              </w:rPr>
              <w:t>=</w:t>
            </w:r>
            <w:r>
              <w:rPr>
                <w:rFonts w:hint="eastAsia" w:cs="Times New Roman"/>
                <w:color w:val="auto"/>
                <w:sz w:val="24"/>
                <w:highlight w:val="none"/>
                <w:u w:val="single"/>
                <w:lang w:val="en-US" w:eastAsia="zh-CN"/>
              </w:rPr>
              <w:t>4.49</w:t>
            </w:r>
            <w:r>
              <w:rPr>
                <w:rFonts w:hint="eastAsia" w:ascii="Times New Roman" w:hAnsi="Times New Roman" w:eastAsia="宋体" w:cs="Times New Roman"/>
                <w:color w:val="auto"/>
                <w:sz w:val="24"/>
                <w:highlight w:val="none"/>
                <w:u w:val="single"/>
                <w:lang w:val="en-US" w:eastAsia="zh-CN"/>
              </w:rPr>
              <w:t>t/a。</w:t>
            </w:r>
          </w:p>
          <w:p w14:paraId="39804B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（8）生活垃圾</w:t>
            </w:r>
          </w:p>
          <w:p w14:paraId="4E6CD1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项目</w:t>
            </w:r>
            <w:r>
              <w:rPr>
                <w:rFonts w:hint="eastAsia" w:cs="Times New Roman"/>
                <w:color w:val="auto"/>
                <w:sz w:val="24"/>
                <w:highlight w:val="none"/>
                <w:u w:val="single"/>
                <w:lang w:val="en-US" w:eastAsia="zh-CN"/>
              </w:rPr>
              <w:t>劳动</w:t>
            </w:r>
            <w:r>
              <w:rPr>
                <w:rFonts w:hint="eastAsia" w:ascii="Times New Roman" w:hAnsi="Times New Roman" w:eastAsia="宋体" w:cs="Times New Roman"/>
                <w:color w:val="auto"/>
                <w:sz w:val="24"/>
                <w:highlight w:val="none"/>
                <w:u w:val="single"/>
                <w:lang w:val="en-US" w:eastAsia="zh-CN"/>
              </w:rPr>
              <w:t>定员</w:t>
            </w:r>
            <w:r>
              <w:rPr>
                <w:rFonts w:hint="eastAsia" w:cs="Times New Roman"/>
                <w:color w:val="auto"/>
                <w:sz w:val="24"/>
                <w:highlight w:val="none"/>
                <w:u w:val="single"/>
                <w:lang w:val="en-US" w:eastAsia="zh-CN"/>
              </w:rPr>
              <w:t>20</w:t>
            </w:r>
            <w:r>
              <w:rPr>
                <w:rFonts w:hint="eastAsia" w:ascii="Times New Roman" w:hAnsi="Times New Roman" w:eastAsia="宋体" w:cs="Times New Roman"/>
                <w:color w:val="auto"/>
                <w:sz w:val="24"/>
                <w:highlight w:val="none"/>
                <w:u w:val="single"/>
                <w:lang w:val="en-US" w:eastAsia="zh-CN"/>
              </w:rPr>
              <w:t>人，年工作</w:t>
            </w:r>
            <w:r>
              <w:rPr>
                <w:rFonts w:hint="eastAsia" w:cs="Times New Roman"/>
                <w:color w:val="auto"/>
                <w:sz w:val="24"/>
                <w:highlight w:val="none"/>
                <w:u w:val="single"/>
                <w:lang w:val="en-US" w:eastAsia="zh-CN"/>
              </w:rPr>
              <w:t>312</w:t>
            </w:r>
            <w:r>
              <w:rPr>
                <w:rFonts w:hint="eastAsia" w:ascii="Times New Roman" w:hAnsi="Times New Roman" w:eastAsia="宋体" w:cs="Times New Roman"/>
                <w:color w:val="auto"/>
                <w:sz w:val="24"/>
                <w:highlight w:val="none"/>
                <w:u w:val="single"/>
                <w:lang w:val="en-US" w:eastAsia="zh-CN"/>
              </w:rPr>
              <w:t>d，生活垃圾每人每天产生5kg，则生活年产生量=</w:t>
            </w:r>
            <w:r>
              <w:rPr>
                <w:rFonts w:hint="eastAsia" w:cs="Times New Roman"/>
                <w:color w:val="auto"/>
                <w:sz w:val="24"/>
                <w:highlight w:val="none"/>
                <w:u w:val="single"/>
                <w:lang w:val="en-US" w:eastAsia="zh-CN"/>
              </w:rPr>
              <w:t>20</w:t>
            </w:r>
            <w:r>
              <w:rPr>
                <w:rFonts w:hint="eastAsia" w:ascii="Times New Roman" w:hAnsi="Times New Roman" w:eastAsia="宋体" w:cs="Times New Roman"/>
                <w:color w:val="auto"/>
                <w:sz w:val="24"/>
                <w:highlight w:val="none"/>
                <w:u w:val="single"/>
                <w:lang w:val="en-US" w:eastAsia="zh-CN"/>
              </w:rPr>
              <w:t>×3</w:t>
            </w:r>
            <w:r>
              <w:rPr>
                <w:rFonts w:hint="eastAsia" w:cs="Times New Roman"/>
                <w:color w:val="auto"/>
                <w:sz w:val="24"/>
                <w:highlight w:val="none"/>
                <w:u w:val="single"/>
                <w:lang w:val="en-US" w:eastAsia="zh-CN"/>
              </w:rPr>
              <w:t>12</w:t>
            </w:r>
            <w:r>
              <w:rPr>
                <w:rFonts w:hint="eastAsia" w:ascii="Times New Roman" w:hAnsi="Times New Roman" w:eastAsia="宋体" w:cs="Times New Roman"/>
                <w:color w:val="auto"/>
                <w:sz w:val="24"/>
                <w:highlight w:val="none"/>
                <w:u w:val="single"/>
                <w:lang w:val="en-US" w:eastAsia="zh-CN"/>
              </w:rPr>
              <w:t>×5×10</w:t>
            </w:r>
            <w:r>
              <w:rPr>
                <w:rFonts w:hint="eastAsia" w:ascii="Times New Roman" w:hAnsi="Times New Roman" w:eastAsia="宋体" w:cs="Times New Roman"/>
                <w:color w:val="auto"/>
                <w:sz w:val="24"/>
                <w:highlight w:val="none"/>
                <w:u w:val="single"/>
                <w:vertAlign w:val="superscript"/>
                <w:lang w:val="en-US" w:eastAsia="zh-CN"/>
              </w:rPr>
              <w:t>-3</w:t>
            </w:r>
            <w:r>
              <w:rPr>
                <w:rFonts w:hint="eastAsia" w:ascii="Times New Roman" w:hAnsi="Times New Roman" w:eastAsia="宋体" w:cs="Times New Roman"/>
                <w:color w:val="auto"/>
                <w:sz w:val="24"/>
                <w:highlight w:val="none"/>
                <w:u w:val="single"/>
                <w:lang w:val="en-US" w:eastAsia="zh-CN"/>
              </w:rPr>
              <w:t>=</w:t>
            </w:r>
            <w:r>
              <w:rPr>
                <w:rFonts w:hint="eastAsia" w:cs="Times New Roman"/>
                <w:color w:val="auto"/>
                <w:sz w:val="24"/>
                <w:highlight w:val="none"/>
                <w:u w:val="single"/>
                <w:lang w:val="en-US" w:eastAsia="zh-CN"/>
              </w:rPr>
              <w:t>31.2</w:t>
            </w:r>
            <w:r>
              <w:rPr>
                <w:rFonts w:hint="eastAsia" w:ascii="Times New Roman" w:hAnsi="Times New Roman" w:eastAsia="宋体" w:cs="Times New Roman"/>
                <w:color w:val="auto"/>
                <w:sz w:val="24"/>
                <w:highlight w:val="none"/>
                <w:u w:val="single"/>
                <w:lang w:val="en-US" w:eastAsia="zh-CN"/>
              </w:rPr>
              <w:t>t。集中收集后交由当地环卫部门处置。</w:t>
            </w:r>
          </w:p>
          <w:p w14:paraId="751919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本项目固体废物产生情况见下表4-14。</w:t>
            </w:r>
          </w:p>
          <w:p w14:paraId="4C0030AE">
            <w:pPr>
              <w:ind w:firstLine="422" w:firstLineChars="200"/>
              <w:jc w:val="center"/>
              <w:rPr>
                <w:rFonts w:hint="eastAsia" w:ascii="Times New Roman" w:hAnsi="Times New Roman" w:eastAsia="宋体" w:cs="Times New Roman"/>
                <w:b/>
                <w:bCs/>
                <w:color w:val="auto"/>
                <w:highlight w:val="none"/>
                <w:u w:val="single"/>
              </w:rPr>
            </w:pPr>
            <w:r>
              <w:rPr>
                <w:rFonts w:hint="eastAsia" w:ascii="Times New Roman" w:hAnsi="Times New Roman" w:eastAsia="宋体" w:cs="Times New Roman"/>
                <w:b/>
                <w:bCs/>
                <w:color w:val="auto"/>
                <w:highlight w:val="none"/>
                <w:u w:val="single"/>
              </w:rPr>
              <w:t>表4-1</w:t>
            </w:r>
            <w:r>
              <w:rPr>
                <w:rFonts w:hint="eastAsia" w:ascii="Times New Roman" w:hAnsi="Times New Roman" w:eastAsia="宋体" w:cs="Times New Roman"/>
                <w:b/>
                <w:bCs/>
                <w:color w:val="auto"/>
                <w:highlight w:val="none"/>
                <w:u w:val="single"/>
                <w:lang w:val="en-US" w:eastAsia="zh-CN"/>
              </w:rPr>
              <w:t>4</w:t>
            </w:r>
            <w:r>
              <w:rPr>
                <w:rFonts w:hint="eastAsia" w:ascii="Times New Roman" w:hAnsi="Times New Roman" w:eastAsia="宋体" w:cs="Times New Roman"/>
                <w:b/>
                <w:bCs/>
                <w:color w:val="auto"/>
                <w:highlight w:val="none"/>
                <w:u w:val="single"/>
              </w:rPr>
              <w:t xml:space="preserve">  项目固体废物产生情况</w:t>
            </w:r>
          </w:p>
          <w:tbl>
            <w:tblPr>
              <w:tblStyle w:val="22"/>
              <w:tblW w:w="7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33"/>
              <w:gridCol w:w="1394"/>
              <w:gridCol w:w="1334"/>
              <w:gridCol w:w="1360"/>
              <w:gridCol w:w="1266"/>
            </w:tblGrid>
            <w:tr w14:paraId="22DE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0" w:type="dxa"/>
                  <w:vAlign w:val="center"/>
                </w:tcPr>
                <w:p w14:paraId="02FAD7FE">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序号</w:t>
                  </w:r>
                </w:p>
              </w:tc>
              <w:tc>
                <w:tcPr>
                  <w:tcW w:w="1433" w:type="dxa"/>
                  <w:vAlign w:val="center"/>
                </w:tcPr>
                <w:p w14:paraId="6001BBF7">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固废名称</w:t>
                  </w:r>
                </w:p>
              </w:tc>
              <w:tc>
                <w:tcPr>
                  <w:tcW w:w="1394" w:type="dxa"/>
                  <w:vAlign w:val="center"/>
                </w:tcPr>
                <w:p w14:paraId="0CCE3FC2">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固废类型</w:t>
                  </w:r>
                </w:p>
              </w:tc>
              <w:tc>
                <w:tcPr>
                  <w:tcW w:w="1334" w:type="dxa"/>
                  <w:vAlign w:val="center"/>
                </w:tcPr>
                <w:p w14:paraId="47381211">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危废代码</w:t>
                  </w:r>
                </w:p>
              </w:tc>
              <w:tc>
                <w:tcPr>
                  <w:tcW w:w="1360" w:type="dxa"/>
                  <w:vAlign w:val="center"/>
                </w:tcPr>
                <w:p w14:paraId="3A010973">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年产生量（t</w:t>
                  </w:r>
                  <w:r>
                    <w:rPr>
                      <w:rFonts w:hint="eastAsia" w:cs="Times New Roman"/>
                      <w:color w:val="auto"/>
                      <w:highlight w:val="none"/>
                      <w:u w:val="single"/>
                      <w:lang w:val="en-US" w:eastAsia="zh-CN"/>
                    </w:rPr>
                    <w:t>/a</w:t>
                  </w:r>
                  <w:r>
                    <w:rPr>
                      <w:rFonts w:hint="eastAsia" w:ascii="Times New Roman" w:hAnsi="Times New Roman" w:eastAsia="宋体" w:cs="Times New Roman"/>
                      <w:color w:val="auto"/>
                      <w:highlight w:val="none"/>
                      <w:u w:val="single"/>
                    </w:rPr>
                    <w:t>）</w:t>
                  </w:r>
                </w:p>
              </w:tc>
              <w:tc>
                <w:tcPr>
                  <w:tcW w:w="1266" w:type="dxa"/>
                  <w:vAlign w:val="center"/>
                </w:tcPr>
                <w:p w14:paraId="6829B397">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去向</w:t>
                  </w:r>
                </w:p>
              </w:tc>
            </w:tr>
            <w:tr w14:paraId="02CD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0" w:type="dxa"/>
                  <w:vAlign w:val="center"/>
                </w:tcPr>
                <w:p w14:paraId="424630A1">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1</w:t>
                  </w:r>
                </w:p>
              </w:tc>
              <w:tc>
                <w:tcPr>
                  <w:tcW w:w="1433" w:type="dxa"/>
                  <w:vAlign w:val="center"/>
                </w:tcPr>
                <w:p w14:paraId="370FB55B">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炉渣</w:t>
                  </w:r>
                </w:p>
              </w:tc>
              <w:tc>
                <w:tcPr>
                  <w:tcW w:w="1394" w:type="dxa"/>
                  <w:vAlign w:val="center"/>
                </w:tcPr>
                <w:p w14:paraId="3D8E363D">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一般固废</w:t>
                  </w:r>
                </w:p>
              </w:tc>
              <w:tc>
                <w:tcPr>
                  <w:tcW w:w="1334" w:type="dxa"/>
                  <w:vAlign w:val="center"/>
                </w:tcPr>
                <w:p w14:paraId="10A5EB79">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w:t>
                  </w:r>
                </w:p>
              </w:tc>
              <w:tc>
                <w:tcPr>
                  <w:tcW w:w="1360" w:type="dxa"/>
                  <w:vAlign w:val="center"/>
                </w:tcPr>
                <w:p w14:paraId="0DD77A1A">
                  <w:pPr>
                    <w:jc w:val="center"/>
                    <w:rPr>
                      <w:rFonts w:hint="default" w:ascii="Times New Roman" w:hAnsi="Times New Roman" w:eastAsia="宋体" w:cs="Times New Roman"/>
                      <w:color w:val="auto"/>
                      <w:highlight w:val="none"/>
                      <w:u w:val="single"/>
                      <w:lang w:val="en-US" w:eastAsia="zh-CN"/>
                    </w:rPr>
                  </w:pPr>
                  <w:r>
                    <w:rPr>
                      <w:rFonts w:hint="eastAsia" w:ascii="Times New Roman" w:hAnsi="Times New Roman" w:eastAsia="宋体" w:cs="Times New Roman"/>
                      <w:color w:val="auto"/>
                      <w:highlight w:val="none"/>
                      <w:u w:val="single"/>
                    </w:rPr>
                    <w:t>15</w:t>
                  </w:r>
                  <w:r>
                    <w:rPr>
                      <w:rFonts w:hint="eastAsia" w:cs="Times New Roman"/>
                      <w:color w:val="auto"/>
                      <w:highlight w:val="none"/>
                      <w:u w:val="single"/>
                      <w:lang w:val="en-US" w:eastAsia="zh-CN"/>
                    </w:rPr>
                    <w:t>2.5</w:t>
                  </w:r>
                </w:p>
              </w:tc>
              <w:tc>
                <w:tcPr>
                  <w:tcW w:w="1266" w:type="dxa"/>
                  <w:vMerge w:val="restart"/>
                  <w:vAlign w:val="center"/>
                </w:tcPr>
                <w:p w14:paraId="0F11B3B8">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收集后外售综合利用</w:t>
                  </w:r>
                </w:p>
              </w:tc>
            </w:tr>
            <w:tr w14:paraId="7FEB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30" w:type="dxa"/>
                  <w:vAlign w:val="center"/>
                </w:tcPr>
                <w:p w14:paraId="7069C401">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2</w:t>
                  </w:r>
                </w:p>
              </w:tc>
              <w:tc>
                <w:tcPr>
                  <w:tcW w:w="1433" w:type="dxa"/>
                  <w:vAlign w:val="center"/>
                </w:tcPr>
                <w:p w14:paraId="13C9F69B">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布袋除尘灰</w:t>
                  </w:r>
                </w:p>
              </w:tc>
              <w:tc>
                <w:tcPr>
                  <w:tcW w:w="1394" w:type="dxa"/>
                  <w:vAlign w:val="center"/>
                </w:tcPr>
                <w:p w14:paraId="61DCC76D">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一般固废</w:t>
                  </w:r>
                </w:p>
              </w:tc>
              <w:tc>
                <w:tcPr>
                  <w:tcW w:w="1334" w:type="dxa"/>
                  <w:vAlign w:val="center"/>
                </w:tcPr>
                <w:p w14:paraId="612FD1DB">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w:t>
                  </w:r>
                </w:p>
              </w:tc>
              <w:tc>
                <w:tcPr>
                  <w:tcW w:w="1360" w:type="dxa"/>
                  <w:vAlign w:val="center"/>
                </w:tcPr>
                <w:p w14:paraId="01E81E93">
                  <w:pPr>
                    <w:jc w:val="center"/>
                    <w:rPr>
                      <w:rFonts w:hint="default" w:ascii="Times New Roman" w:hAnsi="Times New Roman" w:eastAsia="宋体" w:cs="Times New Roman"/>
                      <w:color w:val="auto"/>
                      <w:highlight w:val="none"/>
                      <w:u w:val="single"/>
                      <w:lang w:val="en-US" w:eastAsia="zh-CN"/>
                    </w:rPr>
                  </w:pPr>
                  <w:r>
                    <w:rPr>
                      <w:rFonts w:hint="eastAsia" w:cs="Times New Roman"/>
                      <w:color w:val="auto"/>
                      <w:highlight w:val="none"/>
                      <w:u w:val="single"/>
                      <w:lang w:val="en-US" w:eastAsia="zh-CN"/>
                    </w:rPr>
                    <w:t>142.10</w:t>
                  </w:r>
                </w:p>
              </w:tc>
              <w:tc>
                <w:tcPr>
                  <w:tcW w:w="1266" w:type="dxa"/>
                  <w:vMerge w:val="continue"/>
                  <w:vAlign w:val="center"/>
                </w:tcPr>
                <w:p w14:paraId="657AAAC1">
                  <w:pPr>
                    <w:jc w:val="center"/>
                    <w:rPr>
                      <w:rFonts w:hint="eastAsia" w:ascii="Times New Roman" w:hAnsi="Times New Roman" w:eastAsia="宋体" w:cs="Times New Roman"/>
                      <w:color w:val="auto"/>
                      <w:highlight w:val="none"/>
                      <w:u w:val="single"/>
                    </w:rPr>
                  </w:pPr>
                </w:p>
              </w:tc>
            </w:tr>
            <w:tr w14:paraId="1316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0" w:type="dxa"/>
                  <w:vAlign w:val="center"/>
                </w:tcPr>
                <w:p w14:paraId="38EEB668">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3</w:t>
                  </w:r>
                </w:p>
              </w:tc>
              <w:tc>
                <w:tcPr>
                  <w:tcW w:w="1433" w:type="dxa"/>
                  <w:vAlign w:val="center"/>
                </w:tcPr>
                <w:p w14:paraId="37AC2C0B">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冒口</w:t>
                  </w:r>
                </w:p>
              </w:tc>
              <w:tc>
                <w:tcPr>
                  <w:tcW w:w="1394" w:type="dxa"/>
                  <w:vAlign w:val="center"/>
                </w:tcPr>
                <w:p w14:paraId="1B130D21">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一般固废</w:t>
                  </w:r>
                </w:p>
              </w:tc>
              <w:tc>
                <w:tcPr>
                  <w:tcW w:w="1334" w:type="dxa"/>
                  <w:vAlign w:val="center"/>
                </w:tcPr>
                <w:p w14:paraId="5EC61E50">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w:t>
                  </w:r>
                </w:p>
              </w:tc>
              <w:tc>
                <w:tcPr>
                  <w:tcW w:w="1360" w:type="dxa"/>
                  <w:vAlign w:val="center"/>
                </w:tcPr>
                <w:p w14:paraId="6C5F5F97">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420</w:t>
                  </w:r>
                </w:p>
              </w:tc>
              <w:tc>
                <w:tcPr>
                  <w:tcW w:w="1266" w:type="dxa"/>
                  <w:vMerge w:val="restart"/>
                  <w:vAlign w:val="center"/>
                </w:tcPr>
                <w:p w14:paraId="6380C244">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投入中频炉再利用</w:t>
                  </w:r>
                </w:p>
              </w:tc>
            </w:tr>
            <w:tr w14:paraId="7E77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0" w:type="dxa"/>
                  <w:vAlign w:val="center"/>
                </w:tcPr>
                <w:p w14:paraId="11D245E9">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4</w:t>
                  </w:r>
                </w:p>
              </w:tc>
              <w:tc>
                <w:tcPr>
                  <w:tcW w:w="1433" w:type="dxa"/>
                  <w:vAlign w:val="center"/>
                </w:tcPr>
                <w:p w14:paraId="7C38FC6D">
                  <w:pPr>
                    <w:jc w:val="center"/>
                    <w:rPr>
                      <w:rFonts w:hint="eastAsia" w:ascii="Times New Roman" w:hAnsi="Times New Roman" w:eastAsia="宋体" w:cs="Times New Roman"/>
                      <w:color w:val="auto"/>
                      <w:highlight w:val="none"/>
                      <w:u w:val="single"/>
                      <w:lang w:eastAsia="zh-CN"/>
                    </w:rPr>
                  </w:pPr>
                  <w:r>
                    <w:rPr>
                      <w:rFonts w:hint="eastAsia" w:ascii="Times New Roman" w:hAnsi="Times New Roman" w:eastAsia="宋体" w:cs="Times New Roman"/>
                      <w:color w:val="auto"/>
                      <w:highlight w:val="none"/>
                      <w:u w:val="single"/>
                    </w:rPr>
                    <w:t>不合格</w:t>
                  </w:r>
                  <w:r>
                    <w:rPr>
                      <w:rFonts w:hint="eastAsia" w:cs="Times New Roman"/>
                      <w:color w:val="auto"/>
                      <w:highlight w:val="none"/>
                      <w:u w:val="single"/>
                      <w:lang w:val="en-US" w:eastAsia="zh-CN"/>
                    </w:rPr>
                    <w:t>铸件</w:t>
                  </w:r>
                </w:p>
              </w:tc>
              <w:tc>
                <w:tcPr>
                  <w:tcW w:w="1394" w:type="dxa"/>
                  <w:vAlign w:val="center"/>
                </w:tcPr>
                <w:p w14:paraId="4673CDB4">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一般固废</w:t>
                  </w:r>
                </w:p>
              </w:tc>
              <w:tc>
                <w:tcPr>
                  <w:tcW w:w="1334" w:type="dxa"/>
                  <w:vAlign w:val="center"/>
                </w:tcPr>
                <w:p w14:paraId="7CC1D7A9">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w:t>
                  </w:r>
                </w:p>
              </w:tc>
              <w:tc>
                <w:tcPr>
                  <w:tcW w:w="1360" w:type="dxa"/>
                  <w:vAlign w:val="center"/>
                </w:tcPr>
                <w:p w14:paraId="38C9E0CB">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390</w:t>
                  </w:r>
                </w:p>
              </w:tc>
              <w:tc>
                <w:tcPr>
                  <w:tcW w:w="1266" w:type="dxa"/>
                  <w:vMerge w:val="continue"/>
                  <w:vAlign w:val="center"/>
                </w:tcPr>
                <w:p w14:paraId="048CAA9D">
                  <w:pPr>
                    <w:jc w:val="center"/>
                    <w:rPr>
                      <w:rFonts w:hint="eastAsia" w:ascii="Times New Roman" w:hAnsi="Times New Roman" w:eastAsia="宋体" w:cs="Times New Roman"/>
                      <w:color w:val="auto"/>
                      <w:highlight w:val="none"/>
                      <w:u w:val="single"/>
                    </w:rPr>
                  </w:pPr>
                </w:p>
              </w:tc>
            </w:tr>
            <w:tr w14:paraId="2E14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30" w:type="dxa"/>
                  <w:vAlign w:val="center"/>
                </w:tcPr>
                <w:p w14:paraId="68D2154C">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5</w:t>
                  </w:r>
                </w:p>
              </w:tc>
              <w:tc>
                <w:tcPr>
                  <w:tcW w:w="1433" w:type="dxa"/>
                  <w:vAlign w:val="center"/>
                </w:tcPr>
                <w:p w14:paraId="6AE6E441">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废</w:t>
                  </w:r>
                  <w:r>
                    <w:rPr>
                      <w:rFonts w:hint="eastAsia" w:cs="Times New Roman"/>
                      <w:color w:val="auto"/>
                      <w:highlight w:val="none"/>
                      <w:u w:val="single"/>
                      <w:lang w:val="en-US" w:eastAsia="zh-CN"/>
                    </w:rPr>
                    <w:t>润滑</w:t>
                  </w:r>
                  <w:r>
                    <w:rPr>
                      <w:rFonts w:hint="eastAsia" w:ascii="Times New Roman" w:hAnsi="Times New Roman" w:eastAsia="宋体" w:cs="Times New Roman"/>
                      <w:color w:val="auto"/>
                      <w:highlight w:val="none"/>
                      <w:u w:val="single"/>
                    </w:rPr>
                    <w:t>油</w:t>
                  </w:r>
                </w:p>
              </w:tc>
              <w:tc>
                <w:tcPr>
                  <w:tcW w:w="1394" w:type="dxa"/>
                  <w:vAlign w:val="center"/>
                </w:tcPr>
                <w:p w14:paraId="6327CD0D">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危险废物</w:t>
                  </w:r>
                </w:p>
              </w:tc>
              <w:tc>
                <w:tcPr>
                  <w:tcW w:w="1334" w:type="dxa"/>
                  <w:vAlign w:val="center"/>
                </w:tcPr>
                <w:p w14:paraId="2D16920C">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900-2</w:t>
                  </w:r>
                  <w:r>
                    <w:rPr>
                      <w:rFonts w:hint="eastAsia" w:cs="Times New Roman"/>
                      <w:color w:val="auto"/>
                      <w:highlight w:val="none"/>
                      <w:u w:val="single"/>
                      <w:lang w:val="en-US" w:eastAsia="zh-CN"/>
                    </w:rPr>
                    <w:t>17</w:t>
                  </w:r>
                  <w:r>
                    <w:rPr>
                      <w:rFonts w:hint="eastAsia" w:ascii="Times New Roman" w:hAnsi="Times New Roman" w:eastAsia="宋体" w:cs="Times New Roman"/>
                      <w:color w:val="auto"/>
                      <w:highlight w:val="none"/>
                      <w:u w:val="single"/>
                    </w:rPr>
                    <w:t>-08</w:t>
                  </w:r>
                </w:p>
              </w:tc>
              <w:tc>
                <w:tcPr>
                  <w:tcW w:w="1360" w:type="dxa"/>
                  <w:vAlign w:val="center"/>
                </w:tcPr>
                <w:p w14:paraId="5DFB12E0">
                  <w:pPr>
                    <w:jc w:val="center"/>
                    <w:rPr>
                      <w:rFonts w:hint="default" w:ascii="Times New Roman" w:hAnsi="Times New Roman" w:eastAsia="宋体" w:cs="Times New Roman"/>
                      <w:color w:val="auto"/>
                      <w:highlight w:val="none"/>
                      <w:u w:val="single"/>
                      <w:lang w:val="en-US" w:eastAsia="zh-CN"/>
                    </w:rPr>
                  </w:pPr>
                  <w:r>
                    <w:rPr>
                      <w:rFonts w:hint="eastAsia" w:ascii="Times New Roman" w:hAnsi="Times New Roman" w:eastAsia="宋体" w:cs="Times New Roman"/>
                      <w:color w:val="auto"/>
                      <w:highlight w:val="none"/>
                      <w:u w:val="single"/>
                    </w:rPr>
                    <w:t>0.</w:t>
                  </w:r>
                  <w:r>
                    <w:rPr>
                      <w:rFonts w:hint="eastAsia" w:cs="Times New Roman"/>
                      <w:color w:val="auto"/>
                      <w:highlight w:val="none"/>
                      <w:u w:val="single"/>
                      <w:lang w:val="en-US" w:eastAsia="zh-CN"/>
                    </w:rPr>
                    <w:t>01</w:t>
                  </w:r>
                </w:p>
              </w:tc>
              <w:tc>
                <w:tcPr>
                  <w:tcW w:w="1266" w:type="dxa"/>
                  <w:vMerge w:val="restart"/>
                  <w:vAlign w:val="center"/>
                </w:tcPr>
                <w:p w14:paraId="5724ED91">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集中收集后交由有资质单位</w:t>
                  </w:r>
                </w:p>
              </w:tc>
            </w:tr>
            <w:tr w14:paraId="79F0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30" w:type="dxa"/>
                  <w:vAlign w:val="center"/>
                </w:tcPr>
                <w:p w14:paraId="5BFA1405">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6</w:t>
                  </w:r>
                </w:p>
              </w:tc>
              <w:tc>
                <w:tcPr>
                  <w:tcW w:w="1433" w:type="dxa"/>
                  <w:vAlign w:val="center"/>
                </w:tcPr>
                <w:p w14:paraId="2CA643A6">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废</w:t>
                  </w:r>
                  <w:r>
                    <w:rPr>
                      <w:rFonts w:hint="eastAsia" w:cs="Times New Roman"/>
                      <w:color w:val="auto"/>
                      <w:highlight w:val="none"/>
                      <w:u w:val="single"/>
                      <w:lang w:val="en-US" w:eastAsia="zh-CN"/>
                    </w:rPr>
                    <w:t>润滑</w:t>
                  </w:r>
                  <w:r>
                    <w:rPr>
                      <w:rFonts w:hint="eastAsia" w:ascii="Times New Roman" w:hAnsi="Times New Roman" w:eastAsia="宋体" w:cs="Times New Roman"/>
                      <w:color w:val="auto"/>
                      <w:highlight w:val="none"/>
                      <w:u w:val="single"/>
                    </w:rPr>
                    <w:t>油桶</w:t>
                  </w:r>
                </w:p>
              </w:tc>
              <w:tc>
                <w:tcPr>
                  <w:tcW w:w="1394" w:type="dxa"/>
                  <w:vAlign w:val="center"/>
                </w:tcPr>
                <w:p w14:paraId="4EDE83A2">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危险废物</w:t>
                  </w:r>
                </w:p>
              </w:tc>
              <w:tc>
                <w:tcPr>
                  <w:tcW w:w="1334" w:type="dxa"/>
                  <w:vAlign w:val="center"/>
                </w:tcPr>
                <w:p w14:paraId="59DCE337">
                  <w:pPr>
                    <w:jc w:val="center"/>
                    <w:rPr>
                      <w:rFonts w:hint="eastAsia" w:ascii="Times New Roman" w:hAnsi="Times New Roman" w:eastAsia="宋体" w:cs="Times New Roman"/>
                      <w:color w:val="auto"/>
                      <w:highlight w:val="none"/>
                      <w:u w:val="single"/>
                      <w:lang w:eastAsia="zh-CN"/>
                    </w:rPr>
                  </w:pPr>
                  <w:r>
                    <w:rPr>
                      <w:rFonts w:hint="eastAsia" w:ascii="Times New Roman" w:hAnsi="Times New Roman" w:eastAsia="宋体" w:cs="Times New Roman"/>
                      <w:color w:val="auto"/>
                      <w:highlight w:val="none"/>
                      <w:u w:val="single"/>
                    </w:rPr>
                    <w:t>900-</w:t>
                  </w:r>
                  <w:r>
                    <w:rPr>
                      <w:rFonts w:hint="eastAsia" w:cs="Times New Roman"/>
                      <w:color w:val="auto"/>
                      <w:highlight w:val="none"/>
                      <w:u w:val="single"/>
                      <w:lang w:val="en-US" w:eastAsia="zh-CN"/>
                    </w:rPr>
                    <w:t>249</w:t>
                  </w:r>
                  <w:r>
                    <w:rPr>
                      <w:rFonts w:hint="eastAsia" w:ascii="Times New Roman" w:hAnsi="Times New Roman" w:eastAsia="宋体" w:cs="Times New Roman"/>
                      <w:color w:val="auto"/>
                      <w:highlight w:val="none"/>
                      <w:u w:val="single"/>
                    </w:rPr>
                    <w:t>-</w:t>
                  </w:r>
                  <w:r>
                    <w:rPr>
                      <w:rFonts w:hint="eastAsia" w:cs="Times New Roman"/>
                      <w:color w:val="auto"/>
                      <w:highlight w:val="none"/>
                      <w:u w:val="single"/>
                      <w:lang w:val="en-US" w:eastAsia="zh-CN"/>
                    </w:rPr>
                    <w:t>08</w:t>
                  </w:r>
                </w:p>
              </w:tc>
              <w:tc>
                <w:tcPr>
                  <w:tcW w:w="1360" w:type="dxa"/>
                  <w:vAlign w:val="center"/>
                </w:tcPr>
                <w:p w14:paraId="5F64EFA7">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0.02</w:t>
                  </w:r>
                </w:p>
              </w:tc>
              <w:tc>
                <w:tcPr>
                  <w:tcW w:w="1266" w:type="dxa"/>
                  <w:vMerge w:val="continue"/>
                  <w:vAlign w:val="center"/>
                </w:tcPr>
                <w:p w14:paraId="32FAAE35">
                  <w:pPr>
                    <w:jc w:val="center"/>
                    <w:rPr>
                      <w:rFonts w:hint="eastAsia" w:ascii="Times New Roman" w:hAnsi="Times New Roman" w:eastAsia="宋体" w:cs="Times New Roman"/>
                      <w:color w:val="auto"/>
                      <w:highlight w:val="none"/>
                      <w:u w:val="single"/>
                    </w:rPr>
                  </w:pPr>
                </w:p>
              </w:tc>
            </w:tr>
            <w:tr w14:paraId="1F7A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30" w:type="dxa"/>
                  <w:vAlign w:val="center"/>
                </w:tcPr>
                <w:p w14:paraId="70666F04">
                  <w:pPr>
                    <w:jc w:val="center"/>
                    <w:rPr>
                      <w:rFonts w:hint="eastAsia" w:ascii="Times New Roman" w:hAnsi="Times New Roman" w:eastAsia="宋体" w:cs="Times New Roman"/>
                      <w:color w:val="auto"/>
                      <w:highlight w:val="none"/>
                      <w:u w:val="single"/>
                      <w:lang w:val="en-US" w:eastAsia="zh-CN"/>
                    </w:rPr>
                  </w:pPr>
                  <w:r>
                    <w:rPr>
                      <w:rFonts w:hint="eastAsia" w:cs="Times New Roman"/>
                      <w:color w:val="auto"/>
                      <w:highlight w:val="none"/>
                      <w:u w:val="single"/>
                      <w:lang w:val="en-US" w:eastAsia="zh-CN"/>
                    </w:rPr>
                    <w:t>7</w:t>
                  </w:r>
                </w:p>
              </w:tc>
              <w:tc>
                <w:tcPr>
                  <w:tcW w:w="1433" w:type="dxa"/>
                  <w:vAlign w:val="center"/>
                </w:tcPr>
                <w:p w14:paraId="1E79BCD3">
                  <w:pPr>
                    <w:jc w:val="center"/>
                    <w:rPr>
                      <w:rFonts w:hint="eastAsia" w:ascii="Times New Roman" w:hAnsi="Times New Roman" w:eastAsia="宋体" w:cs="Times New Roman"/>
                      <w:color w:val="auto"/>
                      <w:highlight w:val="none"/>
                      <w:u w:val="single"/>
                    </w:rPr>
                  </w:pPr>
                  <w:r>
                    <w:rPr>
                      <w:rFonts w:hint="default" w:ascii="Times New Roman" w:hAnsi="Times New Roman" w:eastAsia="宋体" w:cs="Times New Roman"/>
                      <w:snapToGrid/>
                      <w:color w:val="auto"/>
                      <w:kern w:val="2"/>
                      <w:szCs w:val="22"/>
                      <w:highlight w:val="none"/>
                      <w:u w:val="single"/>
                      <w:lang w:eastAsia="zh-CN"/>
                    </w:rPr>
                    <w:t>含油废抹布和手套</w:t>
                  </w:r>
                </w:p>
              </w:tc>
              <w:tc>
                <w:tcPr>
                  <w:tcW w:w="1394" w:type="dxa"/>
                  <w:vAlign w:val="center"/>
                </w:tcPr>
                <w:p w14:paraId="51BC140A">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危险废物</w:t>
                  </w:r>
                </w:p>
              </w:tc>
              <w:tc>
                <w:tcPr>
                  <w:tcW w:w="1334" w:type="dxa"/>
                  <w:vAlign w:val="center"/>
                </w:tcPr>
                <w:p w14:paraId="1E4CCCC4">
                  <w:pPr>
                    <w:jc w:val="center"/>
                    <w:rPr>
                      <w:rFonts w:hint="default" w:ascii="Times New Roman" w:hAnsi="Times New Roman" w:eastAsia="宋体" w:cs="Times New Roman"/>
                      <w:color w:val="auto"/>
                      <w:highlight w:val="none"/>
                      <w:u w:val="single"/>
                      <w:lang w:val="en-US" w:eastAsia="zh-CN"/>
                    </w:rPr>
                  </w:pPr>
                  <w:r>
                    <w:rPr>
                      <w:rFonts w:hint="eastAsia" w:cs="Times New Roman"/>
                      <w:color w:val="auto"/>
                      <w:highlight w:val="none"/>
                      <w:u w:val="single"/>
                      <w:lang w:val="en-US" w:eastAsia="zh-CN"/>
                    </w:rPr>
                    <w:t>900-041-49</w:t>
                  </w:r>
                </w:p>
              </w:tc>
              <w:tc>
                <w:tcPr>
                  <w:tcW w:w="1360" w:type="dxa"/>
                  <w:vAlign w:val="center"/>
                </w:tcPr>
                <w:p w14:paraId="75AF2CB4">
                  <w:pPr>
                    <w:jc w:val="center"/>
                    <w:rPr>
                      <w:rFonts w:hint="default" w:ascii="Times New Roman" w:hAnsi="Times New Roman" w:eastAsia="宋体" w:cs="Times New Roman"/>
                      <w:color w:val="auto"/>
                      <w:highlight w:val="none"/>
                      <w:u w:val="single"/>
                      <w:lang w:val="en-US" w:eastAsia="zh-CN"/>
                    </w:rPr>
                  </w:pPr>
                  <w:r>
                    <w:rPr>
                      <w:rFonts w:hint="eastAsia" w:cs="Times New Roman"/>
                      <w:color w:val="auto"/>
                      <w:highlight w:val="none"/>
                      <w:u w:val="single"/>
                      <w:lang w:val="en-US" w:eastAsia="zh-CN"/>
                    </w:rPr>
                    <w:t>0.001</w:t>
                  </w:r>
                </w:p>
              </w:tc>
              <w:tc>
                <w:tcPr>
                  <w:tcW w:w="1266" w:type="dxa"/>
                  <w:vMerge w:val="continue"/>
                  <w:vAlign w:val="center"/>
                </w:tcPr>
                <w:p w14:paraId="62B3645F">
                  <w:pPr>
                    <w:jc w:val="center"/>
                    <w:rPr>
                      <w:rFonts w:hint="eastAsia" w:ascii="Times New Roman" w:hAnsi="Times New Roman" w:eastAsia="宋体" w:cs="Times New Roman"/>
                      <w:color w:val="auto"/>
                      <w:highlight w:val="none"/>
                      <w:u w:val="single"/>
                    </w:rPr>
                  </w:pPr>
                </w:p>
              </w:tc>
            </w:tr>
            <w:tr w14:paraId="1C60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30" w:type="dxa"/>
                  <w:vAlign w:val="center"/>
                </w:tcPr>
                <w:p w14:paraId="6A6511B8">
                  <w:pPr>
                    <w:jc w:val="center"/>
                    <w:rPr>
                      <w:rFonts w:hint="eastAsia" w:ascii="Times New Roman" w:hAnsi="Times New Roman" w:eastAsia="宋体" w:cs="Times New Roman"/>
                      <w:color w:val="auto"/>
                      <w:highlight w:val="none"/>
                      <w:u w:val="single"/>
                      <w:lang w:eastAsia="zh-CN"/>
                    </w:rPr>
                  </w:pPr>
                  <w:r>
                    <w:rPr>
                      <w:rFonts w:hint="eastAsia" w:cs="Times New Roman"/>
                      <w:color w:val="auto"/>
                      <w:highlight w:val="none"/>
                      <w:u w:val="single"/>
                      <w:lang w:val="en-US" w:eastAsia="zh-CN"/>
                    </w:rPr>
                    <w:t>8</w:t>
                  </w:r>
                </w:p>
              </w:tc>
              <w:tc>
                <w:tcPr>
                  <w:tcW w:w="1433" w:type="dxa"/>
                  <w:vAlign w:val="center"/>
                </w:tcPr>
                <w:p w14:paraId="16F4A261">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废活性炭</w:t>
                  </w:r>
                </w:p>
              </w:tc>
              <w:tc>
                <w:tcPr>
                  <w:tcW w:w="1394" w:type="dxa"/>
                  <w:vAlign w:val="center"/>
                </w:tcPr>
                <w:p w14:paraId="5ED74FE8">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危险废物</w:t>
                  </w:r>
                </w:p>
              </w:tc>
              <w:tc>
                <w:tcPr>
                  <w:tcW w:w="1334" w:type="dxa"/>
                  <w:vAlign w:val="center"/>
                </w:tcPr>
                <w:p w14:paraId="2FA18CE5">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900-039-49</w:t>
                  </w:r>
                </w:p>
              </w:tc>
              <w:tc>
                <w:tcPr>
                  <w:tcW w:w="1360" w:type="dxa"/>
                  <w:vAlign w:val="center"/>
                </w:tcPr>
                <w:p w14:paraId="776A9E5B">
                  <w:pPr>
                    <w:jc w:val="center"/>
                    <w:rPr>
                      <w:rFonts w:hint="default" w:ascii="Times New Roman" w:hAnsi="Times New Roman" w:eastAsia="宋体" w:cs="Times New Roman"/>
                      <w:color w:val="auto"/>
                      <w:highlight w:val="none"/>
                      <w:u w:val="single"/>
                      <w:lang w:val="en-US" w:eastAsia="zh-CN"/>
                    </w:rPr>
                  </w:pPr>
                  <w:r>
                    <w:rPr>
                      <w:rFonts w:hint="eastAsia" w:cs="Times New Roman"/>
                      <w:color w:val="auto"/>
                      <w:highlight w:val="none"/>
                      <w:u w:val="single"/>
                      <w:lang w:val="en-US" w:eastAsia="zh-CN"/>
                    </w:rPr>
                    <w:t>4.49</w:t>
                  </w:r>
                </w:p>
              </w:tc>
              <w:tc>
                <w:tcPr>
                  <w:tcW w:w="1266" w:type="dxa"/>
                  <w:vMerge w:val="continue"/>
                  <w:vAlign w:val="center"/>
                </w:tcPr>
                <w:p w14:paraId="45A7199A">
                  <w:pPr>
                    <w:jc w:val="center"/>
                    <w:rPr>
                      <w:rFonts w:hint="eastAsia" w:ascii="Times New Roman" w:hAnsi="Times New Roman" w:eastAsia="宋体" w:cs="Times New Roman"/>
                      <w:color w:val="auto"/>
                      <w:highlight w:val="none"/>
                      <w:u w:val="single"/>
                    </w:rPr>
                  </w:pPr>
                </w:p>
              </w:tc>
            </w:tr>
            <w:tr w14:paraId="7887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0" w:type="dxa"/>
                  <w:vAlign w:val="center"/>
                </w:tcPr>
                <w:p w14:paraId="3D312732">
                  <w:pPr>
                    <w:jc w:val="center"/>
                    <w:rPr>
                      <w:rFonts w:hint="eastAsia" w:ascii="Times New Roman" w:hAnsi="Times New Roman" w:eastAsia="宋体" w:cs="Times New Roman"/>
                      <w:color w:val="auto"/>
                      <w:highlight w:val="none"/>
                      <w:u w:val="single"/>
                      <w:lang w:eastAsia="zh-CN"/>
                    </w:rPr>
                  </w:pPr>
                  <w:r>
                    <w:rPr>
                      <w:rFonts w:hint="eastAsia" w:cs="Times New Roman"/>
                      <w:color w:val="auto"/>
                      <w:highlight w:val="none"/>
                      <w:u w:val="single"/>
                      <w:lang w:val="en-US" w:eastAsia="zh-CN"/>
                    </w:rPr>
                    <w:t>9</w:t>
                  </w:r>
                </w:p>
              </w:tc>
              <w:tc>
                <w:tcPr>
                  <w:tcW w:w="1433" w:type="dxa"/>
                  <w:vAlign w:val="center"/>
                </w:tcPr>
                <w:p w14:paraId="4EC94B8C">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生活垃圾</w:t>
                  </w:r>
                </w:p>
              </w:tc>
              <w:tc>
                <w:tcPr>
                  <w:tcW w:w="1394" w:type="dxa"/>
                  <w:vAlign w:val="center"/>
                </w:tcPr>
                <w:p w14:paraId="648B2799">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w:t>
                  </w:r>
                </w:p>
              </w:tc>
              <w:tc>
                <w:tcPr>
                  <w:tcW w:w="1334" w:type="dxa"/>
                  <w:vAlign w:val="center"/>
                </w:tcPr>
                <w:p w14:paraId="6BDA972A">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w:t>
                  </w:r>
                </w:p>
              </w:tc>
              <w:tc>
                <w:tcPr>
                  <w:tcW w:w="1360" w:type="dxa"/>
                  <w:vAlign w:val="center"/>
                </w:tcPr>
                <w:p w14:paraId="1789255F">
                  <w:pPr>
                    <w:jc w:val="center"/>
                    <w:rPr>
                      <w:rFonts w:hint="default" w:ascii="Times New Roman" w:hAnsi="Times New Roman" w:eastAsia="宋体" w:cs="Times New Roman"/>
                      <w:color w:val="auto"/>
                      <w:highlight w:val="none"/>
                      <w:u w:val="single"/>
                      <w:lang w:val="en-US" w:eastAsia="zh-CN"/>
                    </w:rPr>
                  </w:pPr>
                  <w:r>
                    <w:rPr>
                      <w:rFonts w:hint="eastAsia" w:cs="Times New Roman"/>
                      <w:color w:val="auto"/>
                      <w:highlight w:val="none"/>
                      <w:u w:val="single"/>
                      <w:lang w:val="en-US" w:eastAsia="zh-CN"/>
                    </w:rPr>
                    <w:t>31.2</w:t>
                  </w:r>
                </w:p>
              </w:tc>
              <w:tc>
                <w:tcPr>
                  <w:tcW w:w="1266" w:type="dxa"/>
                  <w:vAlign w:val="center"/>
                </w:tcPr>
                <w:p w14:paraId="5678B2E5">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集中收集后交由当地环卫部门</w:t>
                  </w:r>
                </w:p>
              </w:tc>
            </w:tr>
          </w:tbl>
          <w:p w14:paraId="75748A0C">
            <w:pPr>
              <w:ind w:firstLine="422" w:firstLineChars="200"/>
              <w:jc w:val="center"/>
              <w:rPr>
                <w:rFonts w:hint="eastAsia" w:ascii="Times New Roman" w:hAnsi="Times New Roman" w:eastAsia="宋体" w:cs="Times New Roman"/>
                <w:b/>
                <w:bCs/>
                <w:color w:val="auto"/>
                <w:highlight w:val="none"/>
                <w:u w:val="single"/>
              </w:rPr>
            </w:pPr>
            <w:r>
              <w:rPr>
                <w:rFonts w:hint="eastAsia" w:ascii="Times New Roman" w:hAnsi="Times New Roman" w:eastAsia="宋体" w:cs="Times New Roman"/>
                <w:b/>
                <w:bCs/>
                <w:color w:val="auto"/>
                <w:highlight w:val="none"/>
                <w:u w:val="single"/>
              </w:rPr>
              <w:t>表4-1</w:t>
            </w:r>
            <w:r>
              <w:rPr>
                <w:rFonts w:hint="eastAsia" w:cs="Times New Roman"/>
                <w:b/>
                <w:bCs/>
                <w:color w:val="auto"/>
                <w:highlight w:val="none"/>
                <w:u w:val="single"/>
                <w:lang w:val="en-US" w:eastAsia="zh-CN"/>
              </w:rPr>
              <w:t>5</w:t>
            </w:r>
            <w:r>
              <w:rPr>
                <w:rFonts w:hint="eastAsia" w:ascii="Times New Roman" w:hAnsi="Times New Roman" w:eastAsia="宋体" w:cs="Times New Roman"/>
                <w:b/>
                <w:bCs/>
                <w:color w:val="auto"/>
                <w:highlight w:val="none"/>
                <w:u w:val="single"/>
              </w:rPr>
              <w:t xml:space="preserve">  项目</w:t>
            </w:r>
            <w:r>
              <w:rPr>
                <w:rFonts w:hint="eastAsia" w:cs="Times New Roman"/>
                <w:b/>
                <w:bCs/>
                <w:color w:val="auto"/>
                <w:highlight w:val="none"/>
                <w:u w:val="single"/>
                <w:lang w:val="en-US" w:eastAsia="zh-CN"/>
              </w:rPr>
              <w:t>危险</w:t>
            </w:r>
            <w:r>
              <w:rPr>
                <w:rFonts w:hint="eastAsia" w:ascii="Times New Roman" w:hAnsi="Times New Roman" w:eastAsia="宋体" w:cs="Times New Roman"/>
                <w:b/>
                <w:bCs/>
                <w:color w:val="auto"/>
                <w:highlight w:val="none"/>
                <w:u w:val="single"/>
              </w:rPr>
              <w:t>废物</w:t>
            </w:r>
            <w:r>
              <w:rPr>
                <w:rFonts w:hint="eastAsia" w:cs="Times New Roman"/>
                <w:b/>
                <w:bCs/>
                <w:color w:val="auto"/>
                <w:highlight w:val="none"/>
                <w:u w:val="single"/>
                <w:lang w:val="en-US" w:eastAsia="zh-CN"/>
              </w:rPr>
              <w:t>汇总</w:t>
            </w:r>
            <w:r>
              <w:rPr>
                <w:rFonts w:hint="eastAsia" w:ascii="Times New Roman" w:hAnsi="Times New Roman" w:eastAsia="宋体" w:cs="Times New Roman"/>
                <w:b/>
                <w:bCs/>
                <w:color w:val="auto"/>
                <w:highlight w:val="none"/>
                <w:u w:val="single"/>
              </w:rPr>
              <w:t>情况</w:t>
            </w:r>
          </w:p>
          <w:tbl>
            <w:tblPr>
              <w:tblStyle w:val="38"/>
              <w:tblW w:w="7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715"/>
              <w:gridCol w:w="1091"/>
              <w:gridCol w:w="1036"/>
              <w:gridCol w:w="709"/>
              <w:gridCol w:w="609"/>
              <w:gridCol w:w="761"/>
              <w:gridCol w:w="609"/>
              <w:gridCol w:w="687"/>
              <w:gridCol w:w="687"/>
            </w:tblGrid>
            <w:tr w14:paraId="69C3D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518" w:type="dxa"/>
                  <w:tcBorders>
                    <w:tl2br w:val="nil"/>
                    <w:tr2bl w:val="nil"/>
                  </w:tcBorders>
                  <w:vAlign w:val="top"/>
                </w:tcPr>
                <w:p w14:paraId="3E5D3F2A">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序号</w:t>
                  </w:r>
                </w:p>
              </w:tc>
              <w:tc>
                <w:tcPr>
                  <w:tcW w:w="715" w:type="dxa"/>
                  <w:tcBorders>
                    <w:tl2br w:val="nil"/>
                    <w:tr2bl w:val="nil"/>
                  </w:tcBorders>
                  <w:vAlign w:val="top"/>
                </w:tcPr>
                <w:p w14:paraId="2282F6C2">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名称</w:t>
                  </w:r>
                </w:p>
              </w:tc>
              <w:tc>
                <w:tcPr>
                  <w:tcW w:w="1091" w:type="dxa"/>
                  <w:tcBorders>
                    <w:tl2br w:val="nil"/>
                    <w:tr2bl w:val="nil"/>
                  </w:tcBorders>
                  <w:vAlign w:val="top"/>
                </w:tcPr>
                <w:p w14:paraId="464089FF">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危险废物类别</w:t>
                  </w:r>
                </w:p>
              </w:tc>
              <w:tc>
                <w:tcPr>
                  <w:tcW w:w="1036" w:type="dxa"/>
                  <w:tcBorders>
                    <w:tl2br w:val="nil"/>
                    <w:tr2bl w:val="nil"/>
                  </w:tcBorders>
                  <w:vAlign w:val="top"/>
                </w:tcPr>
                <w:p w14:paraId="02127287">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危险废物代码</w:t>
                  </w:r>
                </w:p>
              </w:tc>
              <w:tc>
                <w:tcPr>
                  <w:tcW w:w="709" w:type="dxa"/>
                  <w:tcBorders>
                    <w:tl2br w:val="nil"/>
                    <w:tr2bl w:val="nil"/>
                  </w:tcBorders>
                  <w:vAlign w:val="top"/>
                </w:tcPr>
                <w:p w14:paraId="4E751FB6">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产生量</w:t>
                  </w:r>
                </w:p>
              </w:tc>
              <w:tc>
                <w:tcPr>
                  <w:tcW w:w="609" w:type="dxa"/>
                  <w:tcBorders>
                    <w:tl2br w:val="nil"/>
                    <w:tr2bl w:val="nil"/>
                  </w:tcBorders>
                  <w:vAlign w:val="top"/>
                </w:tcPr>
                <w:p w14:paraId="022934D4">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形态</w:t>
                  </w:r>
                </w:p>
              </w:tc>
              <w:tc>
                <w:tcPr>
                  <w:tcW w:w="761" w:type="dxa"/>
                  <w:tcBorders>
                    <w:tl2br w:val="nil"/>
                    <w:tr2bl w:val="nil"/>
                  </w:tcBorders>
                  <w:vAlign w:val="top"/>
                </w:tcPr>
                <w:p w14:paraId="064A4BFB">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主要成分</w:t>
                  </w:r>
                </w:p>
              </w:tc>
              <w:tc>
                <w:tcPr>
                  <w:tcW w:w="609" w:type="dxa"/>
                  <w:tcBorders>
                    <w:tl2br w:val="nil"/>
                    <w:tr2bl w:val="nil"/>
                  </w:tcBorders>
                  <w:vAlign w:val="top"/>
                </w:tcPr>
                <w:p w14:paraId="6A61ABFC">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有害成分</w:t>
                  </w:r>
                </w:p>
              </w:tc>
              <w:tc>
                <w:tcPr>
                  <w:tcW w:w="687" w:type="dxa"/>
                  <w:tcBorders>
                    <w:tl2br w:val="nil"/>
                    <w:tr2bl w:val="nil"/>
                  </w:tcBorders>
                  <w:vAlign w:val="top"/>
                </w:tcPr>
                <w:p w14:paraId="47BCDDD1">
                  <w:pPr>
                    <w:bidi w:val="0"/>
                    <w:rPr>
                      <w:rFonts w:hint="default" w:ascii="Times New Roman" w:hAnsi="Times New Roman" w:cs="Times New Roman"/>
                      <w:u w:val="single"/>
                    </w:rPr>
                  </w:pPr>
                  <w:r>
                    <w:rPr>
                      <w:rFonts w:hint="default" w:ascii="Times New Roman" w:hAnsi="Times New Roman" w:cs="Times New Roman"/>
                      <w:u w:val="single"/>
                    </w:rPr>
                    <w:t>危险特性</w:t>
                  </w:r>
                </w:p>
              </w:tc>
              <w:tc>
                <w:tcPr>
                  <w:tcW w:w="687" w:type="dxa"/>
                  <w:tcBorders>
                    <w:tl2br w:val="nil"/>
                    <w:tr2bl w:val="nil"/>
                  </w:tcBorders>
                  <w:vAlign w:val="top"/>
                </w:tcPr>
                <w:p w14:paraId="3CC2DC4A">
                  <w:pPr>
                    <w:bidi w:val="0"/>
                    <w:rPr>
                      <w:rFonts w:hint="default"/>
                      <w:u w:val="single"/>
                      <w:lang w:val="en-US" w:eastAsia="zh-CN"/>
                    </w:rPr>
                  </w:pPr>
                  <w:r>
                    <w:rPr>
                      <w:rFonts w:hint="eastAsia"/>
                      <w:u w:val="single"/>
                      <w:lang w:val="en-US" w:eastAsia="zh-CN"/>
                    </w:rPr>
                    <w:t>污染防治措施</w:t>
                  </w:r>
                </w:p>
              </w:tc>
            </w:tr>
            <w:tr w14:paraId="347FF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518" w:type="dxa"/>
                  <w:tcBorders>
                    <w:tl2br w:val="nil"/>
                    <w:tr2bl w:val="nil"/>
                  </w:tcBorders>
                  <w:vAlign w:val="center"/>
                </w:tcPr>
                <w:p w14:paraId="7AD8A0A6">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1</w:t>
                  </w:r>
                </w:p>
              </w:tc>
              <w:tc>
                <w:tcPr>
                  <w:tcW w:w="715" w:type="dxa"/>
                  <w:tcBorders>
                    <w:tl2br w:val="nil"/>
                    <w:tr2bl w:val="nil"/>
                  </w:tcBorders>
                  <w:vAlign w:val="center"/>
                </w:tcPr>
                <w:p w14:paraId="240E7B0D">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废润滑油</w:t>
                  </w:r>
                </w:p>
              </w:tc>
              <w:tc>
                <w:tcPr>
                  <w:tcW w:w="1091" w:type="dxa"/>
                  <w:tcBorders>
                    <w:tl2br w:val="nil"/>
                    <w:tr2bl w:val="nil"/>
                  </w:tcBorders>
                  <w:vAlign w:val="center"/>
                </w:tcPr>
                <w:p w14:paraId="1BF4FD24">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HW08废矿</w:t>
                  </w:r>
                </w:p>
                <w:p w14:paraId="7FBB545F">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物油与含矿</w:t>
                  </w:r>
                </w:p>
                <w:p w14:paraId="243AB823">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物油废物</w:t>
                  </w:r>
                </w:p>
              </w:tc>
              <w:tc>
                <w:tcPr>
                  <w:tcW w:w="1036" w:type="dxa"/>
                  <w:tcBorders>
                    <w:tl2br w:val="nil"/>
                    <w:tr2bl w:val="nil"/>
                  </w:tcBorders>
                  <w:vAlign w:val="center"/>
                </w:tcPr>
                <w:p w14:paraId="69F1C51C">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900-21</w:t>
                  </w:r>
                  <w:r>
                    <w:rPr>
                      <w:rFonts w:hint="eastAsia" w:cs="Times New Roman"/>
                      <w:snapToGrid/>
                      <w:color w:val="auto"/>
                      <w:kern w:val="2"/>
                      <w:szCs w:val="22"/>
                      <w:highlight w:val="none"/>
                      <w:u w:val="single"/>
                      <w:lang w:val="en-US" w:eastAsia="zh-CN"/>
                    </w:rPr>
                    <w:t>7</w:t>
                  </w:r>
                  <w:r>
                    <w:rPr>
                      <w:rFonts w:hint="default" w:ascii="Times New Roman" w:hAnsi="Times New Roman" w:eastAsia="宋体" w:cs="Times New Roman"/>
                      <w:snapToGrid/>
                      <w:color w:val="auto"/>
                      <w:kern w:val="2"/>
                      <w:szCs w:val="22"/>
                      <w:highlight w:val="none"/>
                      <w:u w:val="single"/>
                      <w:lang w:eastAsia="zh-CN"/>
                    </w:rPr>
                    <w:t>-08</w:t>
                  </w:r>
                </w:p>
              </w:tc>
              <w:tc>
                <w:tcPr>
                  <w:tcW w:w="709" w:type="dxa"/>
                  <w:tcBorders>
                    <w:tl2br w:val="nil"/>
                    <w:tr2bl w:val="nil"/>
                  </w:tcBorders>
                  <w:vAlign w:val="center"/>
                </w:tcPr>
                <w:p w14:paraId="7790CC16">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val="en-US" w:eastAsia="zh-CN"/>
                    </w:rPr>
                    <w:t>0.01</w:t>
                  </w:r>
                  <w:r>
                    <w:rPr>
                      <w:rFonts w:hint="default" w:ascii="Times New Roman" w:hAnsi="Times New Roman" w:eastAsia="宋体" w:cs="Times New Roman"/>
                      <w:snapToGrid/>
                      <w:color w:val="auto"/>
                      <w:kern w:val="2"/>
                      <w:szCs w:val="22"/>
                      <w:highlight w:val="none"/>
                      <w:u w:val="single"/>
                      <w:lang w:eastAsia="zh-CN"/>
                    </w:rPr>
                    <w:t>t/a</w:t>
                  </w:r>
                </w:p>
              </w:tc>
              <w:tc>
                <w:tcPr>
                  <w:tcW w:w="609" w:type="dxa"/>
                  <w:tcBorders>
                    <w:tl2br w:val="nil"/>
                    <w:tr2bl w:val="nil"/>
                  </w:tcBorders>
                  <w:vAlign w:val="center"/>
                </w:tcPr>
                <w:p w14:paraId="30E0065A">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液体</w:t>
                  </w:r>
                </w:p>
              </w:tc>
              <w:tc>
                <w:tcPr>
                  <w:tcW w:w="761" w:type="dxa"/>
                  <w:tcBorders>
                    <w:tl2br w:val="nil"/>
                    <w:tr2bl w:val="nil"/>
                  </w:tcBorders>
                  <w:vAlign w:val="center"/>
                </w:tcPr>
                <w:p w14:paraId="71585A74">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矿物油</w:t>
                  </w:r>
                </w:p>
              </w:tc>
              <w:tc>
                <w:tcPr>
                  <w:tcW w:w="609" w:type="dxa"/>
                  <w:tcBorders>
                    <w:tl2br w:val="nil"/>
                    <w:tr2bl w:val="nil"/>
                  </w:tcBorders>
                  <w:vAlign w:val="center"/>
                </w:tcPr>
                <w:p w14:paraId="442C74D3">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矿物油</w:t>
                  </w:r>
                </w:p>
              </w:tc>
              <w:tc>
                <w:tcPr>
                  <w:tcW w:w="687" w:type="dxa"/>
                  <w:tcBorders>
                    <w:tl2br w:val="nil"/>
                    <w:tr2bl w:val="nil"/>
                  </w:tcBorders>
                  <w:vAlign w:val="center"/>
                </w:tcPr>
                <w:p w14:paraId="3C58897D">
                  <w:pPr>
                    <w:bidi w:val="0"/>
                    <w:jc w:val="center"/>
                    <w:rPr>
                      <w:rFonts w:hint="default" w:ascii="Times New Roman" w:hAnsi="Times New Roman" w:cs="Times New Roman"/>
                      <w:u w:val="single"/>
                    </w:rPr>
                  </w:pPr>
                  <w:r>
                    <w:rPr>
                      <w:rFonts w:hint="default" w:ascii="Times New Roman" w:hAnsi="Times New Roman" w:cs="Times New Roman"/>
                      <w:u w:val="single"/>
                    </w:rPr>
                    <w:t>T、In</w:t>
                  </w:r>
                </w:p>
              </w:tc>
              <w:tc>
                <w:tcPr>
                  <w:tcW w:w="687" w:type="dxa"/>
                  <w:vMerge w:val="restart"/>
                  <w:tcBorders>
                    <w:tl2br w:val="nil"/>
                    <w:tr2bl w:val="nil"/>
                  </w:tcBorders>
                  <w:vAlign w:val="center"/>
                </w:tcPr>
                <w:p w14:paraId="727CC00E">
                  <w:pPr>
                    <w:bidi w:val="0"/>
                    <w:jc w:val="center"/>
                    <w:rPr>
                      <w:u w:val="single"/>
                    </w:rPr>
                  </w:pPr>
                  <w:r>
                    <w:rPr>
                      <w:u w:val="single"/>
                    </w:rPr>
                    <w:t>暂存于危废暂 存间后交由有 资质单位处置</w:t>
                  </w:r>
                </w:p>
              </w:tc>
            </w:tr>
            <w:tr w14:paraId="705F6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518" w:type="dxa"/>
                  <w:tcBorders>
                    <w:tl2br w:val="nil"/>
                    <w:tr2bl w:val="nil"/>
                  </w:tcBorders>
                  <w:vAlign w:val="center"/>
                </w:tcPr>
                <w:p w14:paraId="4DCC84E8">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2</w:t>
                  </w:r>
                </w:p>
              </w:tc>
              <w:tc>
                <w:tcPr>
                  <w:tcW w:w="715" w:type="dxa"/>
                  <w:tcBorders>
                    <w:tl2br w:val="nil"/>
                    <w:tr2bl w:val="nil"/>
                  </w:tcBorders>
                  <w:vAlign w:val="center"/>
                </w:tcPr>
                <w:p w14:paraId="321F28E8">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废润滑油桶</w:t>
                  </w:r>
                </w:p>
              </w:tc>
              <w:tc>
                <w:tcPr>
                  <w:tcW w:w="1091" w:type="dxa"/>
                  <w:tcBorders>
                    <w:tl2br w:val="nil"/>
                    <w:tr2bl w:val="nil"/>
                  </w:tcBorders>
                  <w:vAlign w:val="center"/>
                </w:tcPr>
                <w:p w14:paraId="45871308">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HW08废矿</w:t>
                  </w:r>
                </w:p>
                <w:p w14:paraId="799F1BA4">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物油与含矿</w:t>
                  </w:r>
                </w:p>
                <w:p w14:paraId="632457BA">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物油废物</w:t>
                  </w:r>
                </w:p>
              </w:tc>
              <w:tc>
                <w:tcPr>
                  <w:tcW w:w="1036" w:type="dxa"/>
                  <w:tcBorders>
                    <w:tl2br w:val="nil"/>
                    <w:tr2bl w:val="nil"/>
                  </w:tcBorders>
                  <w:vAlign w:val="center"/>
                </w:tcPr>
                <w:p w14:paraId="27839079">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900-249-08</w:t>
                  </w:r>
                </w:p>
              </w:tc>
              <w:tc>
                <w:tcPr>
                  <w:tcW w:w="709" w:type="dxa"/>
                  <w:tcBorders>
                    <w:tl2br w:val="nil"/>
                    <w:tr2bl w:val="nil"/>
                  </w:tcBorders>
                  <w:vAlign w:val="center"/>
                </w:tcPr>
                <w:p w14:paraId="3BA402EC">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0.</w:t>
                  </w:r>
                  <w:r>
                    <w:rPr>
                      <w:rFonts w:hint="default" w:ascii="Times New Roman" w:hAnsi="Times New Roman" w:eastAsia="宋体" w:cs="Times New Roman"/>
                      <w:snapToGrid/>
                      <w:color w:val="auto"/>
                      <w:kern w:val="2"/>
                      <w:szCs w:val="22"/>
                      <w:highlight w:val="none"/>
                      <w:u w:val="single"/>
                      <w:lang w:val="en-US" w:eastAsia="zh-CN"/>
                    </w:rPr>
                    <w:t>02</w:t>
                  </w:r>
                  <w:r>
                    <w:rPr>
                      <w:rFonts w:hint="default" w:ascii="Times New Roman" w:hAnsi="Times New Roman" w:eastAsia="宋体" w:cs="Times New Roman"/>
                      <w:snapToGrid/>
                      <w:color w:val="auto"/>
                      <w:kern w:val="2"/>
                      <w:szCs w:val="22"/>
                      <w:highlight w:val="none"/>
                      <w:u w:val="single"/>
                      <w:lang w:eastAsia="zh-CN"/>
                    </w:rPr>
                    <w:t>t/a</w:t>
                  </w:r>
                </w:p>
              </w:tc>
              <w:tc>
                <w:tcPr>
                  <w:tcW w:w="609" w:type="dxa"/>
                  <w:tcBorders>
                    <w:tl2br w:val="nil"/>
                    <w:tr2bl w:val="nil"/>
                  </w:tcBorders>
                  <w:vAlign w:val="center"/>
                </w:tcPr>
                <w:p w14:paraId="40948AAA">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固体</w:t>
                  </w:r>
                </w:p>
              </w:tc>
              <w:tc>
                <w:tcPr>
                  <w:tcW w:w="761" w:type="dxa"/>
                  <w:tcBorders>
                    <w:tl2br w:val="nil"/>
                    <w:tr2bl w:val="nil"/>
                  </w:tcBorders>
                  <w:vAlign w:val="center"/>
                </w:tcPr>
                <w:p w14:paraId="73E8B408">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金属、矿物油</w:t>
                  </w:r>
                </w:p>
              </w:tc>
              <w:tc>
                <w:tcPr>
                  <w:tcW w:w="609" w:type="dxa"/>
                  <w:tcBorders>
                    <w:tl2br w:val="nil"/>
                    <w:tr2bl w:val="nil"/>
                  </w:tcBorders>
                  <w:vAlign w:val="center"/>
                </w:tcPr>
                <w:p w14:paraId="76CFC278">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矿物油</w:t>
                  </w:r>
                </w:p>
              </w:tc>
              <w:tc>
                <w:tcPr>
                  <w:tcW w:w="687" w:type="dxa"/>
                  <w:tcBorders>
                    <w:tl2br w:val="nil"/>
                    <w:tr2bl w:val="nil"/>
                  </w:tcBorders>
                  <w:vAlign w:val="center"/>
                </w:tcPr>
                <w:p w14:paraId="0E609E37">
                  <w:pPr>
                    <w:bidi w:val="0"/>
                    <w:jc w:val="center"/>
                    <w:rPr>
                      <w:rFonts w:hint="default" w:ascii="Times New Roman" w:hAnsi="Times New Roman" w:cs="Times New Roman"/>
                      <w:u w:val="single"/>
                    </w:rPr>
                  </w:pPr>
                  <w:r>
                    <w:rPr>
                      <w:rFonts w:hint="default" w:ascii="Times New Roman" w:hAnsi="Times New Roman" w:cs="Times New Roman"/>
                      <w:u w:val="single"/>
                    </w:rPr>
                    <w:t>T、In</w:t>
                  </w:r>
                </w:p>
              </w:tc>
              <w:tc>
                <w:tcPr>
                  <w:tcW w:w="687" w:type="dxa"/>
                  <w:vMerge w:val="continue"/>
                  <w:tcBorders>
                    <w:tl2br w:val="nil"/>
                    <w:tr2bl w:val="nil"/>
                  </w:tcBorders>
                  <w:vAlign w:val="top"/>
                </w:tcPr>
                <w:p w14:paraId="1CFCFA2A">
                  <w:pPr>
                    <w:bidi w:val="0"/>
                    <w:rPr>
                      <w:u w:val="single"/>
                    </w:rPr>
                  </w:pPr>
                </w:p>
              </w:tc>
            </w:tr>
            <w:tr w14:paraId="46558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518" w:type="dxa"/>
                  <w:tcBorders>
                    <w:tl2br w:val="nil"/>
                    <w:tr2bl w:val="nil"/>
                  </w:tcBorders>
                  <w:vAlign w:val="center"/>
                </w:tcPr>
                <w:p w14:paraId="0B2D3484">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3</w:t>
                  </w:r>
                </w:p>
              </w:tc>
              <w:tc>
                <w:tcPr>
                  <w:tcW w:w="715" w:type="dxa"/>
                  <w:tcBorders>
                    <w:tl2br w:val="nil"/>
                    <w:tr2bl w:val="nil"/>
                  </w:tcBorders>
                  <w:vAlign w:val="center"/>
                </w:tcPr>
                <w:p w14:paraId="0F8EDB09">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含油废抹布和手套</w:t>
                  </w:r>
                </w:p>
              </w:tc>
              <w:tc>
                <w:tcPr>
                  <w:tcW w:w="1091" w:type="dxa"/>
                  <w:tcBorders>
                    <w:tl2br w:val="nil"/>
                    <w:tr2bl w:val="nil"/>
                  </w:tcBorders>
                  <w:vAlign w:val="center"/>
                </w:tcPr>
                <w:p w14:paraId="3E94EAE2">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HW49其他 废物</w:t>
                  </w:r>
                </w:p>
              </w:tc>
              <w:tc>
                <w:tcPr>
                  <w:tcW w:w="1036" w:type="dxa"/>
                  <w:tcBorders>
                    <w:tl2br w:val="nil"/>
                    <w:tr2bl w:val="nil"/>
                  </w:tcBorders>
                  <w:vAlign w:val="center"/>
                </w:tcPr>
                <w:p w14:paraId="2D8F2769">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900-041-49</w:t>
                  </w:r>
                </w:p>
              </w:tc>
              <w:tc>
                <w:tcPr>
                  <w:tcW w:w="709" w:type="dxa"/>
                  <w:tcBorders>
                    <w:tl2br w:val="nil"/>
                    <w:tr2bl w:val="nil"/>
                  </w:tcBorders>
                  <w:vAlign w:val="center"/>
                </w:tcPr>
                <w:p w14:paraId="37D93AC0">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0.001t/a</w:t>
                  </w:r>
                </w:p>
              </w:tc>
              <w:tc>
                <w:tcPr>
                  <w:tcW w:w="609" w:type="dxa"/>
                  <w:tcBorders>
                    <w:tl2br w:val="nil"/>
                    <w:tr2bl w:val="nil"/>
                  </w:tcBorders>
                  <w:vAlign w:val="center"/>
                </w:tcPr>
                <w:p w14:paraId="321F89D9">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固体</w:t>
                  </w:r>
                </w:p>
              </w:tc>
              <w:tc>
                <w:tcPr>
                  <w:tcW w:w="761" w:type="dxa"/>
                  <w:tcBorders>
                    <w:tl2br w:val="nil"/>
                    <w:tr2bl w:val="nil"/>
                  </w:tcBorders>
                  <w:vAlign w:val="center"/>
                </w:tcPr>
                <w:p w14:paraId="7DED74A4">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纤维、矿物油</w:t>
                  </w:r>
                </w:p>
              </w:tc>
              <w:tc>
                <w:tcPr>
                  <w:tcW w:w="609" w:type="dxa"/>
                  <w:tcBorders>
                    <w:tl2br w:val="nil"/>
                    <w:tr2bl w:val="nil"/>
                  </w:tcBorders>
                  <w:vAlign w:val="center"/>
                </w:tcPr>
                <w:p w14:paraId="295A1250">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矿物油</w:t>
                  </w:r>
                </w:p>
              </w:tc>
              <w:tc>
                <w:tcPr>
                  <w:tcW w:w="687" w:type="dxa"/>
                  <w:tcBorders>
                    <w:tl2br w:val="nil"/>
                    <w:tr2bl w:val="nil"/>
                  </w:tcBorders>
                  <w:vAlign w:val="center"/>
                </w:tcPr>
                <w:p w14:paraId="4695EC7D">
                  <w:pPr>
                    <w:bidi w:val="0"/>
                    <w:jc w:val="center"/>
                    <w:rPr>
                      <w:rFonts w:hint="default" w:ascii="Times New Roman" w:hAnsi="Times New Roman" w:cs="Times New Roman"/>
                      <w:u w:val="single"/>
                    </w:rPr>
                  </w:pPr>
                  <w:r>
                    <w:rPr>
                      <w:rFonts w:hint="default" w:ascii="Times New Roman" w:hAnsi="Times New Roman" w:cs="Times New Roman"/>
                      <w:u w:val="single"/>
                    </w:rPr>
                    <w:t>T、In</w:t>
                  </w:r>
                </w:p>
              </w:tc>
              <w:tc>
                <w:tcPr>
                  <w:tcW w:w="687" w:type="dxa"/>
                  <w:vMerge w:val="continue"/>
                  <w:tcBorders>
                    <w:tl2br w:val="nil"/>
                    <w:tr2bl w:val="nil"/>
                  </w:tcBorders>
                  <w:vAlign w:val="top"/>
                </w:tcPr>
                <w:p w14:paraId="6DC95DED">
                  <w:pPr>
                    <w:bidi w:val="0"/>
                    <w:rPr>
                      <w:u w:val="single"/>
                    </w:rPr>
                  </w:pPr>
                </w:p>
              </w:tc>
            </w:tr>
            <w:tr w14:paraId="241EF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518" w:type="dxa"/>
                  <w:tcBorders>
                    <w:tl2br w:val="nil"/>
                    <w:tr2bl w:val="nil"/>
                  </w:tcBorders>
                  <w:vAlign w:val="center"/>
                </w:tcPr>
                <w:p w14:paraId="6304DC41">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val="en-US" w:eastAsia="zh-CN"/>
                    </w:rPr>
                  </w:pPr>
                  <w:r>
                    <w:rPr>
                      <w:rFonts w:hint="eastAsia" w:cs="Times New Roman"/>
                      <w:snapToGrid/>
                      <w:color w:val="auto"/>
                      <w:kern w:val="2"/>
                      <w:szCs w:val="22"/>
                      <w:highlight w:val="none"/>
                      <w:u w:val="single"/>
                      <w:lang w:val="en-US" w:eastAsia="zh-CN"/>
                    </w:rPr>
                    <w:t>4</w:t>
                  </w:r>
                </w:p>
              </w:tc>
              <w:tc>
                <w:tcPr>
                  <w:tcW w:w="715" w:type="dxa"/>
                  <w:tcBorders>
                    <w:tl2br w:val="nil"/>
                    <w:tr2bl w:val="nil"/>
                  </w:tcBorders>
                  <w:vAlign w:val="center"/>
                </w:tcPr>
                <w:p w14:paraId="0F80D637">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eastAsia" w:ascii="Times New Roman" w:hAnsi="Times New Roman" w:eastAsia="宋体" w:cs="Times New Roman"/>
                      <w:color w:val="auto"/>
                      <w:highlight w:val="none"/>
                      <w:u w:val="single"/>
                    </w:rPr>
                    <w:t>废活性炭</w:t>
                  </w:r>
                </w:p>
              </w:tc>
              <w:tc>
                <w:tcPr>
                  <w:tcW w:w="1091" w:type="dxa"/>
                  <w:tcBorders>
                    <w:tl2br w:val="nil"/>
                    <w:tr2bl w:val="nil"/>
                  </w:tcBorders>
                  <w:vAlign w:val="center"/>
                </w:tcPr>
                <w:p w14:paraId="0FFCE7A5">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HW49其他 废物</w:t>
                  </w:r>
                </w:p>
              </w:tc>
              <w:tc>
                <w:tcPr>
                  <w:tcW w:w="1036" w:type="dxa"/>
                  <w:tcBorders>
                    <w:tl2br w:val="nil"/>
                    <w:tr2bl w:val="nil"/>
                  </w:tcBorders>
                  <w:vAlign w:val="center"/>
                </w:tcPr>
                <w:p w14:paraId="43039A47">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eastAsia" w:ascii="Times New Roman" w:hAnsi="Times New Roman" w:eastAsia="宋体" w:cs="Times New Roman"/>
                      <w:color w:val="auto"/>
                      <w:highlight w:val="none"/>
                      <w:u w:val="single"/>
                    </w:rPr>
                    <w:t>900-039-49</w:t>
                  </w:r>
                </w:p>
              </w:tc>
              <w:tc>
                <w:tcPr>
                  <w:tcW w:w="709" w:type="dxa"/>
                  <w:tcBorders>
                    <w:tl2br w:val="nil"/>
                    <w:tr2bl w:val="nil"/>
                  </w:tcBorders>
                  <w:vAlign w:val="center"/>
                </w:tcPr>
                <w:p w14:paraId="54027267">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eastAsia" w:cs="Times New Roman"/>
                      <w:color w:val="auto"/>
                      <w:highlight w:val="none"/>
                      <w:u w:val="single"/>
                      <w:lang w:val="en-US" w:eastAsia="zh-CN"/>
                    </w:rPr>
                    <w:t>4.49</w:t>
                  </w:r>
                  <w:r>
                    <w:rPr>
                      <w:rFonts w:hint="default" w:ascii="Times New Roman" w:hAnsi="Times New Roman" w:eastAsia="宋体" w:cs="Times New Roman"/>
                      <w:snapToGrid/>
                      <w:color w:val="auto"/>
                      <w:kern w:val="2"/>
                      <w:szCs w:val="22"/>
                      <w:highlight w:val="none"/>
                      <w:u w:val="single"/>
                      <w:lang w:eastAsia="zh-CN"/>
                    </w:rPr>
                    <w:t>t/</w:t>
                  </w:r>
                </w:p>
              </w:tc>
              <w:tc>
                <w:tcPr>
                  <w:tcW w:w="609" w:type="dxa"/>
                  <w:tcBorders>
                    <w:tl2br w:val="nil"/>
                    <w:tr2bl w:val="nil"/>
                  </w:tcBorders>
                  <w:vAlign w:val="center"/>
                </w:tcPr>
                <w:p w14:paraId="1D6E3DF8">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default" w:ascii="Times New Roman" w:hAnsi="Times New Roman" w:eastAsia="宋体" w:cs="Times New Roman"/>
                      <w:snapToGrid/>
                      <w:color w:val="auto"/>
                      <w:kern w:val="2"/>
                      <w:szCs w:val="22"/>
                      <w:highlight w:val="none"/>
                      <w:u w:val="single"/>
                      <w:lang w:eastAsia="zh-CN"/>
                    </w:rPr>
                    <w:t>固体</w:t>
                  </w:r>
                </w:p>
              </w:tc>
              <w:tc>
                <w:tcPr>
                  <w:tcW w:w="761" w:type="dxa"/>
                  <w:tcBorders>
                    <w:tl2br w:val="nil"/>
                    <w:tr2bl w:val="nil"/>
                  </w:tcBorders>
                  <w:vAlign w:val="center"/>
                </w:tcPr>
                <w:p w14:paraId="578D0617">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val="en-US" w:eastAsia="zh-CN"/>
                    </w:rPr>
                  </w:pPr>
                  <w:r>
                    <w:rPr>
                      <w:rFonts w:hint="eastAsia" w:cs="Times New Roman"/>
                      <w:snapToGrid/>
                      <w:color w:val="auto"/>
                      <w:kern w:val="2"/>
                      <w:szCs w:val="22"/>
                      <w:highlight w:val="none"/>
                      <w:u w:val="single"/>
                      <w:lang w:val="en-US" w:eastAsia="zh-CN"/>
                    </w:rPr>
                    <w:t>有机废气</w:t>
                  </w:r>
                </w:p>
              </w:tc>
              <w:tc>
                <w:tcPr>
                  <w:tcW w:w="609" w:type="dxa"/>
                  <w:tcBorders>
                    <w:tl2br w:val="nil"/>
                    <w:tr2bl w:val="nil"/>
                  </w:tcBorders>
                  <w:vAlign w:val="center"/>
                </w:tcPr>
                <w:p w14:paraId="74A8CBE7">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Cs w:val="22"/>
                      <w:highlight w:val="none"/>
                      <w:u w:val="single"/>
                      <w:lang w:eastAsia="zh-CN"/>
                    </w:rPr>
                  </w:pPr>
                  <w:r>
                    <w:rPr>
                      <w:rFonts w:hint="eastAsia" w:cs="Times New Roman"/>
                      <w:snapToGrid/>
                      <w:color w:val="auto"/>
                      <w:kern w:val="2"/>
                      <w:szCs w:val="22"/>
                      <w:highlight w:val="none"/>
                      <w:u w:val="single"/>
                      <w:lang w:val="en-US" w:eastAsia="zh-CN"/>
                    </w:rPr>
                    <w:t>有机废气</w:t>
                  </w:r>
                </w:p>
              </w:tc>
              <w:tc>
                <w:tcPr>
                  <w:tcW w:w="687" w:type="dxa"/>
                  <w:tcBorders>
                    <w:tl2br w:val="nil"/>
                    <w:tr2bl w:val="nil"/>
                  </w:tcBorders>
                  <w:vAlign w:val="center"/>
                </w:tcPr>
                <w:p w14:paraId="6E0B8CCE">
                  <w:pPr>
                    <w:bidi w:val="0"/>
                    <w:jc w:val="center"/>
                    <w:rPr>
                      <w:rFonts w:hint="default" w:ascii="Times New Roman" w:hAnsi="Times New Roman" w:cs="Times New Roman"/>
                      <w:u w:val="single"/>
                    </w:rPr>
                  </w:pPr>
                  <w:r>
                    <w:rPr>
                      <w:rFonts w:hint="default" w:ascii="Times New Roman" w:hAnsi="Times New Roman" w:cs="Times New Roman"/>
                      <w:u w:val="single"/>
                    </w:rPr>
                    <w:t>T、In</w:t>
                  </w:r>
                </w:p>
              </w:tc>
              <w:tc>
                <w:tcPr>
                  <w:tcW w:w="687" w:type="dxa"/>
                  <w:vMerge w:val="continue"/>
                  <w:tcBorders>
                    <w:tl2br w:val="nil"/>
                    <w:tr2bl w:val="nil"/>
                  </w:tcBorders>
                  <w:vAlign w:val="top"/>
                </w:tcPr>
                <w:p w14:paraId="7543EBA6">
                  <w:pPr>
                    <w:bidi w:val="0"/>
                    <w:rPr>
                      <w:u w:val="single"/>
                    </w:rPr>
                  </w:pPr>
                </w:p>
              </w:tc>
            </w:tr>
          </w:tbl>
          <w:p w14:paraId="29FF5E48">
            <w:pPr>
              <w:numPr>
                <w:ilvl w:val="0"/>
                <w:numId w:val="0"/>
              </w:numPr>
              <w:spacing w:line="360" w:lineRule="auto"/>
              <w:ind w:firstLine="482" w:firstLineChars="200"/>
              <w:rPr>
                <w:rFonts w:hint="default" w:ascii="Times New Roman" w:hAnsi="Times New Roman" w:eastAsia="宋体" w:cs="Times New Roman"/>
                <w:b/>
                <w:bCs/>
                <w:sz w:val="24"/>
                <w:szCs w:val="24"/>
                <w:u w:val="single"/>
                <w:lang w:val="en-US" w:eastAsia="zh-CN"/>
              </w:rPr>
            </w:pPr>
            <w:r>
              <w:rPr>
                <w:rFonts w:hint="eastAsia" w:cs="Times New Roman"/>
                <w:b/>
                <w:bCs/>
                <w:sz w:val="24"/>
                <w:szCs w:val="24"/>
                <w:u w:val="single"/>
                <w:lang w:val="en-US" w:eastAsia="zh-CN"/>
              </w:rPr>
              <w:t>2</w:t>
            </w:r>
            <w:r>
              <w:rPr>
                <w:rFonts w:hint="eastAsia" w:ascii="Times New Roman" w:hAnsi="Times New Roman" w:eastAsia="宋体" w:cs="Times New Roman"/>
                <w:b/>
                <w:bCs/>
                <w:sz w:val="24"/>
                <w:szCs w:val="24"/>
                <w:u w:val="single"/>
                <w:lang w:val="en-US" w:eastAsia="zh-CN"/>
              </w:rPr>
              <w:t>、固体废物</w:t>
            </w:r>
            <w:r>
              <w:rPr>
                <w:rFonts w:hint="eastAsia" w:cs="Times New Roman"/>
                <w:b/>
                <w:bCs/>
                <w:sz w:val="24"/>
                <w:szCs w:val="24"/>
                <w:u w:val="single"/>
                <w:lang w:val="en-US" w:eastAsia="zh-CN"/>
              </w:rPr>
              <w:t>环境管理要求</w:t>
            </w:r>
          </w:p>
          <w:p w14:paraId="2A4438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在厂房西侧建设一个一般工业固体废物暂存间（10m</w:t>
            </w:r>
            <w:r>
              <w:rPr>
                <w:rFonts w:hint="eastAsia" w:ascii="Times New Roman" w:hAnsi="Times New Roman" w:eastAsia="宋体" w:cs="Times New Roman"/>
                <w:color w:val="auto"/>
                <w:sz w:val="24"/>
                <w:highlight w:val="none"/>
                <w:u w:val="single"/>
                <w:vertAlign w:val="superscript"/>
                <w:lang w:val="en-US" w:eastAsia="zh-CN"/>
              </w:rPr>
              <w:t>2</w:t>
            </w:r>
            <w:r>
              <w:rPr>
                <w:rFonts w:hint="eastAsia" w:ascii="Times New Roman" w:hAnsi="Times New Roman" w:eastAsia="宋体" w:cs="Times New Roman"/>
                <w:color w:val="auto"/>
                <w:sz w:val="24"/>
                <w:highlight w:val="none"/>
                <w:u w:val="single"/>
                <w:lang w:val="en-US" w:eastAsia="zh-CN"/>
              </w:rPr>
              <w:t>）和一个危险废物暂存间</w:t>
            </w:r>
            <w:r>
              <w:rPr>
                <w:rFonts w:hint="eastAsia" w:cs="Times New Roman"/>
                <w:color w:val="auto"/>
                <w:sz w:val="24"/>
                <w:highlight w:val="none"/>
                <w:u w:val="single"/>
                <w:lang w:val="en-US" w:eastAsia="zh-CN"/>
              </w:rPr>
              <w:t>（</w:t>
            </w:r>
            <w:r>
              <w:rPr>
                <w:rFonts w:hint="eastAsia" w:ascii="Times New Roman" w:hAnsi="Times New Roman" w:eastAsia="宋体" w:cs="Times New Roman"/>
                <w:color w:val="auto"/>
                <w:sz w:val="24"/>
                <w:highlight w:val="none"/>
                <w:u w:val="single"/>
                <w:lang w:val="en-US" w:eastAsia="zh-CN"/>
              </w:rPr>
              <w:t>10m</w:t>
            </w:r>
            <w:r>
              <w:rPr>
                <w:rFonts w:hint="eastAsia" w:ascii="Times New Roman" w:hAnsi="Times New Roman" w:eastAsia="宋体" w:cs="Times New Roman"/>
                <w:color w:val="auto"/>
                <w:sz w:val="24"/>
                <w:highlight w:val="none"/>
                <w:u w:val="single"/>
                <w:vertAlign w:val="superscript"/>
                <w:lang w:val="en-US" w:eastAsia="zh-CN"/>
              </w:rPr>
              <w:t>2</w:t>
            </w:r>
            <w:r>
              <w:rPr>
                <w:rFonts w:hint="eastAsia" w:cs="Times New Roman"/>
                <w:color w:val="auto"/>
                <w:sz w:val="24"/>
                <w:highlight w:val="none"/>
                <w:u w:val="single"/>
                <w:vertAlign w:val="baseline"/>
                <w:lang w:val="en-US" w:eastAsia="zh-CN"/>
              </w:rPr>
              <w:t>）</w:t>
            </w:r>
            <w:r>
              <w:rPr>
                <w:rFonts w:hint="eastAsia" w:ascii="Times New Roman" w:hAnsi="Times New Roman" w:eastAsia="宋体" w:cs="Times New Roman"/>
                <w:color w:val="auto"/>
                <w:sz w:val="24"/>
                <w:highlight w:val="none"/>
                <w:u w:val="single"/>
                <w:lang w:val="en-US" w:eastAsia="zh-CN"/>
              </w:rPr>
              <w:t>用来暂存本项目产生的一般工业固体废物和危险废物。</w:t>
            </w:r>
          </w:p>
          <w:p w14:paraId="5E384E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一般工业固废暂存间的建设应满足《一般工业固体废物贮存和填埋污染控制标准》（GB18599-2020）的相关要求。具体为：贮存区采取防风防雨措施；各类固废应分类收集；贮存区按照《环境保护图形标志——固体废物贮存（处置）场》</w:t>
            </w:r>
            <w:r>
              <w:rPr>
                <w:rFonts w:hint="eastAsia" w:cs="Times New Roman"/>
                <w:color w:val="auto"/>
                <w:sz w:val="24"/>
                <w:highlight w:val="none"/>
                <w:u w:val="single"/>
                <w:lang w:val="en-US" w:eastAsia="zh-CN"/>
              </w:rPr>
              <w:t>（</w:t>
            </w:r>
            <w:r>
              <w:rPr>
                <w:rFonts w:hint="eastAsia" w:ascii="Times New Roman" w:hAnsi="Times New Roman" w:eastAsia="宋体" w:cs="Times New Roman"/>
                <w:color w:val="auto"/>
                <w:sz w:val="24"/>
                <w:highlight w:val="none"/>
                <w:u w:val="single"/>
                <w:lang w:val="en-US" w:eastAsia="zh-CN"/>
              </w:rPr>
              <w:t>GB15562.2</w:t>
            </w:r>
            <w:r>
              <w:rPr>
                <w:rFonts w:hint="eastAsia" w:cs="Times New Roman"/>
                <w:color w:val="auto"/>
                <w:sz w:val="24"/>
                <w:highlight w:val="none"/>
                <w:u w:val="single"/>
                <w:lang w:val="en-US" w:eastAsia="zh-CN"/>
              </w:rPr>
              <w:t>）</w:t>
            </w:r>
            <w:r>
              <w:rPr>
                <w:rFonts w:hint="eastAsia" w:ascii="Times New Roman" w:hAnsi="Times New Roman" w:eastAsia="宋体" w:cs="Times New Roman"/>
                <w:color w:val="auto"/>
                <w:sz w:val="24"/>
                <w:highlight w:val="none"/>
                <w:u w:val="single"/>
                <w:lang w:val="en-US" w:eastAsia="zh-CN"/>
              </w:rPr>
              <w:t>的要求设置环保图形标志；指定专人进行日常管理。</w:t>
            </w:r>
          </w:p>
          <w:p w14:paraId="60551708">
            <w:pPr>
              <w:keepNext w:val="0"/>
              <w:keepLines w:val="0"/>
              <w:pageBreakBefore w:val="0"/>
              <w:widowControl w:val="0"/>
              <w:tabs>
                <w:tab w:val="left" w:pos="1440"/>
                <w:tab w:val="left" w:pos="1800"/>
              </w:tabs>
              <w:kinsoku w:val="0"/>
              <w:wordWrap w:val="0"/>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危险废物暂存间贮存应按照《危险废物贮存污染控制标准》（GB18597-2023）的相关要求，主要包括：</w:t>
            </w:r>
          </w:p>
          <w:p w14:paraId="22FAD08C">
            <w:pPr>
              <w:keepNext w:val="0"/>
              <w:keepLines w:val="0"/>
              <w:pageBreakBefore w:val="0"/>
              <w:widowControl w:val="0"/>
              <w:tabs>
                <w:tab w:val="left" w:pos="1440"/>
                <w:tab w:val="left" w:pos="1800"/>
              </w:tabs>
              <w:kinsoku w:val="0"/>
              <w:wordWrap w:val="0"/>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w:t>
            </w:r>
            <w:r>
              <w:rPr>
                <w:rFonts w:hint="eastAsia" w:cs="Times New Roman"/>
                <w:color w:val="auto"/>
                <w:sz w:val="24"/>
                <w:highlight w:val="none"/>
                <w:u w:val="single"/>
                <w:lang w:val="en-US" w:eastAsia="zh-CN"/>
              </w:rPr>
              <w:t>1</w:t>
            </w:r>
            <w:r>
              <w:rPr>
                <w:rFonts w:hint="eastAsia" w:ascii="Times New Roman" w:hAnsi="Times New Roman" w:eastAsia="宋体" w:cs="Times New Roman"/>
                <w:color w:val="auto"/>
                <w:sz w:val="24"/>
                <w:highlight w:val="none"/>
                <w:u w:val="single"/>
                <w:lang w:val="en-US" w:eastAsia="zh-CN"/>
              </w:rPr>
              <w:t>）危险废物采用合适的相容容器存放。</w:t>
            </w:r>
          </w:p>
          <w:p w14:paraId="066DD80F">
            <w:pPr>
              <w:keepNext w:val="0"/>
              <w:keepLines w:val="0"/>
              <w:pageBreakBefore w:val="0"/>
              <w:widowControl w:val="0"/>
              <w:tabs>
                <w:tab w:val="left" w:pos="1440"/>
                <w:tab w:val="left" w:pos="1800"/>
              </w:tabs>
              <w:kinsoku w:val="0"/>
              <w:wordWrap w:val="0"/>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w:t>
            </w:r>
            <w:r>
              <w:rPr>
                <w:rFonts w:hint="eastAsia" w:cs="Times New Roman"/>
                <w:color w:val="auto"/>
                <w:sz w:val="24"/>
                <w:highlight w:val="none"/>
                <w:u w:val="single"/>
                <w:lang w:val="en-US" w:eastAsia="zh-CN"/>
              </w:rPr>
              <w:t>2</w:t>
            </w:r>
            <w:r>
              <w:rPr>
                <w:rFonts w:hint="eastAsia" w:ascii="Times New Roman" w:hAnsi="Times New Roman" w:eastAsia="宋体" w:cs="Times New Roman"/>
                <w:color w:val="auto"/>
                <w:sz w:val="24"/>
                <w:highlight w:val="none"/>
                <w:u w:val="single"/>
                <w:lang w:val="en-US" w:eastAsia="zh-CN"/>
              </w:rPr>
              <w:t>）暂存库地面必须进行防渗处理。</w:t>
            </w:r>
          </w:p>
          <w:p w14:paraId="613AF88D">
            <w:pPr>
              <w:keepNext w:val="0"/>
              <w:keepLines w:val="0"/>
              <w:pageBreakBefore w:val="0"/>
              <w:widowControl w:val="0"/>
              <w:tabs>
                <w:tab w:val="left" w:pos="1440"/>
                <w:tab w:val="left" w:pos="1800"/>
              </w:tabs>
              <w:kinsoku w:val="0"/>
              <w:wordWrap w:val="0"/>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w:t>
            </w:r>
            <w:r>
              <w:rPr>
                <w:rFonts w:hint="eastAsia" w:cs="Times New Roman"/>
                <w:color w:val="auto"/>
                <w:sz w:val="24"/>
                <w:highlight w:val="none"/>
                <w:u w:val="single"/>
                <w:lang w:val="en-US" w:eastAsia="zh-CN"/>
              </w:rPr>
              <w:t>3</w:t>
            </w:r>
            <w:r>
              <w:rPr>
                <w:rFonts w:hint="eastAsia" w:ascii="Times New Roman" w:hAnsi="Times New Roman" w:eastAsia="宋体" w:cs="Times New Roman"/>
                <w:color w:val="auto"/>
                <w:sz w:val="24"/>
                <w:highlight w:val="none"/>
                <w:u w:val="single"/>
                <w:lang w:val="en-US" w:eastAsia="zh-CN"/>
              </w:rPr>
              <w:t>）暂存间应密闭，要求做好基础防渗措施，做到“四防”，即“防风、防雨、防晒、防渗漏”，以防止降雨形成的地面径流的进入。</w:t>
            </w:r>
          </w:p>
          <w:p w14:paraId="128FB9E2">
            <w:pPr>
              <w:keepNext w:val="0"/>
              <w:keepLines w:val="0"/>
              <w:pageBreakBefore w:val="0"/>
              <w:widowControl w:val="0"/>
              <w:tabs>
                <w:tab w:val="left" w:pos="1440"/>
                <w:tab w:val="left" w:pos="1800"/>
              </w:tabs>
              <w:kinsoku w:val="0"/>
              <w:wordWrap w:val="0"/>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w:t>
            </w:r>
            <w:r>
              <w:rPr>
                <w:rFonts w:hint="eastAsia" w:cs="Times New Roman"/>
                <w:color w:val="auto"/>
                <w:sz w:val="24"/>
                <w:highlight w:val="none"/>
                <w:u w:val="single"/>
                <w:lang w:val="en-US" w:eastAsia="zh-CN"/>
              </w:rPr>
              <w:t>4</w:t>
            </w:r>
            <w:r>
              <w:rPr>
                <w:rFonts w:hint="eastAsia" w:ascii="Times New Roman" w:hAnsi="Times New Roman" w:eastAsia="宋体" w:cs="Times New Roman"/>
                <w:color w:val="auto"/>
                <w:sz w:val="24"/>
                <w:highlight w:val="none"/>
                <w:u w:val="single"/>
                <w:lang w:val="en-US" w:eastAsia="zh-CN"/>
              </w:rPr>
              <w:t>）项目建设单位须</w:t>
            </w:r>
            <w:r>
              <w:rPr>
                <w:rFonts w:hint="eastAsia" w:cs="Times New Roman"/>
                <w:color w:val="auto"/>
                <w:sz w:val="24"/>
                <w:highlight w:val="none"/>
                <w:u w:val="single"/>
                <w:lang w:val="en-US" w:eastAsia="zh-CN"/>
              </w:rPr>
              <w:t>做好</w:t>
            </w:r>
            <w:r>
              <w:rPr>
                <w:rFonts w:hint="eastAsia" w:ascii="Times New Roman" w:hAnsi="Times New Roman" w:eastAsia="宋体" w:cs="Times New Roman"/>
                <w:color w:val="auto"/>
                <w:sz w:val="24"/>
                <w:highlight w:val="none"/>
                <w:u w:val="single"/>
                <w:lang w:val="en-US" w:eastAsia="zh-CN"/>
              </w:rPr>
              <w:t>危险废物情况的记录，记录上须注明危险废物的名称、来源、数量、特性和包装容器的类别、入库日期、存放库位、废物出库日期及接收单位名称等。</w:t>
            </w:r>
          </w:p>
          <w:p w14:paraId="289C6AAB">
            <w:pPr>
              <w:keepNext w:val="0"/>
              <w:keepLines w:val="0"/>
              <w:pageBreakBefore w:val="0"/>
              <w:widowControl w:val="0"/>
              <w:tabs>
                <w:tab w:val="left" w:pos="1440"/>
                <w:tab w:val="left" w:pos="1800"/>
              </w:tabs>
              <w:kinsoku w:val="0"/>
              <w:wordWrap w:val="0"/>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w:t>
            </w:r>
            <w:r>
              <w:rPr>
                <w:rFonts w:hint="eastAsia" w:cs="Times New Roman"/>
                <w:color w:val="auto"/>
                <w:sz w:val="24"/>
                <w:highlight w:val="none"/>
                <w:u w:val="single"/>
                <w:lang w:val="en-US" w:eastAsia="zh-CN"/>
              </w:rPr>
              <w:t>5</w:t>
            </w:r>
            <w:r>
              <w:rPr>
                <w:rFonts w:hint="eastAsia" w:ascii="Times New Roman" w:hAnsi="Times New Roman" w:eastAsia="宋体" w:cs="Times New Roman"/>
                <w:color w:val="auto"/>
                <w:sz w:val="24"/>
                <w:highlight w:val="none"/>
                <w:u w:val="single"/>
                <w:lang w:val="en-US" w:eastAsia="zh-CN"/>
              </w:rPr>
              <w:t>）危险废物的记录和货单在危险废物回取后应继续保留三年。</w:t>
            </w:r>
          </w:p>
          <w:p w14:paraId="238641E1">
            <w:pPr>
              <w:keepNext w:val="0"/>
              <w:keepLines w:val="0"/>
              <w:pageBreakBefore w:val="0"/>
              <w:widowControl w:val="0"/>
              <w:tabs>
                <w:tab w:val="left" w:pos="1440"/>
                <w:tab w:val="left" w:pos="1800"/>
              </w:tabs>
              <w:kinsoku w:val="0"/>
              <w:wordWrap w:val="0"/>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w:t>
            </w:r>
            <w:r>
              <w:rPr>
                <w:rFonts w:hint="eastAsia" w:cs="Times New Roman"/>
                <w:color w:val="auto"/>
                <w:sz w:val="24"/>
                <w:highlight w:val="none"/>
                <w:u w:val="single"/>
                <w:lang w:val="en-US" w:eastAsia="zh-CN"/>
              </w:rPr>
              <w:t>6</w:t>
            </w:r>
            <w:r>
              <w:rPr>
                <w:rFonts w:hint="eastAsia" w:ascii="Times New Roman" w:hAnsi="Times New Roman" w:eastAsia="宋体" w:cs="Times New Roman"/>
                <w:color w:val="auto"/>
                <w:sz w:val="24"/>
                <w:highlight w:val="none"/>
                <w:u w:val="single"/>
                <w:lang w:val="en-US" w:eastAsia="zh-CN"/>
              </w:rPr>
              <w:t>）必须定期对所贮存的危险废物包装容器及贮存设施进行检查，发现破损，应及时采取措施清理更换。</w:t>
            </w:r>
          </w:p>
          <w:p w14:paraId="41EB1FAE">
            <w:pPr>
              <w:keepNext w:val="0"/>
              <w:keepLines w:val="0"/>
              <w:pageBreakBefore w:val="0"/>
              <w:widowControl w:val="0"/>
              <w:tabs>
                <w:tab w:val="left" w:pos="1440"/>
                <w:tab w:val="left" w:pos="1800"/>
              </w:tabs>
              <w:kinsoku w:val="0"/>
              <w:wordWrap w:val="0"/>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w:t>
            </w:r>
            <w:r>
              <w:rPr>
                <w:rFonts w:hint="eastAsia" w:cs="Times New Roman"/>
                <w:color w:val="auto"/>
                <w:sz w:val="24"/>
                <w:highlight w:val="none"/>
                <w:u w:val="single"/>
                <w:lang w:val="en-US" w:eastAsia="zh-CN"/>
              </w:rPr>
              <w:t>7</w:t>
            </w:r>
            <w:r>
              <w:rPr>
                <w:rFonts w:hint="eastAsia" w:ascii="Times New Roman" w:hAnsi="Times New Roman" w:eastAsia="宋体" w:cs="Times New Roman"/>
                <w:color w:val="auto"/>
                <w:sz w:val="24"/>
                <w:highlight w:val="none"/>
                <w:u w:val="single"/>
                <w:lang w:val="en-US" w:eastAsia="zh-CN"/>
              </w:rPr>
              <w:t>）环境保护图形标志</w:t>
            </w:r>
          </w:p>
          <w:p w14:paraId="6B8CF2F8">
            <w:pPr>
              <w:keepNext w:val="0"/>
              <w:keepLines w:val="0"/>
              <w:pageBreakBefore w:val="0"/>
              <w:widowControl w:val="0"/>
              <w:tabs>
                <w:tab w:val="left" w:pos="1440"/>
                <w:tab w:val="left" w:pos="1800"/>
              </w:tabs>
              <w:kinsoku w:val="0"/>
              <w:wordWrap w:val="0"/>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在厂区的固体废物贮存处置场应设置环境保护图形标志，图形符号分为提示图形和警告图形符号两种，分别按GB15562.1-1995、GB15562.2-1995执行。环境保护图形符号见表4-1</w:t>
            </w:r>
            <w:r>
              <w:rPr>
                <w:rFonts w:hint="eastAsia" w:cs="Times New Roman"/>
                <w:color w:val="auto"/>
                <w:sz w:val="24"/>
                <w:highlight w:val="none"/>
                <w:u w:val="single"/>
                <w:lang w:val="en-US" w:eastAsia="zh-CN"/>
              </w:rPr>
              <w:t>6</w:t>
            </w:r>
            <w:r>
              <w:rPr>
                <w:rFonts w:hint="eastAsia" w:ascii="Times New Roman" w:hAnsi="Times New Roman" w:eastAsia="宋体" w:cs="Times New Roman"/>
                <w:color w:val="auto"/>
                <w:sz w:val="24"/>
                <w:highlight w:val="none"/>
                <w:u w:val="single"/>
                <w:lang w:val="en-US" w:eastAsia="zh-CN"/>
              </w:rPr>
              <w:t>。</w:t>
            </w:r>
          </w:p>
          <w:p w14:paraId="4152D1F5">
            <w:pPr>
              <w:ind w:firstLine="422" w:firstLineChars="200"/>
              <w:jc w:val="center"/>
              <w:rPr>
                <w:rFonts w:hint="eastAsia" w:ascii="Times New Roman" w:hAnsi="Times New Roman" w:eastAsia="宋体" w:cs="Times New Roman"/>
                <w:b/>
                <w:bCs/>
                <w:color w:val="auto"/>
                <w:highlight w:val="none"/>
                <w:u w:val="single"/>
              </w:rPr>
            </w:pPr>
            <w:r>
              <w:rPr>
                <w:rFonts w:hint="eastAsia" w:ascii="Times New Roman" w:hAnsi="Times New Roman" w:eastAsia="宋体" w:cs="Times New Roman"/>
                <w:b/>
                <w:bCs/>
                <w:color w:val="auto"/>
                <w:highlight w:val="none"/>
                <w:u w:val="single"/>
              </w:rPr>
              <w:t>表4-1</w:t>
            </w:r>
            <w:r>
              <w:rPr>
                <w:rFonts w:hint="eastAsia" w:cs="Times New Roman"/>
                <w:b/>
                <w:bCs/>
                <w:color w:val="auto"/>
                <w:highlight w:val="none"/>
                <w:u w:val="single"/>
                <w:lang w:val="en-US" w:eastAsia="zh-CN"/>
              </w:rPr>
              <w:t>6</w:t>
            </w:r>
            <w:r>
              <w:rPr>
                <w:rFonts w:hint="eastAsia" w:ascii="Times New Roman" w:hAnsi="Times New Roman" w:eastAsia="宋体" w:cs="Times New Roman"/>
                <w:b/>
                <w:bCs/>
                <w:color w:val="auto"/>
                <w:highlight w:val="none"/>
                <w:u w:val="single"/>
              </w:rPr>
              <w:t>环境保护图形符号一览表</w:t>
            </w:r>
          </w:p>
          <w:tbl>
            <w:tblPr>
              <w:tblStyle w:val="21"/>
              <w:tblW w:w="497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1981"/>
              <w:gridCol w:w="1745"/>
              <w:gridCol w:w="2626"/>
            </w:tblGrid>
            <w:tr w14:paraId="28C2A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jc w:val="center"/>
              </w:trPr>
              <w:tc>
                <w:tcPr>
                  <w:tcW w:w="714" w:type="pct"/>
                  <w:tcBorders>
                    <w:tl2br w:val="nil"/>
                    <w:tr2bl w:val="nil"/>
                  </w:tcBorders>
                  <w:vAlign w:val="center"/>
                </w:tcPr>
                <w:p w14:paraId="02CDF626">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序号</w:t>
                  </w:r>
                </w:p>
              </w:tc>
              <w:tc>
                <w:tcPr>
                  <w:tcW w:w="1336" w:type="pct"/>
                  <w:tcBorders>
                    <w:tl2br w:val="nil"/>
                    <w:tr2bl w:val="nil"/>
                  </w:tcBorders>
                  <w:vAlign w:val="center"/>
                </w:tcPr>
                <w:p w14:paraId="04500412">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提示图形符号</w:t>
                  </w:r>
                </w:p>
              </w:tc>
              <w:tc>
                <w:tcPr>
                  <w:tcW w:w="1177" w:type="pct"/>
                  <w:tcBorders>
                    <w:tl2br w:val="nil"/>
                    <w:tr2bl w:val="nil"/>
                  </w:tcBorders>
                  <w:vAlign w:val="center"/>
                </w:tcPr>
                <w:p w14:paraId="27D18888">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名称</w:t>
                  </w:r>
                </w:p>
              </w:tc>
              <w:tc>
                <w:tcPr>
                  <w:tcW w:w="1771" w:type="pct"/>
                  <w:tcBorders>
                    <w:tl2br w:val="nil"/>
                    <w:tr2bl w:val="nil"/>
                  </w:tcBorders>
                  <w:vAlign w:val="center"/>
                </w:tcPr>
                <w:p w14:paraId="4FE30C40">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功能</w:t>
                  </w:r>
                </w:p>
              </w:tc>
            </w:tr>
            <w:tr w14:paraId="13C2F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9" w:hRule="atLeast"/>
                <w:jc w:val="center"/>
              </w:trPr>
              <w:tc>
                <w:tcPr>
                  <w:tcW w:w="714" w:type="pct"/>
                  <w:tcBorders>
                    <w:tl2br w:val="nil"/>
                    <w:tr2bl w:val="nil"/>
                  </w:tcBorders>
                  <w:vAlign w:val="center"/>
                </w:tcPr>
                <w:p w14:paraId="556DF444">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lang w:val="en-US"/>
                    </w:rPr>
                    <w:t>1</w:t>
                  </w:r>
                </w:p>
              </w:tc>
              <w:tc>
                <w:tcPr>
                  <w:tcW w:w="1336" w:type="pct"/>
                  <w:tcBorders>
                    <w:tl2br w:val="nil"/>
                    <w:tr2bl w:val="nil"/>
                  </w:tcBorders>
                  <w:vAlign w:val="center"/>
                </w:tcPr>
                <w:p w14:paraId="65D8FA56">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drawing>
                      <wp:anchor distT="0" distB="0" distL="114300" distR="114300" simplePos="0" relativeHeight="251660288" behindDoc="0" locked="0" layoutInCell="1" allowOverlap="1">
                        <wp:simplePos x="0" y="0"/>
                        <wp:positionH relativeFrom="column">
                          <wp:posOffset>309245</wp:posOffset>
                        </wp:positionH>
                        <wp:positionV relativeFrom="paragraph">
                          <wp:posOffset>151765</wp:posOffset>
                        </wp:positionV>
                        <wp:extent cx="765175" cy="702310"/>
                        <wp:effectExtent l="0" t="0" r="15875" b="254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a:stretch>
                                  <a:fillRect/>
                                </a:stretch>
                              </pic:blipFill>
                              <pic:spPr>
                                <a:xfrm>
                                  <a:off x="0" y="0"/>
                                  <a:ext cx="765175" cy="702310"/>
                                </a:xfrm>
                                <a:prstGeom prst="rect">
                                  <a:avLst/>
                                </a:prstGeom>
                                <a:noFill/>
                                <a:ln>
                                  <a:noFill/>
                                </a:ln>
                              </pic:spPr>
                            </pic:pic>
                          </a:graphicData>
                        </a:graphic>
                      </wp:anchor>
                    </w:drawing>
                  </w:r>
                </w:p>
              </w:tc>
              <w:tc>
                <w:tcPr>
                  <w:tcW w:w="1177" w:type="pct"/>
                  <w:tcBorders>
                    <w:tl2br w:val="nil"/>
                    <w:tr2bl w:val="nil"/>
                  </w:tcBorders>
                  <w:vAlign w:val="center"/>
                </w:tcPr>
                <w:p w14:paraId="5BAE2383">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一般固体废物</w:t>
                  </w:r>
                </w:p>
              </w:tc>
              <w:tc>
                <w:tcPr>
                  <w:tcW w:w="1771" w:type="pct"/>
                  <w:tcBorders>
                    <w:tl2br w:val="nil"/>
                    <w:tr2bl w:val="nil"/>
                  </w:tcBorders>
                  <w:vAlign w:val="center"/>
                </w:tcPr>
                <w:p w14:paraId="7829C8EE">
                  <w:pPr>
                    <w:jc w:val="center"/>
                    <w:rPr>
                      <w:rFonts w:hint="eastAsia"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表示一般固体废物贮存、处置场</w:t>
                  </w:r>
                </w:p>
              </w:tc>
            </w:tr>
            <w:tr w14:paraId="38E0F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7" w:hRule="atLeast"/>
                <w:jc w:val="center"/>
              </w:trPr>
              <w:tc>
                <w:tcPr>
                  <w:tcW w:w="714" w:type="pct"/>
                  <w:tcBorders>
                    <w:tl2br w:val="nil"/>
                    <w:tr2bl w:val="nil"/>
                  </w:tcBorders>
                  <w:vAlign w:val="center"/>
                </w:tcPr>
                <w:p w14:paraId="756E1744">
                  <w:pPr>
                    <w:jc w:val="center"/>
                    <w:rPr>
                      <w:rFonts w:hint="eastAsia" w:ascii="Times New Roman" w:hAnsi="Times New Roman" w:eastAsia="宋体" w:cs="Times New Roman"/>
                      <w:color w:val="auto"/>
                      <w:highlight w:val="none"/>
                      <w:u w:val="single"/>
                      <w:lang w:val="en-US" w:eastAsia="zh-CN"/>
                    </w:rPr>
                  </w:pPr>
                  <w:r>
                    <w:rPr>
                      <w:rFonts w:hint="eastAsia" w:ascii="Times New Roman" w:hAnsi="Times New Roman" w:eastAsia="宋体" w:cs="Times New Roman"/>
                      <w:color w:val="auto"/>
                      <w:highlight w:val="none"/>
                      <w:u w:val="single"/>
                      <w:lang w:val="en-US" w:eastAsia="zh-CN"/>
                    </w:rPr>
                    <w:t>2</w:t>
                  </w:r>
                </w:p>
              </w:tc>
              <w:tc>
                <w:tcPr>
                  <w:tcW w:w="1336" w:type="pct"/>
                  <w:tcBorders>
                    <w:tl2br w:val="nil"/>
                    <w:tr2bl w:val="nil"/>
                  </w:tcBorders>
                  <w:vAlign w:val="center"/>
                </w:tcPr>
                <w:p w14:paraId="5537D459">
                  <w:pPr>
                    <w:jc w:val="center"/>
                    <w:rPr>
                      <w:rFonts w:hint="eastAsia" w:ascii="Times New Roman" w:hAnsi="Times New Roman" w:eastAsia="宋体" w:cs="Times New Roman"/>
                      <w:color w:val="auto"/>
                      <w:highlight w:val="none"/>
                      <w:u w:val="single"/>
                      <w:lang w:eastAsia="zh-CN"/>
                    </w:rPr>
                  </w:pPr>
                  <w:r>
                    <w:rPr>
                      <w:rFonts w:hint="eastAsia" w:ascii="Times New Roman" w:hAnsi="Times New Roman" w:eastAsia="宋体" w:cs="Times New Roman"/>
                      <w:color w:val="auto"/>
                      <w:highlight w:val="none"/>
                      <w:u w:val="single"/>
                      <w:lang w:eastAsia="zh-CN"/>
                    </w:rPr>
                    <w:drawing>
                      <wp:anchor distT="0" distB="0" distL="114300" distR="114300" simplePos="0" relativeHeight="251662336" behindDoc="0" locked="0" layoutInCell="1" allowOverlap="1">
                        <wp:simplePos x="0" y="0"/>
                        <wp:positionH relativeFrom="column">
                          <wp:posOffset>259080</wp:posOffset>
                        </wp:positionH>
                        <wp:positionV relativeFrom="paragraph">
                          <wp:posOffset>19050</wp:posOffset>
                        </wp:positionV>
                        <wp:extent cx="953770" cy="945515"/>
                        <wp:effectExtent l="0" t="0" r="17780" b="6985"/>
                        <wp:wrapSquare wrapText="bothSides"/>
                        <wp:docPr id="6" name="图片 6" descr="c5fac91865abe51676a29ea1e68b0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5fac91865abe51676a29ea1e68b08b"/>
                                <pic:cNvPicPr>
                                  <a:picLocks noChangeAspect="1"/>
                                </pic:cNvPicPr>
                              </pic:nvPicPr>
                              <pic:blipFill>
                                <a:blip r:embed="rId18"/>
                                <a:stretch>
                                  <a:fillRect/>
                                </a:stretch>
                              </pic:blipFill>
                              <pic:spPr>
                                <a:xfrm>
                                  <a:off x="0" y="0"/>
                                  <a:ext cx="953770" cy="945515"/>
                                </a:xfrm>
                                <a:prstGeom prst="rect">
                                  <a:avLst/>
                                </a:prstGeom>
                              </pic:spPr>
                            </pic:pic>
                          </a:graphicData>
                        </a:graphic>
                      </wp:anchor>
                    </w:drawing>
                  </w:r>
                </w:p>
              </w:tc>
              <w:tc>
                <w:tcPr>
                  <w:tcW w:w="1177" w:type="pct"/>
                  <w:tcBorders>
                    <w:tl2br w:val="nil"/>
                    <w:tr2bl w:val="nil"/>
                  </w:tcBorders>
                  <w:vAlign w:val="center"/>
                </w:tcPr>
                <w:p w14:paraId="043A1CF2">
                  <w:pPr>
                    <w:jc w:val="center"/>
                    <w:rPr>
                      <w:rFonts w:hint="default" w:ascii="Times New Roman" w:hAnsi="Times New Roman" w:eastAsia="宋体" w:cs="Times New Roman"/>
                      <w:color w:val="auto"/>
                      <w:highlight w:val="none"/>
                      <w:u w:val="single"/>
                      <w:lang w:val="en-US" w:eastAsia="zh-CN"/>
                    </w:rPr>
                  </w:pPr>
                  <w:r>
                    <w:rPr>
                      <w:rFonts w:hint="eastAsia" w:ascii="Times New Roman" w:hAnsi="Times New Roman" w:eastAsia="宋体" w:cs="Times New Roman"/>
                      <w:color w:val="auto"/>
                      <w:highlight w:val="none"/>
                      <w:u w:val="single"/>
                      <w:lang w:val="en-US" w:eastAsia="zh-CN"/>
                    </w:rPr>
                    <w:t>危险废物</w:t>
                  </w:r>
                </w:p>
              </w:tc>
              <w:tc>
                <w:tcPr>
                  <w:tcW w:w="1771" w:type="pct"/>
                  <w:tcBorders>
                    <w:tl2br w:val="nil"/>
                    <w:tr2bl w:val="nil"/>
                  </w:tcBorders>
                  <w:vAlign w:val="center"/>
                </w:tcPr>
                <w:p w14:paraId="0367E9FD">
                  <w:pPr>
                    <w:jc w:val="center"/>
                    <w:rPr>
                      <w:rFonts w:hint="eastAsia" w:ascii="Times New Roman" w:hAnsi="Times New Roman" w:eastAsia="宋体" w:cs="Times New Roman"/>
                      <w:color w:val="auto"/>
                      <w:highlight w:val="none"/>
                      <w:u w:val="single"/>
                      <w:lang w:val="en-US" w:eastAsia="zh-CN"/>
                    </w:rPr>
                  </w:pPr>
                  <w:r>
                    <w:rPr>
                      <w:rFonts w:hint="eastAsia" w:ascii="Times New Roman" w:hAnsi="Times New Roman" w:eastAsia="宋体" w:cs="Times New Roman"/>
                      <w:color w:val="auto"/>
                      <w:highlight w:val="none"/>
                      <w:u w:val="single"/>
                    </w:rPr>
                    <w:t>表示</w:t>
                  </w:r>
                  <w:r>
                    <w:rPr>
                      <w:rFonts w:hint="eastAsia" w:ascii="Times New Roman" w:hAnsi="Times New Roman" w:eastAsia="宋体" w:cs="Times New Roman"/>
                      <w:color w:val="auto"/>
                      <w:highlight w:val="none"/>
                      <w:u w:val="single"/>
                      <w:lang w:val="en-US" w:eastAsia="zh-CN"/>
                    </w:rPr>
                    <w:t>危险</w:t>
                  </w:r>
                  <w:r>
                    <w:rPr>
                      <w:rFonts w:hint="eastAsia" w:ascii="Times New Roman" w:hAnsi="Times New Roman" w:eastAsia="宋体" w:cs="Times New Roman"/>
                      <w:color w:val="auto"/>
                      <w:highlight w:val="none"/>
                      <w:u w:val="single"/>
                    </w:rPr>
                    <w:t>废物贮存场</w:t>
                  </w:r>
                  <w:r>
                    <w:rPr>
                      <w:rFonts w:hint="eastAsia" w:ascii="Times New Roman" w:hAnsi="Times New Roman" w:eastAsia="宋体" w:cs="Times New Roman"/>
                      <w:color w:val="auto"/>
                      <w:highlight w:val="none"/>
                      <w:u w:val="single"/>
                      <w:lang w:val="en-US" w:eastAsia="zh-CN"/>
                    </w:rPr>
                    <w:t>所</w:t>
                  </w:r>
                </w:p>
              </w:tc>
            </w:tr>
          </w:tbl>
          <w:p w14:paraId="3C5D8DCC">
            <w:pPr>
              <w:keepNext w:val="0"/>
              <w:keepLines w:val="0"/>
              <w:pageBreakBefore w:val="0"/>
              <w:widowControl w:val="0"/>
              <w:tabs>
                <w:tab w:val="left" w:pos="1440"/>
                <w:tab w:val="left" w:pos="1800"/>
              </w:tabs>
              <w:kinsoku w:val="0"/>
              <w:wordWrap w:val="0"/>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w:t>
            </w:r>
            <w:r>
              <w:rPr>
                <w:rFonts w:hint="eastAsia" w:cs="Times New Roman"/>
                <w:color w:val="auto"/>
                <w:sz w:val="24"/>
                <w:highlight w:val="none"/>
                <w:u w:val="single"/>
                <w:lang w:val="en-US" w:eastAsia="zh-CN"/>
              </w:rPr>
              <w:t>8</w:t>
            </w:r>
            <w:r>
              <w:rPr>
                <w:rFonts w:hint="eastAsia" w:ascii="Times New Roman" w:hAnsi="Times New Roman" w:eastAsia="宋体" w:cs="Times New Roman"/>
                <w:color w:val="auto"/>
                <w:sz w:val="24"/>
                <w:highlight w:val="none"/>
                <w:u w:val="single"/>
                <w:lang w:val="en-US" w:eastAsia="zh-CN"/>
              </w:rPr>
              <w:t>）日常管理和台账要求</w:t>
            </w:r>
          </w:p>
          <w:p w14:paraId="51EAB80C">
            <w:pPr>
              <w:spacing w:line="360" w:lineRule="auto"/>
              <w:ind w:firstLine="480" w:firstLineChars="200"/>
              <w:rPr>
                <w:sz w:val="24"/>
                <w:u w:val="single"/>
              </w:rPr>
            </w:pPr>
            <w:r>
              <w:rPr>
                <w:sz w:val="24"/>
                <w:u w:val="single"/>
              </w:rPr>
              <w:t>建设单位应建立严格危险废物管理体系，将危险委托具有</w:t>
            </w:r>
            <w:r>
              <w:rPr>
                <w:rFonts w:hint="eastAsia"/>
                <w:sz w:val="24"/>
                <w:u w:val="single"/>
              </w:rPr>
              <w:t>相应危险废物处理资质</w:t>
            </w:r>
            <w:r>
              <w:rPr>
                <w:sz w:val="24"/>
                <w:u w:val="single"/>
              </w:rPr>
              <w:t>的危废处理单位处置，禁止将危险废物提供或委托给无危险废物经营许可证的单位。严格执行危废五联单转移制度等管理要求，并落实《中华人民共和国固体废物污染环境防治法》相关要求，做到：坚持减量化、资源化、无害化原则，妥善利用或处置产生的危险废物；规范危险废物贮存场所建设，根据危险废物的种类和特性进行分区、分类贮存，按照相关规范要求，设置防雨、防扬散、防渗漏等设施，最大贮存期限一般不超过一年；按照国家和本市有关要求制定危险废物年度管理计划，并进行在线申报备案；结合自身实际，建立危险废物台账，如实记载危险废物的种类、数量、性质、产生环节、流向、贮存、利用处置等信息，并在信息系统中及时申报，申报数据应与台账、管理计划数据相一致。</w:t>
            </w:r>
          </w:p>
          <w:p w14:paraId="342434F6">
            <w:pPr>
              <w:keepNext w:val="0"/>
              <w:keepLines w:val="0"/>
              <w:pageBreakBefore w:val="0"/>
              <w:widowControl w:val="0"/>
              <w:tabs>
                <w:tab w:val="left" w:pos="1440"/>
                <w:tab w:val="left" w:pos="1800"/>
              </w:tabs>
              <w:kinsoku w:val="0"/>
              <w:wordWrap w:val="0"/>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sz w:val="24"/>
                <w:szCs w:val="24"/>
                <w:u w:val="single"/>
              </w:rPr>
            </w:pPr>
            <w:r>
              <w:rPr>
                <w:rFonts w:hint="eastAsia" w:ascii="Times New Roman" w:hAnsi="Times New Roman" w:cs="Times New Roman"/>
                <w:b/>
                <w:bCs/>
                <w:sz w:val="24"/>
                <w:szCs w:val="24"/>
                <w:u w:val="single"/>
                <w:lang w:val="en-US" w:eastAsia="zh-CN"/>
              </w:rPr>
              <w:t>4.2.5</w:t>
            </w:r>
            <w:r>
              <w:rPr>
                <w:rFonts w:hint="eastAsia"/>
                <w:b/>
                <w:bCs/>
                <w:color w:val="auto"/>
                <w:sz w:val="24"/>
                <w:highlight w:val="none"/>
                <w:u w:val="single"/>
              </w:rPr>
              <w:t>地下水及土壤污染预防措施</w:t>
            </w:r>
          </w:p>
          <w:p w14:paraId="1471A0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u w:val="single"/>
              </w:rPr>
            </w:pPr>
            <w:r>
              <w:rPr>
                <w:rFonts w:hint="eastAsia" w:ascii="Times New Roman" w:hAnsi="Times New Roman" w:cs="Times New Roman"/>
                <w:sz w:val="24"/>
                <w:u w:val="single"/>
              </w:rPr>
              <w:t>地下水环境保护措施与对策符合《中华人民共和国水污染防治法》和《中华人民共和国环境影响评价法》的相关规定，按照“源头控制、分区防控、污染监控、应急响应”。</w:t>
            </w:r>
          </w:p>
          <w:p w14:paraId="46F342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u w:val="single"/>
              </w:rPr>
            </w:pPr>
            <w:r>
              <w:rPr>
                <w:rFonts w:hint="eastAsia" w:ascii="Times New Roman" w:hAnsi="Times New Roman" w:cs="Times New Roman"/>
                <w:sz w:val="24"/>
                <w:u w:val="single"/>
              </w:rPr>
              <w:t>为预防项目</w:t>
            </w:r>
            <w:r>
              <w:rPr>
                <w:rFonts w:hint="eastAsia" w:ascii="Times New Roman" w:hAnsi="Times New Roman" w:cs="Times New Roman"/>
                <w:sz w:val="24"/>
                <w:u w:val="single"/>
                <w:lang w:eastAsia="zh-CN"/>
              </w:rPr>
              <w:t>对地</w:t>
            </w:r>
            <w:r>
              <w:rPr>
                <w:rFonts w:hint="eastAsia" w:ascii="Times New Roman" w:hAnsi="Times New Roman" w:cs="Times New Roman"/>
                <w:sz w:val="24"/>
                <w:u w:val="single"/>
              </w:rPr>
              <w:t>下水造成污染影响，项目在建设过程中需考虑到分区防渗，</w:t>
            </w:r>
            <w:r>
              <w:rPr>
                <w:rFonts w:hint="eastAsia" w:ascii="Times New Roman" w:hAnsi="Times New Roman" w:cs="Times New Roman"/>
                <w:sz w:val="24"/>
                <w:u w:val="single"/>
                <w:lang w:val="en-US" w:eastAsia="zh-CN"/>
              </w:rPr>
              <w:t>主要为危废暂存间，环评要求建设单位</w:t>
            </w:r>
            <w:r>
              <w:rPr>
                <w:rFonts w:hint="eastAsia" w:ascii="Times New Roman" w:hAnsi="Times New Roman" w:cs="Times New Roman"/>
                <w:sz w:val="24"/>
                <w:u w:val="single"/>
              </w:rPr>
              <w:t>按照《危险废物贮存污染控制标准》（GB18597-2023）的要求进行防腐防渗，</w:t>
            </w:r>
            <w:r>
              <w:rPr>
                <w:rFonts w:hint="eastAsia" w:ascii="Times New Roman" w:hAnsi="Times New Roman" w:cs="Times New Roman"/>
                <w:sz w:val="24"/>
                <w:u w:val="single"/>
                <w:lang w:val="en-US" w:eastAsia="zh-CN"/>
              </w:rPr>
              <w:t>危废暂存间</w:t>
            </w:r>
            <w:r>
              <w:rPr>
                <w:rFonts w:hint="eastAsia" w:ascii="Times New Roman" w:hAnsi="Times New Roman" w:cs="Times New Roman"/>
                <w:sz w:val="24"/>
                <w:u w:val="single"/>
              </w:rPr>
              <w:t>防渗层为至少1m厚黏土层（渗透系数≤10-7cm/s），或2mm厚高密度聚乙烯，或至少2mm厚的其他人工材料（渗透系数≤10-10cm/s）；</w:t>
            </w:r>
            <w:r>
              <w:rPr>
                <w:rFonts w:hint="eastAsia" w:ascii="Times New Roman" w:hAnsi="Times New Roman" w:cs="Times New Roman"/>
                <w:sz w:val="24"/>
                <w:u w:val="single"/>
                <w:lang w:val="en-US" w:eastAsia="zh-CN"/>
              </w:rPr>
              <w:t>生产</w:t>
            </w:r>
            <w:r>
              <w:rPr>
                <w:rFonts w:hint="eastAsia" w:ascii="Times New Roman" w:hAnsi="Times New Roman" w:cs="Times New Roman"/>
                <w:sz w:val="24"/>
                <w:u w:val="single"/>
              </w:rPr>
              <w:t>地面采用防渗漏水泥地坪；</w:t>
            </w:r>
            <w:r>
              <w:rPr>
                <w:rFonts w:hint="eastAsia" w:ascii="Times New Roman" w:hAnsi="Times New Roman" w:cs="Times New Roman"/>
                <w:sz w:val="24"/>
                <w:u w:val="single"/>
                <w:lang w:val="en-US" w:eastAsia="zh-CN"/>
              </w:rPr>
              <w:t>做好防渗处理的情况下，本项目不存在地下水、土壤污染影响途径。</w:t>
            </w:r>
          </w:p>
          <w:p w14:paraId="560C7F99">
            <w:pPr>
              <w:keepNext w:val="0"/>
              <w:keepLines w:val="0"/>
              <w:pageBreakBefore w:val="0"/>
              <w:widowControl w:val="0"/>
              <w:tabs>
                <w:tab w:val="left" w:pos="1440"/>
                <w:tab w:val="left" w:pos="1800"/>
              </w:tabs>
              <w:kinsoku w:val="0"/>
              <w:wordWrap w:val="0"/>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sz w:val="24"/>
                <w:highlight w:val="none"/>
                <w:u w:val="single"/>
                <w:lang w:val="en-US" w:eastAsia="zh-CN"/>
              </w:rPr>
            </w:pPr>
            <w:r>
              <w:rPr>
                <w:rFonts w:hint="eastAsia" w:ascii="Times New Roman" w:hAnsi="Times New Roman" w:cs="Times New Roman"/>
                <w:b/>
                <w:bCs/>
                <w:color w:val="auto"/>
                <w:sz w:val="24"/>
                <w:highlight w:val="none"/>
                <w:u w:val="single"/>
                <w:lang w:val="en-US" w:eastAsia="zh-CN"/>
              </w:rPr>
              <w:t>4.2.6环境风险分析</w:t>
            </w:r>
          </w:p>
          <w:p w14:paraId="6B95EAB1">
            <w:pPr>
              <w:spacing w:line="360" w:lineRule="auto"/>
              <w:ind w:firstLine="480" w:firstLineChars="200"/>
              <w:rPr>
                <w:sz w:val="24"/>
                <w:szCs w:val="24"/>
                <w:u w:val="single"/>
              </w:rPr>
            </w:pPr>
            <w:r>
              <w:rPr>
                <w:sz w:val="24"/>
                <w:szCs w:val="24"/>
                <w:u w:val="single"/>
              </w:rPr>
              <w:t>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14:paraId="5B1DA904">
            <w:pPr>
              <w:spacing w:line="360" w:lineRule="auto"/>
              <w:ind w:firstLine="482" w:firstLineChars="200"/>
              <w:rPr>
                <w:b/>
                <w:bCs/>
                <w:sz w:val="24"/>
                <w:szCs w:val="24"/>
                <w:u w:val="single"/>
              </w:rPr>
            </w:pPr>
            <w:r>
              <w:rPr>
                <w:rFonts w:hint="eastAsia"/>
                <w:b/>
                <w:bCs/>
                <w:sz w:val="24"/>
                <w:szCs w:val="24"/>
                <w:u w:val="single"/>
              </w:rPr>
              <w:t>1</w:t>
            </w:r>
            <w:r>
              <w:rPr>
                <w:rFonts w:hint="eastAsia"/>
                <w:b/>
                <w:bCs/>
                <w:sz w:val="24"/>
                <w:szCs w:val="24"/>
                <w:u w:val="single"/>
                <w:lang w:eastAsia="zh-CN"/>
              </w:rPr>
              <w:t>、</w:t>
            </w:r>
            <w:r>
              <w:rPr>
                <w:rFonts w:hint="eastAsia"/>
                <w:b/>
                <w:bCs/>
                <w:sz w:val="24"/>
                <w:szCs w:val="24"/>
                <w:u w:val="single"/>
              </w:rPr>
              <w:t>Q值的确定</w:t>
            </w:r>
          </w:p>
          <w:p w14:paraId="6BB39E9E">
            <w:pPr>
              <w:spacing w:line="360" w:lineRule="auto"/>
              <w:ind w:firstLine="480" w:firstLineChars="200"/>
              <w:rPr>
                <w:rFonts w:hint="eastAsia"/>
                <w:sz w:val="24"/>
                <w:szCs w:val="24"/>
                <w:u w:val="single"/>
              </w:rPr>
            </w:pPr>
            <w:r>
              <w:rPr>
                <w:rFonts w:hint="eastAsia"/>
                <w:sz w:val="24"/>
                <w:szCs w:val="24"/>
                <w:u w:val="single"/>
              </w:rPr>
              <w:t>按照《建设项目环境风险评价技术导则》（HJ169-2018），结合建设单位实际情况</w:t>
            </w:r>
            <w:r>
              <w:rPr>
                <w:rFonts w:hint="eastAsia"/>
                <w:sz w:val="24"/>
                <w:szCs w:val="24"/>
                <w:u w:val="single"/>
                <w:lang w:eastAsia="zh-CN"/>
              </w:rPr>
              <w:t>，</w:t>
            </w:r>
            <w:r>
              <w:rPr>
                <w:rFonts w:hint="eastAsia"/>
                <w:sz w:val="24"/>
                <w:szCs w:val="24"/>
                <w:u w:val="single"/>
              </w:rPr>
              <w:t>Q计算见下表</w:t>
            </w:r>
          </w:p>
          <w:p w14:paraId="46015685">
            <w:pPr>
              <w:ind w:firstLine="422" w:firstLineChars="200"/>
              <w:jc w:val="center"/>
              <w:rPr>
                <w:rFonts w:hint="eastAsia" w:ascii="Times New Roman" w:hAnsi="Times New Roman" w:cs="Times New Roman"/>
                <w:b/>
                <w:bCs/>
                <w:color w:val="auto"/>
                <w:highlight w:val="none"/>
                <w:u w:val="single"/>
                <w:lang w:val="en-US" w:eastAsia="zh-CN"/>
              </w:rPr>
            </w:pPr>
            <w:r>
              <w:rPr>
                <w:rFonts w:hint="eastAsia" w:ascii="Times New Roman" w:hAnsi="Times New Roman" w:cs="Times New Roman"/>
                <w:b/>
                <w:bCs/>
                <w:color w:val="auto"/>
                <w:highlight w:val="none"/>
                <w:u w:val="single"/>
                <w:lang w:val="en-US" w:eastAsia="zh-CN"/>
              </w:rPr>
              <w:t>表4-1</w:t>
            </w:r>
            <w:r>
              <w:rPr>
                <w:rFonts w:hint="eastAsia" w:cs="Times New Roman"/>
                <w:b/>
                <w:bCs/>
                <w:color w:val="auto"/>
                <w:highlight w:val="none"/>
                <w:u w:val="single"/>
                <w:lang w:val="en-US" w:eastAsia="zh-CN"/>
              </w:rPr>
              <w:t>7</w:t>
            </w:r>
            <w:r>
              <w:rPr>
                <w:rFonts w:hint="eastAsia" w:ascii="Times New Roman" w:hAnsi="Times New Roman" w:cs="Times New Roman"/>
                <w:b/>
                <w:bCs/>
                <w:color w:val="auto"/>
                <w:highlight w:val="none"/>
                <w:u w:val="single"/>
                <w:lang w:val="en-US" w:eastAsia="zh-CN"/>
              </w:rPr>
              <w:t xml:space="preserve">  项目Q值计算</w:t>
            </w:r>
          </w:p>
          <w:tbl>
            <w:tblPr>
              <w:tblStyle w:val="21"/>
              <w:tblW w:w="69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3"/>
              <w:gridCol w:w="1735"/>
              <w:gridCol w:w="1445"/>
              <w:gridCol w:w="1388"/>
              <w:gridCol w:w="1388"/>
            </w:tblGrid>
            <w:tr w14:paraId="0BA25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5" w:hRule="atLeast"/>
                <w:jc w:val="center"/>
              </w:trPr>
              <w:tc>
                <w:tcPr>
                  <w:tcW w:w="983" w:type="dxa"/>
                  <w:tcBorders>
                    <w:tl2br w:val="nil"/>
                    <w:tr2bl w:val="nil"/>
                  </w:tcBorders>
                  <w:shd w:val="clear" w:color="auto" w:fill="auto"/>
                  <w:vAlign w:val="center"/>
                </w:tcPr>
                <w:p w14:paraId="7FE97EDB">
                  <w:pPr>
                    <w:widowControl/>
                    <w:jc w:val="center"/>
                    <w:textAlignment w:val="center"/>
                    <w:rPr>
                      <w:b/>
                      <w:bCs/>
                      <w:u w:val="single"/>
                    </w:rPr>
                  </w:pPr>
                  <w:r>
                    <w:rPr>
                      <w:rFonts w:hint="eastAsia"/>
                      <w:b/>
                      <w:bCs/>
                      <w:u w:val="single"/>
                    </w:rPr>
                    <w:t>序号</w:t>
                  </w:r>
                </w:p>
              </w:tc>
              <w:tc>
                <w:tcPr>
                  <w:tcW w:w="1735" w:type="dxa"/>
                  <w:tcBorders>
                    <w:tl2br w:val="nil"/>
                    <w:tr2bl w:val="nil"/>
                  </w:tcBorders>
                  <w:shd w:val="clear" w:color="auto" w:fill="auto"/>
                  <w:vAlign w:val="center"/>
                </w:tcPr>
                <w:p w14:paraId="4F24079A">
                  <w:pPr>
                    <w:widowControl/>
                    <w:jc w:val="center"/>
                    <w:textAlignment w:val="center"/>
                    <w:rPr>
                      <w:b/>
                      <w:bCs/>
                      <w:u w:val="single"/>
                    </w:rPr>
                  </w:pPr>
                  <w:r>
                    <w:rPr>
                      <w:rFonts w:hint="eastAsia"/>
                      <w:b/>
                      <w:bCs/>
                      <w:u w:val="single"/>
                    </w:rPr>
                    <w:t>名称</w:t>
                  </w:r>
                </w:p>
              </w:tc>
              <w:tc>
                <w:tcPr>
                  <w:tcW w:w="1445" w:type="dxa"/>
                  <w:tcBorders>
                    <w:tl2br w:val="nil"/>
                    <w:tr2bl w:val="nil"/>
                  </w:tcBorders>
                  <w:shd w:val="clear" w:color="auto" w:fill="auto"/>
                  <w:vAlign w:val="center"/>
                </w:tcPr>
                <w:p w14:paraId="488D730C">
                  <w:pPr>
                    <w:widowControl/>
                    <w:jc w:val="center"/>
                    <w:textAlignment w:val="center"/>
                    <w:rPr>
                      <w:b/>
                      <w:bCs/>
                      <w:u w:val="single"/>
                    </w:rPr>
                  </w:pPr>
                  <w:r>
                    <w:rPr>
                      <w:rFonts w:hint="eastAsia"/>
                      <w:b/>
                      <w:bCs/>
                      <w:u w:val="single"/>
                    </w:rPr>
                    <w:t>最大储存量</w:t>
                  </w:r>
                  <w:r>
                    <w:rPr>
                      <w:b/>
                      <w:bCs/>
                      <w:u w:val="single"/>
                    </w:rPr>
                    <w:t>qi</w:t>
                  </w:r>
                  <w:r>
                    <w:rPr>
                      <w:rFonts w:hint="eastAsia"/>
                      <w:b/>
                      <w:bCs/>
                      <w:u w:val="single"/>
                    </w:rPr>
                    <w:t>（</w:t>
                  </w:r>
                  <w:r>
                    <w:rPr>
                      <w:b/>
                      <w:bCs/>
                      <w:u w:val="single"/>
                    </w:rPr>
                    <w:t>t</w:t>
                  </w:r>
                  <w:r>
                    <w:rPr>
                      <w:rFonts w:hint="eastAsia"/>
                      <w:b/>
                      <w:bCs/>
                      <w:u w:val="single"/>
                    </w:rPr>
                    <w:t>）</w:t>
                  </w:r>
                </w:p>
              </w:tc>
              <w:tc>
                <w:tcPr>
                  <w:tcW w:w="1388" w:type="dxa"/>
                  <w:tcBorders>
                    <w:tl2br w:val="nil"/>
                    <w:tr2bl w:val="nil"/>
                  </w:tcBorders>
                  <w:shd w:val="clear" w:color="auto" w:fill="auto"/>
                  <w:vAlign w:val="center"/>
                </w:tcPr>
                <w:p w14:paraId="33B7A241">
                  <w:pPr>
                    <w:widowControl/>
                    <w:jc w:val="center"/>
                    <w:textAlignment w:val="center"/>
                    <w:rPr>
                      <w:b/>
                      <w:bCs/>
                      <w:u w:val="single"/>
                    </w:rPr>
                  </w:pPr>
                  <w:r>
                    <w:rPr>
                      <w:rFonts w:hint="eastAsia"/>
                      <w:b/>
                      <w:bCs/>
                      <w:u w:val="single"/>
                    </w:rPr>
                    <w:t>最大临界值</w:t>
                  </w:r>
                  <w:r>
                    <w:rPr>
                      <w:b/>
                      <w:bCs/>
                      <w:u w:val="single"/>
                    </w:rPr>
                    <w:t>Q</w:t>
                  </w:r>
                  <w:r>
                    <w:rPr>
                      <w:rFonts w:hint="eastAsia"/>
                      <w:b/>
                      <w:bCs/>
                      <w:u w:val="single"/>
                    </w:rPr>
                    <w:t>（</w:t>
                  </w:r>
                  <w:r>
                    <w:rPr>
                      <w:b/>
                      <w:bCs/>
                      <w:u w:val="single"/>
                    </w:rPr>
                    <w:t>t</w:t>
                  </w:r>
                  <w:r>
                    <w:rPr>
                      <w:rFonts w:hint="eastAsia"/>
                      <w:b/>
                      <w:bCs/>
                      <w:u w:val="single"/>
                    </w:rPr>
                    <w:t>）</w:t>
                  </w:r>
                </w:p>
              </w:tc>
              <w:tc>
                <w:tcPr>
                  <w:tcW w:w="1388" w:type="dxa"/>
                  <w:tcBorders>
                    <w:tl2br w:val="nil"/>
                    <w:tr2bl w:val="nil"/>
                  </w:tcBorders>
                  <w:shd w:val="clear" w:color="auto" w:fill="auto"/>
                  <w:vAlign w:val="center"/>
                </w:tcPr>
                <w:p w14:paraId="25449C34">
                  <w:pPr>
                    <w:widowControl/>
                    <w:jc w:val="center"/>
                    <w:textAlignment w:val="center"/>
                    <w:rPr>
                      <w:b/>
                      <w:bCs/>
                      <w:u w:val="single"/>
                    </w:rPr>
                  </w:pPr>
                  <w:r>
                    <w:rPr>
                      <w:b/>
                      <w:bCs/>
                      <w:u w:val="single"/>
                    </w:rPr>
                    <w:t>q/Q</w:t>
                  </w:r>
                </w:p>
              </w:tc>
            </w:tr>
            <w:tr w14:paraId="3062B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8" w:hRule="atLeast"/>
                <w:jc w:val="center"/>
              </w:trPr>
              <w:tc>
                <w:tcPr>
                  <w:tcW w:w="983" w:type="dxa"/>
                  <w:tcBorders>
                    <w:tl2br w:val="nil"/>
                    <w:tr2bl w:val="nil"/>
                  </w:tcBorders>
                  <w:shd w:val="clear" w:color="auto" w:fill="auto"/>
                  <w:vAlign w:val="center"/>
                </w:tcPr>
                <w:p w14:paraId="0A2895C9">
                  <w:pPr>
                    <w:widowControl/>
                    <w:jc w:val="center"/>
                    <w:textAlignment w:val="center"/>
                    <w:rPr>
                      <w:u w:val="single"/>
                    </w:rPr>
                  </w:pPr>
                  <w:r>
                    <w:rPr>
                      <w:rFonts w:hint="eastAsia"/>
                      <w:u w:val="single"/>
                    </w:rPr>
                    <w:t>1</w:t>
                  </w:r>
                </w:p>
              </w:tc>
              <w:tc>
                <w:tcPr>
                  <w:tcW w:w="1735" w:type="dxa"/>
                  <w:tcBorders>
                    <w:tl2br w:val="nil"/>
                    <w:tr2bl w:val="nil"/>
                  </w:tcBorders>
                  <w:shd w:val="clear" w:color="auto" w:fill="auto"/>
                  <w:vAlign w:val="center"/>
                </w:tcPr>
                <w:p w14:paraId="50A9F5D5">
                  <w:pPr>
                    <w:widowControl/>
                    <w:jc w:val="center"/>
                    <w:textAlignment w:val="center"/>
                    <w:rPr>
                      <w:rFonts w:hint="eastAsia" w:eastAsia="宋体"/>
                      <w:u w:val="single"/>
                      <w:lang w:val="en-US" w:eastAsia="zh-CN"/>
                    </w:rPr>
                  </w:pPr>
                  <w:r>
                    <w:rPr>
                      <w:rFonts w:hint="eastAsia"/>
                      <w:u w:val="single"/>
                      <w:lang w:val="en-US" w:eastAsia="zh-CN"/>
                    </w:rPr>
                    <w:t>润滑油</w:t>
                  </w:r>
                </w:p>
              </w:tc>
              <w:tc>
                <w:tcPr>
                  <w:tcW w:w="1445" w:type="dxa"/>
                  <w:tcBorders>
                    <w:tl2br w:val="nil"/>
                    <w:tr2bl w:val="nil"/>
                  </w:tcBorders>
                  <w:shd w:val="clear" w:color="auto" w:fill="auto"/>
                  <w:vAlign w:val="center"/>
                </w:tcPr>
                <w:p w14:paraId="68EB0F48">
                  <w:pPr>
                    <w:widowControl/>
                    <w:jc w:val="center"/>
                    <w:textAlignment w:val="center"/>
                    <w:rPr>
                      <w:rFonts w:hint="default" w:eastAsia="宋体"/>
                      <w:u w:val="single"/>
                      <w:lang w:val="en-US" w:eastAsia="zh-CN"/>
                    </w:rPr>
                  </w:pPr>
                  <w:r>
                    <w:rPr>
                      <w:rFonts w:hint="eastAsia"/>
                      <w:u w:val="single"/>
                      <w:lang w:val="en-US" w:eastAsia="zh-CN"/>
                    </w:rPr>
                    <w:t>0.75</w:t>
                  </w:r>
                </w:p>
              </w:tc>
              <w:tc>
                <w:tcPr>
                  <w:tcW w:w="1388" w:type="dxa"/>
                  <w:vMerge w:val="restart"/>
                  <w:tcBorders>
                    <w:tl2br w:val="nil"/>
                    <w:tr2bl w:val="nil"/>
                  </w:tcBorders>
                  <w:shd w:val="clear" w:color="auto" w:fill="auto"/>
                  <w:vAlign w:val="center"/>
                </w:tcPr>
                <w:p w14:paraId="4874BB13">
                  <w:pPr>
                    <w:widowControl/>
                    <w:jc w:val="center"/>
                    <w:textAlignment w:val="center"/>
                    <w:rPr>
                      <w:u w:val="single"/>
                    </w:rPr>
                  </w:pPr>
                  <w:r>
                    <w:rPr>
                      <w:rFonts w:hint="eastAsia"/>
                      <w:u w:val="single"/>
                    </w:rPr>
                    <w:t>2500</w:t>
                  </w:r>
                </w:p>
              </w:tc>
              <w:tc>
                <w:tcPr>
                  <w:tcW w:w="1388" w:type="dxa"/>
                  <w:vMerge w:val="restart"/>
                  <w:tcBorders>
                    <w:tl2br w:val="nil"/>
                    <w:tr2bl w:val="nil"/>
                  </w:tcBorders>
                  <w:shd w:val="clear" w:color="auto" w:fill="auto"/>
                  <w:vAlign w:val="center"/>
                </w:tcPr>
                <w:p w14:paraId="4780475F">
                  <w:pPr>
                    <w:widowControl/>
                    <w:jc w:val="center"/>
                    <w:textAlignment w:val="center"/>
                    <w:rPr>
                      <w:rFonts w:hint="default" w:eastAsia="宋体"/>
                      <w:u w:val="single"/>
                      <w:lang w:val="en-US" w:eastAsia="zh-CN"/>
                    </w:rPr>
                  </w:pPr>
                  <w:r>
                    <w:rPr>
                      <w:rFonts w:hint="eastAsia"/>
                      <w:u w:val="single"/>
                      <w:lang w:val="en-US" w:eastAsia="zh-CN"/>
                    </w:rPr>
                    <w:t>0.00033</w:t>
                  </w:r>
                </w:p>
              </w:tc>
            </w:tr>
            <w:tr w14:paraId="1563A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8" w:hRule="atLeast"/>
                <w:jc w:val="center"/>
              </w:trPr>
              <w:tc>
                <w:tcPr>
                  <w:tcW w:w="983" w:type="dxa"/>
                  <w:tcBorders>
                    <w:tl2br w:val="nil"/>
                    <w:tr2bl w:val="nil"/>
                  </w:tcBorders>
                  <w:shd w:val="clear" w:color="auto" w:fill="auto"/>
                  <w:vAlign w:val="center"/>
                </w:tcPr>
                <w:p w14:paraId="3480463A">
                  <w:pPr>
                    <w:widowControl/>
                    <w:jc w:val="center"/>
                    <w:textAlignment w:val="center"/>
                    <w:rPr>
                      <w:u w:val="single"/>
                    </w:rPr>
                  </w:pPr>
                  <w:r>
                    <w:rPr>
                      <w:rFonts w:hint="eastAsia"/>
                      <w:u w:val="single"/>
                    </w:rPr>
                    <w:t>2</w:t>
                  </w:r>
                </w:p>
              </w:tc>
              <w:tc>
                <w:tcPr>
                  <w:tcW w:w="1735" w:type="dxa"/>
                  <w:tcBorders>
                    <w:tl2br w:val="nil"/>
                    <w:tr2bl w:val="nil"/>
                  </w:tcBorders>
                  <w:shd w:val="clear" w:color="auto" w:fill="auto"/>
                  <w:vAlign w:val="center"/>
                </w:tcPr>
                <w:p w14:paraId="02EA245D">
                  <w:pPr>
                    <w:widowControl/>
                    <w:jc w:val="center"/>
                    <w:textAlignment w:val="center"/>
                    <w:rPr>
                      <w:rFonts w:hint="eastAsia" w:eastAsia="宋体"/>
                      <w:u w:val="single"/>
                      <w:lang w:val="en-US" w:eastAsia="zh-CN"/>
                    </w:rPr>
                  </w:pPr>
                  <w:r>
                    <w:rPr>
                      <w:rFonts w:hint="eastAsia"/>
                      <w:u w:val="single"/>
                    </w:rPr>
                    <w:t>废</w:t>
                  </w:r>
                  <w:r>
                    <w:rPr>
                      <w:rFonts w:hint="eastAsia"/>
                      <w:u w:val="single"/>
                      <w:lang w:val="en-US" w:eastAsia="zh-CN"/>
                    </w:rPr>
                    <w:t>润滑油</w:t>
                  </w:r>
                </w:p>
              </w:tc>
              <w:tc>
                <w:tcPr>
                  <w:tcW w:w="1445" w:type="dxa"/>
                  <w:tcBorders>
                    <w:tl2br w:val="nil"/>
                    <w:tr2bl w:val="nil"/>
                  </w:tcBorders>
                  <w:shd w:val="clear" w:color="auto" w:fill="auto"/>
                  <w:vAlign w:val="center"/>
                </w:tcPr>
                <w:p w14:paraId="241897DC">
                  <w:pPr>
                    <w:widowControl/>
                    <w:jc w:val="center"/>
                    <w:textAlignment w:val="center"/>
                    <w:rPr>
                      <w:u w:val="single"/>
                    </w:rPr>
                  </w:pPr>
                  <w:r>
                    <w:rPr>
                      <w:rFonts w:hint="eastAsia"/>
                      <w:u w:val="single"/>
                    </w:rPr>
                    <w:t>0.</w:t>
                  </w:r>
                  <w:r>
                    <w:rPr>
                      <w:rFonts w:hint="eastAsia"/>
                      <w:u w:val="single"/>
                      <w:lang w:val="en-US" w:eastAsia="zh-CN"/>
                    </w:rPr>
                    <w:t>075</w:t>
                  </w:r>
                </w:p>
              </w:tc>
              <w:tc>
                <w:tcPr>
                  <w:tcW w:w="1388" w:type="dxa"/>
                  <w:vMerge w:val="continue"/>
                  <w:tcBorders>
                    <w:tl2br w:val="nil"/>
                    <w:tr2bl w:val="nil"/>
                  </w:tcBorders>
                  <w:shd w:val="clear" w:color="auto" w:fill="auto"/>
                  <w:vAlign w:val="center"/>
                </w:tcPr>
                <w:p w14:paraId="011A994C">
                  <w:pPr>
                    <w:widowControl/>
                    <w:jc w:val="center"/>
                    <w:textAlignment w:val="center"/>
                    <w:rPr>
                      <w:u w:val="single"/>
                    </w:rPr>
                  </w:pPr>
                </w:p>
              </w:tc>
              <w:tc>
                <w:tcPr>
                  <w:tcW w:w="1388" w:type="dxa"/>
                  <w:vMerge w:val="continue"/>
                  <w:tcBorders>
                    <w:tl2br w:val="nil"/>
                    <w:tr2bl w:val="nil"/>
                  </w:tcBorders>
                  <w:shd w:val="clear" w:color="auto" w:fill="auto"/>
                  <w:vAlign w:val="center"/>
                </w:tcPr>
                <w:p w14:paraId="251637D6">
                  <w:pPr>
                    <w:widowControl/>
                    <w:jc w:val="center"/>
                    <w:textAlignment w:val="center"/>
                    <w:rPr>
                      <w:u w:val="single"/>
                    </w:rPr>
                  </w:pPr>
                </w:p>
              </w:tc>
            </w:tr>
            <w:tr w14:paraId="43952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6" w:hRule="atLeast"/>
                <w:jc w:val="center"/>
              </w:trPr>
              <w:tc>
                <w:tcPr>
                  <w:tcW w:w="983" w:type="dxa"/>
                  <w:tcBorders>
                    <w:tl2br w:val="nil"/>
                    <w:tr2bl w:val="nil"/>
                  </w:tcBorders>
                  <w:shd w:val="clear" w:color="auto" w:fill="auto"/>
                  <w:vAlign w:val="center"/>
                </w:tcPr>
                <w:p w14:paraId="0B42FFF7">
                  <w:pPr>
                    <w:widowControl/>
                    <w:jc w:val="center"/>
                    <w:textAlignment w:val="center"/>
                    <w:rPr>
                      <w:u w:val="single"/>
                    </w:rPr>
                  </w:pPr>
                  <w:r>
                    <w:rPr>
                      <w:rFonts w:hint="eastAsia"/>
                      <w:u w:val="single"/>
                    </w:rPr>
                    <w:t>3</w:t>
                  </w:r>
                </w:p>
              </w:tc>
              <w:tc>
                <w:tcPr>
                  <w:tcW w:w="1735" w:type="dxa"/>
                  <w:tcBorders>
                    <w:tl2br w:val="nil"/>
                    <w:tr2bl w:val="nil"/>
                  </w:tcBorders>
                  <w:shd w:val="clear" w:color="auto" w:fill="auto"/>
                  <w:vAlign w:val="center"/>
                </w:tcPr>
                <w:p w14:paraId="70D465B2">
                  <w:pPr>
                    <w:widowControl/>
                    <w:jc w:val="center"/>
                    <w:textAlignment w:val="center"/>
                    <w:rPr>
                      <w:u w:val="single"/>
                    </w:rPr>
                  </w:pPr>
                  <w:r>
                    <w:rPr>
                      <w:u w:val="single"/>
                    </w:rPr>
                    <w:t>∑qi/Q</w:t>
                  </w:r>
                </w:p>
              </w:tc>
              <w:tc>
                <w:tcPr>
                  <w:tcW w:w="1445" w:type="dxa"/>
                  <w:tcBorders>
                    <w:tl2br w:val="nil"/>
                    <w:tr2bl w:val="nil"/>
                  </w:tcBorders>
                  <w:shd w:val="clear" w:color="auto" w:fill="auto"/>
                  <w:vAlign w:val="center"/>
                </w:tcPr>
                <w:p w14:paraId="5382F043">
                  <w:pPr>
                    <w:widowControl/>
                    <w:jc w:val="center"/>
                    <w:textAlignment w:val="center"/>
                    <w:rPr>
                      <w:u w:val="single"/>
                    </w:rPr>
                  </w:pPr>
                  <w:r>
                    <w:rPr>
                      <w:rFonts w:hint="eastAsia"/>
                      <w:u w:val="single"/>
                    </w:rPr>
                    <w:t>/</w:t>
                  </w:r>
                </w:p>
              </w:tc>
              <w:tc>
                <w:tcPr>
                  <w:tcW w:w="1388" w:type="dxa"/>
                  <w:tcBorders>
                    <w:tl2br w:val="nil"/>
                    <w:tr2bl w:val="nil"/>
                  </w:tcBorders>
                  <w:shd w:val="clear" w:color="auto" w:fill="auto"/>
                  <w:vAlign w:val="center"/>
                </w:tcPr>
                <w:p w14:paraId="69EC9B0A">
                  <w:pPr>
                    <w:widowControl/>
                    <w:jc w:val="center"/>
                    <w:textAlignment w:val="center"/>
                    <w:rPr>
                      <w:u w:val="single"/>
                    </w:rPr>
                  </w:pPr>
                  <w:r>
                    <w:rPr>
                      <w:rFonts w:hint="eastAsia"/>
                      <w:u w:val="single"/>
                    </w:rPr>
                    <w:t>/</w:t>
                  </w:r>
                </w:p>
              </w:tc>
              <w:tc>
                <w:tcPr>
                  <w:tcW w:w="1388" w:type="dxa"/>
                  <w:tcBorders>
                    <w:tl2br w:val="nil"/>
                    <w:tr2bl w:val="nil"/>
                  </w:tcBorders>
                  <w:shd w:val="clear" w:color="auto" w:fill="auto"/>
                  <w:vAlign w:val="center"/>
                </w:tcPr>
                <w:p w14:paraId="433D5A78">
                  <w:pPr>
                    <w:widowControl/>
                    <w:jc w:val="center"/>
                    <w:textAlignment w:val="center"/>
                    <w:rPr>
                      <w:u w:val="single"/>
                    </w:rPr>
                  </w:pPr>
                  <w:r>
                    <w:rPr>
                      <w:rFonts w:hint="eastAsia"/>
                      <w:u w:val="single"/>
                      <w:lang w:val="en-US" w:eastAsia="zh-CN"/>
                    </w:rPr>
                    <w:t>0.00033</w:t>
                  </w:r>
                </w:p>
              </w:tc>
            </w:tr>
          </w:tbl>
          <w:p w14:paraId="646CE166">
            <w:pPr>
              <w:spacing w:line="360" w:lineRule="auto"/>
              <w:ind w:firstLine="480" w:firstLineChars="200"/>
              <w:rPr>
                <w:rFonts w:hint="eastAsia" w:eastAsia="宋体"/>
                <w:sz w:val="24"/>
                <w:szCs w:val="24"/>
                <w:u w:val="single"/>
                <w:lang w:val="en-US" w:eastAsia="zh-CN"/>
              </w:rPr>
            </w:pPr>
            <w:r>
              <w:rPr>
                <w:rFonts w:hint="eastAsia"/>
                <w:sz w:val="24"/>
                <w:szCs w:val="24"/>
                <w:u w:val="single"/>
              </w:rPr>
              <w:t>计算得Q=0.0006&lt;1</w:t>
            </w:r>
            <w:r>
              <w:rPr>
                <w:rFonts w:hint="eastAsia"/>
                <w:sz w:val="24"/>
                <w:szCs w:val="24"/>
                <w:u w:val="single"/>
                <w:lang w:eastAsia="zh-CN"/>
              </w:rPr>
              <w:t>，</w:t>
            </w:r>
            <w:r>
              <w:rPr>
                <w:rFonts w:hint="eastAsia"/>
                <w:sz w:val="24"/>
                <w:szCs w:val="24"/>
                <w:u w:val="single"/>
              </w:rPr>
              <w:t>因此，项目的环境风险潜势为I级。故仅需开展简单分析</w:t>
            </w:r>
            <w:r>
              <w:rPr>
                <w:rFonts w:hint="eastAsia"/>
                <w:sz w:val="24"/>
                <w:szCs w:val="24"/>
                <w:u w:val="single"/>
                <w:lang w:eastAsia="zh-CN"/>
              </w:rPr>
              <w:t>。</w:t>
            </w:r>
          </w:p>
          <w:p w14:paraId="7B7405CC">
            <w:pPr>
              <w:spacing w:line="360" w:lineRule="auto"/>
              <w:ind w:firstLine="482" w:firstLineChars="200"/>
              <w:rPr>
                <w:rFonts w:hint="eastAsia"/>
                <w:b/>
                <w:bCs/>
                <w:sz w:val="24"/>
                <w:szCs w:val="24"/>
                <w:u w:val="single"/>
              </w:rPr>
            </w:pPr>
            <w:r>
              <w:rPr>
                <w:rFonts w:hint="eastAsia"/>
                <w:b/>
                <w:bCs/>
                <w:sz w:val="24"/>
                <w:szCs w:val="24"/>
                <w:u w:val="single"/>
                <w:lang w:val="en-US" w:eastAsia="zh-CN"/>
              </w:rPr>
              <w:t>2、</w:t>
            </w:r>
            <w:r>
              <w:rPr>
                <w:rFonts w:hint="eastAsia"/>
                <w:b/>
                <w:bCs/>
                <w:sz w:val="24"/>
                <w:szCs w:val="24"/>
                <w:u w:val="single"/>
              </w:rPr>
              <w:t>项目存在的环境风险分析</w:t>
            </w:r>
          </w:p>
          <w:p w14:paraId="0C8ABA77">
            <w:pPr>
              <w:spacing w:line="360" w:lineRule="auto"/>
              <w:ind w:firstLine="480" w:firstLineChars="200"/>
              <w:rPr>
                <w:rFonts w:hint="eastAsia"/>
                <w:sz w:val="24"/>
                <w:szCs w:val="24"/>
                <w:u w:val="single"/>
              </w:rPr>
            </w:pPr>
            <w:r>
              <w:rPr>
                <w:rFonts w:hint="eastAsia"/>
                <w:sz w:val="24"/>
                <w:szCs w:val="24"/>
                <w:u w:val="single"/>
              </w:rPr>
              <w:t>经识别，项目运营期存在火灾、环保设施故障、危废泄漏等环境风险事故，环评对其可能发生的原因、事故影响程度、应急处置方式以及风险防范措施进行简要分析。</w:t>
            </w:r>
          </w:p>
          <w:p w14:paraId="0A1DFF70">
            <w:pPr>
              <w:spacing w:line="360" w:lineRule="auto"/>
              <w:ind w:firstLine="482" w:firstLineChars="200"/>
              <w:rPr>
                <w:rFonts w:hint="eastAsia"/>
                <w:b/>
                <w:bCs/>
                <w:sz w:val="24"/>
                <w:szCs w:val="24"/>
                <w:u w:val="single"/>
              </w:rPr>
            </w:pPr>
            <w:r>
              <w:rPr>
                <w:rFonts w:hint="eastAsia"/>
                <w:b/>
                <w:bCs/>
                <w:sz w:val="24"/>
                <w:szCs w:val="24"/>
                <w:u w:val="single"/>
                <w:lang w:eastAsia="zh-CN"/>
              </w:rPr>
              <w:t>（</w:t>
            </w:r>
            <w:r>
              <w:rPr>
                <w:rFonts w:hint="eastAsia"/>
                <w:b/>
                <w:bCs/>
                <w:sz w:val="24"/>
                <w:szCs w:val="24"/>
                <w:u w:val="single"/>
                <w:lang w:val="en-US" w:eastAsia="zh-CN"/>
              </w:rPr>
              <w:t>1）</w:t>
            </w:r>
            <w:r>
              <w:rPr>
                <w:rFonts w:hint="eastAsia"/>
                <w:b/>
                <w:bCs/>
                <w:sz w:val="24"/>
                <w:szCs w:val="24"/>
                <w:u w:val="single"/>
              </w:rPr>
              <w:t>火灾</w:t>
            </w:r>
          </w:p>
          <w:p w14:paraId="405DA532">
            <w:pPr>
              <w:spacing w:line="360" w:lineRule="auto"/>
              <w:ind w:firstLine="480" w:firstLineChars="200"/>
              <w:rPr>
                <w:rFonts w:hint="eastAsia"/>
                <w:sz w:val="24"/>
                <w:szCs w:val="24"/>
                <w:u w:val="single"/>
              </w:rPr>
            </w:pPr>
            <w:r>
              <w:rPr>
                <w:rFonts w:hint="eastAsia"/>
                <w:sz w:val="24"/>
                <w:szCs w:val="24"/>
                <w:u w:val="single"/>
              </w:rPr>
              <w:t>项目运行时设计中频电感炉，运行时最大功率达800kw，工作时内部温度高达1200℃，由于电路短路、过载以及人员违规操作的因素引发火灾的概率较大。一般而言，火灾产生的烟尘包括CO、NOx等污染物，项目位于洪江市高新区，发生火灾后临近生产单元将受到一定的影响，另外灭火时产生的消防废水若未经收集，在地面漫流后也可能对土壤及地下水造成影响。对此，环评要求项目建设后：</w:t>
            </w:r>
          </w:p>
          <w:p w14:paraId="758EC3C9">
            <w:pPr>
              <w:spacing w:line="360" w:lineRule="auto"/>
              <w:ind w:firstLine="480" w:firstLineChars="200"/>
              <w:rPr>
                <w:rFonts w:hint="eastAsia"/>
                <w:sz w:val="24"/>
                <w:szCs w:val="24"/>
                <w:u w:val="single"/>
              </w:rPr>
            </w:pPr>
            <w:r>
              <w:rPr>
                <w:rFonts w:hint="eastAsia"/>
                <w:sz w:val="24"/>
                <w:szCs w:val="24"/>
                <w:u w:val="single"/>
              </w:rPr>
              <w:t>1、及时编制“突发环境事件应急预案”，建立相应的应急</w:t>
            </w:r>
            <w:r>
              <w:rPr>
                <w:rFonts w:hint="eastAsia"/>
                <w:sz w:val="24"/>
                <w:szCs w:val="24"/>
                <w:u w:val="single"/>
                <w:lang w:eastAsia="zh-CN"/>
              </w:rPr>
              <w:t>响应</w:t>
            </w:r>
            <w:r>
              <w:rPr>
                <w:rFonts w:hint="eastAsia"/>
                <w:sz w:val="24"/>
                <w:szCs w:val="24"/>
                <w:u w:val="single"/>
              </w:rPr>
              <w:t>机制；</w:t>
            </w:r>
          </w:p>
          <w:p w14:paraId="63071832">
            <w:pPr>
              <w:spacing w:line="360" w:lineRule="auto"/>
              <w:ind w:firstLine="480" w:firstLineChars="200"/>
              <w:rPr>
                <w:rFonts w:hint="eastAsia"/>
                <w:sz w:val="24"/>
                <w:szCs w:val="24"/>
                <w:u w:val="single"/>
              </w:rPr>
            </w:pPr>
            <w:r>
              <w:rPr>
                <w:rFonts w:hint="eastAsia"/>
                <w:sz w:val="24"/>
                <w:szCs w:val="24"/>
                <w:u w:val="single"/>
              </w:rPr>
              <w:t>2、制定规范的操作流程并严格执行，防</w:t>
            </w:r>
            <w:r>
              <w:rPr>
                <w:rFonts w:hint="eastAsia"/>
                <w:sz w:val="24"/>
                <w:szCs w:val="24"/>
                <w:u w:val="single"/>
                <w:lang w:eastAsia="zh-CN"/>
              </w:rPr>
              <w:t>止</w:t>
            </w:r>
            <w:r>
              <w:rPr>
                <w:rFonts w:hint="eastAsia"/>
                <w:sz w:val="24"/>
                <w:szCs w:val="24"/>
                <w:u w:val="single"/>
              </w:rPr>
              <w:t>由于员工吸烟、不规范操作等因素导致火灾；</w:t>
            </w:r>
          </w:p>
          <w:p w14:paraId="2974E104">
            <w:pPr>
              <w:keepNext w:val="0"/>
              <w:keepLines w:val="0"/>
              <w:pageBreakBefore w:val="0"/>
              <w:widowControl w:val="0"/>
              <w:tabs>
                <w:tab w:val="left" w:pos="1440"/>
                <w:tab w:val="left" w:pos="1800"/>
              </w:tabs>
              <w:kinsoku w:val="0"/>
              <w:wordWrap w:val="0"/>
              <w:overflowPunct/>
              <w:topLinePunct w:val="0"/>
              <w:autoSpaceDE/>
              <w:autoSpaceDN/>
              <w:bidi w:val="0"/>
              <w:adjustRightInd/>
              <w:snapToGrid/>
              <w:spacing w:line="360" w:lineRule="auto"/>
              <w:ind w:firstLine="480" w:firstLineChars="200"/>
              <w:textAlignment w:val="auto"/>
              <w:rPr>
                <w:rFonts w:hint="eastAsia"/>
                <w:sz w:val="24"/>
                <w:szCs w:val="24"/>
                <w:u w:val="single"/>
              </w:rPr>
            </w:pPr>
            <w:r>
              <w:rPr>
                <w:rFonts w:hint="eastAsia"/>
                <w:sz w:val="24"/>
                <w:szCs w:val="24"/>
                <w:u w:val="single"/>
              </w:rPr>
              <w:t>3、配齐相应的消防物资，以便火情发生时可第一时间处置。</w:t>
            </w:r>
          </w:p>
          <w:p w14:paraId="29CF6FCA">
            <w:pPr>
              <w:spacing w:line="360" w:lineRule="auto"/>
              <w:ind w:firstLine="482" w:firstLineChars="200"/>
              <w:rPr>
                <w:rFonts w:hint="eastAsia"/>
                <w:b/>
                <w:bCs/>
                <w:sz w:val="24"/>
                <w:szCs w:val="24"/>
                <w:u w:val="single"/>
              </w:rPr>
            </w:pPr>
            <w:r>
              <w:rPr>
                <w:rFonts w:hint="eastAsia"/>
                <w:b/>
                <w:bCs/>
                <w:sz w:val="24"/>
                <w:szCs w:val="24"/>
                <w:u w:val="single"/>
                <w:lang w:eastAsia="zh-CN"/>
              </w:rPr>
              <w:t>（</w:t>
            </w:r>
            <w:r>
              <w:rPr>
                <w:rFonts w:hint="eastAsia"/>
                <w:b/>
                <w:bCs/>
                <w:sz w:val="24"/>
                <w:szCs w:val="24"/>
                <w:u w:val="single"/>
                <w:lang w:val="en-US" w:eastAsia="zh-CN"/>
              </w:rPr>
              <w:t>2）</w:t>
            </w:r>
            <w:r>
              <w:rPr>
                <w:rFonts w:hint="eastAsia"/>
                <w:b/>
                <w:bCs/>
                <w:sz w:val="24"/>
                <w:szCs w:val="24"/>
                <w:u w:val="single"/>
              </w:rPr>
              <w:t>环保设施故障</w:t>
            </w:r>
          </w:p>
          <w:p w14:paraId="3A37539D">
            <w:pPr>
              <w:keepNext w:val="0"/>
              <w:keepLines w:val="0"/>
              <w:pageBreakBefore w:val="0"/>
              <w:widowControl w:val="0"/>
              <w:tabs>
                <w:tab w:val="left" w:pos="1440"/>
                <w:tab w:val="left" w:pos="1800"/>
              </w:tabs>
              <w:kinsoku w:val="0"/>
              <w:wordWrap w:val="0"/>
              <w:overflowPunct/>
              <w:topLinePunct w:val="0"/>
              <w:autoSpaceDE/>
              <w:autoSpaceDN/>
              <w:bidi w:val="0"/>
              <w:adjustRightInd/>
              <w:snapToGrid/>
              <w:spacing w:line="360" w:lineRule="auto"/>
              <w:ind w:firstLine="480" w:firstLineChars="200"/>
              <w:textAlignment w:val="auto"/>
              <w:rPr>
                <w:rFonts w:hint="eastAsia"/>
                <w:sz w:val="24"/>
                <w:szCs w:val="24"/>
                <w:u w:val="single"/>
              </w:rPr>
            </w:pPr>
            <w:r>
              <w:rPr>
                <w:rFonts w:hint="eastAsia"/>
                <w:sz w:val="24"/>
                <w:szCs w:val="24"/>
                <w:u w:val="single"/>
              </w:rPr>
              <w:t>经识别，本项目主要污染考虑为各工序产生的颗粒物对环境造成影响，其处理设备布袋除尘器易由于设备管路堵塞、零部件老化、人员操作不当等因素发生故障，若此时继续生产，过量排放的颗粒物可能导致周围环境空气质量短时间超标，影响厂内及场外人员的身体健康。</w:t>
            </w:r>
          </w:p>
          <w:p w14:paraId="400725C3">
            <w:pPr>
              <w:spacing w:line="360" w:lineRule="auto"/>
              <w:ind w:firstLine="482" w:firstLineChars="200"/>
              <w:rPr>
                <w:rFonts w:hint="eastAsia"/>
                <w:b/>
                <w:bCs/>
                <w:sz w:val="24"/>
                <w:szCs w:val="24"/>
                <w:u w:val="single"/>
                <w:lang w:val="en-US" w:eastAsia="zh-CN"/>
              </w:rPr>
            </w:pPr>
            <w:r>
              <w:rPr>
                <w:rFonts w:hint="eastAsia"/>
                <w:b/>
                <w:bCs/>
                <w:sz w:val="24"/>
                <w:szCs w:val="24"/>
                <w:u w:val="single"/>
                <w:lang w:val="en-US" w:eastAsia="zh-CN"/>
              </w:rPr>
              <w:t>（3）润滑油、废润滑油泄漏</w:t>
            </w:r>
          </w:p>
          <w:p w14:paraId="2DF4CA31">
            <w:pPr>
              <w:spacing w:line="360" w:lineRule="auto"/>
              <w:ind w:firstLine="480" w:firstLineChars="200"/>
              <w:rPr>
                <w:sz w:val="24"/>
                <w:szCs w:val="24"/>
                <w:u w:val="single"/>
              </w:rPr>
            </w:pPr>
            <w:r>
              <w:rPr>
                <w:rFonts w:hint="eastAsia"/>
                <w:sz w:val="24"/>
                <w:szCs w:val="24"/>
                <w:u w:val="single"/>
              </w:rPr>
              <w:t>本项目使用的机油以及替换后的废机油等可能由于人员疏忽不慎将其倾倒、储罐破损的因素导致泄漏。若不慎流入土壤，将导致较为严重的污染事故。对此环评要求：机油应储存在原料仓库，并划分单独储存区域，地面防渗处理</w:t>
            </w:r>
            <w:r>
              <w:rPr>
                <w:rFonts w:hint="eastAsia"/>
                <w:sz w:val="24"/>
                <w:szCs w:val="24"/>
                <w:u w:val="single"/>
                <w:lang w:eastAsia="zh-CN"/>
              </w:rPr>
              <w:t>，</w:t>
            </w:r>
            <w:r>
              <w:rPr>
                <w:rFonts w:hint="eastAsia"/>
                <w:sz w:val="24"/>
                <w:szCs w:val="24"/>
                <w:u w:val="single"/>
                <w:lang w:val="en-US" w:eastAsia="zh-CN"/>
              </w:rPr>
              <w:t>底部配备收集托盘</w:t>
            </w:r>
            <w:r>
              <w:rPr>
                <w:rFonts w:hint="eastAsia"/>
                <w:sz w:val="24"/>
                <w:szCs w:val="24"/>
                <w:u w:val="single"/>
              </w:rPr>
              <w:t>。废</w:t>
            </w:r>
            <w:r>
              <w:rPr>
                <w:rFonts w:hint="eastAsia"/>
                <w:sz w:val="24"/>
                <w:szCs w:val="24"/>
                <w:u w:val="single"/>
                <w:lang w:val="en-US" w:eastAsia="zh-CN"/>
              </w:rPr>
              <w:t>润滑</w:t>
            </w:r>
            <w:r>
              <w:rPr>
                <w:rFonts w:hint="eastAsia"/>
                <w:sz w:val="24"/>
                <w:szCs w:val="24"/>
                <w:u w:val="single"/>
              </w:rPr>
              <w:t>油应储存在危险暂存间，同</w:t>
            </w:r>
            <w:r>
              <w:rPr>
                <w:rFonts w:hint="eastAsia"/>
                <w:sz w:val="24"/>
                <w:szCs w:val="24"/>
                <w:u w:val="single"/>
                <w:lang w:val="en-US" w:eastAsia="zh-CN"/>
              </w:rPr>
              <w:t>润滑</w:t>
            </w:r>
            <w:r>
              <w:rPr>
                <w:rFonts w:hint="eastAsia"/>
                <w:sz w:val="24"/>
                <w:szCs w:val="24"/>
                <w:u w:val="single"/>
              </w:rPr>
              <w:t>油一致。另外，建设单位需安排专人定期巡检，以便在泄漏发生时第一时间处置。</w:t>
            </w:r>
          </w:p>
          <w:p w14:paraId="3AF44EFC">
            <w:pPr>
              <w:keepNext w:val="0"/>
              <w:keepLines w:val="0"/>
              <w:pageBreakBefore w:val="0"/>
              <w:widowControl w:val="0"/>
              <w:numPr>
                <w:ilvl w:val="0"/>
                <w:numId w:val="2"/>
              </w:numPr>
              <w:tabs>
                <w:tab w:val="left" w:pos="1440"/>
                <w:tab w:val="left" w:pos="1800"/>
              </w:tabs>
              <w:kinsoku w:val="0"/>
              <w:wordWrap w:val="0"/>
              <w:overflowPunct/>
              <w:topLinePunct w:val="0"/>
              <w:autoSpaceDE/>
              <w:autoSpaceDN/>
              <w:bidi w:val="0"/>
              <w:adjustRightInd/>
              <w:snapToGrid/>
              <w:spacing w:line="360" w:lineRule="auto"/>
              <w:ind w:firstLine="482" w:firstLineChars="200"/>
              <w:textAlignment w:val="auto"/>
              <w:rPr>
                <w:rFonts w:hint="eastAsia"/>
                <w:b/>
                <w:bCs/>
                <w:sz w:val="24"/>
                <w:szCs w:val="24"/>
                <w:u w:val="single"/>
                <w:lang w:val="en-US" w:eastAsia="zh-CN"/>
              </w:rPr>
            </w:pPr>
            <w:r>
              <w:rPr>
                <w:rFonts w:hint="eastAsia"/>
                <w:b/>
                <w:bCs/>
                <w:sz w:val="24"/>
                <w:szCs w:val="24"/>
                <w:u w:val="single"/>
                <w:lang w:val="en-US" w:eastAsia="zh-CN"/>
              </w:rPr>
              <w:t>总结</w:t>
            </w:r>
          </w:p>
          <w:p w14:paraId="50637259">
            <w:pPr>
              <w:spacing w:line="360" w:lineRule="auto"/>
              <w:ind w:firstLine="480" w:firstLineChars="200"/>
              <w:rPr>
                <w:sz w:val="24"/>
                <w:szCs w:val="24"/>
                <w:u w:val="single"/>
              </w:rPr>
            </w:pPr>
            <w:r>
              <w:rPr>
                <w:rFonts w:hint="eastAsia"/>
                <w:sz w:val="24"/>
                <w:szCs w:val="24"/>
                <w:u w:val="single"/>
              </w:rPr>
              <w:t>项目大体环境风险事件大体可分为：火灾、环保设施故障、</w:t>
            </w:r>
            <w:r>
              <w:rPr>
                <w:rFonts w:hint="eastAsia"/>
                <w:sz w:val="24"/>
                <w:szCs w:val="24"/>
                <w:u w:val="single"/>
                <w:lang w:eastAsia="zh-CN"/>
              </w:rPr>
              <w:t>润滑油</w:t>
            </w:r>
            <w:r>
              <w:rPr>
                <w:rFonts w:hint="eastAsia"/>
                <w:sz w:val="24"/>
                <w:szCs w:val="24"/>
                <w:u w:val="single"/>
              </w:rPr>
              <w:t>、废</w:t>
            </w:r>
            <w:r>
              <w:rPr>
                <w:rFonts w:hint="eastAsia"/>
                <w:sz w:val="24"/>
                <w:szCs w:val="24"/>
                <w:u w:val="single"/>
                <w:lang w:val="en-US" w:eastAsia="zh-CN"/>
              </w:rPr>
              <w:t>润滑油</w:t>
            </w:r>
            <w:r>
              <w:rPr>
                <w:rFonts w:hint="eastAsia"/>
                <w:sz w:val="24"/>
                <w:szCs w:val="24"/>
                <w:u w:val="single"/>
              </w:rPr>
              <w:t>泄漏，环评对以上事故提出了相应的风险防范措施及处置措施，希望项目在今后的运营过程中能落实到位。另外，环评还要求项目建成后编制突发环境事件应急预案，建立相应的应急组织机构及相应体系，对潜在的风险源更加全面详细</w:t>
            </w:r>
            <w:r>
              <w:rPr>
                <w:rFonts w:hint="eastAsia"/>
                <w:sz w:val="24"/>
                <w:szCs w:val="24"/>
                <w:u w:val="single"/>
                <w:lang w:eastAsia="zh-CN"/>
              </w:rPr>
              <w:t>地</w:t>
            </w:r>
            <w:r>
              <w:rPr>
                <w:rFonts w:hint="eastAsia"/>
                <w:sz w:val="24"/>
                <w:szCs w:val="24"/>
                <w:u w:val="single"/>
              </w:rPr>
              <w:t>识别，以避免此类事件的发生。</w:t>
            </w:r>
          </w:p>
          <w:p w14:paraId="7050CF5C">
            <w:pPr>
              <w:spacing w:line="360" w:lineRule="auto"/>
              <w:ind w:firstLine="482" w:firstLineChars="200"/>
              <w:rPr>
                <w:rFonts w:hint="eastAsia"/>
                <w:b/>
                <w:bCs/>
                <w:sz w:val="24"/>
                <w:szCs w:val="24"/>
                <w:u w:val="single"/>
                <w:lang w:val="en-US" w:eastAsia="zh-CN"/>
              </w:rPr>
            </w:pPr>
            <w:r>
              <w:rPr>
                <w:rFonts w:hint="eastAsia"/>
                <w:b/>
                <w:bCs/>
                <w:sz w:val="24"/>
                <w:szCs w:val="24"/>
                <w:u w:val="single"/>
                <w:lang w:val="en-US" w:eastAsia="zh-CN"/>
              </w:rPr>
              <w:t>4.2.6环保投资</w:t>
            </w:r>
          </w:p>
          <w:p w14:paraId="330EF22F">
            <w:pPr>
              <w:spacing w:line="360" w:lineRule="auto"/>
              <w:ind w:firstLine="480" w:firstLineChars="200"/>
              <w:rPr>
                <w:rFonts w:hint="eastAsia"/>
                <w:sz w:val="24"/>
                <w:szCs w:val="24"/>
                <w:u w:val="single"/>
              </w:rPr>
            </w:pPr>
            <w:r>
              <w:rPr>
                <w:rFonts w:hint="eastAsia"/>
                <w:sz w:val="24"/>
                <w:szCs w:val="24"/>
                <w:u w:val="single"/>
              </w:rPr>
              <w:t>本</w:t>
            </w:r>
            <w:r>
              <w:rPr>
                <w:rFonts w:hint="eastAsia"/>
                <w:sz w:val="24"/>
                <w:szCs w:val="24"/>
                <w:u w:val="single"/>
                <w:lang w:val="en-US" w:eastAsia="zh-CN"/>
              </w:rPr>
              <w:t>项目总投资5000万元，</w:t>
            </w:r>
            <w:r>
              <w:rPr>
                <w:rFonts w:hint="eastAsia"/>
                <w:sz w:val="24"/>
                <w:szCs w:val="24"/>
                <w:u w:val="single"/>
              </w:rPr>
              <w:t>环保投资</w:t>
            </w:r>
            <w:r>
              <w:rPr>
                <w:rFonts w:hint="eastAsia"/>
                <w:sz w:val="24"/>
                <w:szCs w:val="24"/>
                <w:u w:val="single"/>
                <w:lang w:val="en-US" w:eastAsia="zh-CN"/>
              </w:rPr>
              <w:t>81</w:t>
            </w:r>
            <w:r>
              <w:rPr>
                <w:rFonts w:hint="eastAsia"/>
                <w:sz w:val="24"/>
                <w:szCs w:val="24"/>
                <w:u w:val="single"/>
              </w:rPr>
              <w:t>万元，占总投资的</w:t>
            </w:r>
            <w:r>
              <w:rPr>
                <w:rFonts w:hint="eastAsia"/>
                <w:sz w:val="24"/>
                <w:szCs w:val="24"/>
                <w:u w:val="single"/>
                <w:lang w:val="en-US" w:eastAsia="zh-CN"/>
              </w:rPr>
              <w:t>1.62</w:t>
            </w:r>
            <w:r>
              <w:rPr>
                <w:rFonts w:hint="eastAsia"/>
                <w:sz w:val="24"/>
                <w:szCs w:val="24"/>
                <w:u w:val="single"/>
              </w:rPr>
              <w:t>％，详见下表。</w:t>
            </w:r>
          </w:p>
          <w:p w14:paraId="651FB8CA">
            <w:pPr>
              <w:ind w:firstLine="422" w:firstLineChars="200"/>
              <w:jc w:val="center"/>
              <w:rPr>
                <w:rFonts w:hint="default" w:ascii="Times New Roman" w:hAnsi="Times New Roman" w:cs="Times New Roman"/>
                <w:b/>
                <w:bCs/>
                <w:color w:val="auto"/>
                <w:highlight w:val="none"/>
                <w:u w:val="single"/>
                <w:lang w:val="en-US" w:eastAsia="zh-CN"/>
              </w:rPr>
            </w:pPr>
            <w:r>
              <w:rPr>
                <w:rFonts w:hint="default" w:ascii="Times New Roman" w:hAnsi="Times New Roman" w:cs="Times New Roman"/>
                <w:b/>
                <w:bCs/>
                <w:color w:val="auto"/>
                <w:highlight w:val="none"/>
                <w:u w:val="single"/>
                <w:lang w:val="en-US" w:eastAsia="zh-CN"/>
              </w:rPr>
              <w:t>表4-</w:t>
            </w:r>
            <w:r>
              <w:rPr>
                <w:rFonts w:hint="eastAsia" w:ascii="Times New Roman" w:hAnsi="Times New Roman" w:cs="Times New Roman"/>
                <w:b/>
                <w:bCs/>
                <w:color w:val="auto"/>
                <w:highlight w:val="none"/>
                <w:u w:val="single"/>
                <w:lang w:val="en-US" w:eastAsia="zh-CN"/>
              </w:rPr>
              <w:t>18</w:t>
            </w:r>
            <w:r>
              <w:rPr>
                <w:rFonts w:hint="default" w:ascii="Times New Roman" w:hAnsi="Times New Roman" w:cs="Times New Roman"/>
                <w:b/>
                <w:bCs/>
                <w:color w:val="auto"/>
                <w:highlight w:val="none"/>
                <w:u w:val="single"/>
                <w:lang w:val="en-US" w:eastAsia="zh-CN"/>
              </w:rPr>
              <w:t xml:space="preserve">  建设项目环保投资内容表</w:t>
            </w:r>
          </w:p>
          <w:tbl>
            <w:tblPr>
              <w:tblStyle w:val="38"/>
              <w:tblW w:w="7717" w:type="dxa"/>
              <w:tblInd w:w="10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1183"/>
              <w:gridCol w:w="1847"/>
              <w:gridCol w:w="2459"/>
              <w:gridCol w:w="1420"/>
            </w:tblGrid>
            <w:tr w14:paraId="5432F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 w:hRule="atLeast"/>
              </w:trPr>
              <w:tc>
                <w:tcPr>
                  <w:tcW w:w="808" w:type="dxa"/>
                  <w:tcBorders>
                    <w:tl2br w:val="nil"/>
                    <w:tr2bl w:val="nil"/>
                  </w:tcBorders>
                  <w:vAlign w:val="center"/>
                </w:tcPr>
                <w:p w14:paraId="52660E96">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时期</w:t>
                  </w:r>
                </w:p>
              </w:tc>
              <w:tc>
                <w:tcPr>
                  <w:tcW w:w="1183" w:type="dxa"/>
                  <w:tcBorders>
                    <w:tl2br w:val="nil"/>
                    <w:tr2bl w:val="nil"/>
                  </w:tcBorders>
                  <w:vAlign w:val="center"/>
                </w:tcPr>
                <w:p w14:paraId="6B8E6FE8">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污染类别</w:t>
                  </w:r>
                </w:p>
              </w:tc>
              <w:tc>
                <w:tcPr>
                  <w:tcW w:w="1847" w:type="dxa"/>
                  <w:tcBorders>
                    <w:tl2br w:val="nil"/>
                    <w:tr2bl w:val="nil"/>
                  </w:tcBorders>
                  <w:vAlign w:val="center"/>
                </w:tcPr>
                <w:p w14:paraId="102A934B">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污染物</w:t>
                  </w:r>
                </w:p>
              </w:tc>
              <w:tc>
                <w:tcPr>
                  <w:tcW w:w="2459" w:type="dxa"/>
                  <w:tcBorders>
                    <w:tl2br w:val="nil"/>
                    <w:tr2bl w:val="nil"/>
                  </w:tcBorders>
                  <w:vAlign w:val="center"/>
                </w:tcPr>
                <w:p w14:paraId="33BBB9E1">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环保措施</w:t>
                  </w:r>
                </w:p>
              </w:tc>
              <w:tc>
                <w:tcPr>
                  <w:tcW w:w="1420" w:type="dxa"/>
                  <w:tcBorders>
                    <w:tl2br w:val="nil"/>
                    <w:tr2bl w:val="nil"/>
                  </w:tcBorders>
                  <w:vAlign w:val="center"/>
                </w:tcPr>
                <w:p w14:paraId="17E0BA25">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投资金额（万元）</w:t>
                  </w:r>
                </w:p>
              </w:tc>
            </w:tr>
            <w:tr w14:paraId="3DCFB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 w:hRule="atLeast"/>
              </w:trPr>
              <w:tc>
                <w:tcPr>
                  <w:tcW w:w="808" w:type="dxa"/>
                  <w:vMerge w:val="restart"/>
                  <w:tcBorders>
                    <w:tl2br w:val="nil"/>
                    <w:tr2bl w:val="nil"/>
                  </w:tcBorders>
                  <w:vAlign w:val="center"/>
                </w:tcPr>
                <w:p w14:paraId="7795774B">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施工期</w:t>
                  </w:r>
                </w:p>
              </w:tc>
              <w:tc>
                <w:tcPr>
                  <w:tcW w:w="1183" w:type="dxa"/>
                  <w:tcBorders>
                    <w:tl2br w:val="nil"/>
                    <w:tr2bl w:val="nil"/>
                  </w:tcBorders>
                  <w:vAlign w:val="center"/>
                </w:tcPr>
                <w:p w14:paraId="7D8DF10A">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废气</w:t>
                  </w:r>
                </w:p>
              </w:tc>
              <w:tc>
                <w:tcPr>
                  <w:tcW w:w="1847" w:type="dxa"/>
                  <w:tcBorders>
                    <w:tl2br w:val="nil"/>
                    <w:tr2bl w:val="nil"/>
                  </w:tcBorders>
                  <w:vAlign w:val="center"/>
                </w:tcPr>
                <w:p w14:paraId="6A4BDC0A">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施工扬尘</w:t>
                  </w:r>
                </w:p>
              </w:tc>
              <w:tc>
                <w:tcPr>
                  <w:tcW w:w="2459" w:type="dxa"/>
                  <w:tcBorders>
                    <w:tl2br w:val="nil"/>
                    <w:tr2bl w:val="nil"/>
                  </w:tcBorders>
                  <w:vAlign w:val="center"/>
                </w:tcPr>
                <w:p w14:paraId="715DEDB3">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施工洒水抑尘</w:t>
                  </w:r>
                </w:p>
              </w:tc>
              <w:tc>
                <w:tcPr>
                  <w:tcW w:w="1420" w:type="dxa"/>
                  <w:tcBorders>
                    <w:tl2br w:val="nil"/>
                    <w:tr2bl w:val="nil"/>
                  </w:tcBorders>
                  <w:vAlign w:val="center"/>
                </w:tcPr>
                <w:p w14:paraId="419F1459">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1.0</w:t>
                  </w:r>
                </w:p>
              </w:tc>
            </w:tr>
            <w:tr w14:paraId="6E1FC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 w:hRule="atLeast"/>
              </w:trPr>
              <w:tc>
                <w:tcPr>
                  <w:tcW w:w="808" w:type="dxa"/>
                  <w:vMerge w:val="continue"/>
                  <w:tcBorders>
                    <w:tl2br w:val="nil"/>
                    <w:tr2bl w:val="nil"/>
                  </w:tcBorders>
                  <w:vAlign w:val="center"/>
                </w:tcPr>
                <w:p w14:paraId="2B4B1BAD">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p>
              </w:tc>
              <w:tc>
                <w:tcPr>
                  <w:tcW w:w="1183" w:type="dxa"/>
                  <w:tcBorders>
                    <w:tl2br w:val="nil"/>
                    <w:tr2bl w:val="nil"/>
                  </w:tcBorders>
                  <w:vAlign w:val="center"/>
                </w:tcPr>
                <w:p w14:paraId="4CF7CA9E">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废水</w:t>
                  </w:r>
                </w:p>
              </w:tc>
              <w:tc>
                <w:tcPr>
                  <w:tcW w:w="1847" w:type="dxa"/>
                  <w:tcBorders>
                    <w:tl2br w:val="nil"/>
                    <w:tr2bl w:val="nil"/>
                  </w:tcBorders>
                  <w:vAlign w:val="center"/>
                </w:tcPr>
                <w:p w14:paraId="19E98C9B">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生活污水和施工废水</w:t>
                  </w:r>
                </w:p>
              </w:tc>
              <w:tc>
                <w:tcPr>
                  <w:tcW w:w="2459" w:type="dxa"/>
                  <w:tcBorders>
                    <w:tl2br w:val="nil"/>
                    <w:tr2bl w:val="nil"/>
                  </w:tcBorders>
                  <w:vAlign w:val="center"/>
                </w:tcPr>
                <w:p w14:paraId="243E6733">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隔油池、化粪池</w:t>
                  </w:r>
                </w:p>
              </w:tc>
              <w:tc>
                <w:tcPr>
                  <w:tcW w:w="1420" w:type="dxa"/>
                  <w:tcBorders>
                    <w:tl2br w:val="nil"/>
                    <w:tr2bl w:val="nil"/>
                  </w:tcBorders>
                  <w:vAlign w:val="center"/>
                </w:tcPr>
                <w:p w14:paraId="52EFA23E">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2.0</w:t>
                  </w:r>
                </w:p>
              </w:tc>
            </w:tr>
            <w:tr w14:paraId="2CF0A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 w:hRule="atLeast"/>
              </w:trPr>
              <w:tc>
                <w:tcPr>
                  <w:tcW w:w="808" w:type="dxa"/>
                  <w:vMerge w:val="continue"/>
                  <w:tcBorders>
                    <w:tl2br w:val="nil"/>
                    <w:tr2bl w:val="nil"/>
                  </w:tcBorders>
                  <w:vAlign w:val="center"/>
                </w:tcPr>
                <w:p w14:paraId="3CDB9231">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p>
              </w:tc>
              <w:tc>
                <w:tcPr>
                  <w:tcW w:w="1183" w:type="dxa"/>
                  <w:tcBorders>
                    <w:tl2br w:val="nil"/>
                    <w:tr2bl w:val="nil"/>
                  </w:tcBorders>
                  <w:vAlign w:val="center"/>
                </w:tcPr>
                <w:p w14:paraId="78E73B69">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噪声</w:t>
                  </w:r>
                </w:p>
              </w:tc>
              <w:tc>
                <w:tcPr>
                  <w:tcW w:w="1847" w:type="dxa"/>
                  <w:tcBorders>
                    <w:tl2br w:val="nil"/>
                    <w:tr2bl w:val="nil"/>
                  </w:tcBorders>
                  <w:vAlign w:val="center"/>
                </w:tcPr>
                <w:p w14:paraId="1694F8ED">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施工机械设备噪声</w:t>
                  </w:r>
                </w:p>
              </w:tc>
              <w:tc>
                <w:tcPr>
                  <w:tcW w:w="2459" w:type="dxa"/>
                  <w:tcBorders>
                    <w:tl2br w:val="nil"/>
                    <w:tr2bl w:val="nil"/>
                  </w:tcBorders>
                  <w:vAlign w:val="center"/>
                </w:tcPr>
                <w:p w14:paraId="3440A8C2">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施工围挡</w:t>
                  </w:r>
                </w:p>
              </w:tc>
              <w:tc>
                <w:tcPr>
                  <w:tcW w:w="1420" w:type="dxa"/>
                  <w:tcBorders>
                    <w:tl2br w:val="nil"/>
                    <w:tr2bl w:val="nil"/>
                  </w:tcBorders>
                  <w:vAlign w:val="center"/>
                </w:tcPr>
                <w:p w14:paraId="31AE3EF7">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2.0</w:t>
                  </w:r>
                </w:p>
              </w:tc>
            </w:tr>
            <w:tr w14:paraId="678B5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08" w:type="dxa"/>
                  <w:vMerge w:val="continue"/>
                  <w:tcBorders>
                    <w:tl2br w:val="nil"/>
                    <w:tr2bl w:val="nil"/>
                  </w:tcBorders>
                  <w:vAlign w:val="center"/>
                </w:tcPr>
                <w:p w14:paraId="0BB3A921">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p>
              </w:tc>
              <w:tc>
                <w:tcPr>
                  <w:tcW w:w="1183" w:type="dxa"/>
                  <w:tcBorders>
                    <w:tl2br w:val="nil"/>
                    <w:tr2bl w:val="nil"/>
                  </w:tcBorders>
                  <w:vAlign w:val="center"/>
                </w:tcPr>
                <w:p w14:paraId="5C3D322E">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固体废物</w:t>
                  </w:r>
                </w:p>
              </w:tc>
              <w:tc>
                <w:tcPr>
                  <w:tcW w:w="1847" w:type="dxa"/>
                  <w:tcBorders>
                    <w:tl2br w:val="nil"/>
                    <w:tr2bl w:val="nil"/>
                  </w:tcBorders>
                  <w:vAlign w:val="center"/>
                </w:tcPr>
                <w:p w14:paraId="5FF0DD2F">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生活垃圾和建筑垃圾</w:t>
                  </w:r>
                </w:p>
              </w:tc>
              <w:tc>
                <w:tcPr>
                  <w:tcW w:w="2459" w:type="dxa"/>
                  <w:tcBorders>
                    <w:tl2br w:val="nil"/>
                    <w:tr2bl w:val="nil"/>
                  </w:tcBorders>
                  <w:vAlign w:val="center"/>
                </w:tcPr>
                <w:p w14:paraId="627EFC90">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建筑垃圾及时清运至专用建筑垃圾堆场，生活垃圾由</w:t>
                  </w:r>
                </w:p>
                <w:p w14:paraId="1C11AFD1">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环卫清运</w:t>
                  </w:r>
                </w:p>
              </w:tc>
              <w:tc>
                <w:tcPr>
                  <w:tcW w:w="1420" w:type="dxa"/>
                  <w:tcBorders>
                    <w:tl2br w:val="nil"/>
                    <w:tr2bl w:val="nil"/>
                  </w:tcBorders>
                  <w:vAlign w:val="center"/>
                </w:tcPr>
                <w:p w14:paraId="34535E14">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2.0</w:t>
                  </w:r>
                </w:p>
              </w:tc>
            </w:tr>
            <w:tr w14:paraId="487B4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808" w:type="dxa"/>
                  <w:vMerge w:val="restart"/>
                  <w:tcBorders>
                    <w:tl2br w:val="nil"/>
                    <w:tr2bl w:val="nil"/>
                  </w:tcBorders>
                  <w:vAlign w:val="center"/>
                </w:tcPr>
                <w:p w14:paraId="4F40D4B5">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营运期</w:t>
                  </w:r>
                </w:p>
              </w:tc>
              <w:tc>
                <w:tcPr>
                  <w:tcW w:w="1183" w:type="dxa"/>
                  <w:tcBorders>
                    <w:tl2br w:val="nil"/>
                    <w:tr2bl w:val="nil"/>
                  </w:tcBorders>
                  <w:vAlign w:val="center"/>
                </w:tcPr>
                <w:p w14:paraId="03DFBFC4">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废气</w:t>
                  </w:r>
                </w:p>
              </w:tc>
              <w:tc>
                <w:tcPr>
                  <w:tcW w:w="1847" w:type="dxa"/>
                  <w:tcBorders>
                    <w:tl2br w:val="nil"/>
                    <w:tr2bl w:val="nil"/>
                  </w:tcBorders>
                  <w:vAlign w:val="center"/>
                </w:tcPr>
                <w:p w14:paraId="6EFA5A92">
                  <w:pPr>
                    <w:widowControl/>
                    <w:kinsoku/>
                    <w:autoSpaceDE/>
                    <w:autoSpaceDN/>
                    <w:adjustRightInd/>
                    <w:snapToGrid/>
                    <w:spacing w:line="240" w:lineRule="auto"/>
                    <w:jc w:val="center"/>
                    <w:textAlignment w:val="center"/>
                    <w:rPr>
                      <w:rFonts w:hint="default"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颗粒物、非甲烷总烃</w:t>
                  </w:r>
                </w:p>
              </w:tc>
              <w:tc>
                <w:tcPr>
                  <w:tcW w:w="2459" w:type="dxa"/>
                  <w:tcBorders>
                    <w:tl2br w:val="nil"/>
                    <w:tr2bl w:val="nil"/>
                  </w:tcBorders>
                  <w:vAlign w:val="center"/>
                </w:tcPr>
                <w:p w14:paraId="27094073">
                  <w:pPr>
                    <w:widowControl/>
                    <w:kinsoku/>
                    <w:autoSpaceDE/>
                    <w:autoSpaceDN/>
                    <w:adjustRightInd/>
                    <w:snapToGrid/>
                    <w:spacing w:line="240" w:lineRule="auto"/>
                    <w:jc w:val="center"/>
                    <w:textAlignment w:val="center"/>
                    <w:rPr>
                      <w:rFonts w:hint="default"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集气罩、脉冲布袋除尘、活性炭箱、收集管道、排气筒</w:t>
                  </w:r>
                </w:p>
              </w:tc>
              <w:tc>
                <w:tcPr>
                  <w:tcW w:w="1420" w:type="dxa"/>
                  <w:tcBorders>
                    <w:tl2br w:val="nil"/>
                    <w:tr2bl w:val="nil"/>
                  </w:tcBorders>
                  <w:vAlign w:val="center"/>
                </w:tcPr>
                <w:p w14:paraId="259370FB">
                  <w:pPr>
                    <w:widowControl/>
                    <w:kinsoku/>
                    <w:autoSpaceDE/>
                    <w:autoSpaceDN/>
                    <w:adjustRightInd/>
                    <w:snapToGrid/>
                    <w:spacing w:line="240" w:lineRule="auto"/>
                    <w:jc w:val="center"/>
                    <w:textAlignment w:val="center"/>
                    <w:rPr>
                      <w:rFonts w:hint="default"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60</w:t>
                  </w:r>
                </w:p>
              </w:tc>
            </w:tr>
            <w:tr w14:paraId="2EE6F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 w:hRule="atLeast"/>
              </w:trPr>
              <w:tc>
                <w:tcPr>
                  <w:tcW w:w="808" w:type="dxa"/>
                  <w:vMerge w:val="continue"/>
                  <w:tcBorders>
                    <w:tl2br w:val="nil"/>
                    <w:tr2bl w:val="nil"/>
                  </w:tcBorders>
                  <w:vAlign w:val="center"/>
                </w:tcPr>
                <w:p w14:paraId="61EA1B0A">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p>
              </w:tc>
              <w:tc>
                <w:tcPr>
                  <w:tcW w:w="1183" w:type="dxa"/>
                  <w:tcBorders>
                    <w:tl2br w:val="nil"/>
                    <w:tr2bl w:val="nil"/>
                  </w:tcBorders>
                  <w:vAlign w:val="center"/>
                </w:tcPr>
                <w:p w14:paraId="095989D0">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废水</w:t>
                  </w:r>
                </w:p>
              </w:tc>
              <w:tc>
                <w:tcPr>
                  <w:tcW w:w="1847" w:type="dxa"/>
                  <w:tcBorders>
                    <w:tl2br w:val="nil"/>
                    <w:tr2bl w:val="nil"/>
                  </w:tcBorders>
                  <w:vAlign w:val="center"/>
                </w:tcPr>
                <w:p w14:paraId="79AD6F6D">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生活污水</w:t>
                  </w:r>
                </w:p>
              </w:tc>
              <w:tc>
                <w:tcPr>
                  <w:tcW w:w="2459" w:type="dxa"/>
                  <w:tcBorders>
                    <w:tl2br w:val="nil"/>
                    <w:tr2bl w:val="nil"/>
                  </w:tcBorders>
                  <w:vAlign w:val="center"/>
                </w:tcPr>
                <w:p w14:paraId="7532CDC6">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隔油池、化粪池</w:t>
                  </w:r>
                </w:p>
              </w:tc>
              <w:tc>
                <w:tcPr>
                  <w:tcW w:w="1420" w:type="dxa"/>
                  <w:tcBorders>
                    <w:tl2br w:val="nil"/>
                    <w:tr2bl w:val="nil"/>
                  </w:tcBorders>
                  <w:vAlign w:val="center"/>
                </w:tcPr>
                <w:p w14:paraId="1D7F32F3">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2</w:t>
                  </w:r>
                </w:p>
              </w:tc>
            </w:tr>
            <w:tr w14:paraId="6C825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5" w:hRule="atLeast"/>
              </w:trPr>
              <w:tc>
                <w:tcPr>
                  <w:tcW w:w="808" w:type="dxa"/>
                  <w:vMerge w:val="continue"/>
                  <w:tcBorders>
                    <w:tl2br w:val="nil"/>
                    <w:tr2bl w:val="nil"/>
                  </w:tcBorders>
                  <w:vAlign w:val="center"/>
                </w:tcPr>
                <w:p w14:paraId="183A4A7E">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p>
              </w:tc>
              <w:tc>
                <w:tcPr>
                  <w:tcW w:w="1183" w:type="dxa"/>
                  <w:tcBorders>
                    <w:tl2br w:val="nil"/>
                    <w:tr2bl w:val="nil"/>
                  </w:tcBorders>
                  <w:vAlign w:val="center"/>
                </w:tcPr>
                <w:p w14:paraId="7854A413">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噪声</w:t>
                  </w:r>
                </w:p>
              </w:tc>
              <w:tc>
                <w:tcPr>
                  <w:tcW w:w="1847" w:type="dxa"/>
                  <w:tcBorders>
                    <w:tl2br w:val="nil"/>
                    <w:tr2bl w:val="nil"/>
                  </w:tcBorders>
                  <w:vAlign w:val="center"/>
                </w:tcPr>
                <w:p w14:paraId="01B769F0">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设备运行噪声</w:t>
                  </w:r>
                </w:p>
              </w:tc>
              <w:tc>
                <w:tcPr>
                  <w:tcW w:w="2459" w:type="dxa"/>
                  <w:tcBorders>
                    <w:tl2br w:val="nil"/>
                    <w:tr2bl w:val="nil"/>
                  </w:tcBorders>
                  <w:vAlign w:val="center"/>
                </w:tcPr>
                <w:p w14:paraId="27B3B860">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选用低噪声设备、厂房隔声、消声、减振</w:t>
                  </w:r>
                </w:p>
              </w:tc>
              <w:tc>
                <w:tcPr>
                  <w:tcW w:w="1420" w:type="dxa"/>
                  <w:tcBorders>
                    <w:tl2br w:val="nil"/>
                    <w:tr2bl w:val="nil"/>
                  </w:tcBorders>
                  <w:vAlign w:val="center"/>
                </w:tcPr>
                <w:p w14:paraId="2F7D7D4A">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2</w:t>
                  </w:r>
                </w:p>
              </w:tc>
            </w:tr>
            <w:tr w14:paraId="5811D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808" w:type="dxa"/>
                  <w:vMerge w:val="continue"/>
                  <w:tcBorders>
                    <w:tl2br w:val="nil"/>
                    <w:tr2bl w:val="nil"/>
                  </w:tcBorders>
                  <w:vAlign w:val="center"/>
                </w:tcPr>
                <w:p w14:paraId="3A99C6C5">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p>
              </w:tc>
              <w:tc>
                <w:tcPr>
                  <w:tcW w:w="1183" w:type="dxa"/>
                  <w:tcBorders>
                    <w:tl2br w:val="nil"/>
                    <w:tr2bl w:val="nil"/>
                  </w:tcBorders>
                  <w:vAlign w:val="center"/>
                </w:tcPr>
                <w:p w14:paraId="6361C45D">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固体废物</w:t>
                  </w:r>
                </w:p>
              </w:tc>
              <w:tc>
                <w:tcPr>
                  <w:tcW w:w="1847" w:type="dxa"/>
                  <w:tcBorders>
                    <w:tl2br w:val="nil"/>
                    <w:tr2bl w:val="nil"/>
                  </w:tcBorders>
                  <w:vAlign w:val="center"/>
                </w:tcPr>
                <w:p w14:paraId="06726BC4">
                  <w:pPr>
                    <w:widowControl/>
                    <w:kinsoku/>
                    <w:autoSpaceDE/>
                    <w:autoSpaceDN/>
                    <w:adjustRightInd/>
                    <w:snapToGrid/>
                    <w:spacing w:line="240" w:lineRule="auto"/>
                    <w:jc w:val="center"/>
                    <w:textAlignment w:val="center"/>
                    <w:rPr>
                      <w:rFonts w:hint="default"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炉渣、除尘灰、不合格铸件、冒口、含油废抹布及手套、废润滑油及包装桶、生活垃圾、废活性炭</w:t>
                  </w:r>
                </w:p>
              </w:tc>
              <w:tc>
                <w:tcPr>
                  <w:tcW w:w="2459" w:type="dxa"/>
                  <w:tcBorders>
                    <w:tl2br w:val="nil"/>
                    <w:tr2bl w:val="nil"/>
                  </w:tcBorders>
                  <w:vAlign w:val="center"/>
                </w:tcPr>
                <w:p w14:paraId="11D4FF62">
                  <w:pPr>
                    <w:widowControl/>
                    <w:kinsoku/>
                    <w:autoSpaceDE/>
                    <w:autoSpaceDN/>
                    <w:adjustRightInd/>
                    <w:snapToGrid/>
                    <w:spacing w:line="240" w:lineRule="auto"/>
                    <w:jc w:val="center"/>
                    <w:textAlignment w:val="center"/>
                    <w:rPr>
                      <w:rFonts w:hint="default"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10m</w:t>
                  </w:r>
                  <w:r>
                    <w:rPr>
                      <w:rFonts w:hint="eastAsia" w:ascii="Times New Roman" w:hAnsi="Times New Roman" w:eastAsia="宋体" w:cs="Times New Roman"/>
                      <w:snapToGrid/>
                      <w:kern w:val="2"/>
                      <w:szCs w:val="22"/>
                      <w:u w:val="single"/>
                      <w:vertAlign w:val="superscript"/>
                      <w:lang w:val="en-US" w:eastAsia="zh-CN"/>
                    </w:rPr>
                    <w:t>2</w:t>
                  </w:r>
                  <w:r>
                    <w:rPr>
                      <w:rFonts w:hint="eastAsia" w:ascii="Times New Roman" w:hAnsi="Times New Roman" w:eastAsia="宋体" w:cs="Times New Roman"/>
                      <w:snapToGrid/>
                      <w:kern w:val="2"/>
                      <w:szCs w:val="22"/>
                      <w:u w:val="single"/>
                      <w:lang w:val="en-US" w:eastAsia="zh-CN"/>
                    </w:rPr>
                    <w:t>一般固废暂存间、10m</w:t>
                  </w:r>
                  <w:r>
                    <w:rPr>
                      <w:rFonts w:hint="eastAsia" w:ascii="Times New Roman" w:hAnsi="Times New Roman" w:eastAsia="宋体" w:cs="Times New Roman"/>
                      <w:snapToGrid/>
                      <w:kern w:val="2"/>
                      <w:szCs w:val="22"/>
                      <w:u w:val="single"/>
                      <w:vertAlign w:val="superscript"/>
                      <w:lang w:val="en-US" w:eastAsia="zh-CN"/>
                    </w:rPr>
                    <w:t>2</w:t>
                  </w:r>
                  <w:r>
                    <w:rPr>
                      <w:rFonts w:hint="eastAsia" w:ascii="Times New Roman" w:hAnsi="Times New Roman" w:eastAsia="宋体" w:cs="Times New Roman"/>
                      <w:snapToGrid/>
                      <w:kern w:val="2"/>
                      <w:szCs w:val="22"/>
                      <w:u w:val="single"/>
                      <w:lang w:val="en-US" w:eastAsia="zh-CN"/>
                    </w:rPr>
                    <w:t>危险废物暂存间、生活垃圾收集桶、签订危废协议</w:t>
                  </w:r>
                </w:p>
              </w:tc>
              <w:tc>
                <w:tcPr>
                  <w:tcW w:w="1420" w:type="dxa"/>
                  <w:tcBorders>
                    <w:tl2br w:val="nil"/>
                    <w:tr2bl w:val="nil"/>
                  </w:tcBorders>
                  <w:vAlign w:val="center"/>
                </w:tcPr>
                <w:p w14:paraId="2A407D00">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10</w:t>
                  </w:r>
                </w:p>
              </w:tc>
            </w:tr>
            <w:tr w14:paraId="1721E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 w:hRule="atLeast"/>
              </w:trPr>
              <w:tc>
                <w:tcPr>
                  <w:tcW w:w="6297" w:type="dxa"/>
                  <w:gridSpan w:val="4"/>
                  <w:tcBorders>
                    <w:tl2br w:val="nil"/>
                    <w:tr2bl w:val="nil"/>
                  </w:tcBorders>
                  <w:vAlign w:val="center"/>
                </w:tcPr>
                <w:p w14:paraId="5C754C36">
                  <w:pPr>
                    <w:widowControl/>
                    <w:kinsoku/>
                    <w:autoSpaceDE/>
                    <w:autoSpaceDN/>
                    <w:adjustRightInd/>
                    <w:snapToGrid/>
                    <w:spacing w:line="240" w:lineRule="auto"/>
                    <w:jc w:val="center"/>
                    <w:textAlignment w:val="center"/>
                    <w:rPr>
                      <w:rFonts w:hint="eastAsia"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合计</w:t>
                  </w:r>
                </w:p>
              </w:tc>
              <w:tc>
                <w:tcPr>
                  <w:tcW w:w="1420" w:type="dxa"/>
                  <w:tcBorders>
                    <w:tl2br w:val="nil"/>
                    <w:tr2bl w:val="nil"/>
                  </w:tcBorders>
                  <w:vAlign w:val="center"/>
                </w:tcPr>
                <w:p w14:paraId="3CCE75F0">
                  <w:pPr>
                    <w:widowControl/>
                    <w:kinsoku/>
                    <w:autoSpaceDE/>
                    <w:autoSpaceDN/>
                    <w:adjustRightInd/>
                    <w:snapToGrid/>
                    <w:spacing w:line="240" w:lineRule="auto"/>
                    <w:jc w:val="center"/>
                    <w:textAlignment w:val="center"/>
                    <w:rPr>
                      <w:rFonts w:hint="default" w:ascii="Times New Roman" w:hAnsi="Times New Roman" w:eastAsia="宋体" w:cs="Times New Roman"/>
                      <w:snapToGrid/>
                      <w:kern w:val="2"/>
                      <w:szCs w:val="22"/>
                      <w:u w:val="single"/>
                      <w:lang w:val="en-US" w:eastAsia="zh-CN"/>
                    </w:rPr>
                  </w:pPr>
                  <w:r>
                    <w:rPr>
                      <w:rFonts w:hint="eastAsia" w:ascii="Times New Roman" w:hAnsi="Times New Roman" w:eastAsia="宋体" w:cs="Times New Roman"/>
                      <w:snapToGrid/>
                      <w:kern w:val="2"/>
                      <w:szCs w:val="22"/>
                      <w:u w:val="single"/>
                      <w:lang w:val="en-US" w:eastAsia="zh-CN"/>
                    </w:rPr>
                    <w:t>81</w:t>
                  </w:r>
                </w:p>
              </w:tc>
            </w:tr>
          </w:tbl>
          <w:p w14:paraId="1C7F57F6">
            <w:pPr>
              <w:keepNext w:val="0"/>
              <w:keepLines w:val="0"/>
              <w:pageBreakBefore w:val="0"/>
              <w:widowControl w:val="0"/>
              <w:numPr>
                <w:ilvl w:val="0"/>
                <w:numId w:val="0"/>
              </w:numPr>
              <w:tabs>
                <w:tab w:val="left" w:pos="1440"/>
                <w:tab w:val="left" w:pos="1800"/>
              </w:tabs>
              <w:kinsoku w:val="0"/>
              <w:wordWrap w:val="0"/>
              <w:overflowPunct/>
              <w:topLinePunct w:val="0"/>
              <w:autoSpaceDE/>
              <w:autoSpaceDN/>
              <w:bidi w:val="0"/>
              <w:adjustRightInd/>
              <w:snapToGrid/>
              <w:spacing w:line="360" w:lineRule="auto"/>
              <w:textAlignment w:val="auto"/>
              <w:rPr>
                <w:rFonts w:hint="default"/>
                <w:b/>
                <w:bCs/>
                <w:sz w:val="24"/>
                <w:szCs w:val="24"/>
                <w:u w:val="single"/>
                <w:lang w:val="en-US" w:eastAsia="zh-CN"/>
              </w:rPr>
            </w:pPr>
          </w:p>
        </w:tc>
      </w:tr>
    </w:tbl>
    <w:p w14:paraId="76CD84A1">
      <w:p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DBBB05D">
      <w:pPr>
        <w:pStyle w:val="4"/>
        <w:numPr>
          <w:ilvl w:val="0"/>
          <w:numId w:val="3"/>
        </w:numPr>
      </w:pPr>
      <w:bookmarkStart w:id="7" w:name="_Toc18471"/>
      <w:r>
        <w:rPr>
          <w:rFonts w:hint="eastAsia"/>
        </w:rPr>
        <w:t>环境保护措施监督检查清单</w:t>
      </w:r>
      <w:bookmarkEnd w:id="7"/>
    </w:p>
    <w:tbl>
      <w:tblPr>
        <w:tblStyle w:val="21"/>
        <w:tblW w:w="85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370"/>
        <w:gridCol w:w="1064"/>
        <w:gridCol w:w="1657"/>
        <w:gridCol w:w="3244"/>
      </w:tblGrid>
      <w:tr w14:paraId="4B97DE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03" w:type="dxa"/>
            <w:tcBorders>
              <w:tl2br w:val="single" w:color="auto" w:sz="4" w:space="0"/>
            </w:tcBorders>
            <w:noWrap w:val="0"/>
            <w:vAlign w:val="top"/>
          </w:tcPr>
          <w:p w14:paraId="23F9FCBB">
            <w:pPr>
              <w:adjustRightInd w:val="0"/>
              <w:snapToGrid w:val="0"/>
              <w:ind w:firstLine="840"/>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21"/>
                <w:szCs w:val="21"/>
                <w:highlight w:val="none"/>
                <w:u w:val="single"/>
              </w:rPr>
              <w:t>内容</w:t>
            </w:r>
          </w:p>
          <w:p w14:paraId="755AFB4E">
            <w:pPr>
              <w:adjustRightInd w:val="0"/>
              <w:snapToGrid w:val="0"/>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21"/>
                <w:szCs w:val="21"/>
                <w:highlight w:val="none"/>
                <w:u w:val="single"/>
              </w:rPr>
              <w:t>要素</w:t>
            </w:r>
          </w:p>
        </w:tc>
        <w:tc>
          <w:tcPr>
            <w:tcW w:w="1370" w:type="dxa"/>
            <w:noWrap w:val="0"/>
            <w:vAlign w:val="center"/>
          </w:tcPr>
          <w:p w14:paraId="3DE4E1C5">
            <w:pPr>
              <w:adjustRightInd w:val="0"/>
              <w:snapToGrid w:val="0"/>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21"/>
                <w:szCs w:val="21"/>
                <w:highlight w:val="none"/>
                <w:u w:val="single"/>
              </w:rPr>
              <w:t>排放口（编号、</w:t>
            </w:r>
          </w:p>
          <w:p w14:paraId="2F2370AF">
            <w:pPr>
              <w:adjustRightInd w:val="0"/>
              <w:snapToGrid w:val="0"/>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21"/>
                <w:szCs w:val="21"/>
                <w:highlight w:val="none"/>
                <w:u w:val="single"/>
              </w:rPr>
              <w:t>名称）/污染源</w:t>
            </w:r>
          </w:p>
        </w:tc>
        <w:tc>
          <w:tcPr>
            <w:tcW w:w="1064" w:type="dxa"/>
            <w:noWrap w:val="0"/>
            <w:vAlign w:val="center"/>
          </w:tcPr>
          <w:p w14:paraId="31833D13">
            <w:pPr>
              <w:adjustRightInd w:val="0"/>
              <w:snapToGrid w:val="0"/>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21"/>
                <w:szCs w:val="21"/>
                <w:highlight w:val="none"/>
                <w:u w:val="single"/>
              </w:rPr>
              <w:t>污染物项目</w:t>
            </w:r>
          </w:p>
        </w:tc>
        <w:tc>
          <w:tcPr>
            <w:tcW w:w="1657" w:type="dxa"/>
            <w:noWrap w:val="0"/>
            <w:vAlign w:val="center"/>
          </w:tcPr>
          <w:p w14:paraId="4879E588">
            <w:pPr>
              <w:adjustRightInd w:val="0"/>
              <w:snapToGrid w:val="0"/>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21"/>
                <w:szCs w:val="21"/>
                <w:highlight w:val="none"/>
                <w:u w:val="single"/>
              </w:rPr>
              <w:t>环境保护措施</w:t>
            </w:r>
          </w:p>
        </w:tc>
        <w:tc>
          <w:tcPr>
            <w:tcW w:w="3244" w:type="dxa"/>
            <w:noWrap w:val="0"/>
            <w:vAlign w:val="center"/>
          </w:tcPr>
          <w:p w14:paraId="164FB2AD">
            <w:pPr>
              <w:adjustRightInd w:val="0"/>
              <w:snapToGrid w:val="0"/>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21"/>
                <w:szCs w:val="21"/>
                <w:highlight w:val="none"/>
                <w:u w:val="single"/>
              </w:rPr>
              <w:t>执行标准</w:t>
            </w:r>
          </w:p>
        </w:tc>
      </w:tr>
      <w:tr w14:paraId="78E65C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03" w:type="dxa"/>
            <w:vMerge w:val="restart"/>
            <w:noWrap w:val="0"/>
            <w:vAlign w:val="center"/>
          </w:tcPr>
          <w:p w14:paraId="40BD486D">
            <w:pPr>
              <w:adjustRightInd w:val="0"/>
              <w:snapToGrid w:val="0"/>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21"/>
                <w:szCs w:val="21"/>
                <w:highlight w:val="none"/>
                <w:u w:val="single"/>
              </w:rPr>
              <w:t>大气环境</w:t>
            </w:r>
          </w:p>
        </w:tc>
        <w:tc>
          <w:tcPr>
            <w:tcW w:w="1370" w:type="dxa"/>
            <w:noWrap w:val="0"/>
            <w:vAlign w:val="center"/>
          </w:tcPr>
          <w:p w14:paraId="03923A75">
            <w:pPr>
              <w:adjustRightInd w:val="0"/>
              <w:snapToGrid w:val="0"/>
              <w:jc w:val="center"/>
              <w:rPr>
                <w:rFonts w:hint="default" w:ascii="Times New Roman" w:hAnsi="Times New Roman" w:eastAsia="宋体" w:cs="Times New Roman"/>
                <w:color w:val="auto"/>
                <w:kern w:val="21"/>
                <w:szCs w:val="21"/>
                <w:highlight w:val="none"/>
                <w:u w:val="single"/>
                <w:lang w:val="en-US" w:eastAsia="zh-CN"/>
              </w:rPr>
            </w:pPr>
            <w:r>
              <w:rPr>
                <w:rFonts w:hint="default" w:ascii="Times New Roman" w:hAnsi="Times New Roman" w:cs="Times New Roman"/>
                <w:color w:val="auto"/>
                <w:kern w:val="21"/>
                <w:szCs w:val="21"/>
                <w:highlight w:val="none"/>
                <w:u w:val="single"/>
                <w:lang w:val="en-US" w:eastAsia="zh-CN"/>
              </w:rPr>
              <w:t>DA001</w:t>
            </w:r>
            <w:r>
              <w:rPr>
                <w:rFonts w:hint="eastAsia" w:cs="Times New Roman"/>
                <w:u w:val="single"/>
                <w:lang w:val="en-US" w:eastAsia="zh-CN"/>
              </w:rPr>
              <w:t>熔炼、浇注废气排放口</w:t>
            </w:r>
          </w:p>
        </w:tc>
        <w:tc>
          <w:tcPr>
            <w:tcW w:w="1064" w:type="dxa"/>
            <w:noWrap w:val="0"/>
            <w:vAlign w:val="center"/>
          </w:tcPr>
          <w:p w14:paraId="71E2C507">
            <w:pPr>
              <w:adjustRightInd w:val="0"/>
              <w:snapToGrid w:val="0"/>
              <w:jc w:val="center"/>
              <w:rPr>
                <w:rFonts w:hint="default" w:ascii="Times New Roman" w:hAnsi="Times New Roman" w:cs="Times New Roman"/>
                <w:color w:val="auto"/>
                <w:kern w:val="21"/>
                <w:szCs w:val="21"/>
                <w:highlight w:val="none"/>
                <w:u w:val="single"/>
                <w:lang w:val="en-US"/>
              </w:rPr>
            </w:pPr>
            <w:r>
              <w:rPr>
                <w:rFonts w:hint="default" w:ascii="Times New Roman" w:hAnsi="Times New Roman" w:cs="Times New Roman"/>
                <w:color w:val="auto"/>
                <w:kern w:val="21"/>
                <w:szCs w:val="21"/>
                <w:highlight w:val="none"/>
                <w:u w:val="single"/>
                <w:lang w:val="en-US" w:eastAsia="zh-CN"/>
              </w:rPr>
              <w:t>颗粒物</w:t>
            </w:r>
            <w:r>
              <w:rPr>
                <w:rFonts w:hint="eastAsia" w:cs="Times New Roman"/>
                <w:color w:val="auto"/>
                <w:kern w:val="21"/>
                <w:szCs w:val="21"/>
                <w:highlight w:val="none"/>
                <w:u w:val="single"/>
                <w:lang w:val="en-US" w:eastAsia="zh-CN"/>
              </w:rPr>
              <w:t>、非甲烷总烃</w:t>
            </w:r>
          </w:p>
        </w:tc>
        <w:tc>
          <w:tcPr>
            <w:tcW w:w="1657" w:type="dxa"/>
            <w:noWrap w:val="0"/>
            <w:vAlign w:val="center"/>
          </w:tcPr>
          <w:p w14:paraId="6B0CFEAF">
            <w:pPr>
              <w:adjustRightInd w:val="0"/>
              <w:snapToGrid w:val="0"/>
              <w:jc w:val="center"/>
              <w:rPr>
                <w:rFonts w:hint="default" w:ascii="Times New Roman" w:hAnsi="Times New Roman" w:eastAsia="宋体" w:cs="Times New Roman"/>
                <w:color w:val="auto"/>
                <w:kern w:val="21"/>
                <w:szCs w:val="21"/>
                <w:highlight w:val="none"/>
                <w:u w:val="single"/>
                <w:lang w:val="en-US" w:eastAsia="zh-CN"/>
              </w:rPr>
            </w:pPr>
            <w:r>
              <w:rPr>
                <w:rFonts w:hint="eastAsia" w:cs="Times New Roman"/>
                <w:color w:val="auto"/>
                <w:highlight w:val="none"/>
                <w:u w:val="single"/>
                <w:lang w:val="en-US" w:eastAsia="zh-CN"/>
              </w:rPr>
              <w:t>脉冲布袋</w:t>
            </w:r>
            <w:r>
              <w:rPr>
                <w:rFonts w:hint="eastAsia" w:ascii="Times New Roman" w:hAnsi="Times New Roman" w:eastAsia="宋体" w:cs="Times New Roman"/>
                <w:color w:val="auto"/>
                <w:highlight w:val="none"/>
                <w:u w:val="single"/>
                <w:lang w:val="en-US" w:eastAsia="zh-CN"/>
              </w:rPr>
              <w:t>除尘器</w:t>
            </w:r>
            <w:r>
              <w:rPr>
                <w:rFonts w:hint="default" w:ascii="Times New Roman" w:hAnsi="Times New Roman" w:eastAsia="宋体" w:cs="Times New Roman"/>
                <w:color w:val="auto"/>
                <w:highlight w:val="none"/>
                <w:u w:val="single"/>
                <w:lang w:val="en-US" w:eastAsia="zh-CN"/>
              </w:rPr>
              <w:t>+</w:t>
            </w:r>
            <w:r>
              <w:rPr>
                <w:rFonts w:hint="eastAsia" w:cs="Times New Roman"/>
                <w:color w:val="auto"/>
                <w:highlight w:val="none"/>
                <w:u w:val="single"/>
                <w:lang w:val="en-US" w:eastAsia="zh-CN"/>
              </w:rPr>
              <w:t>活性炭箱＋</w:t>
            </w:r>
            <w:r>
              <w:rPr>
                <w:rFonts w:hint="default" w:ascii="Times New Roman" w:hAnsi="Times New Roman" w:eastAsia="宋体" w:cs="Times New Roman"/>
                <w:color w:val="auto"/>
                <w:highlight w:val="none"/>
                <w:u w:val="single"/>
                <w:lang w:val="en-US" w:eastAsia="zh-CN"/>
              </w:rPr>
              <w:t>15m高排气筒</w:t>
            </w:r>
          </w:p>
        </w:tc>
        <w:tc>
          <w:tcPr>
            <w:tcW w:w="3244" w:type="dxa"/>
            <w:vMerge w:val="restart"/>
            <w:noWrap w:val="0"/>
            <w:vAlign w:val="center"/>
          </w:tcPr>
          <w:p w14:paraId="26DED936">
            <w:pPr>
              <w:keepNext w:val="0"/>
              <w:keepLines w:val="0"/>
              <w:pageBreakBefore w:val="0"/>
              <w:kinsoku/>
              <w:wordWrap/>
              <w:overflowPunct/>
              <w:topLinePunct w:val="0"/>
              <w:autoSpaceDE/>
              <w:autoSpaceDN/>
              <w:bidi w:val="0"/>
              <w:adjustRightInd/>
              <w:spacing w:line="240" w:lineRule="auto"/>
              <w:jc w:val="center"/>
              <w:textAlignment w:val="auto"/>
              <w:rPr>
                <w:rFonts w:hint="eastAsia" w:cs="Times New Roman"/>
                <w:u w:val="single"/>
                <w:lang w:val="en-US" w:eastAsia="zh-CN"/>
              </w:rPr>
            </w:pPr>
            <w:r>
              <w:rPr>
                <w:rFonts w:hint="eastAsia"/>
                <w:u w:val="single"/>
              </w:rPr>
              <w:t>①</w:t>
            </w:r>
            <w:r>
              <w:rPr>
                <w:rFonts w:hint="eastAsia"/>
                <w:u w:val="single"/>
                <w:lang w:val="en-US" w:eastAsia="zh-CN"/>
              </w:rPr>
              <w:t>有</w:t>
            </w:r>
            <w:r>
              <w:rPr>
                <w:rFonts w:hint="eastAsia" w:cs="Times New Roman"/>
                <w:u w:val="single"/>
                <w:lang w:val="en-US" w:eastAsia="zh-CN"/>
              </w:rPr>
              <w:t>组织颗粒物参照执行《铸造工业大气污染物排放标准》（GB39726-2020）表1大气污染物排放限值</w:t>
            </w:r>
          </w:p>
          <w:p w14:paraId="64B0B3C1">
            <w:pPr>
              <w:adjustRightInd w:val="0"/>
              <w:snapToGrid w:val="0"/>
              <w:jc w:val="center"/>
              <w:rPr>
                <w:rFonts w:hint="default" w:ascii="Times New Roman" w:hAnsi="Times New Roman" w:cs="Times New Roman"/>
                <w:color w:val="auto"/>
                <w:kern w:val="21"/>
                <w:szCs w:val="21"/>
                <w:highlight w:val="none"/>
                <w:u w:val="single"/>
              </w:rPr>
            </w:pPr>
            <w:r>
              <w:rPr>
                <w:rFonts w:hint="eastAsia" w:cs="Times New Roman"/>
                <w:u w:val="single"/>
                <w:lang w:val="en-US" w:eastAsia="zh-CN"/>
              </w:rPr>
              <w:t>②有组织非甲烷总烃《大气污染物综合排放标准》（GB16297-1996）新污染源大气污染物排放二级标准</w:t>
            </w:r>
          </w:p>
        </w:tc>
      </w:tr>
      <w:tr w14:paraId="5A2514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203" w:type="dxa"/>
            <w:vMerge w:val="continue"/>
            <w:noWrap w:val="0"/>
            <w:vAlign w:val="center"/>
          </w:tcPr>
          <w:p w14:paraId="79F304E5">
            <w:pPr>
              <w:adjustRightInd w:val="0"/>
              <w:snapToGrid w:val="0"/>
              <w:jc w:val="center"/>
              <w:rPr>
                <w:rFonts w:hint="default" w:ascii="Times New Roman" w:hAnsi="Times New Roman" w:cs="Times New Roman"/>
                <w:color w:val="auto"/>
                <w:highlight w:val="none"/>
                <w:u w:val="single"/>
              </w:rPr>
            </w:pPr>
          </w:p>
        </w:tc>
        <w:tc>
          <w:tcPr>
            <w:tcW w:w="1370" w:type="dxa"/>
            <w:noWrap w:val="0"/>
            <w:vAlign w:val="center"/>
          </w:tcPr>
          <w:p w14:paraId="56FAB08D">
            <w:pPr>
              <w:adjustRightInd w:val="0"/>
              <w:snapToGrid w:val="0"/>
              <w:jc w:val="center"/>
              <w:rPr>
                <w:rFonts w:hint="default" w:ascii="Times New Roman" w:hAnsi="Times New Roman" w:eastAsia="宋体" w:cs="Times New Roman"/>
                <w:color w:val="auto"/>
                <w:kern w:val="21"/>
                <w:szCs w:val="21"/>
                <w:highlight w:val="none"/>
                <w:u w:val="single"/>
                <w:lang w:val="en-US" w:eastAsia="zh-CN"/>
              </w:rPr>
            </w:pPr>
            <w:r>
              <w:rPr>
                <w:rFonts w:hint="default" w:ascii="Times New Roman" w:hAnsi="Times New Roman" w:cs="Times New Roman"/>
                <w:color w:val="auto"/>
                <w:kern w:val="21"/>
                <w:szCs w:val="21"/>
                <w:highlight w:val="none"/>
                <w:u w:val="single"/>
                <w:lang w:val="en-US" w:eastAsia="zh-CN"/>
              </w:rPr>
              <w:t>DA00</w:t>
            </w:r>
            <w:r>
              <w:rPr>
                <w:rFonts w:hint="eastAsia" w:cs="Times New Roman"/>
                <w:color w:val="auto"/>
                <w:kern w:val="21"/>
                <w:szCs w:val="21"/>
                <w:highlight w:val="none"/>
                <w:u w:val="single"/>
                <w:lang w:val="en-US" w:eastAsia="zh-CN"/>
              </w:rPr>
              <w:t>2</w:t>
            </w:r>
            <w:r>
              <w:rPr>
                <w:rFonts w:hint="eastAsia" w:cs="Times New Roman"/>
                <w:u w:val="single"/>
                <w:lang w:val="en-US" w:eastAsia="zh-CN"/>
              </w:rPr>
              <w:t>混砂、造型、制芯废气排放口</w:t>
            </w:r>
          </w:p>
        </w:tc>
        <w:tc>
          <w:tcPr>
            <w:tcW w:w="1064" w:type="dxa"/>
            <w:noWrap w:val="0"/>
            <w:vAlign w:val="center"/>
          </w:tcPr>
          <w:p w14:paraId="3DC5F30E">
            <w:pPr>
              <w:adjustRightInd w:val="0"/>
              <w:snapToGrid w:val="0"/>
              <w:jc w:val="center"/>
              <w:rPr>
                <w:rFonts w:hint="default" w:ascii="Times New Roman" w:hAnsi="Times New Roman" w:eastAsia="宋体" w:cs="Times New Roman"/>
                <w:color w:val="auto"/>
                <w:kern w:val="21"/>
                <w:szCs w:val="21"/>
                <w:highlight w:val="none"/>
                <w:u w:val="single"/>
                <w:lang w:val="en-US" w:eastAsia="zh-CN"/>
              </w:rPr>
            </w:pPr>
            <w:r>
              <w:rPr>
                <w:rFonts w:hint="default" w:ascii="Times New Roman" w:hAnsi="Times New Roman" w:cs="Times New Roman"/>
                <w:color w:val="auto"/>
                <w:kern w:val="21"/>
                <w:szCs w:val="21"/>
                <w:highlight w:val="none"/>
                <w:u w:val="single"/>
                <w:lang w:val="en-US" w:eastAsia="zh-CN"/>
              </w:rPr>
              <w:t>颗粒物</w:t>
            </w:r>
            <w:r>
              <w:rPr>
                <w:rFonts w:hint="eastAsia" w:cs="Times New Roman"/>
                <w:color w:val="auto"/>
                <w:kern w:val="21"/>
                <w:szCs w:val="21"/>
                <w:highlight w:val="none"/>
                <w:u w:val="single"/>
                <w:lang w:val="en-US" w:eastAsia="zh-CN"/>
              </w:rPr>
              <w:t>、非甲烷总烃</w:t>
            </w:r>
          </w:p>
        </w:tc>
        <w:tc>
          <w:tcPr>
            <w:tcW w:w="1657" w:type="dxa"/>
            <w:noWrap w:val="0"/>
            <w:vAlign w:val="center"/>
          </w:tcPr>
          <w:p w14:paraId="7272B581">
            <w:pPr>
              <w:adjustRightInd w:val="0"/>
              <w:snapToGrid w:val="0"/>
              <w:jc w:val="center"/>
              <w:rPr>
                <w:rFonts w:hint="default" w:ascii="Times New Roman" w:hAnsi="Times New Roman" w:cs="Times New Roman"/>
                <w:color w:val="auto"/>
                <w:kern w:val="21"/>
                <w:szCs w:val="21"/>
                <w:highlight w:val="none"/>
                <w:u w:val="single"/>
              </w:rPr>
            </w:pPr>
            <w:r>
              <w:rPr>
                <w:rFonts w:hint="eastAsia" w:cs="Times New Roman"/>
                <w:color w:val="auto"/>
                <w:highlight w:val="none"/>
                <w:u w:val="single"/>
                <w:lang w:val="en-US" w:eastAsia="zh-CN"/>
              </w:rPr>
              <w:t>脉冲布袋</w:t>
            </w:r>
            <w:r>
              <w:rPr>
                <w:rFonts w:hint="eastAsia" w:ascii="Times New Roman" w:hAnsi="Times New Roman" w:eastAsia="宋体" w:cs="Times New Roman"/>
                <w:color w:val="auto"/>
                <w:highlight w:val="none"/>
                <w:u w:val="single"/>
                <w:lang w:val="en-US" w:eastAsia="zh-CN"/>
              </w:rPr>
              <w:t>除尘器</w:t>
            </w:r>
            <w:r>
              <w:rPr>
                <w:rFonts w:hint="default" w:ascii="Times New Roman" w:hAnsi="Times New Roman" w:eastAsia="宋体" w:cs="Times New Roman"/>
                <w:color w:val="auto"/>
                <w:highlight w:val="none"/>
                <w:u w:val="single"/>
                <w:lang w:val="en-US" w:eastAsia="zh-CN"/>
              </w:rPr>
              <w:t>+</w:t>
            </w:r>
            <w:r>
              <w:rPr>
                <w:rFonts w:hint="eastAsia" w:cs="Times New Roman"/>
                <w:color w:val="auto"/>
                <w:highlight w:val="none"/>
                <w:u w:val="single"/>
                <w:lang w:val="en-US" w:eastAsia="zh-CN"/>
              </w:rPr>
              <w:t>活性炭箱＋</w:t>
            </w:r>
            <w:r>
              <w:rPr>
                <w:rFonts w:hint="default" w:ascii="Times New Roman" w:hAnsi="Times New Roman" w:eastAsia="宋体" w:cs="Times New Roman"/>
                <w:color w:val="auto"/>
                <w:highlight w:val="none"/>
                <w:u w:val="single"/>
                <w:lang w:val="en-US" w:eastAsia="zh-CN"/>
              </w:rPr>
              <w:t>15m高排气筒</w:t>
            </w:r>
          </w:p>
        </w:tc>
        <w:tc>
          <w:tcPr>
            <w:tcW w:w="3244" w:type="dxa"/>
            <w:vMerge w:val="continue"/>
            <w:noWrap w:val="0"/>
            <w:vAlign w:val="center"/>
          </w:tcPr>
          <w:p w14:paraId="110FEB1F">
            <w:pPr>
              <w:adjustRightInd w:val="0"/>
              <w:snapToGrid w:val="0"/>
              <w:jc w:val="center"/>
              <w:rPr>
                <w:rFonts w:hint="default" w:ascii="Times New Roman" w:hAnsi="Times New Roman" w:cs="Times New Roman"/>
                <w:color w:val="auto"/>
                <w:kern w:val="21"/>
                <w:szCs w:val="21"/>
                <w:highlight w:val="none"/>
                <w:u w:val="single"/>
              </w:rPr>
            </w:pPr>
          </w:p>
        </w:tc>
      </w:tr>
      <w:tr w14:paraId="5E40D8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203" w:type="dxa"/>
            <w:vMerge w:val="continue"/>
            <w:noWrap w:val="0"/>
            <w:vAlign w:val="center"/>
          </w:tcPr>
          <w:p w14:paraId="08C7E199">
            <w:pPr>
              <w:adjustRightInd w:val="0"/>
              <w:snapToGrid w:val="0"/>
              <w:jc w:val="center"/>
              <w:rPr>
                <w:u w:val="single"/>
              </w:rPr>
            </w:pPr>
          </w:p>
        </w:tc>
        <w:tc>
          <w:tcPr>
            <w:tcW w:w="1370" w:type="dxa"/>
            <w:noWrap w:val="0"/>
            <w:vAlign w:val="center"/>
          </w:tcPr>
          <w:p w14:paraId="04929ACC">
            <w:pPr>
              <w:adjustRightInd w:val="0"/>
              <w:snapToGrid w:val="0"/>
              <w:jc w:val="center"/>
              <w:rPr>
                <w:rFonts w:hint="default" w:ascii="Times New Roman" w:hAnsi="Times New Roman" w:cs="Times New Roman"/>
                <w:color w:val="auto"/>
                <w:kern w:val="21"/>
                <w:szCs w:val="21"/>
                <w:highlight w:val="none"/>
                <w:u w:val="single"/>
                <w:lang w:val="en-US" w:eastAsia="zh-CN"/>
              </w:rPr>
            </w:pPr>
            <w:r>
              <w:rPr>
                <w:rFonts w:hint="eastAsia" w:cs="Times New Roman"/>
                <w:color w:val="auto"/>
                <w:kern w:val="21"/>
                <w:szCs w:val="21"/>
                <w:highlight w:val="none"/>
                <w:u w:val="single"/>
                <w:lang w:val="en-US" w:eastAsia="zh-CN"/>
              </w:rPr>
              <w:t>落砂废气</w:t>
            </w:r>
          </w:p>
        </w:tc>
        <w:tc>
          <w:tcPr>
            <w:tcW w:w="1064" w:type="dxa"/>
            <w:noWrap w:val="0"/>
            <w:vAlign w:val="center"/>
          </w:tcPr>
          <w:p w14:paraId="2D0AC5C1">
            <w:pPr>
              <w:adjustRightInd w:val="0"/>
              <w:snapToGrid w:val="0"/>
              <w:jc w:val="center"/>
              <w:rPr>
                <w:rFonts w:hint="default" w:ascii="Times New Roman" w:hAnsi="Times New Roman" w:cs="Times New Roman"/>
                <w:color w:val="auto"/>
                <w:kern w:val="21"/>
                <w:szCs w:val="21"/>
                <w:highlight w:val="none"/>
                <w:u w:val="single"/>
                <w:lang w:val="en-US" w:eastAsia="zh-CN"/>
              </w:rPr>
            </w:pPr>
            <w:r>
              <w:rPr>
                <w:rFonts w:hint="default" w:ascii="Times New Roman" w:hAnsi="Times New Roman" w:cs="Times New Roman"/>
                <w:color w:val="auto"/>
                <w:kern w:val="21"/>
                <w:szCs w:val="21"/>
                <w:highlight w:val="none"/>
                <w:u w:val="single"/>
                <w:lang w:val="en-US" w:eastAsia="zh-CN"/>
              </w:rPr>
              <w:t>颗粒物</w:t>
            </w:r>
          </w:p>
        </w:tc>
        <w:tc>
          <w:tcPr>
            <w:tcW w:w="1657" w:type="dxa"/>
            <w:noWrap w:val="0"/>
            <w:vAlign w:val="center"/>
          </w:tcPr>
          <w:p w14:paraId="22F56999">
            <w:pPr>
              <w:adjustRightInd w:val="0"/>
              <w:snapToGrid w:val="0"/>
              <w:jc w:val="center"/>
              <w:rPr>
                <w:rFonts w:hint="default" w:ascii="Times New Roman" w:hAnsi="Times New Roman" w:cs="Times New Roman"/>
                <w:color w:val="auto"/>
                <w:kern w:val="21"/>
                <w:szCs w:val="21"/>
                <w:highlight w:val="none"/>
                <w:u w:val="single"/>
                <w:lang w:val="en-US" w:eastAsia="zh-CN"/>
              </w:rPr>
            </w:pPr>
            <w:r>
              <w:rPr>
                <w:rFonts w:hint="eastAsia" w:cs="Times New Roman"/>
                <w:color w:val="auto"/>
                <w:highlight w:val="none"/>
                <w:u w:val="single"/>
                <w:lang w:val="en-US" w:eastAsia="zh-CN"/>
              </w:rPr>
              <w:t>脉冲布袋</w:t>
            </w:r>
            <w:r>
              <w:rPr>
                <w:rFonts w:hint="eastAsia" w:ascii="Times New Roman" w:hAnsi="Times New Roman" w:eastAsia="宋体" w:cs="Times New Roman"/>
                <w:color w:val="auto"/>
                <w:highlight w:val="none"/>
                <w:u w:val="single"/>
                <w:lang w:val="en-US" w:eastAsia="zh-CN"/>
              </w:rPr>
              <w:t>除尘器</w:t>
            </w:r>
          </w:p>
        </w:tc>
        <w:tc>
          <w:tcPr>
            <w:tcW w:w="3244" w:type="dxa"/>
            <w:vMerge w:val="restart"/>
            <w:noWrap w:val="0"/>
            <w:vAlign w:val="center"/>
          </w:tcPr>
          <w:p w14:paraId="24D39BC6">
            <w:pPr>
              <w:keepNext w:val="0"/>
              <w:keepLines w:val="0"/>
              <w:pageBreakBefore w:val="0"/>
              <w:kinsoku/>
              <w:wordWrap/>
              <w:overflowPunct/>
              <w:topLinePunct w:val="0"/>
              <w:autoSpaceDE/>
              <w:autoSpaceDN/>
              <w:bidi w:val="0"/>
              <w:adjustRightInd/>
              <w:spacing w:line="240" w:lineRule="auto"/>
              <w:jc w:val="center"/>
              <w:textAlignment w:val="auto"/>
              <w:rPr>
                <w:rFonts w:hint="eastAsia" w:cs="Times New Roman"/>
                <w:u w:val="single"/>
                <w:lang w:val="en-US" w:eastAsia="zh-CN"/>
              </w:rPr>
            </w:pPr>
            <w:r>
              <w:rPr>
                <w:rFonts w:hint="eastAsia"/>
                <w:u w:val="single"/>
              </w:rPr>
              <w:t>①无</w:t>
            </w:r>
            <w:r>
              <w:rPr>
                <w:rFonts w:hint="eastAsia" w:cs="Times New Roman"/>
                <w:u w:val="single"/>
                <w:lang w:val="en-US" w:eastAsia="zh-CN"/>
              </w:rPr>
              <w:t>组织颗粒物执行《铸造工业大气污染物排放标准》（GB39726-2020）附录A限值；</w:t>
            </w:r>
          </w:p>
          <w:p w14:paraId="22152335">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color w:val="auto"/>
                <w:kern w:val="21"/>
                <w:szCs w:val="21"/>
                <w:highlight w:val="none"/>
                <w:u w:val="single"/>
                <w:lang w:val="en-US" w:eastAsia="zh-CN"/>
              </w:rPr>
            </w:pPr>
            <w:r>
              <w:rPr>
                <w:rFonts w:hint="eastAsia" w:cs="Times New Roman"/>
                <w:u w:val="single"/>
                <w:lang w:val="en-US" w:eastAsia="zh-CN"/>
              </w:rPr>
              <w:t>②无组织非甲烷总烃执行《大气污染物综合排放标准》（GB16297-1996）中的无组织排放监控浓度限值</w:t>
            </w:r>
          </w:p>
        </w:tc>
      </w:tr>
      <w:tr w14:paraId="0B5A74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03" w:type="dxa"/>
            <w:vMerge w:val="continue"/>
            <w:noWrap w:val="0"/>
            <w:vAlign w:val="center"/>
          </w:tcPr>
          <w:p w14:paraId="677D622B">
            <w:pPr>
              <w:adjustRightInd w:val="0"/>
              <w:snapToGrid w:val="0"/>
              <w:jc w:val="center"/>
              <w:rPr>
                <w:rFonts w:hint="default" w:ascii="Times New Roman" w:hAnsi="Times New Roman" w:cs="Times New Roman"/>
                <w:color w:val="auto"/>
                <w:kern w:val="21"/>
                <w:szCs w:val="21"/>
                <w:highlight w:val="none"/>
                <w:u w:val="single"/>
                <w:lang w:val="en-US" w:eastAsia="zh-CN"/>
              </w:rPr>
            </w:pPr>
          </w:p>
        </w:tc>
        <w:tc>
          <w:tcPr>
            <w:tcW w:w="1370" w:type="dxa"/>
            <w:noWrap w:val="0"/>
            <w:vAlign w:val="center"/>
          </w:tcPr>
          <w:p w14:paraId="26D20F86">
            <w:pPr>
              <w:adjustRightInd w:val="0"/>
              <w:snapToGrid w:val="0"/>
              <w:jc w:val="center"/>
              <w:rPr>
                <w:rFonts w:hint="default" w:ascii="Times New Roman" w:hAnsi="Times New Roman" w:cs="Times New Roman"/>
                <w:color w:val="auto"/>
                <w:kern w:val="21"/>
                <w:szCs w:val="21"/>
                <w:highlight w:val="none"/>
                <w:u w:val="single"/>
                <w:lang w:val="en-US" w:eastAsia="zh-CN"/>
              </w:rPr>
            </w:pPr>
            <w:r>
              <w:rPr>
                <w:rFonts w:hint="eastAsia" w:cs="Times New Roman"/>
                <w:color w:val="auto"/>
                <w:kern w:val="21"/>
                <w:szCs w:val="21"/>
                <w:highlight w:val="none"/>
                <w:u w:val="single"/>
                <w:lang w:val="en-US" w:eastAsia="zh-CN"/>
              </w:rPr>
              <w:t>抛丸废气</w:t>
            </w:r>
          </w:p>
        </w:tc>
        <w:tc>
          <w:tcPr>
            <w:tcW w:w="1064" w:type="dxa"/>
            <w:noWrap w:val="0"/>
            <w:vAlign w:val="center"/>
          </w:tcPr>
          <w:p w14:paraId="533C83B3">
            <w:pPr>
              <w:adjustRightInd w:val="0"/>
              <w:snapToGrid w:val="0"/>
              <w:jc w:val="center"/>
              <w:rPr>
                <w:rFonts w:hint="default" w:ascii="Times New Roman" w:hAnsi="Times New Roman" w:cs="Times New Roman"/>
                <w:color w:val="auto"/>
                <w:kern w:val="21"/>
                <w:szCs w:val="21"/>
                <w:highlight w:val="none"/>
                <w:u w:val="single"/>
                <w:lang w:val="en-US" w:eastAsia="zh-CN"/>
              </w:rPr>
            </w:pPr>
            <w:r>
              <w:rPr>
                <w:rFonts w:hint="default" w:ascii="Times New Roman" w:hAnsi="Times New Roman" w:cs="Times New Roman"/>
                <w:color w:val="auto"/>
                <w:kern w:val="21"/>
                <w:szCs w:val="21"/>
                <w:highlight w:val="none"/>
                <w:u w:val="single"/>
                <w:lang w:val="en-US" w:eastAsia="zh-CN"/>
              </w:rPr>
              <w:t>颗粒物</w:t>
            </w:r>
          </w:p>
        </w:tc>
        <w:tc>
          <w:tcPr>
            <w:tcW w:w="1657" w:type="dxa"/>
            <w:noWrap w:val="0"/>
            <w:vAlign w:val="center"/>
          </w:tcPr>
          <w:p w14:paraId="73EBE3E1">
            <w:pPr>
              <w:adjustRightInd w:val="0"/>
              <w:snapToGrid w:val="0"/>
              <w:jc w:val="center"/>
              <w:rPr>
                <w:rFonts w:hint="default" w:ascii="Times New Roman" w:hAnsi="Times New Roman" w:cs="Times New Roman"/>
                <w:color w:val="auto"/>
                <w:kern w:val="21"/>
                <w:szCs w:val="21"/>
                <w:highlight w:val="none"/>
                <w:u w:val="single"/>
                <w:lang w:val="en-US" w:eastAsia="zh-CN"/>
              </w:rPr>
            </w:pPr>
            <w:r>
              <w:rPr>
                <w:rFonts w:hint="eastAsia" w:cs="Times New Roman"/>
                <w:color w:val="auto"/>
                <w:highlight w:val="none"/>
                <w:u w:val="single"/>
                <w:lang w:val="en-US" w:eastAsia="zh-CN"/>
              </w:rPr>
              <w:t>脉冲布袋</w:t>
            </w:r>
            <w:r>
              <w:rPr>
                <w:rFonts w:hint="eastAsia" w:ascii="Times New Roman" w:hAnsi="Times New Roman" w:eastAsia="宋体" w:cs="Times New Roman"/>
                <w:color w:val="auto"/>
                <w:highlight w:val="none"/>
                <w:u w:val="single"/>
                <w:lang w:val="en-US" w:eastAsia="zh-CN"/>
              </w:rPr>
              <w:t>除尘器</w:t>
            </w:r>
          </w:p>
        </w:tc>
        <w:tc>
          <w:tcPr>
            <w:tcW w:w="3244" w:type="dxa"/>
            <w:vMerge w:val="continue"/>
            <w:noWrap w:val="0"/>
            <w:vAlign w:val="center"/>
          </w:tcPr>
          <w:p w14:paraId="5D7ED559">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color w:val="auto"/>
                <w:kern w:val="21"/>
                <w:szCs w:val="21"/>
                <w:highlight w:val="none"/>
                <w:u w:val="single"/>
                <w:lang w:val="en-US" w:eastAsia="zh-CN"/>
              </w:rPr>
            </w:pPr>
          </w:p>
        </w:tc>
      </w:tr>
      <w:tr w14:paraId="0F343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203" w:type="dxa"/>
            <w:vMerge w:val="continue"/>
            <w:noWrap w:val="0"/>
            <w:vAlign w:val="center"/>
          </w:tcPr>
          <w:p w14:paraId="2DC11ED8">
            <w:pPr>
              <w:adjustRightInd w:val="0"/>
              <w:snapToGrid w:val="0"/>
              <w:jc w:val="center"/>
              <w:rPr>
                <w:u w:val="single"/>
              </w:rPr>
            </w:pPr>
          </w:p>
        </w:tc>
        <w:tc>
          <w:tcPr>
            <w:tcW w:w="1370" w:type="dxa"/>
            <w:noWrap w:val="0"/>
            <w:vAlign w:val="center"/>
          </w:tcPr>
          <w:p w14:paraId="17F62A57">
            <w:pPr>
              <w:adjustRightInd w:val="0"/>
              <w:snapToGrid w:val="0"/>
              <w:jc w:val="center"/>
              <w:rPr>
                <w:rFonts w:hint="default" w:cs="Times New Roman"/>
                <w:color w:val="auto"/>
                <w:kern w:val="21"/>
                <w:szCs w:val="21"/>
                <w:highlight w:val="none"/>
                <w:u w:val="single"/>
                <w:lang w:val="en-US" w:eastAsia="zh-CN"/>
              </w:rPr>
            </w:pPr>
            <w:r>
              <w:rPr>
                <w:rFonts w:hint="eastAsia" w:cs="Times New Roman"/>
                <w:color w:val="auto"/>
                <w:kern w:val="21"/>
                <w:szCs w:val="21"/>
                <w:highlight w:val="none"/>
                <w:u w:val="single"/>
                <w:lang w:val="en-US" w:eastAsia="zh-CN"/>
              </w:rPr>
              <w:t>食堂油烟</w:t>
            </w:r>
          </w:p>
        </w:tc>
        <w:tc>
          <w:tcPr>
            <w:tcW w:w="1064" w:type="dxa"/>
            <w:noWrap w:val="0"/>
            <w:vAlign w:val="center"/>
          </w:tcPr>
          <w:p w14:paraId="6EF83666">
            <w:pPr>
              <w:adjustRightInd w:val="0"/>
              <w:snapToGrid w:val="0"/>
              <w:jc w:val="center"/>
              <w:rPr>
                <w:rFonts w:hint="default" w:cs="Times New Roman"/>
                <w:color w:val="auto"/>
                <w:kern w:val="21"/>
                <w:szCs w:val="21"/>
                <w:highlight w:val="none"/>
                <w:u w:val="single"/>
                <w:lang w:val="en-US" w:eastAsia="zh-CN"/>
              </w:rPr>
            </w:pPr>
            <w:r>
              <w:rPr>
                <w:rFonts w:hint="eastAsia" w:cs="Times New Roman"/>
                <w:color w:val="auto"/>
                <w:kern w:val="21"/>
                <w:szCs w:val="21"/>
                <w:highlight w:val="none"/>
                <w:u w:val="single"/>
                <w:lang w:val="en-US" w:eastAsia="zh-CN"/>
              </w:rPr>
              <w:t>油烟</w:t>
            </w:r>
          </w:p>
        </w:tc>
        <w:tc>
          <w:tcPr>
            <w:tcW w:w="1657" w:type="dxa"/>
            <w:noWrap w:val="0"/>
            <w:vAlign w:val="center"/>
          </w:tcPr>
          <w:p w14:paraId="2990C5B7">
            <w:pPr>
              <w:adjustRightInd w:val="0"/>
              <w:snapToGrid w:val="0"/>
              <w:jc w:val="center"/>
              <w:rPr>
                <w:rFonts w:hint="eastAsia" w:cs="Times New Roman"/>
                <w:color w:val="auto"/>
                <w:kern w:val="21"/>
                <w:szCs w:val="21"/>
                <w:highlight w:val="none"/>
                <w:u w:val="single"/>
                <w:lang w:val="en-US" w:eastAsia="zh-CN"/>
              </w:rPr>
            </w:pPr>
            <w:r>
              <w:rPr>
                <w:rFonts w:hint="default" w:ascii="Times New Roman" w:hAnsi="Times New Roman" w:cs="Times New Roman"/>
                <w:color w:val="auto"/>
                <w:kern w:val="21"/>
                <w:szCs w:val="21"/>
                <w:highlight w:val="none"/>
                <w:u w:val="single"/>
              </w:rPr>
              <w:t>油烟净化装置+</w:t>
            </w:r>
            <w:r>
              <w:rPr>
                <w:rFonts w:hint="default" w:ascii="Times New Roman" w:hAnsi="Times New Roman" w:cs="Times New Roman"/>
                <w:color w:val="auto"/>
                <w:kern w:val="21"/>
                <w:szCs w:val="21"/>
                <w:highlight w:val="none"/>
                <w:u w:val="single"/>
                <w:lang w:val="en-US" w:eastAsia="zh-CN"/>
              </w:rPr>
              <w:t>管道</w:t>
            </w:r>
          </w:p>
        </w:tc>
        <w:tc>
          <w:tcPr>
            <w:tcW w:w="3244" w:type="dxa"/>
            <w:noWrap w:val="0"/>
            <w:vAlign w:val="center"/>
          </w:tcPr>
          <w:p w14:paraId="51650FF2">
            <w:pPr>
              <w:adjustRightInd w:val="0"/>
              <w:snapToGrid w:val="0"/>
              <w:jc w:val="center"/>
              <w:rPr>
                <w:rFonts w:hint="eastAsia" w:cs="Times New Roman"/>
                <w:color w:val="auto"/>
                <w:kern w:val="21"/>
                <w:szCs w:val="21"/>
                <w:highlight w:val="none"/>
                <w:u w:val="single"/>
                <w:lang w:val="en-US" w:eastAsia="zh-CN"/>
              </w:rPr>
            </w:pPr>
            <w:r>
              <w:rPr>
                <w:rFonts w:hint="default" w:ascii="Times New Roman" w:hAnsi="Times New Roman" w:cs="Times New Roman"/>
                <w:color w:val="auto"/>
                <w:szCs w:val="21"/>
                <w:highlight w:val="none"/>
                <w:u w:val="single"/>
              </w:rPr>
              <w:t>《饮食业油烟排放标准》（GB18483—2001）油烟浓度限值</w:t>
            </w:r>
          </w:p>
        </w:tc>
      </w:tr>
      <w:tr w14:paraId="46AB18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203" w:type="dxa"/>
            <w:noWrap w:val="0"/>
            <w:vAlign w:val="center"/>
          </w:tcPr>
          <w:p w14:paraId="13F8704E">
            <w:pPr>
              <w:adjustRightInd w:val="0"/>
              <w:snapToGrid w:val="0"/>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21"/>
                <w:szCs w:val="21"/>
                <w:highlight w:val="none"/>
                <w:u w:val="single"/>
              </w:rPr>
              <w:t>地表水环境</w:t>
            </w:r>
          </w:p>
        </w:tc>
        <w:tc>
          <w:tcPr>
            <w:tcW w:w="1370" w:type="dxa"/>
            <w:noWrap w:val="0"/>
            <w:vAlign w:val="center"/>
          </w:tcPr>
          <w:p w14:paraId="00E1EDB8">
            <w:pPr>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bCs/>
                <w:color w:val="auto"/>
                <w:szCs w:val="21"/>
                <w:highlight w:val="none"/>
                <w:u w:val="single"/>
              </w:rPr>
              <w:t>生活污水</w:t>
            </w:r>
          </w:p>
        </w:tc>
        <w:tc>
          <w:tcPr>
            <w:tcW w:w="1064" w:type="dxa"/>
            <w:noWrap w:val="0"/>
            <w:vAlign w:val="center"/>
          </w:tcPr>
          <w:p w14:paraId="0906523E">
            <w:pPr>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0"/>
                <w:szCs w:val="21"/>
                <w:highlight w:val="none"/>
                <w:u w:val="single"/>
              </w:rPr>
              <w:t>COD、BOD</w:t>
            </w:r>
            <w:r>
              <w:rPr>
                <w:rFonts w:hint="default" w:ascii="Times New Roman" w:hAnsi="Times New Roman" w:cs="Times New Roman"/>
                <w:color w:val="auto"/>
                <w:kern w:val="0"/>
                <w:szCs w:val="21"/>
                <w:highlight w:val="none"/>
                <w:u w:val="single"/>
                <w:vertAlign w:val="subscript"/>
              </w:rPr>
              <w:t>5</w:t>
            </w:r>
            <w:r>
              <w:rPr>
                <w:rFonts w:hint="default" w:ascii="Times New Roman" w:hAnsi="Times New Roman" w:cs="Times New Roman"/>
                <w:color w:val="auto"/>
                <w:kern w:val="0"/>
                <w:szCs w:val="21"/>
                <w:highlight w:val="none"/>
                <w:u w:val="single"/>
              </w:rPr>
              <w:t>、氨氮、动植物油等</w:t>
            </w:r>
          </w:p>
        </w:tc>
        <w:tc>
          <w:tcPr>
            <w:tcW w:w="1657" w:type="dxa"/>
            <w:noWrap w:val="0"/>
            <w:vAlign w:val="center"/>
          </w:tcPr>
          <w:p w14:paraId="02D1C642">
            <w:pPr>
              <w:jc w:val="center"/>
              <w:rPr>
                <w:rFonts w:hint="default" w:ascii="Times New Roman" w:hAnsi="Times New Roman" w:eastAsia="宋体" w:cs="Times New Roman"/>
                <w:color w:val="auto"/>
                <w:kern w:val="21"/>
                <w:szCs w:val="21"/>
                <w:highlight w:val="none"/>
                <w:u w:val="single"/>
                <w:lang w:val="en-US" w:eastAsia="zh-CN"/>
              </w:rPr>
            </w:pPr>
            <w:r>
              <w:rPr>
                <w:rFonts w:hint="default" w:ascii="Times New Roman" w:hAnsi="Times New Roman" w:cs="Times New Roman"/>
                <w:color w:val="auto"/>
                <w:kern w:val="0"/>
                <w:szCs w:val="21"/>
                <w:highlight w:val="none"/>
                <w:u w:val="single"/>
              </w:rPr>
              <w:t>经</w:t>
            </w:r>
            <w:r>
              <w:rPr>
                <w:rFonts w:hint="default" w:ascii="Times New Roman" w:hAnsi="Times New Roman" w:cs="Times New Roman"/>
                <w:color w:val="auto"/>
                <w:kern w:val="0"/>
                <w:szCs w:val="21"/>
                <w:highlight w:val="none"/>
                <w:u w:val="single"/>
                <w:lang w:val="en-US" w:eastAsia="zh-CN"/>
              </w:rPr>
              <w:t>生活污水一体化处理设施处理后排入龙门溪</w:t>
            </w:r>
          </w:p>
        </w:tc>
        <w:tc>
          <w:tcPr>
            <w:tcW w:w="3244" w:type="dxa"/>
            <w:noWrap w:val="0"/>
            <w:vAlign w:val="center"/>
          </w:tcPr>
          <w:p w14:paraId="2E0D12A7">
            <w:pPr>
              <w:jc w:val="center"/>
              <w:rPr>
                <w:rFonts w:hint="default" w:ascii="Times New Roman" w:hAnsi="Times New Roman" w:cs="Times New Roman"/>
                <w:color w:val="auto"/>
                <w:kern w:val="0"/>
                <w:szCs w:val="21"/>
                <w:highlight w:val="none"/>
                <w:u w:val="single"/>
              </w:rPr>
            </w:pPr>
            <w:r>
              <w:rPr>
                <w:rFonts w:hint="default" w:ascii="Times New Roman" w:hAnsi="Times New Roman" w:cs="Times New Roman"/>
                <w:color w:val="auto"/>
                <w:kern w:val="0"/>
                <w:szCs w:val="21"/>
                <w:highlight w:val="none"/>
                <w:u w:val="single"/>
              </w:rPr>
              <w:t>《污水综合排放标准》</w:t>
            </w:r>
          </w:p>
          <w:p w14:paraId="6170AB26">
            <w:pPr>
              <w:adjustRightInd w:val="0"/>
              <w:snapToGrid w:val="0"/>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0"/>
                <w:szCs w:val="21"/>
                <w:highlight w:val="none"/>
                <w:u w:val="single"/>
              </w:rPr>
              <w:t>（GB8978-1996）中</w:t>
            </w:r>
            <w:r>
              <w:rPr>
                <w:rFonts w:hint="default" w:ascii="Times New Roman" w:hAnsi="Times New Roman" w:cs="Times New Roman"/>
                <w:color w:val="auto"/>
                <w:kern w:val="0"/>
                <w:szCs w:val="21"/>
                <w:highlight w:val="none"/>
                <w:u w:val="single"/>
                <w:lang w:val="en-US" w:eastAsia="zh-CN"/>
              </w:rPr>
              <w:t>一</w:t>
            </w:r>
            <w:r>
              <w:rPr>
                <w:rFonts w:hint="default" w:ascii="Times New Roman" w:hAnsi="Times New Roman" w:cs="Times New Roman"/>
                <w:color w:val="auto"/>
                <w:kern w:val="0"/>
                <w:szCs w:val="21"/>
                <w:highlight w:val="none"/>
                <w:u w:val="single"/>
              </w:rPr>
              <w:t>级标准</w:t>
            </w:r>
          </w:p>
        </w:tc>
      </w:tr>
      <w:tr w14:paraId="4D8748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203" w:type="dxa"/>
            <w:noWrap w:val="0"/>
            <w:vAlign w:val="center"/>
          </w:tcPr>
          <w:p w14:paraId="3D52A2E6">
            <w:pPr>
              <w:adjustRightInd w:val="0"/>
              <w:snapToGrid w:val="0"/>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21"/>
                <w:szCs w:val="21"/>
                <w:highlight w:val="none"/>
                <w:u w:val="single"/>
              </w:rPr>
              <w:t>声环境</w:t>
            </w:r>
          </w:p>
        </w:tc>
        <w:tc>
          <w:tcPr>
            <w:tcW w:w="1370" w:type="dxa"/>
            <w:noWrap w:val="0"/>
            <w:vAlign w:val="center"/>
          </w:tcPr>
          <w:p w14:paraId="2F56ED71">
            <w:pPr>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0"/>
                <w:szCs w:val="21"/>
                <w:highlight w:val="none"/>
                <w:u w:val="single"/>
              </w:rPr>
              <w:t>噪声</w:t>
            </w:r>
          </w:p>
        </w:tc>
        <w:tc>
          <w:tcPr>
            <w:tcW w:w="1064" w:type="dxa"/>
            <w:noWrap w:val="0"/>
            <w:vAlign w:val="center"/>
          </w:tcPr>
          <w:p w14:paraId="647F1A58">
            <w:pPr>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0"/>
                <w:szCs w:val="21"/>
                <w:highlight w:val="none"/>
                <w:u w:val="single"/>
              </w:rPr>
              <w:t>Leq（A）</w:t>
            </w:r>
          </w:p>
        </w:tc>
        <w:tc>
          <w:tcPr>
            <w:tcW w:w="1657" w:type="dxa"/>
            <w:noWrap w:val="0"/>
            <w:vAlign w:val="center"/>
          </w:tcPr>
          <w:p w14:paraId="22AC0464">
            <w:pPr>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bCs/>
                <w:color w:val="auto"/>
                <w:szCs w:val="21"/>
                <w:highlight w:val="none"/>
                <w:u w:val="single"/>
              </w:rPr>
              <w:t>封闭车间、优化场区布局、设备维护、设备安装减振基础，车辆减速禁鸣</w:t>
            </w:r>
          </w:p>
        </w:tc>
        <w:tc>
          <w:tcPr>
            <w:tcW w:w="3244" w:type="dxa"/>
            <w:noWrap w:val="0"/>
            <w:vAlign w:val="center"/>
          </w:tcPr>
          <w:p w14:paraId="2AF6407E">
            <w:pPr>
              <w:adjustRightInd w:val="0"/>
              <w:snapToGrid w:val="0"/>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szCs w:val="21"/>
                <w:highlight w:val="none"/>
                <w:u w:val="single"/>
              </w:rPr>
              <w:t>《工业企业厂界环境噪声排放标准》（GB12348-2008）</w:t>
            </w:r>
            <w:r>
              <w:rPr>
                <w:rFonts w:hint="eastAsia" w:ascii="Times New Roman" w:hAnsi="Times New Roman" w:cs="Times New Roman"/>
                <w:color w:val="auto"/>
                <w:szCs w:val="21"/>
                <w:highlight w:val="none"/>
                <w:u w:val="single"/>
                <w:lang w:val="en-US" w:eastAsia="zh-CN"/>
              </w:rPr>
              <w:t>3</w:t>
            </w:r>
            <w:r>
              <w:rPr>
                <w:rFonts w:hint="default" w:ascii="Times New Roman" w:hAnsi="Times New Roman" w:cs="Times New Roman"/>
                <w:color w:val="auto"/>
                <w:szCs w:val="21"/>
                <w:highlight w:val="none"/>
                <w:u w:val="single"/>
              </w:rPr>
              <w:t>类标准</w:t>
            </w:r>
          </w:p>
        </w:tc>
      </w:tr>
      <w:tr w14:paraId="22D74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03" w:type="dxa"/>
            <w:noWrap w:val="0"/>
            <w:vAlign w:val="center"/>
          </w:tcPr>
          <w:p w14:paraId="58641215">
            <w:pPr>
              <w:adjustRightInd w:val="0"/>
              <w:snapToGrid w:val="0"/>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21"/>
                <w:szCs w:val="21"/>
                <w:highlight w:val="none"/>
                <w:u w:val="single"/>
              </w:rPr>
              <w:t>电磁辐射</w:t>
            </w:r>
          </w:p>
        </w:tc>
        <w:tc>
          <w:tcPr>
            <w:tcW w:w="1370" w:type="dxa"/>
            <w:noWrap w:val="0"/>
            <w:vAlign w:val="center"/>
          </w:tcPr>
          <w:p w14:paraId="57FD8008">
            <w:pPr>
              <w:adjustRightInd w:val="0"/>
              <w:snapToGrid w:val="0"/>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21"/>
                <w:szCs w:val="21"/>
                <w:highlight w:val="none"/>
                <w:u w:val="single"/>
              </w:rPr>
              <w:t>/</w:t>
            </w:r>
          </w:p>
        </w:tc>
        <w:tc>
          <w:tcPr>
            <w:tcW w:w="1064" w:type="dxa"/>
            <w:noWrap w:val="0"/>
            <w:vAlign w:val="center"/>
          </w:tcPr>
          <w:p w14:paraId="242801CE">
            <w:pPr>
              <w:adjustRightInd w:val="0"/>
              <w:snapToGrid w:val="0"/>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21"/>
                <w:szCs w:val="21"/>
                <w:highlight w:val="none"/>
                <w:u w:val="single"/>
              </w:rPr>
              <w:t>/</w:t>
            </w:r>
          </w:p>
        </w:tc>
        <w:tc>
          <w:tcPr>
            <w:tcW w:w="1657" w:type="dxa"/>
            <w:noWrap w:val="0"/>
            <w:vAlign w:val="center"/>
          </w:tcPr>
          <w:p w14:paraId="20BDC2DA">
            <w:pPr>
              <w:adjustRightInd w:val="0"/>
              <w:snapToGrid w:val="0"/>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21"/>
                <w:szCs w:val="21"/>
                <w:highlight w:val="none"/>
                <w:u w:val="single"/>
              </w:rPr>
              <w:t>/</w:t>
            </w:r>
          </w:p>
        </w:tc>
        <w:tc>
          <w:tcPr>
            <w:tcW w:w="3244" w:type="dxa"/>
            <w:noWrap w:val="0"/>
            <w:vAlign w:val="center"/>
          </w:tcPr>
          <w:p w14:paraId="49C7DFC2">
            <w:pPr>
              <w:adjustRightInd w:val="0"/>
              <w:snapToGrid w:val="0"/>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21"/>
                <w:szCs w:val="21"/>
                <w:highlight w:val="none"/>
                <w:u w:val="single"/>
              </w:rPr>
              <w:t>/</w:t>
            </w:r>
          </w:p>
        </w:tc>
      </w:tr>
      <w:tr w14:paraId="1F08C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203" w:type="dxa"/>
            <w:noWrap w:val="0"/>
            <w:vAlign w:val="center"/>
          </w:tcPr>
          <w:p w14:paraId="1A9A2433">
            <w:pPr>
              <w:adjustRightInd w:val="0"/>
              <w:snapToGrid w:val="0"/>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21"/>
                <w:szCs w:val="21"/>
                <w:highlight w:val="none"/>
                <w:u w:val="single"/>
              </w:rPr>
              <w:t>固体废物</w:t>
            </w:r>
          </w:p>
        </w:tc>
        <w:tc>
          <w:tcPr>
            <w:tcW w:w="7335" w:type="dxa"/>
            <w:gridSpan w:val="4"/>
            <w:noWrap w:val="0"/>
            <w:vAlign w:val="center"/>
          </w:tcPr>
          <w:p w14:paraId="17467544">
            <w:pPr>
              <w:spacing w:line="360" w:lineRule="auto"/>
              <w:ind w:firstLine="420" w:firstLineChars="200"/>
              <w:rPr>
                <w:rFonts w:hint="default" w:ascii="Times New Roman" w:hAnsi="Times New Roman" w:cs="Times New Roman"/>
                <w:color w:val="auto"/>
                <w:kern w:val="21"/>
                <w:szCs w:val="21"/>
                <w:highlight w:val="none"/>
                <w:u w:val="single"/>
              </w:rPr>
            </w:pPr>
            <w:r>
              <w:rPr>
                <w:u w:val="single"/>
              </w:rPr>
              <w:t>炉渣、</w:t>
            </w:r>
            <w:r>
              <w:rPr>
                <w:rFonts w:hint="eastAsia"/>
                <w:u w:val="single"/>
              </w:rPr>
              <w:t>布袋收尘灰</w:t>
            </w:r>
            <w:r>
              <w:rPr>
                <w:u w:val="single"/>
              </w:rPr>
              <w:t>由厂区收集后外售；</w:t>
            </w:r>
            <w:r>
              <w:rPr>
                <w:rFonts w:hint="eastAsia"/>
                <w:u w:val="single"/>
              </w:rPr>
              <w:t>废</w:t>
            </w:r>
            <w:r>
              <w:rPr>
                <w:rFonts w:hint="eastAsia"/>
                <w:u w:val="single"/>
                <w:lang w:eastAsia="zh-CN"/>
              </w:rPr>
              <w:t>润滑油</w:t>
            </w:r>
            <w:r>
              <w:rPr>
                <w:rFonts w:hint="eastAsia"/>
                <w:u w:val="single"/>
              </w:rPr>
              <w:t>、废</w:t>
            </w:r>
            <w:r>
              <w:rPr>
                <w:rFonts w:hint="eastAsia"/>
                <w:u w:val="single"/>
                <w:lang w:val="en-US" w:eastAsia="zh-CN"/>
              </w:rPr>
              <w:t>润滑</w:t>
            </w:r>
            <w:r>
              <w:rPr>
                <w:rFonts w:hint="eastAsia"/>
                <w:u w:val="single"/>
              </w:rPr>
              <w:t>油桶、废活性炭</w:t>
            </w:r>
            <w:r>
              <w:rPr>
                <w:u w:val="single"/>
              </w:rPr>
              <w:t>经收集后委托资质单位处理；</w:t>
            </w:r>
            <w:r>
              <w:rPr>
                <w:rFonts w:hint="eastAsia"/>
                <w:u w:val="single"/>
              </w:rPr>
              <w:t>冒口、不合格</w:t>
            </w:r>
            <w:r>
              <w:rPr>
                <w:rFonts w:hint="eastAsia"/>
                <w:u w:val="single"/>
                <w:lang w:val="en-US" w:eastAsia="zh-CN"/>
              </w:rPr>
              <w:t>铸件</w:t>
            </w:r>
            <w:r>
              <w:rPr>
                <w:u w:val="single"/>
              </w:rPr>
              <w:t>企业收集回用；生活垃圾由环卫每日清运。</w:t>
            </w:r>
          </w:p>
        </w:tc>
      </w:tr>
      <w:tr w14:paraId="49339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03" w:type="dxa"/>
            <w:noWrap w:val="0"/>
            <w:vAlign w:val="center"/>
          </w:tcPr>
          <w:p w14:paraId="666AC857">
            <w:pPr>
              <w:adjustRightInd w:val="0"/>
              <w:snapToGrid w:val="0"/>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21"/>
                <w:szCs w:val="21"/>
                <w:highlight w:val="none"/>
                <w:u w:val="single"/>
              </w:rPr>
              <w:t>土壤及地下水污染防治措施</w:t>
            </w:r>
          </w:p>
        </w:tc>
        <w:tc>
          <w:tcPr>
            <w:tcW w:w="7335" w:type="dxa"/>
            <w:gridSpan w:val="4"/>
            <w:noWrap w:val="0"/>
            <w:vAlign w:val="center"/>
          </w:tcPr>
          <w:p w14:paraId="3182F945">
            <w:pPr>
              <w:adjustRightInd w:val="0"/>
              <w:snapToGrid w:val="0"/>
              <w:jc w:val="center"/>
              <w:rPr>
                <w:rFonts w:hint="default" w:ascii="Times New Roman" w:hAnsi="Times New Roman" w:eastAsia="宋体" w:cs="Times New Roman"/>
                <w:color w:val="auto"/>
                <w:kern w:val="21"/>
                <w:szCs w:val="21"/>
                <w:highlight w:val="none"/>
                <w:u w:val="single"/>
                <w:lang w:val="en-US" w:eastAsia="zh-CN"/>
              </w:rPr>
            </w:pPr>
            <w:r>
              <w:rPr>
                <w:rFonts w:hint="default" w:ascii="Times New Roman" w:hAnsi="Times New Roman" w:cs="Times New Roman"/>
                <w:color w:val="auto"/>
                <w:szCs w:val="21"/>
                <w:highlight w:val="none"/>
                <w:u w:val="single"/>
              </w:rPr>
              <w:t>做好厂区地面分区防渗</w:t>
            </w:r>
            <w:r>
              <w:rPr>
                <w:rFonts w:hint="default" w:ascii="Times New Roman" w:hAnsi="Times New Roman" w:eastAsia="宋体" w:cs="Times New Roman"/>
                <w:color w:val="auto"/>
                <w:szCs w:val="21"/>
                <w:highlight w:val="none"/>
                <w:u w:val="single"/>
              </w:rPr>
              <w:t>措施</w:t>
            </w:r>
            <w:r>
              <w:rPr>
                <w:rFonts w:hint="default" w:ascii="Times New Roman" w:hAnsi="Times New Roman" w:eastAsia="宋体" w:cs="Times New Roman"/>
                <w:color w:val="auto"/>
                <w:szCs w:val="21"/>
                <w:highlight w:val="none"/>
                <w:u w:val="single"/>
                <w:lang w:eastAsia="zh-CN"/>
              </w:rPr>
              <w:t>，</w:t>
            </w:r>
            <w:r>
              <w:rPr>
                <w:rFonts w:hint="default" w:ascii="Times New Roman" w:hAnsi="Times New Roman" w:eastAsia="宋体" w:cs="Times New Roman"/>
                <w:color w:val="auto"/>
                <w:szCs w:val="21"/>
                <w:highlight w:val="none"/>
                <w:u w:val="single"/>
                <w:lang w:val="en-US" w:eastAsia="zh-CN"/>
              </w:rPr>
              <w:t>主要为</w:t>
            </w:r>
            <w:r>
              <w:rPr>
                <w:rFonts w:hint="eastAsia" w:ascii="Times New Roman" w:hAnsi="Times New Roman" w:cs="Times New Roman"/>
                <w:color w:val="auto"/>
                <w:szCs w:val="21"/>
                <w:highlight w:val="none"/>
                <w:u w:val="single"/>
                <w:lang w:val="en-US" w:eastAsia="zh-CN"/>
              </w:rPr>
              <w:t>危险废物暂存区和润滑油储存区</w:t>
            </w:r>
            <w:r>
              <w:rPr>
                <w:rFonts w:hint="default" w:ascii="Times New Roman" w:hAnsi="Times New Roman" w:eastAsia="宋体" w:cs="Times New Roman"/>
                <w:color w:val="auto"/>
                <w:szCs w:val="21"/>
                <w:highlight w:val="none"/>
                <w:u w:val="single"/>
                <w:lang w:val="en-US" w:eastAsia="zh-CN"/>
              </w:rPr>
              <w:t>，</w:t>
            </w:r>
            <w:r>
              <w:rPr>
                <w:rFonts w:hint="default" w:ascii="Times New Roman" w:hAnsi="Times New Roman" w:eastAsia="宋体" w:cs="Times New Roman"/>
                <w:color w:val="auto"/>
                <w:szCs w:val="21"/>
                <w:highlight w:val="none"/>
                <w:u w:val="single"/>
              </w:rPr>
              <w:t>按照</w:t>
            </w:r>
            <w:r>
              <w:rPr>
                <w:rFonts w:hint="default" w:ascii="Times New Roman" w:hAnsi="Times New Roman" w:eastAsia="宋体" w:cs="Times New Roman"/>
                <w:color w:val="auto"/>
                <w:szCs w:val="21"/>
                <w:highlight w:val="none"/>
                <w:u w:val="single"/>
                <w:lang w:val="en-US" w:eastAsia="zh-CN"/>
              </w:rPr>
              <w:t>《危险废物贮存污染控制标准》（GB18597-2023）的要求进行防腐防渗</w:t>
            </w:r>
          </w:p>
        </w:tc>
      </w:tr>
      <w:tr w14:paraId="6BD322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03" w:type="dxa"/>
            <w:noWrap w:val="0"/>
            <w:vAlign w:val="center"/>
          </w:tcPr>
          <w:p w14:paraId="0AE293FC">
            <w:pPr>
              <w:adjustRightInd w:val="0"/>
              <w:snapToGrid w:val="0"/>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21"/>
                <w:szCs w:val="21"/>
                <w:highlight w:val="none"/>
                <w:u w:val="single"/>
              </w:rPr>
              <w:t>生态保护措施</w:t>
            </w:r>
          </w:p>
        </w:tc>
        <w:tc>
          <w:tcPr>
            <w:tcW w:w="7335" w:type="dxa"/>
            <w:gridSpan w:val="4"/>
            <w:noWrap w:val="0"/>
            <w:vAlign w:val="center"/>
          </w:tcPr>
          <w:p w14:paraId="7FEE3286">
            <w:pPr>
              <w:adjustRightInd w:val="0"/>
              <w:snapToGrid w:val="0"/>
              <w:jc w:val="center"/>
              <w:rPr>
                <w:rFonts w:hint="eastAsia" w:ascii="Times New Roman" w:hAnsi="Times New Roman" w:eastAsia="宋体" w:cs="Times New Roman"/>
                <w:color w:val="auto"/>
                <w:kern w:val="21"/>
                <w:szCs w:val="21"/>
                <w:highlight w:val="none"/>
                <w:u w:val="single"/>
                <w:lang w:val="en-US" w:eastAsia="zh-CN"/>
              </w:rPr>
            </w:pPr>
            <w:r>
              <w:rPr>
                <w:rFonts w:hint="eastAsia" w:ascii="Times New Roman" w:hAnsi="Times New Roman" w:cs="Times New Roman"/>
                <w:color w:val="auto"/>
                <w:kern w:val="21"/>
                <w:szCs w:val="21"/>
                <w:highlight w:val="none"/>
                <w:u w:val="single"/>
                <w:lang w:val="en-US" w:eastAsia="zh-CN"/>
              </w:rPr>
              <w:t>/</w:t>
            </w:r>
          </w:p>
        </w:tc>
      </w:tr>
      <w:tr w14:paraId="23FA9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203" w:type="dxa"/>
            <w:noWrap w:val="0"/>
            <w:vAlign w:val="center"/>
          </w:tcPr>
          <w:p w14:paraId="6285C579">
            <w:pPr>
              <w:adjustRightInd w:val="0"/>
              <w:snapToGrid w:val="0"/>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21"/>
                <w:szCs w:val="21"/>
                <w:highlight w:val="none"/>
                <w:u w:val="single"/>
              </w:rPr>
              <w:t>环境风险</w:t>
            </w:r>
          </w:p>
          <w:p w14:paraId="00E3B124">
            <w:pPr>
              <w:adjustRightInd w:val="0"/>
              <w:snapToGrid w:val="0"/>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21"/>
                <w:szCs w:val="21"/>
                <w:highlight w:val="none"/>
                <w:u w:val="single"/>
              </w:rPr>
              <w:t>防范措施</w:t>
            </w:r>
          </w:p>
        </w:tc>
        <w:tc>
          <w:tcPr>
            <w:tcW w:w="7335" w:type="dxa"/>
            <w:gridSpan w:val="4"/>
            <w:noWrap w:val="0"/>
            <w:vAlign w:val="center"/>
          </w:tcPr>
          <w:p w14:paraId="301F0F41">
            <w:pPr>
              <w:pStyle w:val="12"/>
              <w:jc w:val="lef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1.使用设置警示标牌，规范管理，落实防火设计要求，配备足够的消防器材；</w:t>
            </w:r>
          </w:p>
          <w:p w14:paraId="6F40708A">
            <w:pPr>
              <w:pStyle w:val="12"/>
              <w:jc w:val="lef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2.严格执行环评及相关法律法规要求，定期开展设备维护，保证</w:t>
            </w:r>
            <w:r>
              <w:rPr>
                <w:rFonts w:hint="default" w:ascii="Times New Roman" w:hAnsi="Times New Roman" w:cs="Times New Roman"/>
                <w:color w:val="auto"/>
                <w:szCs w:val="21"/>
                <w:highlight w:val="none"/>
                <w:u w:val="single"/>
                <w:lang w:val="en-US" w:eastAsia="zh-CN"/>
              </w:rPr>
              <w:t>废</w:t>
            </w:r>
            <w:r>
              <w:rPr>
                <w:rFonts w:hint="eastAsia" w:ascii="Times New Roman" w:hAnsi="Times New Roman" w:cs="Times New Roman"/>
                <w:color w:val="auto"/>
                <w:szCs w:val="21"/>
                <w:highlight w:val="none"/>
                <w:u w:val="single"/>
                <w:lang w:val="en-US" w:eastAsia="zh-CN"/>
              </w:rPr>
              <w:t>气</w:t>
            </w:r>
            <w:r>
              <w:rPr>
                <w:rFonts w:hint="default" w:ascii="Times New Roman" w:hAnsi="Times New Roman" w:cs="Times New Roman"/>
                <w:color w:val="auto"/>
                <w:szCs w:val="21"/>
                <w:highlight w:val="none"/>
                <w:u w:val="single"/>
              </w:rPr>
              <w:t>处理设施有效运行和去除效率。</w:t>
            </w:r>
          </w:p>
          <w:p w14:paraId="79E3FF02">
            <w:pPr>
              <w:pStyle w:val="12"/>
              <w:jc w:val="left"/>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u w:val="single"/>
                <w:lang w:val="en-US" w:eastAsia="zh-CN"/>
              </w:rPr>
              <w:t>3.针对现有环境风险防范措施</w:t>
            </w:r>
            <w:r>
              <w:rPr>
                <w:rFonts w:hint="eastAsia" w:ascii="Times New Roman" w:hAnsi="Times New Roman" w:cs="Times New Roman"/>
                <w:color w:val="auto"/>
                <w:szCs w:val="21"/>
                <w:highlight w:val="none"/>
                <w:u w:val="single"/>
                <w:lang w:val="en-US" w:eastAsia="zh-CN"/>
              </w:rPr>
              <w:t>，制订</w:t>
            </w:r>
            <w:r>
              <w:rPr>
                <w:rFonts w:hint="default" w:ascii="Times New Roman" w:hAnsi="Times New Roman" w:eastAsia="宋体" w:cs="Times New Roman"/>
                <w:color w:val="auto"/>
                <w:szCs w:val="21"/>
                <w:highlight w:val="none"/>
                <w:u w:val="single"/>
                <w:lang w:val="en-US" w:eastAsia="zh-CN"/>
              </w:rPr>
              <w:t>环境应急预案，并备案。</w:t>
            </w:r>
          </w:p>
        </w:tc>
      </w:tr>
      <w:tr w14:paraId="76079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203" w:type="dxa"/>
            <w:noWrap w:val="0"/>
            <w:vAlign w:val="center"/>
          </w:tcPr>
          <w:p w14:paraId="5FF2D093">
            <w:pPr>
              <w:adjustRightInd w:val="0"/>
              <w:snapToGrid w:val="0"/>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21"/>
                <w:szCs w:val="21"/>
                <w:highlight w:val="none"/>
                <w:u w:val="single"/>
              </w:rPr>
              <w:t>其他环境</w:t>
            </w:r>
          </w:p>
          <w:p w14:paraId="252A846B">
            <w:pPr>
              <w:adjustRightInd w:val="0"/>
              <w:snapToGrid w:val="0"/>
              <w:jc w:val="center"/>
              <w:rPr>
                <w:rFonts w:hint="default" w:ascii="Times New Roman" w:hAnsi="Times New Roman" w:cs="Times New Roman"/>
                <w:color w:val="auto"/>
                <w:kern w:val="21"/>
                <w:szCs w:val="21"/>
                <w:highlight w:val="none"/>
                <w:u w:val="single"/>
              </w:rPr>
            </w:pPr>
            <w:r>
              <w:rPr>
                <w:rFonts w:hint="default" w:ascii="Times New Roman" w:hAnsi="Times New Roman" w:cs="Times New Roman"/>
                <w:color w:val="auto"/>
                <w:kern w:val="21"/>
                <w:szCs w:val="21"/>
                <w:highlight w:val="none"/>
                <w:u w:val="single"/>
              </w:rPr>
              <w:t>管理要求</w:t>
            </w:r>
          </w:p>
        </w:tc>
        <w:tc>
          <w:tcPr>
            <w:tcW w:w="7335" w:type="dxa"/>
            <w:gridSpan w:val="4"/>
            <w:noWrap w:val="0"/>
            <w:vAlign w:val="top"/>
          </w:tcPr>
          <w:p w14:paraId="3280446B">
            <w:pPr>
              <w:adjustRightInd w:val="0"/>
              <w:snapToGrid w:val="0"/>
              <w:jc w:val="both"/>
              <w:rPr>
                <w:rFonts w:hint="default" w:ascii="Times New Roman" w:hAnsi="Times New Roman" w:eastAsia="宋体" w:cs="Times New Roman"/>
                <w:bCs/>
                <w:color w:val="auto"/>
                <w:szCs w:val="21"/>
                <w:highlight w:val="none"/>
                <w:u w:val="single"/>
                <w:lang w:val="en-US" w:eastAsia="zh-CN"/>
              </w:rPr>
            </w:pPr>
            <w:r>
              <w:rPr>
                <w:rFonts w:hint="default" w:ascii="Times New Roman" w:hAnsi="Times New Roman" w:eastAsia="宋体" w:cs="Times New Roman"/>
                <w:bCs/>
                <w:color w:val="auto"/>
                <w:szCs w:val="21"/>
                <w:highlight w:val="none"/>
                <w:u w:val="single"/>
              </w:rPr>
              <w:t>1、</w:t>
            </w:r>
            <w:r>
              <w:rPr>
                <w:spacing w:val="-1"/>
                <w:u w:val="single"/>
              </w:rPr>
              <w:t>项目应按照排污许可证相关要求，在实际发生排污行为之前，</w:t>
            </w:r>
            <w:r>
              <w:rPr>
                <w:spacing w:val="-2"/>
                <w:u w:val="single"/>
              </w:rPr>
              <w:t>申请核发排污许可证</w:t>
            </w:r>
            <w:r>
              <w:rPr>
                <w:rFonts w:hint="default" w:ascii="Times New Roman" w:hAnsi="Times New Roman" w:eastAsia="宋体" w:cs="Times New Roman"/>
                <w:bCs/>
                <w:color w:val="auto"/>
                <w:szCs w:val="21"/>
                <w:highlight w:val="none"/>
                <w:u w:val="single"/>
                <w:lang w:val="en-US" w:eastAsia="zh-CN"/>
              </w:rPr>
              <w:t>；</w:t>
            </w:r>
          </w:p>
          <w:p w14:paraId="4E17A0AB">
            <w:pPr>
              <w:adjustRightInd w:val="0"/>
              <w:snapToGrid w:val="0"/>
              <w:jc w:val="both"/>
              <w:rPr>
                <w:rFonts w:hint="default" w:ascii="Times New Roman" w:hAnsi="Times New Roman" w:eastAsia="宋体" w:cs="Times New Roman"/>
                <w:bCs/>
                <w:color w:val="auto"/>
                <w:szCs w:val="21"/>
                <w:highlight w:val="none"/>
                <w:u w:val="single"/>
              </w:rPr>
            </w:pPr>
            <w:r>
              <w:rPr>
                <w:rFonts w:hint="default" w:ascii="Times New Roman" w:hAnsi="Times New Roman" w:eastAsia="宋体" w:cs="Times New Roman"/>
                <w:bCs/>
                <w:color w:val="auto"/>
                <w:szCs w:val="21"/>
                <w:highlight w:val="none"/>
                <w:u w:val="single"/>
              </w:rPr>
              <w:t>2、项目建成试运行后，应在规定的时限内组织开展环保竣工验收；</w:t>
            </w:r>
          </w:p>
          <w:p w14:paraId="396E0928">
            <w:pPr>
              <w:adjustRightInd w:val="0"/>
              <w:snapToGrid w:val="0"/>
              <w:jc w:val="both"/>
              <w:rPr>
                <w:rFonts w:hint="default" w:ascii="Times New Roman" w:hAnsi="Times New Roman" w:eastAsia="宋体" w:cs="Times New Roman"/>
                <w:bCs/>
                <w:color w:val="auto"/>
                <w:szCs w:val="21"/>
                <w:highlight w:val="none"/>
                <w:u w:val="single"/>
              </w:rPr>
            </w:pPr>
            <w:r>
              <w:rPr>
                <w:rFonts w:hint="default" w:ascii="Times New Roman" w:hAnsi="Times New Roman" w:eastAsia="宋体" w:cs="Times New Roman"/>
                <w:bCs/>
                <w:color w:val="auto"/>
                <w:szCs w:val="21"/>
                <w:highlight w:val="none"/>
                <w:u w:val="single"/>
              </w:rPr>
              <w:t>3、根据《环境保护图形标志排放口（源）》（GBl5562.1-1995）、《环境保护图形固体废物贮存（处置）场》（GBl55622--1995）以及《危险废物识别标志设置技术规范》（HJ 1276-2022）中有关规定，</w:t>
            </w:r>
            <w:r>
              <w:rPr>
                <w:rFonts w:hint="default" w:ascii="Times New Roman" w:hAnsi="Times New Roman" w:eastAsia="宋体" w:cs="Times New Roman"/>
                <w:bCs/>
                <w:color w:val="auto"/>
                <w:szCs w:val="21"/>
                <w:highlight w:val="none"/>
                <w:u w:val="single"/>
                <w:lang w:val="en-US" w:eastAsia="zh-CN"/>
              </w:rPr>
              <w:t>设置</w:t>
            </w:r>
            <w:r>
              <w:rPr>
                <w:rFonts w:hint="eastAsia" w:ascii="Times New Roman" w:hAnsi="Times New Roman" w:cs="Times New Roman"/>
                <w:bCs/>
                <w:color w:val="auto"/>
                <w:szCs w:val="21"/>
                <w:highlight w:val="none"/>
                <w:u w:val="single"/>
                <w:lang w:val="en-US" w:eastAsia="zh-CN"/>
              </w:rPr>
              <w:t>废气</w:t>
            </w:r>
            <w:r>
              <w:rPr>
                <w:rFonts w:hint="default" w:ascii="Times New Roman" w:hAnsi="Times New Roman" w:eastAsia="宋体" w:cs="Times New Roman"/>
                <w:bCs/>
                <w:color w:val="auto"/>
                <w:szCs w:val="21"/>
                <w:highlight w:val="none"/>
                <w:u w:val="single"/>
                <w:lang w:val="en-US" w:eastAsia="zh-CN"/>
              </w:rPr>
              <w:t>排污口</w:t>
            </w:r>
            <w:r>
              <w:rPr>
                <w:rFonts w:hint="default" w:ascii="Times New Roman" w:hAnsi="Times New Roman" w:eastAsia="宋体" w:cs="Times New Roman"/>
                <w:bCs/>
                <w:color w:val="auto"/>
                <w:szCs w:val="21"/>
                <w:highlight w:val="none"/>
                <w:u w:val="single"/>
              </w:rPr>
              <w:t>、危废间标识；</w:t>
            </w:r>
          </w:p>
          <w:p w14:paraId="1E267AF8">
            <w:pPr>
              <w:adjustRightInd w:val="0"/>
              <w:snapToGrid w:val="0"/>
              <w:jc w:val="both"/>
              <w:rPr>
                <w:rFonts w:hint="default" w:ascii="Times New Roman" w:hAnsi="Times New Roman" w:cs="Times New Roman"/>
                <w:color w:val="auto"/>
                <w:kern w:val="21"/>
                <w:szCs w:val="21"/>
                <w:highlight w:val="none"/>
                <w:u w:val="single"/>
              </w:rPr>
            </w:pPr>
            <w:r>
              <w:rPr>
                <w:rFonts w:hint="default" w:ascii="Times New Roman" w:hAnsi="Times New Roman" w:eastAsia="宋体" w:cs="Times New Roman"/>
                <w:bCs/>
                <w:color w:val="auto"/>
                <w:szCs w:val="21"/>
                <w:highlight w:val="none"/>
                <w:u w:val="single"/>
              </w:rPr>
              <w:t>4、项目投产后，应按排污许可管理要求定期开展自行监测。</w:t>
            </w:r>
          </w:p>
        </w:tc>
      </w:tr>
    </w:tbl>
    <w:p w14:paraId="7A20E0AB">
      <w:pPr>
        <w:rPr>
          <w:u w:val="single"/>
        </w:rPr>
      </w:pPr>
    </w:p>
    <w:p w14:paraId="4DE3382F">
      <w:p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FD42827">
      <w:pPr>
        <w:pStyle w:val="4"/>
      </w:pPr>
      <w:bookmarkStart w:id="8" w:name="_Toc84686389"/>
      <w:bookmarkStart w:id="9" w:name="_Toc4779"/>
      <w:bookmarkStart w:id="10" w:name="_Toc8756"/>
      <w:r>
        <w:rPr>
          <w:rFonts w:hint="eastAsia"/>
        </w:rPr>
        <w:t>六、结论</w:t>
      </w:r>
      <w:bookmarkEnd w:id="8"/>
      <w:bookmarkEnd w:id="9"/>
      <w:bookmarkEnd w:id="10"/>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05BD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Borders>
              <w:tl2br w:val="nil"/>
              <w:tr2bl w:val="nil"/>
            </w:tcBorders>
          </w:tcPr>
          <w:p w14:paraId="145CA9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yellow"/>
              </w:rPr>
            </w:pPr>
            <w:r>
              <w:rPr>
                <w:sz w:val="24"/>
                <w:lang w:bidi="ar"/>
              </w:rPr>
              <w:t>综上所述，</w:t>
            </w:r>
            <w:r>
              <w:rPr>
                <w:rFonts w:hint="eastAsia"/>
                <w:sz w:val="24"/>
                <w:lang w:bidi="ar"/>
              </w:rPr>
              <w:t>“</w:t>
            </w:r>
            <w:r>
              <w:rPr>
                <w:rFonts w:hint="eastAsia" w:ascii="宋体" w:hAnsi="宋体" w:cs="宋体"/>
                <w:color w:val="000000" w:themeColor="text1"/>
                <w:sz w:val="24"/>
                <w:szCs w:val="24"/>
                <w14:textFill>
                  <w14:solidFill>
                    <w14:schemeClr w14:val="tx1"/>
                  </w14:solidFill>
                </w14:textFill>
              </w:rPr>
              <w:t>汽车零部件加工生产线项目</w:t>
            </w:r>
            <w:r>
              <w:rPr>
                <w:rFonts w:hint="eastAsia"/>
                <w:sz w:val="24"/>
                <w:lang w:bidi="ar"/>
              </w:rPr>
              <w:t>”</w:t>
            </w:r>
            <w:r>
              <w:rPr>
                <w:sz w:val="24"/>
                <w:lang w:bidi="ar"/>
              </w:rPr>
              <w:t>符合国家产业政策，项目选址合理。本项目在落实本环评提出的各项污染防治措施的前提下，废气、废水、噪声可实现达标排放，固体废物能有效、安全</w:t>
            </w:r>
            <w:r>
              <w:rPr>
                <w:rFonts w:hint="eastAsia"/>
                <w:sz w:val="24"/>
                <w:lang w:bidi="ar"/>
              </w:rPr>
              <w:t>地</w:t>
            </w:r>
            <w:r>
              <w:rPr>
                <w:sz w:val="24"/>
                <w:lang w:bidi="ar"/>
              </w:rPr>
              <w:t>处置，项目产生的污染物对周围环境产生的影响在可接受的范围内。因此，本评价认为，从环境保护角度，建设项目环境影响是可行的</w:t>
            </w:r>
            <w:r>
              <w:rPr>
                <w:rFonts w:hint="eastAsia"/>
                <w:sz w:val="24"/>
                <w:lang w:bidi="ar"/>
              </w:rPr>
              <w:t>。</w:t>
            </w:r>
          </w:p>
        </w:tc>
      </w:tr>
    </w:tbl>
    <w:p w14:paraId="3C1DE8D4">
      <w:pPr>
        <w:pStyle w:val="6"/>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5510775">
      <w:pPr>
        <w:pStyle w:val="20"/>
        <w:adjustRightInd w:val="0"/>
        <w:snapToGrid w:val="0"/>
        <w:spacing w:before="0" w:beforeAutospacing="0" w:after="0" w:afterAutospacing="0"/>
        <w:outlineLvl w:val="0"/>
        <w:rPr>
          <w:rFonts w:hint="eastAsia" w:ascii="黑体" w:hAnsi="黑体" w:eastAsia="黑体"/>
          <w:snapToGrid w:val="0"/>
          <w:sz w:val="32"/>
          <w:szCs w:val="32"/>
        </w:rPr>
      </w:pPr>
      <w:bookmarkStart w:id="11" w:name="_Toc2827"/>
      <w:bookmarkStart w:id="12" w:name="_Toc84686390"/>
      <w:r>
        <w:rPr>
          <w:rFonts w:hint="eastAsia" w:ascii="黑体" w:hAnsi="黑体" w:eastAsia="黑体"/>
          <w:snapToGrid w:val="0"/>
          <w:sz w:val="32"/>
          <w:szCs w:val="32"/>
        </w:rPr>
        <w:t>附表</w:t>
      </w:r>
      <w:bookmarkEnd w:id="11"/>
      <w:bookmarkEnd w:id="12"/>
    </w:p>
    <w:p w14:paraId="408007BA">
      <w:pPr>
        <w:pStyle w:val="20"/>
        <w:adjustRightInd w:val="0"/>
        <w:snapToGrid w:val="0"/>
        <w:spacing w:before="0" w:beforeAutospacing="0" w:after="0" w:afterAutospacing="0"/>
        <w:jc w:val="center"/>
        <w:outlineLvl w:val="0"/>
        <w:rPr>
          <w:rFonts w:hint="eastAsia" w:ascii="方正小标宋_GBK" w:hAnsi="黑体" w:eastAsia="方正小标宋_GBK"/>
          <w:snapToGrid w:val="0"/>
          <w:sz w:val="38"/>
          <w:szCs w:val="38"/>
        </w:rPr>
      </w:pPr>
      <w:bookmarkStart w:id="13" w:name="_Toc84686391"/>
      <w:bookmarkStart w:id="14" w:name="_Toc28370"/>
      <w:r>
        <w:rPr>
          <w:rFonts w:hint="eastAsia" w:ascii="方正小标宋_GBK" w:hAnsi="黑体" w:eastAsia="方正小标宋_GBK"/>
          <w:snapToGrid w:val="0"/>
          <w:sz w:val="38"/>
          <w:szCs w:val="38"/>
        </w:rPr>
        <w:t>建设项目污染物排放量汇总表</w:t>
      </w:r>
      <w:bookmarkEnd w:id="13"/>
      <w:bookmarkEnd w:id="14"/>
    </w:p>
    <w:tbl>
      <w:tblPr>
        <w:tblStyle w:val="21"/>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114"/>
        <w:gridCol w:w="1670"/>
        <w:gridCol w:w="1276"/>
        <w:gridCol w:w="1701"/>
        <w:gridCol w:w="1559"/>
        <w:gridCol w:w="1761"/>
        <w:gridCol w:w="1959"/>
        <w:gridCol w:w="826"/>
      </w:tblGrid>
      <w:tr w14:paraId="2AFA9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22" w:type="dxa"/>
            <w:tcBorders>
              <w:tl2br w:val="single" w:color="auto" w:sz="4" w:space="0"/>
            </w:tcBorders>
            <w:tcMar>
              <w:left w:w="28" w:type="dxa"/>
              <w:right w:w="28" w:type="dxa"/>
            </w:tcMar>
            <w:vAlign w:val="center"/>
          </w:tcPr>
          <w:p w14:paraId="392FDF38">
            <w:pPr>
              <w:snapToGrid w:val="0"/>
              <w:ind w:firstLine="210" w:firstLineChars="100"/>
              <w:rPr>
                <w:u w:val="single"/>
              </w:rPr>
            </w:pPr>
            <w:r>
              <w:rPr>
                <w:rFonts w:hint="eastAsia"/>
                <w:u w:val="single"/>
              </w:rPr>
              <w:t>分类</w:t>
            </w:r>
          </w:p>
          <w:p w14:paraId="03DEAAA0">
            <w:pPr>
              <w:snapToGrid w:val="0"/>
              <w:jc w:val="right"/>
              <w:rPr>
                <w:u w:val="single"/>
              </w:rPr>
            </w:pPr>
          </w:p>
          <w:p w14:paraId="34DDE9B3">
            <w:pPr>
              <w:rPr>
                <w:u w:val="single"/>
              </w:rPr>
            </w:pPr>
            <w:r>
              <w:rPr>
                <w:rFonts w:hint="eastAsia"/>
                <w:u w:val="single"/>
              </w:rPr>
              <w:t>项目</w:t>
            </w:r>
          </w:p>
        </w:tc>
        <w:tc>
          <w:tcPr>
            <w:tcW w:w="2114" w:type="dxa"/>
            <w:tcMar>
              <w:left w:w="28" w:type="dxa"/>
              <w:right w:w="28" w:type="dxa"/>
            </w:tcMar>
            <w:vAlign w:val="center"/>
          </w:tcPr>
          <w:p w14:paraId="11EB6404">
            <w:pPr>
              <w:pStyle w:val="40"/>
              <w:spacing w:beforeLines="0" w:afterLines="0" w:line="240" w:lineRule="auto"/>
              <w:rPr>
                <w:rFonts w:hint="eastAsia" w:ascii="黑体" w:hAnsi="黑体" w:eastAsia="黑体" w:cs="宋体"/>
                <w:snapToGrid w:val="0"/>
                <w:spacing w:val="-6"/>
                <w:kern w:val="21"/>
                <w:szCs w:val="21"/>
                <w:u w:val="single"/>
              </w:rPr>
            </w:pPr>
            <w:r>
              <w:rPr>
                <w:rFonts w:hint="eastAsia" w:ascii="黑体" w:hAnsi="黑体" w:eastAsia="黑体" w:cs="宋体"/>
                <w:snapToGrid w:val="0"/>
                <w:spacing w:val="-6"/>
                <w:kern w:val="21"/>
                <w:szCs w:val="21"/>
                <w:u w:val="single"/>
              </w:rPr>
              <w:t>污染物名称</w:t>
            </w:r>
          </w:p>
        </w:tc>
        <w:tc>
          <w:tcPr>
            <w:tcW w:w="1670" w:type="dxa"/>
            <w:tcMar>
              <w:left w:w="28" w:type="dxa"/>
              <w:right w:w="28" w:type="dxa"/>
            </w:tcMar>
            <w:vAlign w:val="center"/>
          </w:tcPr>
          <w:p w14:paraId="712F0E33">
            <w:pPr>
              <w:pStyle w:val="40"/>
              <w:spacing w:beforeLines="0" w:afterLines="0" w:line="240" w:lineRule="auto"/>
              <w:rPr>
                <w:rFonts w:hint="eastAsia" w:ascii="黑体" w:hAnsi="黑体" w:eastAsia="黑体"/>
                <w:snapToGrid w:val="0"/>
                <w:spacing w:val="-6"/>
                <w:kern w:val="21"/>
                <w:szCs w:val="21"/>
                <w:u w:val="single"/>
              </w:rPr>
            </w:pPr>
            <w:r>
              <w:rPr>
                <w:rFonts w:ascii="黑体" w:hAnsi="黑体" w:eastAsia="黑体"/>
                <w:snapToGrid w:val="0"/>
                <w:spacing w:val="-6"/>
                <w:kern w:val="21"/>
                <w:szCs w:val="21"/>
                <w:u w:val="single"/>
              </w:rPr>
              <w:t>现有工程</w:t>
            </w:r>
          </w:p>
          <w:p w14:paraId="5E42183B">
            <w:pPr>
              <w:pStyle w:val="40"/>
              <w:spacing w:beforeLines="0" w:afterLines="0" w:line="240" w:lineRule="auto"/>
              <w:rPr>
                <w:rFonts w:hint="eastAsia" w:ascii="黑体" w:hAnsi="黑体" w:eastAsia="黑体"/>
                <w:snapToGrid w:val="0"/>
                <w:spacing w:val="-6"/>
                <w:kern w:val="21"/>
                <w:szCs w:val="21"/>
                <w:u w:val="single"/>
              </w:rPr>
            </w:pPr>
            <w:r>
              <w:rPr>
                <w:rFonts w:ascii="黑体" w:hAnsi="黑体" w:eastAsia="黑体"/>
                <w:snapToGrid w:val="0"/>
                <w:spacing w:val="-6"/>
                <w:kern w:val="21"/>
                <w:szCs w:val="21"/>
                <w:u w:val="single"/>
              </w:rPr>
              <w:t>排放量（固</w:t>
            </w:r>
            <w:r>
              <w:rPr>
                <w:rFonts w:hint="eastAsia" w:ascii="黑体" w:hAnsi="黑体" w:eastAsia="黑体"/>
                <w:snapToGrid w:val="0"/>
                <w:spacing w:val="-6"/>
                <w:kern w:val="21"/>
                <w:szCs w:val="21"/>
                <w:u w:val="single"/>
              </w:rPr>
              <w:t>体</w:t>
            </w:r>
            <w:r>
              <w:rPr>
                <w:rFonts w:ascii="黑体" w:hAnsi="黑体" w:eastAsia="黑体"/>
                <w:snapToGrid w:val="0"/>
                <w:spacing w:val="-6"/>
                <w:kern w:val="21"/>
                <w:szCs w:val="21"/>
                <w:u w:val="single"/>
              </w:rPr>
              <w:t>废</w:t>
            </w:r>
            <w:r>
              <w:rPr>
                <w:rFonts w:hint="eastAsia" w:ascii="黑体" w:hAnsi="黑体" w:eastAsia="黑体"/>
                <w:snapToGrid w:val="0"/>
                <w:spacing w:val="-6"/>
                <w:kern w:val="21"/>
                <w:szCs w:val="21"/>
                <w:u w:val="single"/>
              </w:rPr>
              <w:t>物</w:t>
            </w:r>
            <w:r>
              <w:rPr>
                <w:rFonts w:ascii="黑体" w:hAnsi="黑体" w:eastAsia="黑体"/>
                <w:snapToGrid w:val="0"/>
                <w:spacing w:val="-6"/>
                <w:kern w:val="21"/>
                <w:szCs w:val="21"/>
                <w:u w:val="single"/>
              </w:rPr>
              <w:t>产生量）</w:t>
            </w:r>
            <w:r>
              <w:rPr>
                <w:rFonts w:ascii="黑体" w:hAnsi="黑体" w:eastAsia="黑体"/>
                <w:snapToGrid w:val="0"/>
                <w:spacing w:val="-6"/>
                <w:kern w:val="21"/>
                <w:szCs w:val="21"/>
                <w:u w:val="single"/>
              </w:rPr>
              <w:fldChar w:fldCharType="begin"/>
            </w:r>
            <w:r>
              <w:rPr>
                <w:rFonts w:ascii="黑体" w:hAnsi="黑体" w:eastAsia="黑体"/>
                <w:snapToGrid w:val="0"/>
                <w:spacing w:val="-6"/>
                <w:kern w:val="21"/>
                <w:szCs w:val="21"/>
                <w:u w:val="single"/>
              </w:rPr>
              <w:instrText xml:space="preserve"> = 1 \* GB3 \* MERGEFORMAT </w:instrText>
            </w:r>
            <w:r>
              <w:rPr>
                <w:rFonts w:ascii="黑体" w:hAnsi="黑体" w:eastAsia="黑体"/>
                <w:snapToGrid w:val="0"/>
                <w:spacing w:val="-6"/>
                <w:kern w:val="21"/>
                <w:szCs w:val="21"/>
                <w:u w:val="single"/>
              </w:rPr>
              <w:fldChar w:fldCharType="separate"/>
            </w:r>
            <w:r>
              <w:rPr>
                <w:rFonts w:hint="eastAsia" w:ascii="黑体" w:hAnsi="黑体" w:eastAsia="黑体" w:cs="宋体"/>
                <w:kern w:val="2"/>
                <w:szCs w:val="21"/>
                <w:u w:val="single"/>
              </w:rPr>
              <w:t>①</w:t>
            </w:r>
            <w:r>
              <w:rPr>
                <w:rFonts w:ascii="黑体" w:hAnsi="黑体" w:eastAsia="黑体"/>
                <w:snapToGrid w:val="0"/>
                <w:spacing w:val="-6"/>
                <w:kern w:val="21"/>
                <w:szCs w:val="21"/>
                <w:u w:val="single"/>
              </w:rPr>
              <w:fldChar w:fldCharType="end"/>
            </w:r>
          </w:p>
        </w:tc>
        <w:tc>
          <w:tcPr>
            <w:tcW w:w="1276" w:type="dxa"/>
            <w:tcMar>
              <w:left w:w="28" w:type="dxa"/>
              <w:right w:w="28" w:type="dxa"/>
            </w:tcMar>
            <w:vAlign w:val="center"/>
          </w:tcPr>
          <w:p w14:paraId="652064CA">
            <w:pPr>
              <w:pStyle w:val="40"/>
              <w:spacing w:beforeLines="0" w:afterLines="0" w:line="240" w:lineRule="auto"/>
              <w:rPr>
                <w:rFonts w:hint="eastAsia" w:ascii="黑体" w:hAnsi="黑体" w:eastAsia="黑体"/>
                <w:snapToGrid w:val="0"/>
                <w:spacing w:val="-6"/>
                <w:kern w:val="21"/>
                <w:szCs w:val="21"/>
                <w:u w:val="single"/>
              </w:rPr>
            </w:pPr>
            <w:r>
              <w:rPr>
                <w:rFonts w:ascii="黑体" w:hAnsi="黑体" w:eastAsia="黑体"/>
                <w:snapToGrid w:val="0"/>
                <w:spacing w:val="-6"/>
                <w:kern w:val="21"/>
                <w:szCs w:val="21"/>
                <w:u w:val="single"/>
              </w:rPr>
              <w:t>现有工程</w:t>
            </w:r>
          </w:p>
          <w:p w14:paraId="4F0F5A22">
            <w:pPr>
              <w:pStyle w:val="40"/>
              <w:spacing w:beforeLines="0" w:afterLines="0" w:line="240" w:lineRule="auto"/>
              <w:rPr>
                <w:rFonts w:hint="eastAsia" w:ascii="黑体" w:hAnsi="黑体" w:eastAsia="黑体"/>
                <w:snapToGrid w:val="0"/>
                <w:spacing w:val="-6"/>
                <w:kern w:val="21"/>
                <w:szCs w:val="21"/>
                <w:u w:val="single"/>
              </w:rPr>
            </w:pPr>
            <w:r>
              <w:rPr>
                <w:rFonts w:ascii="黑体" w:hAnsi="黑体" w:eastAsia="黑体"/>
                <w:snapToGrid w:val="0"/>
                <w:spacing w:val="-6"/>
                <w:kern w:val="21"/>
                <w:szCs w:val="21"/>
                <w:u w:val="single"/>
              </w:rPr>
              <w:t>许可排放量</w:t>
            </w:r>
          </w:p>
          <w:p w14:paraId="64D6AC37">
            <w:pPr>
              <w:pStyle w:val="40"/>
              <w:spacing w:beforeLines="0" w:afterLines="0"/>
              <w:rPr>
                <w:rFonts w:hint="eastAsia" w:ascii="黑体" w:hAnsi="黑体" w:eastAsia="黑体"/>
                <w:snapToGrid w:val="0"/>
                <w:spacing w:val="-6"/>
                <w:kern w:val="21"/>
                <w:szCs w:val="21"/>
                <w:u w:val="single"/>
              </w:rPr>
            </w:pPr>
            <w:r>
              <w:rPr>
                <w:rFonts w:ascii="黑体" w:hAnsi="黑体" w:eastAsia="黑体"/>
                <w:snapToGrid w:val="0"/>
                <w:spacing w:val="-6"/>
                <w:kern w:val="21"/>
                <w:szCs w:val="21"/>
                <w:u w:val="single"/>
              </w:rPr>
              <w:fldChar w:fldCharType="begin"/>
            </w:r>
            <w:r>
              <w:rPr>
                <w:rFonts w:ascii="黑体" w:hAnsi="黑体" w:eastAsia="黑体"/>
                <w:snapToGrid w:val="0"/>
                <w:spacing w:val="-6"/>
                <w:kern w:val="21"/>
                <w:szCs w:val="21"/>
                <w:u w:val="single"/>
              </w:rPr>
              <w:instrText xml:space="preserve"> = 2 \* GB3 \* MERGEFORMAT </w:instrText>
            </w:r>
            <w:r>
              <w:rPr>
                <w:rFonts w:ascii="黑体" w:hAnsi="黑体" w:eastAsia="黑体"/>
                <w:snapToGrid w:val="0"/>
                <w:spacing w:val="-6"/>
                <w:kern w:val="21"/>
                <w:szCs w:val="21"/>
                <w:u w:val="single"/>
              </w:rPr>
              <w:fldChar w:fldCharType="separate"/>
            </w:r>
            <w:r>
              <w:rPr>
                <w:rFonts w:hint="eastAsia" w:ascii="黑体" w:hAnsi="黑体" w:eastAsia="黑体" w:cs="宋体"/>
                <w:snapToGrid w:val="0"/>
                <w:spacing w:val="-6"/>
                <w:kern w:val="21"/>
                <w:szCs w:val="21"/>
                <w:u w:val="single"/>
              </w:rPr>
              <w:t>②</w:t>
            </w:r>
            <w:r>
              <w:rPr>
                <w:rFonts w:ascii="黑体" w:hAnsi="黑体" w:eastAsia="黑体"/>
                <w:snapToGrid w:val="0"/>
                <w:spacing w:val="-6"/>
                <w:kern w:val="21"/>
                <w:szCs w:val="21"/>
                <w:u w:val="single"/>
              </w:rPr>
              <w:fldChar w:fldCharType="end"/>
            </w:r>
          </w:p>
        </w:tc>
        <w:tc>
          <w:tcPr>
            <w:tcW w:w="1701" w:type="dxa"/>
            <w:tcMar>
              <w:left w:w="28" w:type="dxa"/>
              <w:right w:w="28" w:type="dxa"/>
            </w:tcMar>
            <w:vAlign w:val="center"/>
          </w:tcPr>
          <w:p w14:paraId="1CE7AADE">
            <w:pPr>
              <w:pStyle w:val="40"/>
              <w:spacing w:beforeLines="0" w:afterLines="0" w:line="240" w:lineRule="auto"/>
              <w:rPr>
                <w:rFonts w:hint="eastAsia" w:ascii="黑体" w:hAnsi="黑体" w:eastAsia="黑体"/>
                <w:snapToGrid w:val="0"/>
                <w:spacing w:val="-6"/>
                <w:kern w:val="21"/>
                <w:szCs w:val="21"/>
                <w:u w:val="single"/>
              </w:rPr>
            </w:pPr>
            <w:r>
              <w:rPr>
                <w:rFonts w:ascii="黑体" w:hAnsi="黑体" w:eastAsia="黑体"/>
                <w:snapToGrid w:val="0"/>
                <w:spacing w:val="-6"/>
                <w:kern w:val="21"/>
                <w:szCs w:val="21"/>
                <w:u w:val="single"/>
              </w:rPr>
              <w:t>在建工程</w:t>
            </w:r>
          </w:p>
          <w:p w14:paraId="3762D7CC">
            <w:pPr>
              <w:pStyle w:val="40"/>
              <w:spacing w:beforeLines="0" w:afterLines="0" w:line="240" w:lineRule="auto"/>
              <w:rPr>
                <w:rFonts w:hint="eastAsia" w:ascii="黑体" w:hAnsi="黑体" w:eastAsia="黑体"/>
                <w:snapToGrid w:val="0"/>
                <w:spacing w:val="-6"/>
                <w:kern w:val="21"/>
                <w:szCs w:val="21"/>
                <w:u w:val="single"/>
              </w:rPr>
            </w:pPr>
            <w:r>
              <w:rPr>
                <w:rFonts w:ascii="黑体" w:hAnsi="黑体" w:eastAsia="黑体"/>
                <w:snapToGrid w:val="0"/>
                <w:spacing w:val="-6"/>
                <w:kern w:val="21"/>
                <w:szCs w:val="21"/>
                <w:u w:val="single"/>
              </w:rPr>
              <w:t>排放量（固</w:t>
            </w:r>
            <w:r>
              <w:rPr>
                <w:rFonts w:hint="eastAsia" w:ascii="黑体" w:hAnsi="黑体" w:eastAsia="黑体"/>
                <w:snapToGrid w:val="0"/>
                <w:spacing w:val="-6"/>
                <w:kern w:val="21"/>
                <w:szCs w:val="21"/>
                <w:u w:val="single"/>
              </w:rPr>
              <w:t>体</w:t>
            </w:r>
            <w:r>
              <w:rPr>
                <w:rFonts w:ascii="黑体" w:hAnsi="黑体" w:eastAsia="黑体"/>
                <w:snapToGrid w:val="0"/>
                <w:spacing w:val="-6"/>
                <w:kern w:val="21"/>
                <w:szCs w:val="21"/>
                <w:u w:val="single"/>
              </w:rPr>
              <w:t>废</w:t>
            </w:r>
            <w:r>
              <w:rPr>
                <w:rFonts w:hint="eastAsia" w:ascii="黑体" w:hAnsi="黑体" w:eastAsia="黑体"/>
                <w:snapToGrid w:val="0"/>
                <w:spacing w:val="-6"/>
                <w:kern w:val="21"/>
                <w:szCs w:val="21"/>
                <w:u w:val="single"/>
              </w:rPr>
              <w:t>物</w:t>
            </w:r>
            <w:r>
              <w:rPr>
                <w:rFonts w:ascii="黑体" w:hAnsi="黑体" w:eastAsia="黑体"/>
                <w:snapToGrid w:val="0"/>
                <w:spacing w:val="-6"/>
                <w:kern w:val="21"/>
                <w:szCs w:val="21"/>
                <w:u w:val="single"/>
              </w:rPr>
              <w:t>产生量）</w:t>
            </w:r>
            <w:r>
              <w:rPr>
                <w:rFonts w:ascii="黑体" w:hAnsi="黑体" w:eastAsia="黑体"/>
                <w:snapToGrid w:val="0"/>
                <w:spacing w:val="-6"/>
                <w:kern w:val="21"/>
                <w:szCs w:val="21"/>
                <w:u w:val="single"/>
              </w:rPr>
              <w:fldChar w:fldCharType="begin"/>
            </w:r>
            <w:r>
              <w:rPr>
                <w:rFonts w:ascii="黑体" w:hAnsi="黑体" w:eastAsia="黑体"/>
                <w:snapToGrid w:val="0"/>
                <w:spacing w:val="-6"/>
                <w:kern w:val="21"/>
                <w:szCs w:val="21"/>
                <w:u w:val="single"/>
              </w:rPr>
              <w:instrText xml:space="preserve"> = 3 \* GB3 \* MERGEFORMAT </w:instrText>
            </w:r>
            <w:r>
              <w:rPr>
                <w:rFonts w:ascii="黑体" w:hAnsi="黑体" w:eastAsia="黑体"/>
                <w:snapToGrid w:val="0"/>
                <w:spacing w:val="-6"/>
                <w:kern w:val="21"/>
                <w:szCs w:val="21"/>
                <w:u w:val="single"/>
              </w:rPr>
              <w:fldChar w:fldCharType="separate"/>
            </w:r>
            <w:r>
              <w:rPr>
                <w:rFonts w:hint="eastAsia" w:ascii="黑体" w:hAnsi="黑体" w:eastAsia="黑体" w:cs="宋体"/>
                <w:kern w:val="2"/>
                <w:szCs w:val="21"/>
                <w:u w:val="single"/>
              </w:rPr>
              <w:t>③</w:t>
            </w:r>
            <w:r>
              <w:rPr>
                <w:rFonts w:ascii="黑体" w:hAnsi="黑体" w:eastAsia="黑体"/>
                <w:snapToGrid w:val="0"/>
                <w:spacing w:val="-6"/>
                <w:kern w:val="21"/>
                <w:szCs w:val="21"/>
                <w:u w:val="single"/>
              </w:rPr>
              <w:fldChar w:fldCharType="end"/>
            </w:r>
          </w:p>
        </w:tc>
        <w:tc>
          <w:tcPr>
            <w:tcW w:w="1559" w:type="dxa"/>
            <w:tcMar>
              <w:left w:w="28" w:type="dxa"/>
              <w:right w:w="28" w:type="dxa"/>
            </w:tcMar>
            <w:vAlign w:val="center"/>
          </w:tcPr>
          <w:p w14:paraId="3E238821">
            <w:pPr>
              <w:pStyle w:val="40"/>
              <w:spacing w:beforeLines="0" w:afterLines="0" w:line="240" w:lineRule="auto"/>
              <w:rPr>
                <w:rFonts w:hint="eastAsia" w:ascii="黑体" w:hAnsi="黑体" w:eastAsia="黑体"/>
                <w:snapToGrid w:val="0"/>
                <w:spacing w:val="-6"/>
                <w:kern w:val="21"/>
                <w:szCs w:val="21"/>
                <w:u w:val="single"/>
              </w:rPr>
            </w:pPr>
            <w:r>
              <w:rPr>
                <w:rFonts w:ascii="黑体" w:hAnsi="黑体" w:eastAsia="黑体"/>
                <w:snapToGrid w:val="0"/>
                <w:spacing w:val="-6"/>
                <w:kern w:val="21"/>
                <w:szCs w:val="21"/>
                <w:u w:val="single"/>
              </w:rPr>
              <w:t>本项目</w:t>
            </w:r>
          </w:p>
          <w:p w14:paraId="1BC5983A">
            <w:pPr>
              <w:pStyle w:val="40"/>
              <w:spacing w:beforeLines="0" w:afterLines="0" w:line="240" w:lineRule="auto"/>
              <w:rPr>
                <w:rFonts w:hint="eastAsia" w:ascii="黑体" w:hAnsi="黑体" w:eastAsia="黑体"/>
                <w:snapToGrid w:val="0"/>
                <w:spacing w:val="-6"/>
                <w:kern w:val="21"/>
                <w:szCs w:val="21"/>
                <w:u w:val="single"/>
              </w:rPr>
            </w:pPr>
            <w:r>
              <w:rPr>
                <w:rFonts w:ascii="黑体" w:hAnsi="黑体" w:eastAsia="黑体"/>
                <w:snapToGrid w:val="0"/>
                <w:spacing w:val="-6"/>
                <w:kern w:val="21"/>
                <w:szCs w:val="21"/>
                <w:u w:val="single"/>
              </w:rPr>
              <w:t>排放量（固</w:t>
            </w:r>
            <w:r>
              <w:rPr>
                <w:rFonts w:hint="eastAsia" w:ascii="黑体" w:hAnsi="黑体" w:eastAsia="黑体"/>
                <w:snapToGrid w:val="0"/>
                <w:spacing w:val="-6"/>
                <w:kern w:val="21"/>
                <w:szCs w:val="21"/>
                <w:u w:val="single"/>
              </w:rPr>
              <w:t>体</w:t>
            </w:r>
            <w:r>
              <w:rPr>
                <w:rFonts w:ascii="黑体" w:hAnsi="黑体" w:eastAsia="黑体"/>
                <w:snapToGrid w:val="0"/>
                <w:spacing w:val="-6"/>
                <w:kern w:val="21"/>
                <w:szCs w:val="21"/>
                <w:u w:val="single"/>
              </w:rPr>
              <w:t>废</w:t>
            </w:r>
            <w:r>
              <w:rPr>
                <w:rFonts w:hint="eastAsia" w:ascii="黑体" w:hAnsi="黑体" w:eastAsia="黑体"/>
                <w:snapToGrid w:val="0"/>
                <w:spacing w:val="-6"/>
                <w:kern w:val="21"/>
                <w:szCs w:val="21"/>
                <w:u w:val="single"/>
              </w:rPr>
              <w:t>物</w:t>
            </w:r>
            <w:r>
              <w:rPr>
                <w:rFonts w:ascii="黑体" w:hAnsi="黑体" w:eastAsia="黑体"/>
                <w:snapToGrid w:val="0"/>
                <w:spacing w:val="-6"/>
                <w:kern w:val="21"/>
                <w:szCs w:val="21"/>
                <w:u w:val="single"/>
              </w:rPr>
              <w:t>产生量）</w:t>
            </w:r>
            <w:r>
              <w:rPr>
                <w:rFonts w:ascii="黑体" w:hAnsi="黑体" w:eastAsia="黑体"/>
                <w:snapToGrid w:val="0"/>
                <w:spacing w:val="-6"/>
                <w:kern w:val="21"/>
                <w:szCs w:val="21"/>
                <w:u w:val="single"/>
              </w:rPr>
              <w:fldChar w:fldCharType="begin"/>
            </w:r>
            <w:r>
              <w:rPr>
                <w:rFonts w:ascii="黑体" w:hAnsi="黑体" w:eastAsia="黑体"/>
                <w:snapToGrid w:val="0"/>
                <w:spacing w:val="-6"/>
                <w:kern w:val="21"/>
                <w:szCs w:val="21"/>
                <w:u w:val="single"/>
              </w:rPr>
              <w:instrText xml:space="preserve"> = 4 \* GB3 \* MERGEFORMAT </w:instrText>
            </w:r>
            <w:r>
              <w:rPr>
                <w:rFonts w:ascii="黑体" w:hAnsi="黑体" w:eastAsia="黑体"/>
                <w:snapToGrid w:val="0"/>
                <w:spacing w:val="-6"/>
                <w:kern w:val="21"/>
                <w:szCs w:val="21"/>
                <w:u w:val="single"/>
              </w:rPr>
              <w:fldChar w:fldCharType="separate"/>
            </w:r>
            <w:r>
              <w:rPr>
                <w:rFonts w:hint="eastAsia" w:ascii="黑体" w:hAnsi="黑体" w:eastAsia="黑体" w:cs="宋体"/>
                <w:kern w:val="2"/>
                <w:szCs w:val="21"/>
                <w:u w:val="single"/>
              </w:rPr>
              <w:t>④</w:t>
            </w:r>
            <w:r>
              <w:rPr>
                <w:rFonts w:ascii="黑体" w:hAnsi="黑体" w:eastAsia="黑体"/>
                <w:snapToGrid w:val="0"/>
                <w:spacing w:val="-6"/>
                <w:kern w:val="21"/>
                <w:szCs w:val="21"/>
                <w:u w:val="single"/>
              </w:rPr>
              <w:fldChar w:fldCharType="end"/>
            </w:r>
          </w:p>
        </w:tc>
        <w:tc>
          <w:tcPr>
            <w:tcW w:w="1761" w:type="dxa"/>
            <w:tcMar>
              <w:left w:w="28" w:type="dxa"/>
              <w:right w:w="28" w:type="dxa"/>
            </w:tcMar>
            <w:vAlign w:val="center"/>
          </w:tcPr>
          <w:p w14:paraId="140FF9D0">
            <w:pPr>
              <w:pStyle w:val="40"/>
              <w:spacing w:beforeLines="0" w:afterLines="0" w:line="240" w:lineRule="auto"/>
              <w:rPr>
                <w:rFonts w:hint="eastAsia" w:ascii="黑体" w:hAnsi="黑体" w:eastAsia="黑体"/>
                <w:snapToGrid w:val="0"/>
                <w:spacing w:val="-16"/>
                <w:kern w:val="21"/>
                <w:szCs w:val="21"/>
                <w:u w:val="single"/>
              </w:rPr>
            </w:pPr>
            <w:r>
              <w:rPr>
                <w:rFonts w:ascii="黑体" w:hAnsi="黑体" w:eastAsia="黑体"/>
                <w:snapToGrid w:val="0"/>
                <w:spacing w:val="-16"/>
                <w:kern w:val="21"/>
                <w:szCs w:val="21"/>
                <w:u w:val="single"/>
              </w:rPr>
              <w:t>以新带老削减量</w:t>
            </w:r>
          </w:p>
          <w:p w14:paraId="142BFC70">
            <w:pPr>
              <w:pStyle w:val="40"/>
              <w:spacing w:beforeLines="0" w:afterLines="0" w:line="240" w:lineRule="auto"/>
              <w:rPr>
                <w:rFonts w:hint="eastAsia" w:ascii="黑体" w:hAnsi="黑体" w:eastAsia="黑体"/>
                <w:snapToGrid w:val="0"/>
                <w:spacing w:val="-16"/>
                <w:kern w:val="21"/>
                <w:szCs w:val="21"/>
                <w:u w:val="single"/>
              </w:rPr>
            </w:pPr>
            <w:r>
              <w:rPr>
                <w:rFonts w:ascii="黑体" w:hAnsi="黑体" w:eastAsia="黑体"/>
                <w:snapToGrid w:val="0"/>
                <w:spacing w:val="-16"/>
                <w:kern w:val="21"/>
                <w:szCs w:val="21"/>
                <w:u w:val="single"/>
              </w:rPr>
              <w:t>（新建项目不填）</w:t>
            </w:r>
            <w:r>
              <w:rPr>
                <w:rFonts w:ascii="黑体" w:hAnsi="黑体" w:eastAsia="黑体"/>
                <w:snapToGrid w:val="0"/>
                <w:spacing w:val="-16"/>
                <w:kern w:val="21"/>
                <w:szCs w:val="21"/>
                <w:u w:val="single"/>
              </w:rPr>
              <w:fldChar w:fldCharType="begin"/>
            </w:r>
            <w:r>
              <w:rPr>
                <w:rFonts w:ascii="黑体" w:hAnsi="黑体" w:eastAsia="黑体"/>
                <w:snapToGrid w:val="0"/>
                <w:spacing w:val="-16"/>
                <w:kern w:val="21"/>
                <w:szCs w:val="21"/>
                <w:u w:val="single"/>
              </w:rPr>
              <w:instrText xml:space="preserve"> = 5 \* GB3 \* MERGEFORMAT </w:instrText>
            </w:r>
            <w:r>
              <w:rPr>
                <w:rFonts w:ascii="黑体" w:hAnsi="黑体" w:eastAsia="黑体"/>
                <w:snapToGrid w:val="0"/>
                <w:spacing w:val="-16"/>
                <w:kern w:val="21"/>
                <w:szCs w:val="21"/>
                <w:u w:val="single"/>
              </w:rPr>
              <w:fldChar w:fldCharType="separate"/>
            </w:r>
            <w:r>
              <w:rPr>
                <w:rFonts w:hint="eastAsia" w:ascii="黑体" w:hAnsi="黑体" w:eastAsia="黑体" w:cs="宋体"/>
                <w:kern w:val="2"/>
                <w:szCs w:val="21"/>
                <w:u w:val="single"/>
              </w:rPr>
              <w:t>⑤</w:t>
            </w:r>
            <w:r>
              <w:rPr>
                <w:rFonts w:ascii="黑体" w:hAnsi="黑体" w:eastAsia="黑体"/>
                <w:snapToGrid w:val="0"/>
                <w:spacing w:val="-16"/>
                <w:kern w:val="21"/>
                <w:szCs w:val="21"/>
                <w:u w:val="single"/>
              </w:rPr>
              <w:fldChar w:fldCharType="end"/>
            </w:r>
          </w:p>
        </w:tc>
        <w:tc>
          <w:tcPr>
            <w:tcW w:w="1959" w:type="dxa"/>
            <w:tcMar>
              <w:left w:w="28" w:type="dxa"/>
              <w:right w:w="28" w:type="dxa"/>
            </w:tcMar>
            <w:vAlign w:val="center"/>
          </w:tcPr>
          <w:p w14:paraId="3E28187B">
            <w:pPr>
              <w:pStyle w:val="40"/>
              <w:spacing w:beforeLines="0" w:afterLines="0" w:line="240" w:lineRule="auto"/>
              <w:rPr>
                <w:rFonts w:hint="eastAsia" w:ascii="黑体" w:hAnsi="黑体" w:eastAsia="黑体"/>
                <w:snapToGrid w:val="0"/>
                <w:spacing w:val="-16"/>
                <w:kern w:val="21"/>
                <w:szCs w:val="21"/>
                <w:u w:val="single"/>
              </w:rPr>
            </w:pPr>
            <w:r>
              <w:rPr>
                <w:rFonts w:ascii="黑体" w:hAnsi="黑体" w:eastAsia="黑体"/>
                <w:snapToGrid w:val="0"/>
                <w:spacing w:val="-16"/>
                <w:kern w:val="21"/>
                <w:szCs w:val="21"/>
                <w:u w:val="single"/>
              </w:rPr>
              <w:t>本项目建成后</w:t>
            </w:r>
          </w:p>
          <w:p w14:paraId="1AC16EFF">
            <w:pPr>
              <w:pStyle w:val="40"/>
              <w:spacing w:beforeLines="0" w:afterLines="0" w:line="240" w:lineRule="auto"/>
              <w:rPr>
                <w:rFonts w:hint="eastAsia" w:ascii="黑体" w:hAnsi="黑体" w:eastAsia="黑体"/>
                <w:snapToGrid w:val="0"/>
                <w:spacing w:val="-16"/>
                <w:kern w:val="21"/>
                <w:szCs w:val="21"/>
                <w:u w:val="single"/>
              </w:rPr>
            </w:pPr>
            <w:r>
              <w:rPr>
                <w:rFonts w:hint="eastAsia" w:ascii="黑体" w:hAnsi="黑体" w:eastAsia="黑体"/>
                <w:snapToGrid w:val="0"/>
                <w:spacing w:val="-16"/>
                <w:kern w:val="21"/>
                <w:szCs w:val="21"/>
                <w:u w:val="single"/>
              </w:rPr>
              <w:t>全厂</w:t>
            </w:r>
            <w:r>
              <w:rPr>
                <w:rFonts w:ascii="黑体" w:hAnsi="黑体" w:eastAsia="黑体"/>
                <w:snapToGrid w:val="0"/>
                <w:spacing w:val="-16"/>
                <w:kern w:val="21"/>
                <w:szCs w:val="21"/>
                <w:u w:val="single"/>
              </w:rPr>
              <w:t>排放量（固</w:t>
            </w:r>
            <w:r>
              <w:rPr>
                <w:rFonts w:hint="eastAsia" w:ascii="黑体" w:hAnsi="黑体" w:eastAsia="黑体"/>
                <w:snapToGrid w:val="0"/>
                <w:spacing w:val="-16"/>
                <w:kern w:val="21"/>
                <w:szCs w:val="21"/>
                <w:u w:val="single"/>
              </w:rPr>
              <w:t>体</w:t>
            </w:r>
            <w:r>
              <w:rPr>
                <w:rFonts w:ascii="黑体" w:hAnsi="黑体" w:eastAsia="黑体"/>
                <w:snapToGrid w:val="0"/>
                <w:spacing w:val="-16"/>
                <w:kern w:val="21"/>
                <w:szCs w:val="21"/>
                <w:u w:val="single"/>
              </w:rPr>
              <w:t>废</w:t>
            </w:r>
            <w:r>
              <w:rPr>
                <w:rFonts w:hint="eastAsia" w:ascii="黑体" w:hAnsi="黑体" w:eastAsia="黑体"/>
                <w:snapToGrid w:val="0"/>
                <w:spacing w:val="-16"/>
                <w:kern w:val="21"/>
                <w:szCs w:val="21"/>
                <w:u w:val="single"/>
              </w:rPr>
              <w:t>物</w:t>
            </w:r>
            <w:r>
              <w:rPr>
                <w:rFonts w:ascii="黑体" w:hAnsi="黑体" w:eastAsia="黑体"/>
                <w:snapToGrid w:val="0"/>
                <w:spacing w:val="-16"/>
                <w:kern w:val="21"/>
                <w:szCs w:val="21"/>
                <w:u w:val="single"/>
              </w:rPr>
              <w:t>产生量）</w:t>
            </w:r>
            <w:r>
              <w:rPr>
                <w:rFonts w:ascii="黑体" w:hAnsi="黑体" w:eastAsia="黑体"/>
                <w:snapToGrid w:val="0"/>
                <w:spacing w:val="-16"/>
                <w:kern w:val="21"/>
                <w:szCs w:val="21"/>
                <w:u w:val="single"/>
              </w:rPr>
              <w:fldChar w:fldCharType="begin"/>
            </w:r>
            <w:r>
              <w:rPr>
                <w:rFonts w:ascii="黑体" w:hAnsi="黑体" w:eastAsia="黑体"/>
                <w:snapToGrid w:val="0"/>
                <w:spacing w:val="-16"/>
                <w:kern w:val="21"/>
                <w:szCs w:val="21"/>
                <w:u w:val="single"/>
              </w:rPr>
              <w:instrText xml:space="preserve"> = 6 \* GB3 \* MERGEFORMAT </w:instrText>
            </w:r>
            <w:r>
              <w:rPr>
                <w:rFonts w:ascii="黑体" w:hAnsi="黑体" w:eastAsia="黑体"/>
                <w:snapToGrid w:val="0"/>
                <w:spacing w:val="-16"/>
                <w:kern w:val="21"/>
                <w:szCs w:val="21"/>
                <w:u w:val="single"/>
              </w:rPr>
              <w:fldChar w:fldCharType="separate"/>
            </w:r>
            <w:r>
              <w:rPr>
                <w:rFonts w:hint="eastAsia" w:ascii="黑体" w:hAnsi="黑体" w:eastAsia="黑体" w:cs="宋体"/>
                <w:kern w:val="2"/>
                <w:szCs w:val="21"/>
                <w:u w:val="single"/>
              </w:rPr>
              <w:t>⑥</w:t>
            </w:r>
            <w:r>
              <w:rPr>
                <w:rFonts w:ascii="黑体" w:hAnsi="黑体" w:eastAsia="黑体"/>
                <w:snapToGrid w:val="0"/>
                <w:spacing w:val="-16"/>
                <w:kern w:val="21"/>
                <w:szCs w:val="21"/>
                <w:u w:val="single"/>
              </w:rPr>
              <w:fldChar w:fldCharType="end"/>
            </w:r>
          </w:p>
        </w:tc>
        <w:tc>
          <w:tcPr>
            <w:tcW w:w="826" w:type="dxa"/>
            <w:tcMar>
              <w:left w:w="28" w:type="dxa"/>
              <w:right w:w="28" w:type="dxa"/>
            </w:tcMar>
            <w:vAlign w:val="center"/>
          </w:tcPr>
          <w:p w14:paraId="41CBF54D">
            <w:pPr>
              <w:pStyle w:val="40"/>
              <w:spacing w:beforeLines="0" w:afterLines="0" w:line="240" w:lineRule="auto"/>
              <w:rPr>
                <w:rFonts w:hint="eastAsia" w:ascii="黑体" w:hAnsi="黑体" w:eastAsia="黑体"/>
                <w:snapToGrid w:val="0"/>
                <w:spacing w:val="-6"/>
                <w:kern w:val="21"/>
                <w:szCs w:val="21"/>
                <w:u w:val="single"/>
              </w:rPr>
            </w:pPr>
            <w:r>
              <w:rPr>
                <w:rFonts w:ascii="黑体" w:hAnsi="黑体" w:eastAsia="黑体"/>
                <w:snapToGrid w:val="0"/>
                <w:spacing w:val="-6"/>
                <w:kern w:val="21"/>
                <w:szCs w:val="21"/>
                <w:u w:val="single"/>
              </w:rPr>
              <w:t>变化量</w:t>
            </w:r>
          </w:p>
          <w:p w14:paraId="1069A5E8">
            <w:pPr>
              <w:pStyle w:val="40"/>
              <w:spacing w:beforeLines="0" w:afterLines="0" w:line="240" w:lineRule="auto"/>
              <w:rPr>
                <w:rFonts w:hint="eastAsia" w:ascii="黑体" w:hAnsi="黑体" w:eastAsia="黑体"/>
                <w:snapToGrid w:val="0"/>
                <w:spacing w:val="-6"/>
                <w:kern w:val="21"/>
                <w:szCs w:val="21"/>
                <w:u w:val="single"/>
              </w:rPr>
            </w:pPr>
            <w:r>
              <w:rPr>
                <w:rFonts w:ascii="黑体" w:hAnsi="黑体" w:eastAsia="黑体"/>
                <w:snapToGrid w:val="0"/>
                <w:spacing w:val="-6"/>
                <w:kern w:val="21"/>
                <w:szCs w:val="21"/>
                <w:u w:val="single"/>
              </w:rPr>
              <w:fldChar w:fldCharType="begin"/>
            </w:r>
            <w:r>
              <w:rPr>
                <w:rFonts w:ascii="黑体" w:hAnsi="黑体" w:eastAsia="黑体"/>
                <w:snapToGrid w:val="0"/>
                <w:spacing w:val="-6"/>
                <w:kern w:val="21"/>
                <w:szCs w:val="21"/>
                <w:u w:val="single"/>
              </w:rPr>
              <w:instrText xml:space="preserve"> = 7 \* GB3 \* MERGEFORMAT </w:instrText>
            </w:r>
            <w:r>
              <w:rPr>
                <w:rFonts w:ascii="黑体" w:hAnsi="黑体" w:eastAsia="黑体"/>
                <w:snapToGrid w:val="0"/>
                <w:spacing w:val="-6"/>
                <w:kern w:val="21"/>
                <w:szCs w:val="21"/>
                <w:u w:val="single"/>
              </w:rPr>
              <w:fldChar w:fldCharType="separate"/>
            </w:r>
            <w:r>
              <w:rPr>
                <w:rFonts w:hint="eastAsia" w:ascii="黑体" w:hAnsi="黑体" w:eastAsia="黑体" w:cs="宋体"/>
                <w:kern w:val="2"/>
                <w:szCs w:val="21"/>
                <w:u w:val="single"/>
              </w:rPr>
              <w:t>⑦</w:t>
            </w:r>
            <w:r>
              <w:rPr>
                <w:rFonts w:ascii="黑体" w:hAnsi="黑体" w:eastAsia="黑体"/>
                <w:snapToGrid w:val="0"/>
                <w:spacing w:val="-6"/>
                <w:kern w:val="21"/>
                <w:szCs w:val="21"/>
                <w:u w:val="single"/>
              </w:rPr>
              <w:fldChar w:fldCharType="end"/>
            </w:r>
          </w:p>
        </w:tc>
      </w:tr>
      <w:tr w14:paraId="365C7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922" w:type="dxa"/>
            <w:vMerge w:val="restart"/>
            <w:vAlign w:val="center"/>
          </w:tcPr>
          <w:p w14:paraId="3AF95269">
            <w:pPr>
              <w:pStyle w:val="40"/>
              <w:spacing w:beforeLines="0" w:afterLines="0" w:line="240" w:lineRule="auto"/>
              <w:rPr>
                <w:rFonts w:hint="eastAsia" w:hAnsi="宋体" w:cs="宋体"/>
                <w:snapToGrid w:val="0"/>
                <w:kern w:val="21"/>
                <w:szCs w:val="21"/>
                <w:u w:val="single"/>
              </w:rPr>
            </w:pPr>
            <w:r>
              <w:rPr>
                <w:rFonts w:hint="eastAsia" w:hAnsi="宋体" w:cs="宋体"/>
                <w:snapToGrid w:val="0"/>
                <w:kern w:val="21"/>
                <w:szCs w:val="21"/>
                <w:u w:val="single"/>
              </w:rPr>
              <w:t>废气</w:t>
            </w:r>
          </w:p>
        </w:tc>
        <w:tc>
          <w:tcPr>
            <w:tcW w:w="2114" w:type="dxa"/>
            <w:vAlign w:val="center"/>
          </w:tcPr>
          <w:p w14:paraId="2D3E7AF3">
            <w:pPr>
              <w:pStyle w:val="40"/>
              <w:spacing w:beforeLines="0" w:afterLines="0" w:line="240" w:lineRule="auto"/>
              <w:rPr>
                <w:rFonts w:hint="eastAsia" w:hAnsi="宋体" w:cs="宋体"/>
                <w:snapToGrid w:val="0"/>
                <w:kern w:val="21"/>
                <w:szCs w:val="21"/>
                <w:u w:val="single"/>
              </w:rPr>
            </w:pPr>
            <w:r>
              <w:rPr>
                <w:rFonts w:hint="eastAsia" w:hAnsi="宋体" w:cs="宋体"/>
                <w:snapToGrid w:val="0"/>
                <w:kern w:val="21"/>
                <w:szCs w:val="21"/>
                <w:u w:val="single"/>
              </w:rPr>
              <w:t>颗粒物</w:t>
            </w:r>
          </w:p>
        </w:tc>
        <w:tc>
          <w:tcPr>
            <w:tcW w:w="1670" w:type="dxa"/>
            <w:vAlign w:val="center"/>
          </w:tcPr>
          <w:p w14:paraId="47177AB0">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276" w:type="dxa"/>
            <w:vAlign w:val="center"/>
          </w:tcPr>
          <w:p w14:paraId="1B9515A7">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701" w:type="dxa"/>
            <w:vAlign w:val="center"/>
          </w:tcPr>
          <w:p w14:paraId="5A7BE4F3">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559" w:type="dxa"/>
            <w:vAlign w:val="center"/>
          </w:tcPr>
          <w:p w14:paraId="1C6F93EE">
            <w:pPr>
              <w:jc w:val="center"/>
              <w:rPr>
                <w:rFonts w:hint="default" w:eastAsia="宋体"/>
                <w:kern w:val="0"/>
                <w:szCs w:val="21"/>
                <w:u w:val="single"/>
                <w:lang w:val="en-US" w:eastAsia="zh-CN" w:bidi="ar"/>
              </w:rPr>
            </w:pPr>
            <w:r>
              <w:rPr>
                <w:rFonts w:hint="eastAsia"/>
                <w:kern w:val="0"/>
                <w:szCs w:val="21"/>
                <w:u w:val="single"/>
                <w:lang w:val="en-US" w:eastAsia="zh-CN" w:bidi="ar"/>
              </w:rPr>
              <w:t>3.96t/a</w:t>
            </w:r>
          </w:p>
        </w:tc>
        <w:tc>
          <w:tcPr>
            <w:tcW w:w="1761" w:type="dxa"/>
            <w:vAlign w:val="center"/>
          </w:tcPr>
          <w:p w14:paraId="5ECF70F1">
            <w:pPr>
              <w:pStyle w:val="40"/>
              <w:spacing w:beforeLines="0" w:afterLines="0" w:line="240" w:lineRule="auto"/>
              <w:rPr>
                <w:rFonts w:hint="eastAsia" w:hAnsi="宋体" w:cs="宋体"/>
                <w:snapToGrid w:val="0"/>
                <w:kern w:val="21"/>
                <w:szCs w:val="21"/>
                <w:u w:val="single"/>
              </w:rPr>
            </w:pPr>
          </w:p>
        </w:tc>
        <w:tc>
          <w:tcPr>
            <w:tcW w:w="1959" w:type="dxa"/>
            <w:vAlign w:val="center"/>
          </w:tcPr>
          <w:p w14:paraId="2A162EFB">
            <w:pPr>
              <w:jc w:val="center"/>
              <w:rPr>
                <w:rFonts w:hint="eastAsia" w:hAnsi="宋体" w:cs="宋体"/>
                <w:snapToGrid w:val="0"/>
                <w:kern w:val="21"/>
                <w:szCs w:val="21"/>
                <w:u w:val="single"/>
              </w:rPr>
            </w:pPr>
            <w:r>
              <w:rPr>
                <w:rFonts w:hint="eastAsia"/>
                <w:kern w:val="0"/>
                <w:szCs w:val="21"/>
                <w:u w:val="single"/>
                <w:lang w:val="en-US" w:eastAsia="zh-CN" w:bidi="ar"/>
              </w:rPr>
              <w:t>3.96</w:t>
            </w:r>
          </w:p>
        </w:tc>
        <w:tc>
          <w:tcPr>
            <w:tcW w:w="826" w:type="dxa"/>
            <w:vAlign w:val="center"/>
          </w:tcPr>
          <w:p w14:paraId="3ECCDC69">
            <w:pPr>
              <w:jc w:val="center"/>
              <w:rPr>
                <w:rFonts w:hint="eastAsia" w:hAnsi="宋体" w:cs="宋体"/>
                <w:snapToGrid w:val="0"/>
                <w:kern w:val="21"/>
                <w:szCs w:val="21"/>
                <w:u w:val="single"/>
              </w:rPr>
            </w:pPr>
            <w:r>
              <w:rPr>
                <w:rFonts w:hint="eastAsia" w:hAnsi="宋体" w:cs="宋体"/>
                <w:snapToGrid w:val="0"/>
                <w:kern w:val="21"/>
                <w:szCs w:val="21"/>
                <w:u w:val="single"/>
              </w:rPr>
              <w:t>0</w:t>
            </w:r>
          </w:p>
        </w:tc>
      </w:tr>
      <w:tr w14:paraId="34A06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 w:type="dxa"/>
            <w:vMerge w:val="continue"/>
            <w:vAlign w:val="center"/>
          </w:tcPr>
          <w:p w14:paraId="1BDE468C">
            <w:pPr>
              <w:pStyle w:val="40"/>
              <w:spacing w:beforeLines="0" w:afterLines="0" w:line="240" w:lineRule="auto"/>
              <w:rPr>
                <w:rFonts w:hint="eastAsia" w:hAnsi="宋体" w:cs="宋体"/>
                <w:snapToGrid w:val="0"/>
                <w:kern w:val="21"/>
                <w:szCs w:val="21"/>
                <w:u w:val="single"/>
              </w:rPr>
            </w:pPr>
          </w:p>
        </w:tc>
        <w:tc>
          <w:tcPr>
            <w:tcW w:w="2114" w:type="dxa"/>
            <w:vAlign w:val="center"/>
          </w:tcPr>
          <w:p w14:paraId="7EB763AB">
            <w:pPr>
              <w:pStyle w:val="40"/>
              <w:spacing w:beforeLines="0" w:afterLines="0" w:line="240" w:lineRule="auto"/>
              <w:rPr>
                <w:rFonts w:ascii="Times New Roman"/>
                <w:snapToGrid w:val="0"/>
                <w:kern w:val="21"/>
                <w:szCs w:val="21"/>
                <w:u w:val="single"/>
              </w:rPr>
            </w:pPr>
            <w:r>
              <w:rPr>
                <w:rFonts w:ascii="Times New Roman"/>
                <w:snapToGrid w:val="0"/>
                <w:kern w:val="21"/>
                <w:szCs w:val="21"/>
                <w:u w:val="single"/>
              </w:rPr>
              <w:t>VOCs（以非甲烷总烃计）</w:t>
            </w:r>
          </w:p>
        </w:tc>
        <w:tc>
          <w:tcPr>
            <w:tcW w:w="1670" w:type="dxa"/>
            <w:vAlign w:val="center"/>
          </w:tcPr>
          <w:p w14:paraId="7C0AEA45">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276" w:type="dxa"/>
            <w:vAlign w:val="center"/>
          </w:tcPr>
          <w:p w14:paraId="0E2AC76F">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701" w:type="dxa"/>
            <w:vAlign w:val="center"/>
          </w:tcPr>
          <w:p w14:paraId="34060235">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559" w:type="dxa"/>
            <w:vAlign w:val="center"/>
          </w:tcPr>
          <w:p w14:paraId="1D279320">
            <w:pPr>
              <w:jc w:val="center"/>
              <w:rPr>
                <w:rFonts w:hint="default" w:eastAsia="宋体"/>
                <w:kern w:val="0"/>
                <w:szCs w:val="21"/>
                <w:u w:val="single"/>
                <w:lang w:val="en-US" w:eastAsia="zh-CN" w:bidi="ar"/>
              </w:rPr>
            </w:pPr>
            <w:r>
              <w:rPr>
                <w:rFonts w:hint="eastAsia"/>
                <w:kern w:val="0"/>
                <w:szCs w:val="21"/>
                <w:u w:val="single"/>
                <w:lang w:val="en-US" w:eastAsia="zh-CN" w:bidi="ar"/>
              </w:rPr>
              <w:t>1.10t/a</w:t>
            </w:r>
          </w:p>
        </w:tc>
        <w:tc>
          <w:tcPr>
            <w:tcW w:w="1761" w:type="dxa"/>
            <w:vAlign w:val="center"/>
          </w:tcPr>
          <w:p w14:paraId="666F1520">
            <w:pPr>
              <w:pStyle w:val="40"/>
              <w:spacing w:beforeLines="0" w:afterLines="0" w:line="240" w:lineRule="auto"/>
              <w:rPr>
                <w:rFonts w:hint="eastAsia" w:hAnsi="宋体" w:cs="宋体"/>
                <w:snapToGrid w:val="0"/>
                <w:kern w:val="21"/>
                <w:szCs w:val="21"/>
                <w:u w:val="single"/>
              </w:rPr>
            </w:pPr>
          </w:p>
        </w:tc>
        <w:tc>
          <w:tcPr>
            <w:tcW w:w="1959" w:type="dxa"/>
            <w:vAlign w:val="center"/>
          </w:tcPr>
          <w:p w14:paraId="5F9F188D">
            <w:pPr>
              <w:jc w:val="center"/>
              <w:rPr>
                <w:rFonts w:hint="default" w:hAnsi="宋体" w:eastAsia="宋体" w:cs="宋体"/>
                <w:snapToGrid w:val="0"/>
                <w:kern w:val="21"/>
                <w:szCs w:val="21"/>
                <w:u w:val="single"/>
                <w:lang w:val="en-US" w:eastAsia="zh-CN"/>
              </w:rPr>
            </w:pPr>
            <w:r>
              <w:rPr>
                <w:rFonts w:hint="eastAsia"/>
                <w:kern w:val="0"/>
                <w:szCs w:val="21"/>
                <w:u w:val="single"/>
                <w:lang w:val="en-US" w:eastAsia="zh-CN" w:bidi="ar"/>
              </w:rPr>
              <w:t>1.10</w:t>
            </w:r>
          </w:p>
        </w:tc>
        <w:tc>
          <w:tcPr>
            <w:tcW w:w="826" w:type="dxa"/>
            <w:vAlign w:val="center"/>
          </w:tcPr>
          <w:p w14:paraId="784B6676">
            <w:pPr>
              <w:tabs>
                <w:tab w:val="left" w:pos="202"/>
                <w:tab w:val="center" w:pos="364"/>
              </w:tabs>
              <w:jc w:val="center"/>
              <w:rPr>
                <w:rFonts w:hint="eastAsia" w:hAnsi="宋体" w:cs="宋体"/>
                <w:snapToGrid w:val="0"/>
                <w:kern w:val="21"/>
                <w:szCs w:val="21"/>
                <w:u w:val="single"/>
              </w:rPr>
            </w:pPr>
            <w:r>
              <w:rPr>
                <w:rFonts w:hint="eastAsia" w:hAnsi="宋体" w:cs="宋体"/>
                <w:snapToGrid w:val="0"/>
                <w:kern w:val="21"/>
                <w:szCs w:val="21"/>
                <w:u w:val="single"/>
              </w:rPr>
              <w:t>0</w:t>
            </w:r>
          </w:p>
        </w:tc>
      </w:tr>
      <w:tr w14:paraId="58F1A8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 w:type="dxa"/>
            <w:vMerge w:val="continue"/>
            <w:vAlign w:val="center"/>
          </w:tcPr>
          <w:p w14:paraId="31168A8A">
            <w:pPr>
              <w:pStyle w:val="40"/>
              <w:spacing w:beforeLines="0" w:afterLines="0" w:line="240" w:lineRule="auto"/>
              <w:rPr>
                <w:rFonts w:hint="eastAsia" w:hAnsi="宋体" w:cs="宋体"/>
                <w:snapToGrid w:val="0"/>
                <w:kern w:val="21"/>
                <w:szCs w:val="21"/>
                <w:u w:val="single"/>
              </w:rPr>
            </w:pPr>
          </w:p>
        </w:tc>
        <w:tc>
          <w:tcPr>
            <w:tcW w:w="2114" w:type="dxa"/>
            <w:vAlign w:val="center"/>
          </w:tcPr>
          <w:p w14:paraId="41D4F847">
            <w:pPr>
              <w:pStyle w:val="40"/>
              <w:spacing w:beforeLines="0" w:afterLines="0" w:line="240" w:lineRule="auto"/>
              <w:rPr>
                <w:rFonts w:hint="eastAsia" w:ascii="Times New Roman" w:eastAsia="宋体"/>
                <w:snapToGrid w:val="0"/>
                <w:kern w:val="21"/>
                <w:szCs w:val="21"/>
                <w:u w:val="single"/>
                <w:lang w:val="en-US" w:eastAsia="zh-CN"/>
              </w:rPr>
            </w:pPr>
            <w:r>
              <w:rPr>
                <w:rFonts w:hint="eastAsia" w:ascii="Times New Roman"/>
                <w:snapToGrid w:val="0"/>
                <w:kern w:val="21"/>
                <w:szCs w:val="21"/>
                <w:u w:val="single"/>
                <w:lang w:val="en-US" w:eastAsia="zh-CN"/>
              </w:rPr>
              <w:t>油烟</w:t>
            </w:r>
          </w:p>
        </w:tc>
        <w:tc>
          <w:tcPr>
            <w:tcW w:w="1670" w:type="dxa"/>
            <w:vAlign w:val="center"/>
          </w:tcPr>
          <w:p w14:paraId="31A063C1">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276" w:type="dxa"/>
            <w:vAlign w:val="center"/>
          </w:tcPr>
          <w:p w14:paraId="001308F1">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701" w:type="dxa"/>
            <w:vAlign w:val="center"/>
          </w:tcPr>
          <w:p w14:paraId="4A3E4FF1">
            <w:pPr>
              <w:jc w:val="center"/>
              <w:rPr>
                <w:kern w:val="0"/>
                <w:szCs w:val="21"/>
                <w:u w:val="single"/>
                <w:lang w:bidi="ar"/>
              </w:rPr>
            </w:pPr>
            <w:r>
              <w:rPr>
                <w:rFonts w:hint="eastAsia"/>
                <w:kern w:val="0"/>
                <w:szCs w:val="21"/>
                <w:u w:val="single"/>
                <w:lang w:bidi="ar"/>
              </w:rPr>
              <w:t>0</w:t>
            </w:r>
          </w:p>
        </w:tc>
        <w:tc>
          <w:tcPr>
            <w:tcW w:w="1559" w:type="dxa"/>
            <w:vAlign w:val="center"/>
          </w:tcPr>
          <w:p w14:paraId="4A72185B">
            <w:pPr>
              <w:jc w:val="center"/>
              <w:rPr>
                <w:rFonts w:hint="default" w:eastAsia="宋体"/>
                <w:kern w:val="0"/>
                <w:szCs w:val="21"/>
                <w:u w:val="single"/>
                <w:lang w:val="en-US" w:eastAsia="zh-CN" w:bidi="ar"/>
              </w:rPr>
            </w:pPr>
            <w:r>
              <w:rPr>
                <w:rFonts w:hint="eastAsia"/>
                <w:kern w:val="0"/>
                <w:szCs w:val="21"/>
                <w:u w:val="single"/>
                <w:lang w:val="en-US" w:eastAsia="zh-CN" w:bidi="ar"/>
              </w:rPr>
              <w:t>1.404kg/a</w:t>
            </w:r>
          </w:p>
        </w:tc>
        <w:tc>
          <w:tcPr>
            <w:tcW w:w="1761" w:type="dxa"/>
            <w:vAlign w:val="center"/>
          </w:tcPr>
          <w:p w14:paraId="575AEAF2">
            <w:pPr>
              <w:pStyle w:val="40"/>
              <w:spacing w:beforeLines="0" w:afterLines="0" w:line="240" w:lineRule="auto"/>
              <w:rPr>
                <w:rFonts w:hint="eastAsia" w:hAnsi="宋体" w:cs="宋体"/>
                <w:snapToGrid w:val="0"/>
                <w:kern w:val="21"/>
                <w:szCs w:val="21"/>
                <w:u w:val="single"/>
              </w:rPr>
            </w:pPr>
          </w:p>
        </w:tc>
        <w:tc>
          <w:tcPr>
            <w:tcW w:w="1959" w:type="dxa"/>
            <w:vAlign w:val="center"/>
          </w:tcPr>
          <w:p w14:paraId="11662867">
            <w:pPr>
              <w:jc w:val="center"/>
              <w:rPr>
                <w:kern w:val="0"/>
                <w:szCs w:val="21"/>
                <w:u w:val="single"/>
                <w:lang w:bidi="ar"/>
              </w:rPr>
            </w:pPr>
            <w:r>
              <w:rPr>
                <w:rFonts w:hint="eastAsia"/>
                <w:kern w:val="0"/>
                <w:szCs w:val="21"/>
                <w:u w:val="single"/>
                <w:lang w:val="en-US" w:eastAsia="zh-CN" w:bidi="ar"/>
              </w:rPr>
              <w:t>1.404kg/a</w:t>
            </w:r>
          </w:p>
        </w:tc>
        <w:tc>
          <w:tcPr>
            <w:tcW w:w="826" w:type="dxa"/>
            <w:vAlign w:val="center"/>
          </w:tcPr>
          <w:p w14:paraId="0048669B">
            <w:pPr>
              <w:jc w:val="center"/>
              <w:rPr>
                <w:rFonts w:hint="eastAsia" w:hAnsi="宋体" w:cs="宋体"/>
                <w:snapToGrid w:val="0"/>
                <w:kern w:val="21"/>
                <w:szCs w:val="21"/>
                <w:u w:val="single"/>
              </w:rPr>
            </w:pPr>
            <w:r>
              <w:rPr>
                <w:rFonts w:hint="eastAsia" w:hAnsi="宋体" w:cs="宋体"/>
                <w:snapToGrid w:val="0"/>
                <w:kern w:val="21"/>
                <w:szCs w:val="21"/>
                <w:u w:val="single"/>
              </w:rPr>
              <w:t>0</w:t>
            </w:r>
          </w:p>
        </w:tc>
      </w:tr>
      <w:tr w14:paraId="197E4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22" w:type="dxa"/>
            <w:vMerge w:val="restart"/>
            <w:vAlign w:val="center"/>
          </w:tcPr>
          <w:p w14:paraId="0D44B06A">
            <w:pPr>
              <w:pStyle w:val="40"/>
              <w:spacing w:beforeLines="0" w:afterLines="0" w:line="240" w:lineRule="auto"/>
              <w:rPr>
                <w:rFonts w:hint="eastAsia" w:hAnsi="宋体" w:cs="宋体"/>
                <w:snapToGrid w:val="0"/>
                <w:kern w:val="21"/>
                <w:szCs w:val="21"/>
                <w:u w:val="single"/>
              </w:rPr>
            </w:pPr>
            <w:r>
              <w:rPr>
                <w:rFonts w:hint="eastAsia" w:hAnsi="宋体" w:cs="宋体"/>
                <w:snapToGrid w:val="0"/>
                <w:kern w:val="21"/>
                <w:szCs w:val="21"/>
                <w:u w:val="single"/>
              </w:rPr>
              <w:t>废水</w:t>
            </w:r>
          </w:p>
        </w:tc>
        <w:tc>
          <w:tcPr>
            <w:tcW w:w="2114" w:type="dxa"/>
            <w:vAlign w:val="center"/>
          </w:tcPr>
          <w:p w14:paraId="5E26A460">
            <w:pPr>
              <w:jc w:val="center"/>
              <w:rPr>
                <w:szCs w:val="21"/>
                <w:u w:val="single"/>
              </w:rPr>
            </w:pPr>
            <w:r>
              <w:rPr>
                <w:szCs w:val="21"/>
                <w:u w:val="single"/>
              </w:rPr>
              <w:t>COD</w:t>
            </w:r>
          </w:p>
        </w:tc>
        <w:tc>
          <w:tcPr>
            <w:tcW w:w="1670" w:type="dxa"/>
            <w:vAlign w:val="center"/>
          </w:tcPr>
          <w:p w14:paraId="7FE93AF4">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276" w:type="dxa"/>
            <w:vAlign w:val="center"/>
          </w:tcPr>
          <w:p w14:paraId="51CF8FF3">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701" w:type="dxa"/>
            <w:vAlign w:val="center"/>
          </w:tcPr>
          <w:p w14:paraId="6FA21EF0">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559" w:type="dxa"/>
            <w:vAlign w:val="center"/>
          </w:tcPr>
          <w:p w14:paraId="5F0610E6">
            <w:pPr>
              <w:jc w:val="center"/>
              <w:rPr>
                <w:rFonts w:hint="default" w:eastAsia="宋体"/>
                <w:kern w:val="0"/>
                <w:szCs w:val="21"/>
                <w:u w:val="single"/>
                <w:lang w:val="en-US" w:eastAsia="zh-CN" w:bidi="ar"/>
              </w:rPr>
            </w:pPr>
            <w:r>
              <w:rPr>
                <w:rFonts w:hint="eastAsia"/>
                <w:kern w:val="0"/>
                <w:szCs w:val="21"/>
                <w:u w:val="single"/>
                <w:lang w:val="en-US" w:eastAsia="zh-CN" w:bidi="ar"/>
              </w:rPr>
              <w:t>0.0304t/a</w:t>
            </w:r>
          </w:p>
        </w:tc>
        <w:tc>
          <w:tcPr>
            <w:tcW w:w="1761" w:type="dxa"/>
            <w:vAlign w:val="center"/>
          </w:tcPr>
          <w:p w14:paraId="743E620C">
            <w:pPr>
              <w:pStyle w:val="40"/>
              <w:spacing w:beforeLines="0" w:afterLines="0" w:line="240" w:lineRule="auto"/>
              <w:rPr>
                <w:rFonts w:hint="eastAsia" w:hAnsi="宋体" w:cs="宋体"/>
                <w:snapToGrid w:val="0"/>
                <w:kern w:val="21"/>
                <w:szCs w:val="21"/>
                <w:u w:val="single"/>
              </w:rPr>
            </w:pPr>
          </w:p>
        </w:tc>
        <w:tc>
          <w:tcPr>
            <w:tcW w:w="1959" w:type="dxa"/>
            <w:vAlign w:val="center"/>
          </w:tcPr>
          <w:p w14:paraId="01E3C453">
            <w:pPr>
              <w:jc w:val="center"/>
              <w:rPr>
                <w:kern w:val="0"/>
                <w:szCs w:val="21"/>
                <w:u w:val="single"/>
                <w:lang w:bidi="ar"/>
              </w:rPr>
            </w:pPr>
            <w:r>
              <w:rPr>
                <w:rFonts w:hint="eastAsia"/>
                <w:kern w:val="0"/>
                <w:szCs w:val="21"/>
                <w:u w:val="single"/>
                <w:lang w:val="en-US" w:eastAsia="zh-CN" w:bidi="ar"/>
              </w:rPr>
              <w:t>0.0304t/a</w:t>
            </w:r>
          </w:p>
        </w:tc>
        <w:tc>
          <w:tcPr>
            <w:tcW w:w="826" w:type="dxa"/>
            <w:vAlign w:val="center"/>
          </w:tcPr>
          <w:p w14:paraId="1D8C8D18">
            <w:pPr>
              <w:jc w:val="center"/>
              <w:rPr>
                <w:rFonts w:hint="eastAsia" w:hAnsi="宋体" w:cs="宋体"/>
                <w:snapToGrid w:val="0"/>
                <w:kern w:val="21"/>
                <w:szCs w:val="21"/>
                <w:u w:val="single"/>
              </w:rPr>
            </w:pPr>
            <w:r>
              <w:rPr>
                <w:rFonts w:hint="eastAsia" w:hAnsi="宋体" w:cs="宋体"/>
                <w:snapToGrid w:val="0"/>
                <w:kern w:val="21"/>
                <w:szCs w:val="21"/>
                <w:u w:val="single"/>
              </w:rPr>
              <w:t>0</w:t>
            </w:r>
          </w:p>
        </w:tc>
      </w:tr>
      <w:tr w14:paraId="2C4E3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2" w:type="dxa"/>
            <w:vMerge w:val="continue"/>
            <w:vAlign w:val="center"/>
          </w:tcPr>
          <w:p w14:paraId="05131992">
            <w:pPr>
              <w:pStyle w:val="40"/>
              <w:spacing w:beforeLines="0" w:afterLines="0" w:line="240" w:lineRule="auto"/>
              <w:rPr>
                <w:rFonts w:hint="eastAsia" w:hAnsi="宋体" w:cs="宋体"/>
                <w:snapToGrid w:val="0"/>
                <w:kern w:val="21"/>
                <w:szCs w:val="21"/>
                <w:u w:val="single"/>
              </w:rPr>
            </w:pPr>
          </w:p>
        </w:tc>
        <w:tc>
          <w:tcPr>
            <w:tcW w:w="2114" w:type="dxa"/>
            <w:vAlign w:val="center"/>
          </w:tcPr>
          <w:p w14:paraId="5121E0E3">
            <w:pPr>
              <w:jc w:val="center"/>
              <w:rPr>
                <w:szCs w:val="21"/>
                <w:u w:val="single"/>
              </w:rPr>
            </w:pPr>
            <w:r>
              <w:rPr>
                <w:rFonts w:hint="eastAsia"/>
                <w:szCs w:val="21"/>
                <w:u w:val="single"/>
              </w:rPr>
              <w:t>BOD</w:t>
            </w:r>
            <w:r>
              <w:rPr>
                <w:rFonts w:hint="eastAsia"/>
                <w:szCs w:val="21"/>
                <w:u w:val="single"/>
                <w:vertAlign w:val="subscript"/>
              </w:rPr>
              <w:t>5</w:t>
            </w:r>
          </w:p>
        </w:tc>
        <w:tc>
          <w:tcPr>
            <w:tcW w:w="1670" w:type="dxa"/>
            <w:vAlign w:val="center"/>
          </w:tcPr>
          <w:p w14:paraId="56CA8329">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276" w:type="dxa"/>
            <w:vAlign w:val="center"/>
          </w:tcPr>
          <w:p w14:paraId="759D6E2A">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701" w:type="dxa"/>
            <w:vAlign w:val="center"/>
          </w:tcPr>
          <w:p w14:paraId="0C654C9F">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559" w:type="dxa"/>
            <w:vAlign w:val="center"/>
          </w:tcPr>
          <w:p w14:paraId="00E73C18">
            <w:pPr>
              <w:jc w:val="center"/>
              <w:rPr>
                <w:rFonts w:hint="default" w:eastAsia="宋体"/>
                <w:kern w:val="0"/>
                <w:szCs w:val="21"/>
                <w:u w:val="single"/>
                <w:lang w:val="en-US" w:eastAsia="zh-CN" w:bidi="ar"/>
              </w:rPr>
            </w:pPr>
            <w:r>
              <w:rPr>
                <w:rFonts w:hint="eastAsia"/>
                <w:kern w:val="0"/>
                <w:szCs w:val="21"/>
                <w:u w:val="single"/>
                <w:lang w:val="en-US" w:eastAsia="zh-CN" w:bidi="ar"/>
              </w:rPr>
              <w:t>0.0061t/a</w:t>
            </w:r>
          </w:p>
        </w:tc>
        <w:tc>
          <w:tcPr>
            <w:tcW w:w="1761" w:type="dxa"/>
            <w:vAlign w:val="center"/>
          </w:tcPr>
          <w:p w14:paraId="28BC7C89">
            <w:pPr>
              <w:pStyle w:val="40"/>
              <w:spacing w:beforeLines="0" w:afterLines="0" w:line="240" w:lineRule="auto"/>
              <w:rPr>
                <w:rFonts w:hint="eastAsia" w:hAnsi="宋体" w:cs="宋体"/>
                <w:snapToGrid w:val="0"/>
                <w:kern w:val="21"/>
                <w:szCs w:val="21"/>
                <w:u w:val="single"/>
              </w:rPr>
            </w:pPr>
          </w:p>
        </w:tc>
        <w:tc>
          <w:tcPr>
            <w:tcW w:w="1959" w:type="dxa"/>
            <w:vAlign w:val="center"/>
          </w:tcPr>
          <w:p w14:paraId="09535C76">
            <w:pPr>
              <w:jc w:val="center"/>
              <w:rPr>
                <w:kern w:val="0"/>
                <w:szCs w:val="21"/>
                <w:u w:val="single"/>
                <w:lang w:bidi="ar"/>
              </w:rPr>
            </w:pPr>
            <w:r>
              <w:rPr>
                <w:rFonts w:hint="eastAsia"/>
                <w:kern w:val="0"/>
                <w:szCs w:val="21"/>
                <w:u w:val="single"/>
                <w:lang w:val="en-US" w:eastAsia="zh-CN" w:bidi="ar"/>
              </w:rPr>
              <w:t>0.0061t/a</w:t>
            </w:r>
          </w:p>
        </w:tc>
        <w:tc>
          <w:tcPr>
            <w:tcW w:w="826" w:type="dxa"/>
            <w:vAlign w:val="center"/>
          </w:tcPr>
          <w:p w14:paraId="4A6EEA8C">
            <w:pPr>
              <w:jc w:val="center"/>
              <w:rPr>
                <w:rFonts w:hint="eastAsia" w:hAnsi="宋体" w:cs="宋体"/>
                <w:snapToGrid w:val="0"/>
                <w:kern w:val="21"/>
                <w:szCs w:val="21"/>
                <w:u w:val="single"/>
              </w:rPr>
            </w:pPr>
            <w:r>
              <w:rPr>
                <w:rFonts w:hint="eastAsia" w:hAnsi="宋体" w:cs="宋体"/>
                <w:snapToGrid w:val="0"/>
                <w:kern w:val="21"/>
                <w:szCs w:val="21"/>
                <w:u w:val="single"/>
              </w:rPr>
              <w:t>0</w:t>
            </w:r>
          </w:p>
        </w:tc>
      </w:tr>
      <w:tr w14:paraId="3DACED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2" w:type="dxa"/>
            <w:vMerge w:val="continue"/>
            <w:vAlign w:val="center"/>
          </w:tcPr>
          <w:p w14:paraId="1D2936C7">
            <w:pPr>
              <w:pStyle w:val="40"/>
              <w:spacing w:beforeLines="0" w:afterLines="0" w:line="240" w:lineRule="auto"/>
              <w:rPr>
                <w:rFonts w:hint="eastAsia" w:hAnsi="宋体" w:cs="宋体"/>
                <w:snapToGrid w:val="0"/>
                <w:kern w:val="21"/>
                <w:szCs w:val="21"/>
                <w:u w:val="single"/>
              </w:rPr>
            </w:pPr>
          </w:p>
        </w:tc>
        <w:tc>
          <w:tcPr>
            <w:tcW w:w="2114" w:type="dxa"/>
            <w:vAlign w:val="center"/>
          </w:tcPr>
          <w:p w14:paraId="7172D67C">
            <w:pPr>
              <w:jc w:val="center"/>
              <w:rPr>
                <w:szCs w:val="21"/>
                <w:u w:val="single"/>
              </w:rPr>
            </w:pPr>
            <w:r>
              <w:rPr>
                <w:szCs w:val="21"/>
                <w:u w:val="single"/>
              </w:rPr>
              <w:t>NH</w:t>
            </w:r>
            <w:r>
              <w:rPr>
                <w:szCs w:val="21"/>
                <w:u w:val="single"/>
                <w:vertAlign w:val="subscript"/>
              </w:rPr>
              <w:t>3</w:t>
            </w:r>
            <w:r>
              <w:rPr>
                <w:szCs w:val="21"/>
                <w:u w:val="single"/>
              </w:rPr>
              <w:t>-N</w:t>
            </w:r>
          </w:p>
        </w:tc>
        <w:tc>
          <w:tcPr>
            <w:tcW w:w="1670" w:type="dxa"/>
            <w:vAlign w:val="center"/>
          </w:tcPr>
          <w:p w14:paraId="7C5A1AF2">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276" w:type="dxa"/>
            <w:vAlign w:val="center"/>
          </w:tcPr>
          <w:p w14:paraId="2E6D83A3">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701" w:type="dxa"/>
            <w:vAlign w:val="center"/>
          </w:tcPr>
          <w:p w14:paraId="23F2B0A1">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559" w:type="dxa"/>
            <w:vAlign w:val="center"/>
          </w:tcPr>
          <w:p w14:paraId="7555D24D">
            <w:pPr>
              <w:jc w:val="center"/>
              <w:rPr>
                <w:rFonts w:hint="default" w:eastAsia="宋体"/>
                <w:kern w:val="0"/>
                <w:szCs w:val="21"/>
                <w:u w:val="single"/>
                <w:lang w:val="en-US" w:eastAsia="zh-CN" w:bidi="ar"/>
              </w:rPr>
            </w:pPr>
            <w:r>
              <w:rPr>
                <w:rFonts w:hint="eastAsia"/>
                <w:kern w:val="0"/>
                <w:szCs w:val="21"/>
                <w:u w:val="single"/>
                <w:lang w:val="en-US" w:eastAsia="zh-CN" w:bidi="ar"/>
              </w:rPr>
              <w:t>0.0030t/a</w:t>
            </w:r>
          </w:p>
        </w:tc>
        <w:tc>
          <w:tcPr>
            <w:tcW w:w="1761" w:type="dxa"/>
            <w:vAlign w:val="center"/>
          </w:tcPr>
          <w:p w14:paraId="5E41BC65">
            <w:pPr>
              <w:pStyle w:val="40"/>
              <w:spacing w:beforeLines="0" w:afterLines="0" w:line="240" w:lineRule="auto"/>
              <w:rPr>
                <w:rFonts w:hint="eastAsia" w:hAnsi="宋体" w:cs="宋体"/>
                <w:snapToGrid w:val="0"/>
                <w:kern w:val="21"/>
                <w:szCs w:val="21"/>
                <w:u w:val="single"/>
              </w:rPr>
            </w:pPr>
          </w:p>
        </w:tc>
        <w:tc>
          <w:tcPr>
            <w:tcW w:w="1959" w:type="dxa"/>
            <w:vAlign w:val="center"/>
          </w:tcPr>
          <w:p w14:paraId="3E94DBD7">
            <w:pPr>
              <w:jc w:val="center"/>
              <w:rPr>
                <w:kern w:val="0"/>
                <w:szCs w:val="21"/>
                <w:u w:val="single"/>
                <w:lang w:bidi="ar"/>
              </w:rPr>
            </w:pPr>
            <w:r>
              <w:rPr>
                <w:rFonts w:hint="eastAsia"/>
                <w:kern w:val="0"/>
                <w:szCs w:val="21"/>
                <w:u w:val="single"/>
                <w:lang w:val="en-US" w:eastAsia="zh-CN" w:bidi="ar"/>
              </w:rPr>
              <w:t>0.0030t/a</w:t>
            </w:r>
          </w:p>
        </w:tc>
        <w:tc>
          <w:tcPr>
            <w:tcW w:w="826" w:type="dxa"/>
            <w:vAlign w:val="center"/>
          </w:tcPr>
          <w:p w14:paraId="58542A74">
            <w:pPr>
              <w:jc w:val="center"/>
              <w:rPr>
                <w:rFonts w:hint="eastAsia" w:hAnsi="宋体" w:cs="宋体"/>
                <w:snapToGrid w:val="0"/>
                <w:kern w:val="21"/>
                <w:szCs w:val="21"/>
                <w:u w:val="single"/>
              </w:rPr>
            </w:pPr>
            <w:r>
              <w:rPr>
                <w:rFonts w:hint="eastAsia" w:hAnsi="宋体" w:cs="宋体"/>
                <w:snapToGrid w:val="0"/>
                <w:kern w:val="21"/>
                <w:szCs w:val="21"/>
                <w:u w:val="single"/>
              </w:rPr>
              <w:t>0</w:t>
            </w:r>
          </w:p>
        </w:tc>
      </w:tr>
      <w:tr w14:paraId="02A40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22" w:type="dxa"/>
            <w:vMerge w:val="continue"/>
            <w:vAlign w:val="center"/>
          </w:tcPr>
          <w:p w14:paraId="73EC69C2">
            <w:pPr>
              <w:pStyle w:val="40"/>
              <w:spacing w:beforeLines="0" w:afterLines="0" w:line="240" w:lineRule="auto"/>
              <w:rPr>
                <w:rFonts w:hint="eastAsia" w:hAnsi="宋体" w:cs="宋体"/>
                <w:snapToGrid w:val="0"/>
                <w:kern w:val="21"/>
                <w:szCs w:val="21"/>
                <w:u w:val="single"/>
              </w:rPr>
            </w:pPr>
          </w:p>
        </w:tc>
        <w:tc>
          <w:tcPr>
            <w:tcW w:w="2114" w:type="dxa"/>
            <w:vAlign w:val="center"/>
          </w:tcPr>
          <w:p w14:paraId="78A32261">
            <w:pPr>
              <w:jc w:val="center"/>
              <w:rPr>
                <w:szCs w:val="21"/>
                <w:u w:val="single"/>
              </w:rPr>
            </w:pPr>
            <w:r>
              <w:rPr>
                <w:rFonts w:hint="eastAsia"/>
                <w:szCs w:val="21"/>
                <w:u w:val="single"/>
              </w:rPr>
              <w:t>动植物油</w:t>
            </w:r>
          </w:p>
        </w:tc>
        <w:tc>
          <w:tcPr>
            <w:tcW w:w="1670" w:type="dxa"/>
            <w:vAlign w:val="center"/>
          </w:tcPr>
          <w:p w14:paraId="35661711">
            <w:pPr>
              <w:jc w:val="center"/>
              <w:rPr>
                <w:szCs w:val="21"/>
                <w:u w:val="single"/>
              </w:rPr>
            </w:pPr>
            <w:r>
              <w:rPr>
                <w:rFonts w:hint="eastAsia" w:hAnsi="宋体" w:cs="宋体"/>
                <w:snapToGrid w:val="0"/>
                <w:kern w:val="21"/>
                <w:szCs w:val="21"/>
                <w:u w:val="single"/>
              </w:rPr>
              <w:t>0</w:t>
            </w:r>
          </w:p>
        </w:tc>
        <w:tc>
          <w:tcPr>
            <w:tcW w:w="1276" w:type="dxa"/>
            <w:vAlign w:val="center"/>
          </w:tcPr>
          <w:p w14:paraId="716DD40E">
            <w:pPr>
              <w:jc w:val="center"/>
              <w:rPr>
                <w:szCs w:val="21"/>
                <w:u w:val="single"/>
              </w:rPr>
            </w:pPr>
            <w:r>
              <w:rPr>
                <w:rFonts w:hint="eastAsia" w:hAnsi="宋体" w:cs="宋体"/>
                <w:snapToGrid w:val="0"/>
                <w:kern w:val="21"/>
                <w:szCs w:val="21"/>
                <w:u w:val="single"/>
              </w:rPr>
              <w:t>0</w:t>
            </w:r>
          </w:p>
        </w:tc>
        <w:tc>
          <w:tcPr>
            <w:tcW w:w="1701" w:type="dxa"/>
            <w:vAlign w:val="center"/>
          </w:tcPr>
          <w:p w14:paraId="16D62D4D">
            <w:pPr>
              <w:jc w:val="center"/>
              <w:rPr>
                <w:szCs w:val="21"/>
                <w:u w:val="single"/>
              </w:rPr>
            </w:pPr>
            <w:r>
              <w:rPr>
                <w:rFonts w:hint="eastAsia" w:hAnsi="宋体" w:cs="宋体"/>
                <w:snapToGrid w:val="0"/>
                <w:kern w:val="21"/>
                <w:szCs w:val="21"/>
                <w:u w:val="single"/>
              </w:rPr>
              <w:t>0</w:t>
            </w:r>
          </w:p>
        </w:tc>
        <w:tc>
          <w:tcPr>
            <w:tcW w:w="1559" w:type="dxa"/>
            <w:vAlign w:val="center"/>
          </w:tcPr>
          <w:p w14:paraId="7D71DDA1">
            <w:pPr>
              <w:jc w:val="center"/>
              <w:rPr>
                <w:rFonts w:hint="default" w:eastAsia="宋体"/>
                <w:kern w:val="0"/>
                <w:szCs w:val="21"/>
                <w:u w:val="single"/>
                <w:lang w:val="en-US" w:eastAsia="zh-CN" w:bidi="ar"/>
              </w:rPr>
            </w:pPr>
            <w:r>
              <w:rPr>
                <w:rFonts w:hint="eastAsia"/>
                <w:kern w:val="0"/>
                <w:szCs w:val="21"/>
                <w:u w:val="single"/>
                <w:lang w:val="en-US" w:eastAsia="zh-CN" w:bidi="ar"/>
              </w:rPr>
              <w:t>0.0006t/a</w:t>
            </w:r>
          </w:p>
        </w:tc>
        <w:tc>
          <w:tcPr>
            <w:tcW w:w="1761" w:type="dxa"/>
            <w:vAlign w:val="center"/>
          </w:tcPr>
          <w:p w14:paraId="737AFFEB">
            <w:pPr>
              <w:pStyle w:val="40"/>
              <w:spacing w:beforeLines="0" w:afterLines="0" w:line="240" w:lineRule="auto"/>
              <w:rPr>
                <w:rFonts w:hint="eastAsia" w:hAnsi="宋体" w:cs="宋体"/>
                <w:snapToGrid w:val="0"/>
                <w:kern w:val="21"/>
                <w:szCs w:val="21"/>
                <w:u w:val="single"/>
              </w:rPr>
            </w:pPr>
          </w:p>
        </w:tc>
        <w:tc>
          <w:tcPr>
            <w:tcW w:w="1959" w:type="dxa"/>
            <w:vAlign w:val="center"/>
          </w:tcPr>
          <w:p w14:paraId="1CB8D28A">
            <w:pPr>
              <w:jc w:val="center"/>
              <w:rPr>
                <w:kern w:val="0"/>
                <w:szCs w:val="21"/>
                <w:u w:val="single"/>
                <w:lang w:bidi="ar"/>
              </w:rPr>
            </w:pPr>
            <w:r>
              <w:rPr>
                <w:rFonts w:hint="eastAsia"/>
                <w:kern w:val="0"/>
                <w:szCs w:val="21"/>
                <w:u w:val="single"/>
                <w:lang w:val="en-US" w:eastAsia="zh-CN" w:bidi="ar"/>
              </w:rPr>
              <w:t>0.0006t/a</w:t>
            </w:r>
          </w:p>
        </w:tc>
        <w:tc>
          <w:tcPr>
            <w:tcW w:w="826" w:type="dxa"/>
            <w:vAlign w:val="center"/>
          </w:tcPr>
          <w:p w14:paraId="503B1635">
            <w:pPr>
              <w:jc w:val="center"/>
              <w:rPr>
                <w:rFonts w:hint="eastAsia" w:hAnsi="宋体" w:cs="宋体"/>
                <w:snapToGrid w:val="0"/>
                <w:kern w:val="21"/>
                <w:szCs w:val="21"/>
                <w:u w:val="single"/>
              </w:rPr>
            </w:pPr>
            <w:r>
              <w:rPr>
                <w:rFonts w:hint="eastAsia" w:hAnsi="宋体" w:cs="宋体"/>
                <w:snapToGrid w:val="0"/>
                <w:kern w:val="21"/>
                <w:szCs w:val="21"/>
                <w:u w:val="single"/>
              </w:rPr>
              <w:t>0</w:t>
            </w:r>
          </w:p>
        </w:tc>
      </w:tr>
      <w:tr w14:paraId="6E164B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22" w:type="dxa"/>
            <w:vMerge w:val="continue"/>
            <w:vAlign w:val="center"/>
          </w:tcPr>
          <w:p w14:paraId="7E28003E">
            <w:pPr>
              <w:pStyle w:val="40"/>
              <w:spacing w:beforeLines="0" w:afterLines="0" w:line="240" w:lineRule="auto"/>
              <w:rPr>
                <w:rFonts w:hint="eastAsia" w:hAnsi="宋体" w:cs="宋体"/>
                <w:snapToGrid w:val="0"/>
                <w:kern w:val="21"/>
                <w:szCs w:val="21"/>
                <w:u w:val="single"/>
              </w:rPr>
            </w:pPr>
          </w:p>
        </w:tc>
        <w:tc>
          <w:tcPr>
            <w:tcW w:w="2114" w:type="dxa"/>
            <w:vAlign w:val="center"/>
          </w:tcPr>
          <w:p w14:paraId="0184670D">
            <w:pPr>
              <w:jc w:val="center"/>
              <w:rPr>
                <w:szCs w:val="21"/>
                <w:u w:val="single"/>
              </w:rPr>
            </w:pPr>
            <w:r>
              <w:rPr>
                <w:rFonts w:hint="eastAsia"/>
                <w:szCs w:val="21"/>
                <w:u w:val="single"/>
              </w:rPr>
              <w:t>SS</w:t>
            </w:r>
          </w:p>
        </w:tc>
        <w:tc>
          <w:tcPr>
            <w:tcW w:w="1670" w:type="dxa"/>
            <w:vAlign w:val="center"/>
          </w:tcPr>
          <w:p w14:paraId="2D6E11B4">
            <w:pPr>
              <w:jc w:val="center"/>
              <w:rPr>
                <w:szCs w:val="21"/>
                <w:u w:val="single"/>
              </w:rPr>
            </w:pPr>
            <w:r>
              <w:rPr>
                <w:rFonts w:hint="eastAsia" w:hAnsi="宋体" w:cs="宋体"/>
                <w:snapToGrid w:val="0"/>
                <w:kern w:val="21"/>
                <w:szCs w:val="21"/>
                <w:u w:val="single"/>
              </w:rPr>
              <w:t>0</w:t>
            </w:r>
          </w:p>
        </w:tc>
        <w:tc>
          <w:tcPr>
            <w:tcW w:w="1276" w:type="dxa"/>
            <w:vAlign w:val="center"/>
          </w:tcPr>
          <w:p w14:paraId="5739C79C">
            <w:pPr>
              <w:jc w:val="center"/>
              <w:rPr>
                <w:szCs w:val="21"/>
                <w:u w:val="single"/>
              </w:rPr>
            </w:pPr>
            <w:r>
              <w:rPr>
                <w:rFonts w:hint="eastAsia" w:hAnsi="宋体" w:cs="宋体"/>
                <w:snapToGrid w:val="0"/>
                <w:kern w:val="21"/>
                <w:szCs w:val="21"/>
                <w:u w:val="single"/>
              </w:rPr>
              <w:t>0</w:t>
            </w:r>
          </w:p>
        </w:tc>
        <w:tc>
          <w:tcPr>
            <w:tcW w:w="1701" w:type="dxa"/>
            <w:vAlign w:val="center"/>
          </w:tcPr>
          <w:p w14:paraId="6EF2B4D7">
            <w:pPr>
              <w:jc w:val="center"/>
              <w:rPr>
                <w:szCs w:val="21"/>
                <w:u w:val="single"/>
              </w:rPr>
            </w:pPr>
            <w:r>
              <w:rPr>
                <w:rFonts w:hint="eastAsia" w:hAnsi="宋体" w:cs="宋体"/>
                <w:snapToGrid w:val="0"/>
                <w:kern w:val="21"/>
                <w:szCs w:val="21"/>
                <w:u w:val="single"/>
              </w:rPr>
              <w:t>0</w:t>
            </w:r>
          </w:p>
        </w:tc>
        <w:tc>
          <w:tcPr>
            <w:tcW w:w="1559" w:type="dxa"/>
            <w:vAlign w:val="center"/>
          </w:tcPr>
          <w:p w14:paraId="7E0DA3C5">
            <w:pPr>
              <w:jc w:val="center"/>
              <w:rPr>
                <w:rFonts w:hint="default" w:eastAsia="宋体"/>
                <w:kern w:val="0"/>
                <w:szCs w:val="21"/>
                <w:u w:val="single"/>
                <w:lang w:val="en-US" w:eastAsia="zh-CN" w:bidi="ar"/>
              </w:rPr>
            </w:pPr>
            <w:r>
              <w:rPr>
                <w:rFonts w:hint="eastAsia"/>
                <w:kern w:val="0"/>
                <w:szCs w:val="21"/>
                <w:u w:val="single"/>
                <w:lang w:val="en-US" w:eastAsia="zh-CN" w:bidi="ar"/>
              </w:rPr>
              <w:t>0.0061t/a</w:t>
            </w:r>
          </w:p>
        </w:tc>
        <w:tc>
          <w:tcPr>
            <w:tcW w:w="1761" w:type="dxa"/>
            <w:vAlign w:val="center"/>
          </w:tcPr>
          <w:p w14:paraId="554DCB79">
            <w:pPr>
              <w:pStyle w:val="40"/>
              <w:spacing w:beforeLines="0" w:afterLines="0" w:line="240" w:lineRule="auto"/>
              <w:rPr>
                <w:rFonts w:hint="eastAsia" w:hAnsi="宋体" w:cs="宋体"/>
                <w:snapToGrid w:val="0"/>
                <w:kern w:val="21"/>
                <w:szCs w:val="21"/>
                <w:u w:val="single"/>
              </w:rPr>
            </w:pPr>
          </w:p>
        </w:tc>
        <w:tc>
          <w:tcPr>
            <w:tcW w:w="1959" w:type="dxa"/>
            <w:vAlign w:val="center"/>
          </w:tcPr>
          <w:p w14:paraId="6635CD0D">
            <w:pPr>
              <w:jc w:val="center"/>
              <w:rPr>
                <w:kern w:val="0"/>
                <w:szCs w:val="21"/>
                <w:u w:val="single"/>
                <w:lang w:bidi="ar"/>
              </w:rPr>
            </w:pPr>
            <w:r>
              <w:rPr>
                <w:rFonts w:hint="eastAsia"/>
                <w:kern w:val="0"/>
                <w:szCs w:val="21"/>
                <w:u w:val="single"/>
                <w:lang w:val="en-US" w:eastAsia="zh-CN" w:bidi="ar"/>
              </w:rPr>
              <w:t>0.0061t/a</w:t>
            </w:r>
          </w:p>
        </w:tc>
        <w:tc>
          <w:tcPr>
            <w:tcW w:w="826" w:type="dxa"/>
            <w:vAlign w:val="center"/>
          </w:tcPr>
          <w:p w14:paraId="2870C650">
            <w:pPr>
              <w:jc w:val="center"/>
              <w:rPr>
                <w:rFonts w:hint="eastAsia" w:hAnsi="宋体" w:cs="宋体"/>
                <w:snapToGrid w:val="0"/>
                <w:kern w:val="21"/>
                <w:szCs w:val="21"/>
                <w:u w:val="single"/>
              </w:rPr>
            </w:pPr>
            <w:r>
              <w:rPr>
                <w:rFonts w:hint="eastAsia" w:hAnsi="宋体" w:cs="宋体"/>
                <w:snapToGrid w:val="0"/>
                <w:kern w:val="21"/>
                <w:szCs w:val="21"/>
                <w:u w:val="single"/>
              </w:rPr>
              <w:t>0</w:t>
            </w:r>
          </w:p>
        </w:tc>
      </w:tr>
      <w:tr w14:paraId="5C89B4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22" w:type="dxa"/>
            <w:vMerge w:val="restart"/>
            <w:vAlign w:val="center"/>
          </w:tcPr>
          <w:p w14:paraId="078F9D42">
            <w:pPr>
              <w:pStyle w:val="40"/>
              <w:spacing w:beforeLines="0" w:afterLines="0" w:line="240" w:lineRule="auto"/>
              <w:rPr>
                <w:rFonts w:hint="eastAsia" w:hAnsi="宋体" w:cs="宋体"/>
                <w:snapToGrid w:val="0"/>
                <w:kern w:val="21"/>
                <w:szCs w:val="21"/>
                <w:u w:val="single"/>
              </w:rPr>
            </w:pPr>
            <w:r>
              <w:rPr>
                <w:rFonts w:hint="eastAsia" w:hAnsi="宋体" w:cs="宋体"/>
                <w:snapToGrid w:val="0"/>
                <w:kern w:val="21"/>
                <w:szCs w:val="21"/>
                <w:u w:val="single"/>
              </w:rPr>
              <w:t>一般工业固体废物</w:t>
            </w:r>
          </w:p>
        </w:tc>
        <w:tc>
          <w:tcPr>
            <w:tcW w:w="2114" w:type="dxa"/>
            <w:vAlign w:val="center"/>
          </w:tcPr>
          <w:p w14:paraId="04A6AB71">
            <w:pPr>
              <w:jc w:val="center"/>
              <w:rPr>
                <w:rFonts w:hint="eastAsia" w:hAnsi="宋体" w:cs="宋体"/>
                <w:snapToGrid w:val="0"/>
                <w:kern w:val="21"/>
                <w:szCs w:val="21"/>
                <w:u w:val="single"/>
              </w:rPr>
            </w:pPr>
            <w:r>
              <w:rPr>
                <w:rFonts w:hint="eastAsia" w:hAnsi="宋体" w:cs="宋体"/>
                <w:snapToGrid w:val="0"/>
                <w:kern w:val="21"/>
                <w:szCs w:val="21"/>
                <w:u w:val="single"/>
              </w:rPr>
              <w:t>炉渣</w:t>
            </w:r>
          </w:p>
        </w:tc>
        <w:tc>
          <w:tcPr>
            <w:tcW w:w="1670" w:type="dxa"/>
            <w:vAlign w:val="center"/>
          </w:tcPr>
          <w:p w14:paraId="25DB0CA2">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276" w:type="dxa"/>
            <w:vAlign w:val="center"/>
          </w:tcPr>
          <w:p w14:paraId="49952724">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701" w:type="dxa"/>
            <w:vAlign w:val="center"/>
          </w:tcPr>
          <w:p w14:paraId="72649FFE">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559" w:type="dxa"/>
            <w:vAlign w:val="center"/>
          </w:tcPr>
          <w:p w14:paraId="75B5C352">
            <w:pPr>
              <w:widowControl/>
              <w:jc w:val="center"/>
              <w:textAlignment w:val="center"/>
              <w:rPr>
                <w:rFonts w:hint="eastAsia" w:hAnsi="宋体" w:cs="宋体"/>
                <w:snapToGrid w:val="0"/>
                <w:kern w:val="21"/>
                <w:szCs w:val="21"/>
                <w:u w:val="single"/>
              </w:rPr>
            </w:pPr>
            <w:r>
              <w:rPr>
                <w:rFonts w:hint="eastAsia"/>
                <w:kern w:val="0"/>
                <w:szCs w:val="21"/>
                <w:u w:val="single"/>
                <w:lang w:bidi="ar"/>
              </w:rPr>
              <w:t>152.5</w:t>
            </w:r>
            <w:r>
              <w:rPr>
                <w:rFonts w:hint="eastAsia"/>
                <w:kern w:val="0"/>
                <w:szCs w:val="21"/>
                <w:u w:val="single"/>
                <w:lang w:val="en-US" w:eastAsia="zh-CN" w:bidi="ar"/>
              </w:rPr>
              <w:t>t/a</w:t>
            </w:r>
          </w:p>
        </w:tc>
        <w:tc>
          <w:tcPr>
            <w:tcW w:w="1761" w:type="dxa"/>
            <w:vAlign w:val="center"/>
          </w:tcPr>
          <w:p w14:paraId="4A70C316">
            <w:pPr>
              <w:jc w:val="center"/>
              <w:rPr>
                <w:rFonts w:hint="eastAsia" w:hAnsi="宋体" w:cs="宋体"/>
                <w:snapToGrid w:val="0"/>
                <w:kern w:val="21"/>
                <w:szCs w:val="21"/>
                <w:u w:val="single"/>
              </w:rPr>
            </w:pPr>
          </w:p>
        </w:tc>
        <w:tc>
          <w:tcPr>
            <w:tcW w:w="1959" w:type="dxa"/>
            <w:vAlign w:val="center"/>
          </w:tcPr>
          <w:p w14:paraId="0CB7F6D7">
            <w:pPr>
              <w:widowControl/>
              <w:jc w:val="center"/>
              <w:textAlignment w:val="center"/>
              <w:rPr>
                <w:rFonts w:hint="eastAsia" w:hAnsi="宋体" w:cs="宋体"/>
                <w:snapToGrid w:val="0"/>
                <w:kern w:val="21"/>
                <w:szCs w:val="21"/>
                <w:u w:val="single"/>
              </w:rPr>
            </w:pPr>
            <w:r>
              <w:rPr>
                <w:rFonts w:hint="eastAsia"/>
                <w:kern w:val="0"/>
                <w:szCs w:val="21"/>
                <w:u w:val="single"/>
                <w:lang w:bidi="ar"/>
              </w:rPr>
              <w:t>152.5</w:t>
            </w:r>
            <w:r>
              <w:rPr>
                <w:rFonts w:hint="eastAsia"/>
                <w:kern w:val="0"/>
                <w:szCs w:val="21"/>
                <w:u w:val="single"/>
                <w:lang w:val="en-US" w:eastAsia="zh-CN" w:bidi="ar"/>
              </w:rPr>
              <w:t>t/a</w:t>
            </w:r>
          </w:p>
        </w:tc>
        <w:tc>
          <w:tcPr>
            <w:tcW w:w="826" w:type="dxa"/>
            <w:vAlign w:val="center"/>
          </w:tcPr>
          <w:p w14:paraId="2BB553E2">
            <w:pPr>
              <w:jc w:val="center"/>
              <w:rPr>
                <w:rFonts w:hint="eastAsia" w:hAnsi="宋体" w:cs="宋体"/>
                <w:snapToGrid w:val="0"/>
                <w:kern w:val="21"/>
                <w:szCs w:val="21"/>
                <w:u w:val="single"/>
              </w:rPr>
            </w:pPr>
            <w:r>
              <w:rPr>
                <w:rFonts w:hint="eastAsia" w:hAnsi="宋体" w:cs="宋体"/>
                <w:snapToGrid w:val="0"/>
                <w:kern w:val="21"/>
                <w:szCs w:val="21"/>
                <w:u w:val="single"/>
              </w:rPr>
              <w:t>0</w:t>
            </w:r>
          </w:p>
        </w:tc>
      </w:tr>
      <w:tr w14:paraId="033B04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22" w:type="dxa"/>
            <w:vMerge w:val="continue"/>
            <w:vAlign w:val="center"/>
          </w:tcPr>
          <w:p w14:paraId="03593C83">
            <w:pPr>
              <w:pStyle w:val="40"/>
              <w:spacing w:beforeLines="0" w:afterLines="0" w:line="240" w:lineRule="auto"/>
              <w:rPr>
                <w:rFonts w:hint="eastAsia" w:hAnsi="宋体" w:cs="宋体"/>
                <w:snapToGrid w:val="0"/>
                <w:kern w:val="21"/>
                <w:szCs w:val="21"/>
                <w:u w:val="single"/>
              </w:rPr>
            </w:pPr>
          </w:p>
        </w:tc>
        <w:tc>
          <w:tcPr>
            <w:tcW w:w="2114" w:type="dxa"/>
            <w:vAlign w:val="center"/>
          </w:tcPr>
          <w:p w14:paraId="37C00DDF">
            <w:pPr>
              <w:jc w:val="center"/>
              <w:rPr>
                <w:szCs w:val="21"/>
                <w:u w:val="single"/>
              </w:rPr>
            </w:pPr>
            <w:r>
              <w:rPr>
                <w:rFonts w:hint="eastAsia"/>
                <w:szCs w:val="21"/>
                <w:u w:val="single"/>
              </w:rPr>
              <w:t>布袋除尘灰</w:t>
            </w:r>
          </w:p>
        </w:tc>
        <w:tc>
          <w:tcPr>
            <w:tcW w:w="1670" w:type="dxa"/>
            <w:vAlign w:val="center"/>
          </w:tcPr>
          <w:p w14:paraId="6E77F620">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276" w:type="dxa"/>
            <w:vAlign w:val="center"/>
          </w:tcPr>
          <w:p w14:paraId="16A5512E">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701" w:type="dxa"/>
            <w:vAlign w:val="center"/>
          </w:tcPr>
          <w:p w14:paraId="52DB7861">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559" w:type="dxa"/>
            <w:vAlign w:val="center"/>
          </w:tcPr>
          <w:p w14:paraId="483D4F07">
            <w:pPr>
              <w:widowControl/>
              <w:jc w:val="center"/>
              <w:textAlignment w:val="center"/>
              <w:rPr>
                <w:rFonts w:hint="default" w:hAnsi="宋体" w:eastAsia="宋体" w:cs="宋体"/>
                <w:snapToGrid w:val="0"/>
                <w:kern w:val="21"/>
                <w:szCs w:val="21"/>
                <w:u w:val="single"/>
                <w:lang w:val="en-US" w:eastAsia="zh-CN"/>
              </w:rPr>
            </w:pPr>
            <w:r>
              <w:rPr>
                <w:rFonts w:hint="eastAsia" w:hAnsi="宋体" w:cs="宋体"/>
                <w:snapToGrid w:val="0"/>
                <w:kern w:val="21"/>
                <w:szCs w:val="21"/>
                <w:u w:val="single"/>
                <w:lang w:val="en-US" w:eastAsia="zh-CN"/>
              </w:rPr>
              <w:t>142.10</w:t>
            </w:r>
            <w:r>
              <w:rPr>
                <w:rFonts w:hint="eastAsia"/>
                <w:kern w:val="0"/>
                <w:szCs w:val="21"/>
                <w:u w:val="single"/>
                <w:lang w:val="en-US" w:eastAsia="zh-CN" w:bidi="ar"/>
              </w:rPr>
              <w:t>t/a</w:t>
            </w:r>
          </w:p>
        </w:tc>
        <w:tc>
          <w:tcPr>
            <w:tcW w:w="1761" w:type="dxa"/>
            <w:vAlign w:val="center"/>
          </w:tcPr>
          <w:p w14:paraId="5E296EA6">
            <w:pPr>
              <w:jc w:val="center"/>
              <w:rPr>
                <w:rFonts w:hint="eastAsia" w:hAnsi="宋体" w:cs="宋体"/>
                <w:snapToGrid w:val="0"/>
                <w:kern w:val="21"/>
                <w:szCs w:val="21"/>
                <w:u w:val="single"/>
              </w:rPr>
            </w:pPr>
          </w:p>
        </w:tc>
        <w:tc>
          <w:tcPr>
            <w:tcW w:w="1959" w:type="dxa"/>
            <w:vAlign w:val="center"/>
          </w:tcPr>
          <w:p w14:paraId="3367BB8E">
            <w:pPr>
              <w:widowControl/>
              <w:jc w:val="center"/>
              <w:textAlignment w:val="center"/>
              <w:rPr>
                <w:rFonts w:hint="eastAsia" w:hAnsi="宋体" w:cs="宋体"/>
                <w:snapToGrid w:val="0"/>
                <w:kern w:val="21"/>
                <w:szCs w:val="21"/>
                <w:u w:val="single"/>
              </w:rPr>
            </w:pPr>
            <w:r>
              <w:rPr>
                <w:rFonts w:hint="eastAsia" w:hAnsi="宋体" w:cs="宋体"/>
                <w:snapToGrid w:val="0"/>
                <w:kern w:val="21"/>
                <w:szCs w:val="21"/>
                <w:u w:val="single"/>
                <w:lang w:val="en-US" w:eastAsia="zh-CN"/>
              </w:rPr>
              <w:t>142.10</w:t>
            </w:r>
            <w:r>
              <w:rPr>
                <w:rFonts w:hint="eastAsia"/>
                <w:kern w:val="0"/>
                <w:szCs w:val="21"/>
                <w:u w:val="single"/>
                <w:lang w:val="en-US" w:eastAsia="zh-CN" w:bidi="ar"/>
              </w:rPr>
              <w:t>t/a</w:t>
            </w:r>
          </w:p>
        </w:tc>
        <w:tc>
          <w:tcPr>
            <w:tcW w:w="826" w:type="dxa"/>
            <w:vAlign w:val="center"/>
          </w:tcPr>
          <w:p w14:paraId="416F358C">
            <w:pPr>
              <w:jc w:val="center"/>
              <w:rPr>
                <w:rFonts w:hint="eastAsia" w:hAnsi="宋体" w:cs="宋体"/>
                <w:snapToGrid w:val="0"/>
                <w:kern w:val="21"/>
                <w:szCs w:val="21"/>
                <w:u w:val="single"/>
              </w:rPr>
            </w:pPr>
            <w:r>
              <w:rPr>
                <w:rFonts w:hint="eastAsia" w:hAnsi="宋体" w:cs="宋体"/>
                <w:snapToGrid w:val="0"/>
                <w:kern w:val="21"/>
                <w:szCs w:val="21"/>
                <w:u w:val="single"/>
              </w:rPr>
              <w:t>0</w:t>
            </w:r>
          </w:p>
        </w:tc>
      </w:tr>
      <w:tr w14:paraId="7CAC8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922" w:type="dxa"/>
            <w:vMerge w:val="continue"/>
            <w:vAlign w:val="center"/>
          </w:tcPr>
          <w:p w14:paraId="58089D12">
            <w:pPr>
              <w:pStyle w:val="40"/>
              <w:spacing w:beforeLines="0" w:afterLines="0" w:line="240" w:lineRule="auto"/>
              <w:rPr>
                <w:rFonts w:hint="eastAsia" w:hAnsi="宋体" w:cs="宋体"/>
                <w:snapToGrid w:val="0"/>
                <w:kern w:val="21"/>
                <w:szCs w:val="21"/>
                <w:u w:val="single"/>
              </w:rPr>
            </w:pPr>
          </w:p>
        </w:tc>
        <w:tc>
          <w:tcPr>
            <w:tcW w:w="2114" w:type="dxa"/>
            <w:vAlign w:val="center"/>
          </w:tcPr>
          <w:p w14:paraId="4C2521F5">
            <w:pPr>
              <w:jc w:val="center"/>
              <w:rPr>
                <w:szCs w:val="21"/>
                <w:u w:val="single"/>
              </w:rPr>
            </w:pPr>
            <w:r>
              <w:rPr>
                <w:rFonts w:hint="eastAsia"/>
                <w:szCs w:val="21"/>
                <w:u w:val="single"/>
              </w:rPr>
              <w:t>冒口</w:t>
            </w:r>
          </w:p>
        </w:tc>
        <w:tc>
          <w:tcPr>
            <w:tcW w:w="1670" w:type="dxa"/>
            <w:vAlign w:val="center"/>
          </w:tcPr>
          <w:p w14:paraId="6C4703CF">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276" w:type="dxa"/>
            <w:vAlign w:val="center"/>
          </w:tcPr>
          <w:p w14:paraId="3C3FDCB5">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701" w:type="dxa"/>
            <w:vAlign w:val="center"/>
          </w:tcPr>
          <w:p w14:paraId="0378A054">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559" w:type="dxa"/>
            <w:vAlign w:val="center"/>
          </w:tcPr>
          <w:p w14:paraId="5FE8F74E">
            <w:pPr>
              <w:widowControl/>
              <w:jc w:val="center"/>
              <w:textAlignment w:val="center"/>
              <w:rPr>
                <w:kern w:val="0"/>
                <w:szCs w:val="21"/>
                <w:u w:val="single"/>
                <w:lang w:bidi="ar"/>
              </w:rPr>
            </w:pPr>
            <w:r>
              <w:rPr>
                <w:color w:val="000000"/>
                <w:kern w:val="0"/>
                <w:szCs w:val="21"/>
                <w:u w:val="single"/>
                <w:lang w:bidi="ar"/>
              </w:rPr>
              <w:t>420</w:t>
            </w:r>
            <w:r>
              <w:rPr>
                <w:rFonts w:hint="eastAsia"/>
                <w:kern w:val="0"/>
                <w:szCs w:val="21"/>
                <w:u w:val="single"/>
                <w:lang w:val="en-US" w:eastAsia="zh-CN" w:bidi="ar"/>
              </w:rPr>
              <w:t>t/a</w:t>
            </w:r>
          </w:p>
        </w:tc>
        <w:tc>
          <w:tcPr>
            <w:tcW w:w="1761" w:type="dxa"/>
            <w:vAlign w:val="center"/>
          </w:tcPr>
          <w:p w14:paraId="4B8D92ED">
            <w:pPr>
              <w:jc w:val="center"/>
              <w:rPr>
                <w:rFonts w:hint="eastAsia" w:hAnsi="宋体" w:cs="宋体"/>
                <w:snapToGrid w:val="0"/>
                <w:kern w:val="21"/>
                <w:szCs w:val="21"/>
                <w:u w:val="single"/>
              </w:rPr>
            </w:pPr>
          </w:p>
        </w:tc>
        <w:tc>
          <w:tcPr>
            <w:tcW w:w="1959" w:type="dxa"/>
            <w:vAlign w:val="center"/>
          </w:tcPr>
          <w:p w14:paraId="12D33782">
            <w:pPr>
              <w:widowControl/>
              <w:jc w:val="center"/>
              <w:textAlignment w:val="center"/>
              <w:rPr>
                <w:kern w:val="0"/>
                <w:szCs w:val="21"/>
                <w:u w:val="single"/>
                <w:lang w:bidi="ar"/>
              </w:rPr>
            </w:pPr>
            <w:r>
              <w:rPr>
                <w:color w:val="000000"/>
                <w:kern w:val="0"/>
                <w:szCs w:val="21"/>
                <w:u w:val="single"/>
                <w:lang w:bidi="ar"/>
              </w:rPr>
              <w:t>420</w:t>
            </w:r>
            <w:r>
              <w:rPr>
                <w:rFonts w:hint="eastAsia"/>
                <w:kern w:val="0"/>
                <w:szCs w:val="21"/>
                <w:u w:val="single"/>
                <w:lang w:val="en-US" w:eastAsia="zh-CN" w:bidi="ar"/>
              </w:rPr>
              <w:t>t/a</w:t>
            </w:r>
          </w:p>
        </w:tc>
        <w:tc>
          <w:tcPr>
            <w:tcW w:w="826" w:type="dxa"/>
            <w:vAlign w:val="center"/>
          </w:tcPr>
          <w:p w14:paraId="0966528F">
            <w:pPr>
              <w:jc w:val="center"/>
              <w:rPr>
                <w:rFonts w:hint="eastAsia" w:hAnsi="宋体" w:cs="宋体"/>
                <w:snapToGrid w:val="0"/>
                <w:kern w:val="21"/>
                <w:szCs w:val="21"/>
                <w:u w:val="single"/>
              </w:rPr>
            </w:pPr>
            <w:r>
              <w:rPr>
                <w:rFonts w:hint="eastAsia" w:hAnsi="宋体" w:cs="宋体"/>
                <w:snapToGrid w:val="0"/>
                <w:kern w:val="21"/>
                <w:szCs w:val="21"/>
                <w:u w:val="single"/>
              </w:rPr>
              <w:t>0</w:t>
            </w:r>
          </w:p>
        </w:tc>
      </w:tr>
      <w:tr w14:paraId="456282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22" w:type="dxa"/>
            <w:vMerge w:val="continue"/>
            <w:vAlign w:val="center"/>
          </w:tcPr>
          <w:p w14:paraId="47F3BB5D">
            <w:pPr>
              <w:pStyle w:val="40"/>
              <w:spacing w:beforeLines="0" w:afterLines="0" w:line="240" w:lineRule="auto"/>
              <w:rPr>
                <w:rFonts w:hint="eastAsia" w:hAnsi="宋体" w:cs="宋体"/>
                <w:snapToGrid w:val="0"/>
                <w:kern w:val="21"/>
                <w:szCs w:val="21"/>
                <w:u w:val="single"/>
              </w:rPr>
            </w:pPr>
          </w:p>
        </w:tc>
        <w:tc>
          <w:tcPr>
            <w:tcW w:w="2114" w:type="dxa"/>
            <w:vAlign w:val="center"/>
          </w:tcPr>
          <w:p w14:paraId="1D42BE9F">
            <w:pPr>
              <w:jc w:val="center"/>
              <w:rPr>
                <w:rFonts w:hint="eastAsia" w:eastAsia="宋体"/>
                <w:szCs w:val="21"/>
                <w:u w:val="single"/>
                <w:lang w:val="en-US" w:eastAsia="zh-CN"/>
              </w:rPr>
            </w:pPr>
            <w:r>
              <w:rPr>
                <w:rFonts w:hint="eastAsia"/>
                <w:szCs w:val="21"/>
                <w:u w:val="single"/>
              </w:rPr>
              <w:t>不合格</w:t>
            </w:r>
            <w:r>
              <w:rPr>
                <w:rFonts w:hint="eastAsia"/>
                <w:szCs w:val="21"/>
                <w:u w:val="single"/>
                <w:lang w:val="en-US" w:eastAsia="zh-CN"/>
              </w:rPr>
              <w:t>铸件</w:t>
            </w:r>
          </w:p>
        </w:tc>
        <w:tc>
          <w:tcPr>
            <w:tcW w:w="1670" w:type="dxa"/>
            <w:vAlign w:val="center"/>
          </w:tcPr>
          <w:p w14:paraId="1D7BD9A7">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276" w:type="dxa"/>
            <w:vAlign w:val="center"/>
          </w:tcPr>
          <w:p w14:paraId="215F181D">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701" w:type="dxa"/>
            <w:vAlign w:val="center"/>
          </w:tcPr>
          <w:p w14:paraId="5F4D2FD7">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559" w:type="dxa"/>
            <w:vAlign w:val="center"/>
          </w:tcPr>
          <w:p w14:paraId="4FCB0021">
            <w:pPr>
              <w:widowControl/>
              <w:jc w:val="center"/>
              <w:textAlignment w:val="center"/>
              <w:rPr>
                <w:rFonts w:hint="default" w:eastAsia="宋体"/>
                <w:kern w:val="0"/>
                <w:szCs w:val="21"/>
                <w:u w:val="single"/>
                <w:lang w:val="en-US" w:eastAsia="zh-CN" w:bidi="ar"/>
              </w:rPr>
            </w:pPr>
            <w:r>
              <w:rPr>
                <w:rFonts w:hint="eastAsia"/>
                <w:color w:val="000000"/>
                <w:kern w:val="0"/>
                <w:szCs w:val="21"/>
                <w:u w:val="single"/>
                <w:lang w:val="en-US" w:eastAsia="zh-CN" w:bidi="ar"/>
              </w:rPr>
              <w:t>390</w:t>
            </w:r>
            <w:r>
              <w:rPr>
                <w:rFonts w:hint="eastAsia"/>
                <w:kern w:val="0"/>
                <w:szCs w:val="21"/>
                <w:u w:val="single"/>
                <w:lang w:val="en-US" w:eastAsia="zh-CN" w:bidi="ar"/>
              </w:rPr>
              <w:t>t/a</w:t>
            </w:r>
          </w:p>
        </w:tc>
        <w:tc>
          <w:tcPr>
            <w:tcW w:w="1761" w:type="dxa"/>
            <w:vAlign w:val="center"/>
          </w:tcPr>
          <w:p w14:paraId="721A310B">
            <w:pPr>
              <w:jc w:val="center"/>
              <w:rPr>
                <w:rFonts w:hint="eastAsia" w:hAnsi="宋体" w:cs="宋体"/>
                <w:snapToGrid w:val="0"/>
                <w:kern w:val="21"/>
                <w:szCs w:val="21"/>
                <w:u w:val="single"/>
              </w:rPr>
            </w:pPr>
          </w:p>
        </w:tc>
        <w:tc>
          <w:tcPr>
            <w:tcW w:w="1959" w:type="dxa"/>
            <w:vAlign w:val="center"/>
          </w:tcPr>
          <w:p w14:paraId="2BD43DB0">
            <w:pPr>
              <w:widowControl/>
              <w:jc w:val="center"/>
              <w:textAlignment w:val="center"/>
              <w:rPr>
                <w:rFonts w:hint="default" w:eastAsia="宋体"/>
                <w:kern w:val="0"/>
                <w:szCs w:val="21"/>
                <w:u w:val="single"/>
                <w:lang w:val="en-US" w:eastAsia="zh-CN" w:bidi="ar"/>
              </w:rPr>
            </w:pPr>
            <w:r>
              <w:rPr>
                <w:rFonts w:hint="eastAsia"/>
                <w:color w:val="000000"/>
                <w:kern w:val="0"/>
                <w:szCs w:val="21"/>
                <w:u w:val="single"/>
                <w:lang w:val="en-US" w:eastAsia="zh-CN" w:bidi="ar"/>
              </w:rPr>
              <w:t>390</w:t>
            </w:r>
            <w:r>
              <w:rPr>
                <w:rFonts w:hint="eastAsia"/>
                <w:kern w:val="0"/>
                <w:szCs w:val="21"/>
                <w:u w:val="single"/>
                <w:lang w:val="en-US" w:eastAsia="zh-CN" w:bidi="ar"/>
              </w:rPr>
              <w:t>t/a</w:t>
            </w:r>
          </w:p>
        </w:tc>
        <w:tc>
          <w:tcPr>
            <w:tcW w:w="826" w:type="dxa"/>
            <w:vAlign w:val="center"/>
          </w:tcPr>
          <w:p w14:paraId="3C6B8BD0">
            <w:pPr>
              <w:jc w:val="center"/>
              <w:rPr>
                <w:rFonts w:hint="eastAsia" w:hAnsi="宋体" w:cs="宋体"/>
                <w:snapToGrid w:val="0"/>
                <w:kern w:val="21"/>
                <w:szCs w:val="21"/>
                <w:u w:val="single"/>
              </w:rPr>
            </w:pPr>
            <w:r>
              <w:rPr>
                <w:rFonts w:hint="eastAsia" w:hAnsi="宋体" w:cs="宋体"/>
                <w:snapToGrid w:val="0"/>
                <w:kern w:val="21"/>
                <w:szCs w:val="21"/>
                <w:u w:val="single"/>
              </w:rPr>
              <w:t>0</w:t>
            </w:r>
          </w:p>
        </w:tc>
      </w:tr>
      <w:tr w14:paraId="11759C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22" w:type="dxa"/>
            <w:vMerge w:val="continue"/>
            <w:vAlign w:val="center"/>
          </w:tcPr>
          <w:p w14:paraId="7CF7EF65">
            <w:pPr>
              <w:jc w:val="center"/>
              <w:rPr>
                <w:u w:val="single"/>
              </w:rPr>
            </w:pPr>
          </w:p>
        </w:tc>
        <w:tc>
          <w:tcPr>
            <w:tcW w:w="2114" w:type="dxa"/>
            <w:vAlign w:val="center"/>
          </w:tcPr>
          <w:p w14:paraId="0519D688">
            <w:pPr>
              <w:jc w:val="center"/>
              <w:rPr>
                <w:rFonts w:hint="default" w:eastAsia="宋体"/>
                <w:szCs w:val="21"/>
                <w:u w:val="single"/>
                <w:lang w:val="en-US" w:eastAsia="zh-CN"/>
              </w:rPr>
            </w:pPr>
            <w:r>
              <w:rPr>
                <w:rFonts w:hint="eastAsia"/>
                <w:szCs w:val="21"/>
                <w:u w:val="single"/>
                <w:lang w:val="en-US" w:eastAsia="zh-CN"/>
              </w:rPr>
              <w:t>生活垃圾</w:t>
            </w:r>
          </w:p>
        </w:tc>
        <w:tc>
          <w:tcPr>
            <w:tcW w:w="1670" w:type="dxa"/>
            <w:vAlign w:val="center"/>
          </w:tcPr>
          <w:p w14:paraId="22AB48D2">
            <w:pPr>
              <w:jc w:val="center"/>
              <w:rPr>
                <w:rFonts w:hint="eastAsia"/>
                <w:szCs w:val="21"/>
                <w:u w:val="single"/>
              </w:rPr>
            </w:pPr>
            <w:r>
              <w:rPr>
                <w:rFonts w:hint="eastAsia" w:hAnsi="宋体" w:cs="宋体"/>
                <w:snapToGrid w:val="0"/>
                <w:kern w:val="21"/>
                <w:szCs w:val="21"/>
                <w:u w:val="single"/>
              </w:rPr>
              <w:t>0</w:t>
            </w:r>
          </w:p>
        </w:tc>
        <w:tc>
          <w:tcPr>
            <w:tcW w:w="1276" w:type="dxa"/>
            <w:vAlign w:val="center"/>
          </w:tcPr>
          <w:p w14:paraId="10C31D92">
            <w:pPr>
              <w:jc w:val="center"/>
              <w:rPr>
                <w:rFonts w:hint="eastAsia"/>
                <w:szCs w:val="21"/>
                <w:u w:val="single"/>
              </w:rPr>
            </w:pPr>
            <w:r>
              <w:rPr>
                <w:rFonts w:hint="eastAsia" w:hAnsi="宋体" w:cs="宋体"/>
                <w:snapToGrid w:val="0"/>
                <w:kern w:val="21"/>
                <w:szCs w:val="21"/>
                <w:u w:val="single"/>
              </w:rPr>
              <w:t>0</w:t>
            </w:r>
          </w:p>
        </w:tc>
        <w:tc>
          <w:tcPr>
            <w:tcW w:w="1701" w:type="dxa"/>
            <w:vAlign w:val="center"/>
          </w:tcPr>
          <w:p w14:paraId="60AC0E26">
            <w:pPr>
              <w:jc w:val="center"/>
              <w:rPr>
                <w:rFonts w:hint="eastAsia"/>
                <w:szCs w:val="21"/>
                <w:u w:val="single"/>
              </w:rPr>
            </w:pPr>
            <w:r>
              <w:rPr>
                <w:rFonts w:hint="eastAsia" w:hAnsi="宋体" w:cs="宋体"/>
                <w:snapToGrid w:val="0"/>
                <w:kern w:val="21"/>
                <w:szCs w:val="21"/>
                <w:u w:val="single"/>
              </w:rPr>
              <w:t>0</w:t>
            </w:r>
          </w:p>
        </w:tc>
        <w:tc>
          <w:tcPr>
            <w:tcW w:w="1559" w:type="dxa"/>
            <w:vAlign w:val="center"/>
          </w:tcPr>
          <w:p w14:paraId="05E38856">
            <w:pPr>
              <w:jc w:val="center"/>
              <w:rPr>
                <w:rFonts w:hint="default" w:eastAsia="宋体"/>
                <w:szCs w:val="21"/>
                <w:u w:val="single"/>
                <w:lang w:val="en-US" w:eastAsia="zh-CN"/>
              </w:rPr>
            </w:pPr>
            <w:r>
              <w:rPr>
                <w:rFonts w:hint="eastAsia"/>
                <w:szCs w:val="21"/>
                <w:u w:val="single"/>
                <w:lang w:val="en-US" w:eastAsia="zh-CN"/>
              </w:rPr>
              <w:t>31.2</w:t>
            </w:r>
            <w:r>
              <w:rPr>
                <w:rFonts w:hint="eastAsia"/>
                <w:kern w:val="0"/>
                <w:szCs w:val="21"/>
                <w:u w:val="single"/>
                <w:lang w:val="en-US" w:eastAsia="zh-CN" w:bidi="ar"/>
              </w:rPr>
              <w:t>t/a</w:t>
            </w:r>
          </w:p>
        </w:tc>
        <w:tc>
          <w:tcPr>
            <w:tcW w:w="1761" w:type="dxa"/>
            <w:vAlign w:val="center"/>
          </w:tcPr>
          <w:p w14:paraId="65B0F6F9">
            <w:pPr>
              <w:jc w:val="center"/>
              <w:rPr>
                <w:rFonts w:hint="eastAsia"/>
                <w:szCs w:val="21"/>
                <w:u w:val="single"/>
              </w:rPr>
            </w:pPr>
          </w:p>
        </w:tc>
        <w:tc>
          <w:tcPr>
            <w:tcW w:w="1959" w:type="dxa"/>
            <w:vAlign w:val="center"/>
          </w:tcPr>
          <w:p w14:paraId="4C720A95">
            <w:pPr>
              <w:jc w:val="center"/>
              <w:rPr>
                <w:rFonts w:hint="eastAsia"/>
                <w:szCs w:val="21"/>
                <w:u w:val="single"/>
              </w:rPr>
            </w:pPr>
            <w:r>
              <w:rPr>
                <w:rFonts w:hint="eastAsia"/>
                <w:szCs w:val="21"/>
                <w:u w:val="single"/>
                <w:lang w:val="en-US" w:eastAsia="zh-CN"/>
              </w:rPr>
              <w:t>31.2</w:t>
            </w:r>
            <w:r>
              <w:rPr>
                <w:rFonts w:hint="eastAsia"/>
                <w:kern w:val="0"/>
                <w:szCs w:val="21"/>
                <w:u w:val="single"/>
                <w:lang w:val="en-US" w:eastAsia="zh-CN" w:bidi="ar"/>
              </w:rPr>
              <w:t>t/a</w:t>
            </w:r>
          </w:p>
        </w:tc>
        <w:tc>
          <w:tcPr>
            <w:tcW w:w="826" w:type="dxa"/>
            <w:vAlign w:val="center"/>
          </w:tcPr>
          <w:p w14:paraId="611163F1">
            <w:pPr>
              <w:jc w:val="center"/>
              <w:rPr>
                <w:rFonts w:hint="eastAsia"/>
                <w:szCs w:val="21"/>
                <w:u w:val="single"/>
              </w:rPr>
            </w:pPr>
          </w:p>
        </w:tc>
      </w:tr>
      <w:tr w14:paraId="363AC6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22" w:type="dxa"/>
            <w:vMerge w:val="restart"/>
            <w:vAlign w:val="center"/>
          </w:tcPr>
          <w:p w14:paraId="2AEB3449">
            <w:pPr>
              <w:pStyle w:val="40"/>
              <w:spacing w:beforeLines="0" w:afterLines="0" w:line="240" w:lineRule="auto"/>
              <w:rPr>
                <w:rFonts w:hint="eastAsia" w:hAnsi="宋体" w:cs="宋体"/>
                <w:snapToGrid w:val="0"/>
                <w:kern w:val="21"/>
                <w:szCs w:val="21"/>
                <w:u w:val="single"/>
              </w:rPr>
            </w:pPr>
            <w:r>
              <w:rPr>
                <w:rFonts w:hint="eastAsia" w:hAnsi="宋体" w:cs="宋体"/>
                <w:snapToGrid w:val="0"/>
                <w:kern w:val="21"/>
                <w:szCs w:val="21"/>
                <w:u w:val="single"/>
              </w:rPr>
              <w:t>危险废物</w:t>
            </w:r>
          </w:p>
        </w:tc>
        <w:tc>
          <w:tcPr>
            <w:tcW w:w="2114" w:type="dxa"/>
            <w:vAlign w:val="center"/>
          </w:tcPr>
          <w:p w14:paraId="6051FFCA">
            <w:pPr>
              <w:jc w:val="center"/>
              <w:rPr>
                <w:rFonts w:hint="eastAsia" w:hAnsi="宋体" w:cs="宋体"/>
                <w:snapToGrid w:val="0"/>
                <w:kern w:val="21"/>
                <w:szCs w:val="21"/>
                <w:u w:val="single"/>
              </w:rPr>
            </w:pPr>
            <w:r>
              <w:rPr>
                <w:rFonts w:hint="eastAsia" w:hAnsi="宋体" w:cs="宋体"/>
                <w:snapToGrid w:val="0"/>
                <w:kern w:val="21"/>
                <w:szCs w:val="21"/>
                <w:u w:val="single"/>
              </w:rPr>
              <w:t>废</w:t>
            </w:r>
            <w:r>
              <w:rPr>
                <w:rFonts w:hint="eastAsia" w:hAnsi="宋体" w:cs="宋体"/>
                <w:snapToGrid w:val="0"/>
                <w:kern w:val="21"/>
                <w:szCs w:val="21"/>
                <w:u w:val="single"/>
                <w:lang w:val="en-US" w:eastAsia="zh-CN"/>
              </w:rPr>
              <w:t>润滑</w:t>
            </w:r>
            <w:r>
              <w:rPr>
                <w:rFonts w:hint="eastAsia" w:hAnsi="宋体" w:cs="宋体"/>
                <w:snapToGrid w:val="0"/>
                <w:kern w:val="21"/>
                <w:szCs w:val="21"/>
                <w:u w:val="single"/>
              </w:rPr>
              <w:t>油</w:t>
            </w:r>
          </w:p>
        </w:tc>
        <w:tc>
          <w:tcPr>
            <w:tcW w:w="1670" w:type="dxa"/>
            <w:vAlign w:val="center"/>
          </w:tcPr>
          <w:p w14:paraId="77647BE0">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276" w:type="dxa"/>
            <w:vAlign w:val="center"/>
          </w:tcPr>
          <w:p w14:paraId="66B1B979">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701" w:type="dxa"/>
            <w:vAlign w:val="center"/>
          </w:tcPr>
          <w:p w14:paraId="54E3BA15">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559" w:type="dxa"/>
            <w:vAlign w:val="center"/>
          </w:tcPr>
          <w:p w14:paraId="51B4D1FC">
            <w:pPr>
              <w:widowControl/>
              <w:jc w:val="center"/>
              <w:textAlignment w:val="center"/>
              <w:rPr>
                <w:rFonts w:hint="default" w:hAnsi="宋体" w:eastAsia="宋体" w:cs="宋体"/>
                <w:snapToGrid w:val="0"/>
                <w:kern w:val="21"/>
                <w:szCs w:val="21"/>
                <w:u w:val="single"/>
                <w:lang w:val="en-US" w:eastAsia="zh-CN"/>
              </w:rPr>
            </w:pPr>
            <w:r>
              <w:rPr>
                <w:rFonts w:hint="eastAsia"/>
                <w:color w:val="000000"/>
                <w:kern w:val="0"/>
                <w:szCs w:val="21"/>
                <w:u w:val="single"/>
                <w:lang w:bidi="ar"/>
              </w:rPr>
              <w:t>0.</w:t>
            </w:r>
            <w:r>
              <w:rPr>
                <w:rFonts w:hint="eastAsia"/>
                <w:color w:val="000000"/>
                <w:kern w:val="0"/>
                <w:szCs w:val="21"/>
                <w:u w:val="single"/>
                <w:lang w:val="en-US" w:eastAsia="zh-CN" w:bidi="ar"/>
              </w:rPr>
              <w:t>01</w:t>
            </w:r>
            <w:r>
              <w:rPr>
                <w:rFonts w:hint="eastAsia"/>
                <w:kern w:val="0"/>
                <w:szCs w:val="21"/>
                <w:u w:val="single"/>
                <w:lang w:val="en-US" w:eastAsia="zh-CN" w:bidi="ar"/>
              </w:rPr>
              <w:t>t/a</w:t>
            </w:r>
          </w:p>
        </w:tc>
        <w:tc>
          <w:tcPr>
            <w:tcW w:w="1761" w:type="dxa"/>
            <w:vAlign w:val="center"/>
          </w:tcPr>
          <w:p w14:paraId="6E531963">
            <w:pPr>
              <w:jc w:val="center"/>
              <w:rPr>
                <w:rFonts w:hint="eastAsia" w:hAnsi="宋体" w:cs="宋体"/>
                <w:snapToGrid w:val="0"/>
                <w:kern w:val="21"/>
                <w:szCs w:val="21"/>
                <w:u w:val="single"/>
              </w:rPr>
            </w:pPr>
          </w:p>
        </w:tc>
        <w:tc>
          <w:tcPr>
            <w:tcW w:w="1959" w:type="dxa"/>
            <w:vAlign w:val="center"/>
          </w:tcPr>
          <w:p w14:paraId="762B623E">
            <w:pPr>
              <w:widowControl/>
              <w:jc w:val="center"/>
              <w:textAlignment w:val="center"/>
              <w:rPr>
                <w:rFonts w:hint="eastAsia" w:hAnsi="宋体" w:cs="宋体"/>
                <w:snapToGrid w:val="0"/>
                <w:kern w:val="21"/>
                <w:szCs w:val="21"/>
                <w:u w:val="single"/>
              </w:rPr>
            </w:pPr>
            <w:r>
              <w:rPr>
                <w:rFonts w:hint="eastAsia"/>
                <w:color w:val="000000"/>
                <w:kern w:val="0"/>
                <w:szCs w:val="21"/>
                <w:u w:val="single"/>
                <w:lang w:bidi="ar"/>
              </w:rPr>
              <w:t>0.</w:t>
            </w:r>
            <w:r>
              <w:rPr>
                <w:rFonts w:hint="eastAsia"/>
                <w:color w:val="000000"/>
                <w:kern w:val="0"/>
                <w:szCs w:val="21"/>
                <w:u w:val="single"/>
                <w:lang w:val="en-US" w:eastAsia="zh-CN" w:bidi="ar"/>
              </w:rPr>
              <w:t>01</w:t>
            </w:r>
            <w:r>
              <w:rPr>
                <w:rFonts w:hint="eastAsia"/>
                <w:kern w:val="0"/>
                <w:szCs w:val="21"/>
                <w:u w:val="single"/>
                <w:lang w:val="en-US" w:eastAsia="zh-CN" w:bidi="ar"/>
              </w:rPr>
              <w:t>t/a</w:t>
            </w:r>
          </w:p>
        </w:tc>
        <w:tc>
          <w:tcPr>
            <w:tcW w:w="826" w:type="dxa"/>
            <w:vAlign w:val="center"/>
          </w:tcPr>
          <w:p w14:paraId="7677ACB2">
            <w:pPr>
              <w:jc w:val="center"/>
              <w:rPr>
                <w:rFonts w:hint="eastAsia" w:hAnsi="宋体" w:cs="宋体"/>
                <w:snapToGrid w:val="0"/>
                <w:kern w:val="21"/>
                <w:szCs w:val="21"/>
                <w:u w:val="single"/>
              </w:rPr>
            </w:pPr>
            <w:r>
              <w:rPr>
                <w:rFonts w:hint="eastAsia" w:hAnsi="宋体" w:cs="宋体"/>
                <w:snapToGrid w:val="0"/>
                <w:kern w:val="21"/>
                <w:szCs w:val="21"/>
                <w:u w:val="single"/>
              </w:rPr>
              <w:t>0</w:t>
            </w:r>
          </w:p>
        </w:tc>
      </w:tr>
      <w:tr w14:paraId="503A85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22" w:type="dxa"/>
            <w:vMerge w:val="continue"/>
            <w:vAlign w:val="center"/>
          </w:tcPr>
          <w:p w14:paraId="0CDC1BF6">
            <w:pPr>
              <w:pStyle w:val="40"/>
              <w:spacing w:beforeLines="0" w:afterLines="0" w:line="240" w:lineRule="auto"/>
              <w:rPr>
                <w:rFonts w:hint="eastAsia" w:hAnsi="宋体" w:cs="宋体"/>
                <w:snapToGrid w:val="0"/>
                <w:kern w:val="21"/>
                <w:szCs w:val="21"/>
                <w:u w:val="single"/>
              </w:rPr>
            </w:pPr>
          </w:p>
        </w:tc>
        <w:tc>
          <w:tcPr>
            <w:tcW w:w="2114" w:type="dxa"/>
            <w:vAlign w:val="center"/>
          </w:tcPr>
          <w:p w14:paraId="0970F025">
            <w:pPr>
              <w:jc w:val="center"/>
              <w:rPr>
                <w:rFonts w:hint="eastAsia" w:hAnsi="宋体" w:cs="宋体"/>
                <w:snapToGrid w:val="0"/>
                <w:kern w:val="21"/>
                <w:szCs w:val="21"/>
                <w:u w:val="single"/>
              </w:rPr>
            </w:pPr>
            <w:r>
              <w:rPr>
                <w:rFonts w:hint="eastAsia" w:hAnsi="宋体" w:cs="宋体"/>
                <w:snapToGrid w:val="0"/>
                <w:kern w:val="21"/>
                <w:szCs w:val="21"/>
                <w:u w:val="single"/>
              </w:rPr>
              <w:t>废</w:t>
            </w:r>
            <w:r>
              <w:rPr>
                <w:rFonts w:hint="eastAsia" w:hAnsi="宋体" w:cs="宋体"/>
                <w:snapToGrid w:val="0"/>
                <w:kern w:val="21"/>
                <w:szCs w:val="21"/>
                <w:u w:val="single"/>
                <w:lang w:val="en-US" w:eastAsia="zh-CN"/>
              </w:rPr>
              <w:t>润滑</w:t>
            </w:r>
            <w:r>
              <w:rPr>
                <w:rFonts w:hint="eastAsia" w:hAnsi="宋体" w:cs="宋体"/>
                <w:snapToGrid w:val="0"/>
                <w:kern w:val="21"/>
                <w:szCs w:val="21"/>
                <w:u w:val="single"/>
              </w:rPr>
              <w:t>油桶</w:t>
            </w:r>
          </w:p>
        </w:tc>
        <w:tc>
          <w:tcPr>
            <w:tcW w:w="1670" w:type="dxa"/>
            <w:vAlign w:val="center"/>
          </w:tcPr>
          <w:p w14:paraId="34FACD8C">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276" w:type="dxa"/>
            <w:vAlign w:val="center"/>
          </w:tcPr>
          <w:p w14:paraId="48437D8F">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701" w:type="dxa"/>
            <w:vAlign w:val="center"/>
          </w:tcPr>
          <w:p w14:paraId="3B307626">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559" w:type="dxa"/>
            <w:vAlign w:val="center"/>
          </w:tcPr>
          <w:p w14:paraId="4CFF9166">
            <w:pPr>
              <w:widowControl/>
              <w:jc w:val="center"/>
              <w:textAlignment w:val="center"/>
              <w:rPr>
                <w:szCs w:val="21"/>
                <w:u w:val="single"/>
              </w:rPr>
            </w:pPr>
            <w:r>
              <w:rPr>
                <w:color w:val="000000"/>
                <w:kern w:val="0"/>
                <w:szCs w:val="21"/>
                <w:u w:val="single"/>
                <w:lang w:bidi="ar"/>
              </w:rPr>
              <w:t>0.0</w:t>
            </w:r>
            <w:r>
              <w:rPr>
                <w:rFonts w:hint="eastAsia"/>
                <w:color w:val="000000"/>
                <w:kern w:val="0"/>
                <w:szCs w:val="21"/>
                <w:u w:val="single"/>
                <w:lang w:bidi="ar"/>
              </w:rPr>
              <w:t>2</w:t>
            </w:r>
            <w:r>
              <w:rPr>
                <w:rFonts w:hint="eastAsia"/>
                <w:kern w:val="0"/>
                <w:szCs w:val="21"/>
                <w:u w:val="single"/>
                <w:lang w:val="en-US" w:eastAsia="zh-CN" w:bidi="ar"/>
              </w:rPr>
              <w:t>t/a</w:t>
            </w:r>
          </w:p>
        </w:tc>
        <w:tc>
          <w:tcPr>
            <w:tcW w:w="1761" w:type="dxa"/>
            <w:vAlign w:val="center"/>
          </w:tcPr>
          <w:p w14:paraId="14C9742F">
            <w:pPr>
              <w:jc w:val="center"/>
              <w:rPr>
                <w:rFonts w:hint="eastAsia" w:hAnsi="宋体" w:cs="宋体"/>
                <w:snapToGrid w:val="0"/>
                <w:kern w:val="21"/>
                <w:szCs w:val="21"/>
                <w:u w:val="single"/>
              </w:rPr>
            </w:pPr>
          </w:p>
        </w:tc>
        <w:tc>
          <w:tcPr>
            <w:tcW w:w="1959" w:type="dxa"/>
            <w:vAlign w:val="center"/>
          </w:tcPr>
          <w:p w14:paraId="5ED25469">
            <w:pPr>
              <w:widowControl/>
              <w:jc w:val="center"/>
              <w:textAlignment w:val="center"/>
              <w:rPr>
                <w:szCs w:val="21"/>
                <w:u w:val="single"/>
              </w:rPr>
            </w:pPr>
            <w:r>
              <w:rPr>
                <w:color w:val="000000"/>
                <w:kern w:val="0"/>
                <w:szCs w:val="21"/>
                <w:u w:val="single"/>
                <w:lang w:bidi="ar"/>
              </w:rPr>
              <w:t>0.0</w:t>
            </w:r>
            <w:r>
              <w:rPr>
                <w:rFonts w:hint="eastAsia"/>
                <w:color w:val="000000"/>
                <w:kern w:val="0"/>
                <w:szCs w:val="21"/>
                <w:u w:val="single"/>
                <w:lang w:bidi="ar"/>
              </w:rPr>
              <w:t>2</w:t>
            </w:r>
            <w:r>
              <w:rPr>
                <w:rFonts w:hint="eastAsia"/>
                <w:kern w:val="0"/>
                <w:szCs w:val="21"/>
                <w:u w:val="single"/>
                <w:lang w:val="en-US" w:eastAsia="zh-CN" w:bidi="ar"/>
              </w:rPr>
              <w:t>t/a</w:t>
            </w:r>
          </w:p>
        </w:tc>
        <w:tc>
          <w:tcPr>
            <w:tcW w:w="826" w:type="dxa"/>
            <w:vAlign w:val="center"/>
          </w:tcPr>
          <w:p w14:paraId="0F5C6A5C">
            <w:pPr>
              <w:jc w:val="center"/>
              <w:rPr>
                <w:rFonts w:hint="eastAsia" w:hAnsi="宋体" w:cs="宋体"/>
                <w:snapToGrid w:val="0"/>
                <w:kern w:val="21"/>
                <w:szCs w:val="21"/>
                <w:u w:val="single"/>
              </w:rPr>
            </w:pPr>
            <w:r>
              <w:rPr>
                <w:rFonts w:hint="eastAsia" w:hAnsi="宋体" w:cs="宋体"/>
                <w:snapToGrid w:val="0"/>
                <w:kern w:val="21"/>
                <w:szCs w:val="21"/>
                <w:u w:val="single"/>
              </w:rPr>
              <w:t>0</w:t>
            </w:r>
          </w:p>
        </w:tc>
      </w:tr>
      <w:tr w14:paraId="071744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22" w:type="dxa"/>
            <w:vMerge w:val="continue"/>
            <w:vAlign w:val="center"/>
          </w:tcPr>
          <w:p w14:paraId="0D61DDBC">
            <w:pPr>
              <w:jc w:val="center"/>
              <w:rPr>
                <w:u w:val="single"/>
              </w:rPr>
            </w:pPr>
          </w:p>
        </w:tc>
        <w:tc>
          <w:tcPr>
            <w:tcW w:w="2114" w:type="dxa"/>
            <w:vAlign w:val="center"/>
          </w:tcPr>
          <w:p w14:paraId="6629FB3A">
            <w:pPr>
              <w:jc w:val="center"/>
              <w:rPr>
                <w:rFonts w:hint="default" w:hAnsi="宋体" w:eastAsia="宋体" w:cs="宋体"/>
                <w:snapToGrid w:val="0"/>
                <w:kern w:val="21"/>
                <w:szCs w:val="21"/>
                <w:u w:val="single"/>
                <w:lang w:val="en-US" w:eastAsia="zh-CN"/>
              </w:rPr>
            </w:pPr>
            <w:r>
              <w:rPr>
                <w:rFonts w:hint="eastAsia" w:hAnsi="宋体" w:cs="宋体"/>
                <w:snapToGrid w:val="0"/>
                <w:kern w:val="21"/>
                <w:szCs w:val="21"/>
                <w:u w:val="single"/>
                <w:lang w:val="en-US" w:eastAsia="zh-CN"/>
              </w:rPr>
              <w:t>废含油抹布和手套</w:t>
            </w:r>
          </w:p>
        </w:tc>
        <w:tc>
          <w:tcPr>
            <w:tcW w:w="1670" w:type="dxa"/>
            <w:vAlign w:val="center"/>
          </w:tcPr>
          <w:p w14:paraId="427756E9">
            <w:pPr>
              <w:jc w:val="center"/>
              <w:rPr>
                <w:rFonts w:hint="eastAsia" w:hAnsi="宋体" w:eastAsia="宋体" w:cs="宋体"/>
                <w:snapToGrid w:val="0"/>
                <w:kern w:val="21"/>
                <w:szCs w:val="21"/>
                <w:u w:val="single"/>
                <w:lang w:val="en-US" w:eastAsia="zh-CN"/>
              </w:rPr>
            </w:pPr>
            <w:r>
              <w:rPr>
                <w:rFonts w:hint="eastAsia" w:hAnsi="宋体" w:cs="宋体"/>
                <w:snapToGrid w:val="0"/>
                <w:kern w:val="21"/>
                <w:szCs w:val="21"/>
                <w:u w:val="single"/>
                <w:lang w:val="en-US" w:eastAsia="zh-CN"/>
              </w:rPr>
              <w:t>0</w:t>
            </w:r>
          </w:p>
        </w:tc>
        <w:tc>
          <w:tcPr>
            <w:tcW w:w="1276" w:type="dxa"/>
            <w:vAlign w:val="center"/>
          </w:tcPr>
          <w:p w14:paraId="25F7C017">
            <w:pPr>
              <w:jc w:val="center"/>
              <w:rPr>
                <w:rFonts w:hint="eastAsia" w:hAnsi="宋体" w:eastAsia="宋体" w:cs="宋体"/>
                <w:snapToGrid w:val="0"/>
                <w:kern w:val="21"/>
                <w:szCs w:val="21"/>
                <w:u w:val="single"/>
                <w:lang w:val="en-US" w:eastAsia="zh-CN"/>
              </w:rPr>
            </w:pPr>
            <w:r>
              <w:rPr>
                <w:rFonts w:hint="eastAsia" w:hAnsi="宋体" w:cs="宋体"/>
                <w:snapToGrid w:val="0"/>
                <w:kern w:val="21"/>
                <w:szCs w:val="21"/>
                <w:u w:val="single"/>
                <w:lang w:val="en-US" w:eastAsia="zh-CN"/>
              </w:rPr>
              <w:t>0</w:t>
            </w:r>
          </w:p>
        </w:tc>
        <w:tc>
          <w:tcPr>
            <w:tcW w:w="1701" w:type="dxa"/>
            <w:vAlign w:val="center"/>
          </w:tcPr>
          <w:p w14:paraId="353042CA">
            <w:pPr>
              <w:jc w:val="center"/>
              <w:rPr>
                <w:rFonts w:hint="eastAsia" w:hAnsi="宋体" w:eastAsia="宋体" w:cs="宋体"/>
                <w:snapToGrid w:val="0"/>
                <w:kern w:val="21"/>
                <w:szCs w:val="21"/>
                <w:u w:val="single"/>
                <w:lang w:val="en-US" w:eastAsia="zh-CN"/>
              </w:rPr>
            </w:pPr>
            <w:r>
              <w:rPr>
                <w:rFonts w:hint="eastAsia" w:hAnsi="宋体" w:cs="宋体"/>
                <w:snapToGrid w:val="0"/>
                <w:kern w:val="21"/>
                <w:szCs w:val="21"/>
                <w:u w:val="single"/>
                <w:lang w:val="en-US" w:eastAsia="zh-CN"/>
              </w:rPr>
              <w:t>0</w:t>
            </w:r>
          </w:p>
        </w:tc>
        <w:tc>
          <w:tcPr>
            <w:tcW w:w="1559" w:type="dxa"/>
            <w:vAlign w:val="center"/>
          </w:tcPr>
          <w:p w14:paraId="2810492B">
            <w:pPr>
              <w:jc w:val="center"/>
              <w:rPr>
                <w:rFonts w:hint="default" w:hAnsi="宋体" w:eastAsia="宋体" w:cs="宋体"/>
                <w:snapToGrid w:val="0"/>
                <w:kern w:val="21"/>
                <w:szCs w:val="21"/>
                <w:u w:val="single"/>
                <w:lang w:val="en-US" w:eastAsia="zh-CN"/>
              </w:rPr>
            </w:pPr>
            <w:r>
              <w:rPr>
                <w:rFonts w:hint="eastAsia" w:hAnsi="宋体" w:cs="宋体"/>
                <w:snapToGrid w:val="0"/>
                <w:kern w:val="21"/>
                <w:szCs w:val="21"/>
                <w:u w:val="single"/>
                <w:lang w:val="en-US" w:eastAsia="zh-CN"/>
              </w:rPr>
              <w:t>0.001</w:t>
            </w:r>
            <w:r>
              <w:rPr>
                <w:rFonts w:hint="eastAsia"/>
                <w:kern w:val="0"/>
                <w:szCs w:val="21"/>
                <w:u w:val="single"/>
                <w:lang w:val="en-US" w:eastAsia="zh-CN" w:bidi="ar"/>
              </w:rPr>
              <w:t>t/a</w:t>
            </w:r>
          </w:p>
        </w:tc>
        <w:tc>
          <w:tcPr>
            <w:tcW w:w="1761" w:type="dxa"/>
            <w:vAlign w:val="center"/>
          </w:tcPr>
          <w:p w14:paraId="03A22DF3">
            <w:pPr>
              <w:jc w:val="center"/>
              <w:rPr>
                <w:rFonts w:hint="eastAsia" w:hAnsi="宋体" w:cs="宋体"/>
                <w:snapToGrid w:val="0"/>
                <w:kern w:val="21"/>
                <w:szCs w:val="21"/>
                <w:u w:val="single"/>
              </w:rPr>
            </w:pPr>
          </w:p>
        </w:tc>
        <w:tc>
          <w:tcPr>
            <w:tcW w:w="1959" w:type="dxa"/>
            <w:vAlign w:val="center"/>
          </w:tcPr>
          <w:p w14:paraId="329E2C24">
            <w:pPr>
              <w:jc w:val="center"/>
              <w:rPr>
                <w:rFonts w:hint="eastAsia" w:hAnsi="宋体" w:cs="宋体"/>
                <w:snapToGrid w:val="0"/>
                <w:kern w:val="21"/>
                <w:szCs w:val="21"/>
                <w:u w:val="single"/>
              </w:rPr>
            </w:pPr>
            <w:r>
              <w:rPr>
                <w:rFonts w:hint="eastAsia" w:hAnsi="宋体" w:cs="宋体"/>
                <w:snapToGrid w:val="0"/>
                <w:kern w:val="21"/>
                <w:szCs w:val="21"/>
                <w:u w:val="single"/>
                <w:lang w:val="en-US" w:eastAsia="zh-CN"/>
              </w:rPr>
              <w:t>0.001</w:t>
            </w:r>
            <w:r>
              <w:rPr>
                <w:rFonts w:hint="eastAsia"/>
                <w:kern w:val="0"/>
                <w:szCs w:val="21"/>
                <w:u w:val="single"/>
                <w:lang w:val="en-US" w:eastAsia="zh-CN" w:bidi="ar"/>
              </w:rPr>
              <w:t>t/a</w:t>
            </w:r>
          </w:p>
        </w:tc>
        <w:tc>
          <w:tcPr>
            <w:tcW w:w="826" w:type="dxa"/>
            <w:vAlign w:val="center"/>
          </w:tcPr>
          <w:p w14:paraId="372307FA">
            <w:pPr>
              <w:jc w:val="center"/>
              <w:rPr>
                <w:rFonts w:hint="eastAsia" w:hAnsi="宋体" w:cs="宋体"/>
                <w:snapToGrid w:val="0"/>
                <w:kern w:val="21"/>
                <w:szCs w:val="21"/>
                <w:u w:val="single"/>
              </w:rPr>
            </w:pPr>
          </w:p>
        </w:tc>
      </w:tr>
      <w:tr w14:paraId="29DE78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22" w:type="dxa"/>
            <w:vMerge w:val="continue"/>
            <w:vAlign w:val="center"/>
          </w:tcPr>
          <w:p w14:paraId="2CA075C1">
            <w:pPr>
              <w:pStyle w:val="40"/>
              <w:spacing w:beforeLines="0" w:afterLines="0" w:line="240" w:lineRule="auto"/>
              <w:rPr>
                <w:rFonts w:hint="eastAsia" w:hAnsi="宋体" w:cs="宋体"/>
                <w:snapToGrid w:val="0"/>
                <w:kern w:val="21"/>
                <w:szCs w:val="21"/>
                <w:u w:val="single"/>
              </w:rPr>
            </w:pPr>
          </w:p>
        </w:tc>
        <w:tc>
          <w:tcPr>
            <w:tcW w:w="2114" w:type="dxa"/>
            <w:vAlign w:val="center"/>
          </w:tcPr>
          <w:p w14:paraId="3CCA24AE">
            <w:pPr>
              <w:jc w:val="center"/>
              <w:rPr>
                <w:rFonts w:hint="eastAsia" w:hAnsi="宋体" w:cs="宋体"/>
                <w:snapToGrid w:val="0"/>
                <w:kern w:val="21"/>
                <w:szCs w:val="21"/>
                <w:u w:val="single"/>
              </w:rPr>
            </w:pPr>
            <w:r>
              <w:rPr>
                <w:rFonts w:hint="eastAsia" w:hAnsi="宋体" w:cs="宋体"/>
                <w:snapToGrid w:val="0"/>
                <w:kern w:val="21"/>
                <w:szCs w:val="21"/>
                <w:u w:val="single"/>
              </w:rPr>
              <w:t>废活性炭</w:t>
            </w:r>
          </w:p>
        </w:tc>
        <w:tc>
          <w:tcPr>
            <w:tcW w:w="1670" w:type="dxa"/>
            <w:vAlign w:val="center"/>
          </w:tcPr>
          <w:p w14:paraId="2D0B6D64">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276" w:type="dxa"/>
            <w:vAlign w:val="center"/>
          </w:tcPr>
          <w:p w14:paraId="054FBD7E">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701" w:type="dxa"/>
            <w:vAlign w:val="center"/>
          </w:tcPr>
          <w:p w14:paraId="1E6F12DD">
            <w:pPr>
              <w:jc w:val="center"/>
              <w:rPr>
                <w:rFonts w:hint="eastAsia" w:hAnsi="宋体" w:cs="宋体"/>
                <w:snapToGrid w:val="0"/>
                <w:kern w:val="21"/>
                <w:szCs w:val="21"/>
                <w:u w:val="single"/>
              </w:rPr>
            </w:pPr>
            <w:r>
              <w:rPr>
                <w:rFonts w:hint="eastAsia" w:hAnsi="宋体" w:cs="宋体"/>
                <w:snapToGrid w:val="0"/>
                <w:kern w:val="21"/>
                <w:szCs w:val="21"/>
                <w:u w:val="single"/>
              </w:rPr>
              <w:t>0</w:t>
            </w:r>
          </w:p>
        </w:tc>
        <w:tc>
          <w:tcPr>
            <w:tcW w:w="1559" w:type="dxa"/>
            <w:vAlign w:val="center"/>
          </w:tcPr>
          <w:p w14:paraId="5801F898">
            <w:pPr>
              <w:widowControl/>
              <w:jc w:val="center"/>
              <w:textAlignment w:val="center"/>
              <w:rPr>
                <w:rFonts w:hint="default" w:eastAsia="宋体"/>
                <w:szCs w:val="21"/>
                <w:u w:val="single"/>
                <w:lang w:val="en-US" w:eastAsia="zh-CN"/>
              </w:rPr>
            </w:pPr>
            <w:r>
              <w:rPr>
                <w:rFonts w:hint="eastAsia"/>
                <w:color w:val="000000"/>
                <w:kern w:val="0"/>
                <w:szCs w:val="21"/>
                <w:u w:val="single"/>
                <w:lang w:val="en-US" w:eastAsia="zh-CN" w:bidi="ar"/>
              </w:rPr>
              <w:t>4.49</w:t>
            </w:r>
            <w:r>
              <w:rPr>
                <w:rFonts w:hint="eastAsia"/>
                <w:kern w:val="0"/>
                <w:szCs w:val="21"/>
                <w:u w:val="single"/>
                <w:lang w:val="en-US" w:eastAsia="zh-CN" w:bidi="ar"/>
              </w:rPr>
              <w:t>t/a</w:t>
            </w:r>
          </w:p>
        </w:tc>
        <w:tc>
          <w:tcPr>
            <w:tcW w:w="1761" w:type="dxa"/>
            <w:vAlign w:val="center"/>
          </w:tcPr>
          <w:p w14:paraId="63276B72">
            <w:pPr>
              <w:jc w:val="center"/>
              <w:rPr>
                <w:rFonts w:hint="eastAsia" w:hAnsi="宋体" w:cs="宋体"/>
                <w:snapToGrid w:val="0"/>
                <w:kern w:val="21"/>
                <w:szCs w:val="21"/>
                <w:u w:val="single"/>
              </w:rPr>
            </w:pPr>
          </w:p>
        </w:tc>
        <w:tc>
          <w:tcPr>
            <w:tcW w:w="1959" w:type="dxa"/>
            <w:vAlign w:val="center"/>
          </w:tcPr>
          <w:p w14:paraId="65BF12D6">
            <w:pPr>
              <w:widowControl/>
              <w:jc w:val="center"/>
              <w:textAlignment w:val="center"/>
              <w:rPr>
                <w:szCs w:val="21"/>
                <w:u w:val="single"/>
              </w:rPr>
            </w:pPr>
            <w:r>
              <w:rPr>
                <w:rFonts w:hint="eastAsia"/>
                <w:color w:val="000000"/>
                <w:kern w:val="0"/>
                <w:szCs w:val="21"/>
                <w:u w:val="single"/>
                <w:lang w:val="en-US" w:eastAsia="zh-CN" w:bidi="ar"/>
              </w:rPr>
              <w:t>4.49</w:t>
            </w:r>
            <w:r>
              <w:rPr>
                <w:rFonts w:hint="eastAsia"/>
                <w:kern w:val="0"/>
                <w:szCs w:val="21"/>
                <w:u w:val="single"/>
                <w:lang w:val="en-US" w:eastAsia="zh-CN" w:bidi="ar"/>
              </w:rPr>
              <w:t>t/a</w:t>
            </w:r>
          </w:p>
        </w:tc>
        <w:tc>
          <w:tcPr>
            <w:tcW w:w="826" w:type="dxa"/>
            <w:vAlign w:val="center"/>
          </w:tcPr>
          <w:p w14:paraId="2445F736">
            <w:pPr>
              <w:jc w:val="center"/>
              <w:rPr>
                <w:rFonts w:hint="eastAsia" w:hAnsi="宋体" w:cs="宋体"/>
                <w:snapToGrid w:val="0"/>
                <w:kern w:val="21"/>
                <w:szCs w:val="21"/>
                <w:u w:val="single"/>
              </w:rPr>
            </w:pPr>
            <w:r>
              <w:rPr>
                <w:rFonts w:hint="eastAsia" w:hAnsi="宋体" w:cs="宋体"/>
                <w:snapToGrid w:val="0"/>
                <w:kern w:val="21"/>
                <w:szCs w:val="21"/>
                <w:u w:val="single"/>
              </w:rPr>
              <w:t>0</w:t>
            </w:r>
          </w:p>
        </w:tc>
      </w:tr>
    </w:tbl>
    <w:p w14:paraId="18C2805E">
      <w:pPr>
        <w:pStyle w:val="40"/>
        <w:spacing w:before="249" w:beforeLines="80" w:after="31"/>
        <w:jc w:val="left"/>
        <w:sectPr>
          <w:footerReference r:id="rId6"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56"/>
          <w:cols w:space="425" w:num="1"/>
          <w:docGrid w:type="lines" w:linePitch="312" w:charSpace="0"/>
        </w:sectPr>
      </w:pPr>
      <w:r>
        <w:rPr>
          <w:rFonts w:hAnsi="宋体"/>
          <w:snapToGrid w:val="0"/>
          <w:kern w:val="21"/>
          <w:szCs w:val="21"/>
          <w:u w:val="single"/>
        </w:rPr>
        <w:t>注：</w:t>
      </w:r>
      <w:r>
        <w:rPr>
          <w:rFonts w:hAnsi="宋体"/>
          <w:snapToGrid w:val="0"/>
          <w:spacing w:val="-16"/>
          <w:kern w:val="21"/>
          <w:szCs w:val="21"/>
          <w:u w:val="single"/>
        </w:rPr>
        <w:fldChar w:fldCharType="begin"/>
      </w:r>
      <w:r>
        <w:rPr>
          <w:rFonts w:hAnsi="宋体"/>
          <w:snapToGrid w:val="0"/>
          <w:spacing w:val="-16"/>
          <w:kern w:val="21"/>
          <w:szCs w:val="21"/>
          <w:u w:val="single"/>
        </w:rPr>
        <w:instrText xml:space="preserve"> = 6 \* GB3 \* MERGEFORMAT </w:instrText>
      </w:r>
      <w:r>
        <w:rPr>
          <w:rFonts w:hAnsi="宋体"/>
          <w:snapToGrid w:val="0"/>
          <w:spacing w:val="-16"/>
          <w:kern w:val="21"/>
          <w:szCs w:val="21"/>
          <w:u w:val="single"/>
        </w:rPr>
        <w:fldChar w:fldCharType="separate"/>
      </w:r>
      <w:r>
        <w:rPr>
          <w:rFonts w:hint="eastAsia" w:hAnsi="宋体"/>
          <w:szCs w:val="21"/>
          <w:u w:val="single"/>
        </w:rPr>
        <w:t>⑥</w:t>
      </w:r>
      <w:r>
        <w:rPr>
          <w:rFonts w:hAnsi="宋体"/>
          <w:snapToGrid w:val="0"/>
          <w:spacing w:val="-16"/>
          <w:kern w:val="21"/>
          <w:szCs w:val="21"/>
          <w:u w:val="single"/>
        </w:rPr>
        <w:fldChar w:fldCharType="end"/>
      </w:r>
      <w:r>
        <w:rPr>
          <w:rFonts w:hAnsi="宋体"/>
          <w:snapToGrid w:val="0"/>
          <w:spacing w:val="-16"/>
          <w:kern w:val="21"/>
          <w:szCs w:val="21"/>
          <w:u w:val="single"/>
        </w:rPr>
        <w:t>=</w:t>
      </w:r>
      <w:r>
        <w:rPr>
          <w:rFonts w:hAnsi="宋体"/>
          <w:snapToGrid w:val="0"/>
          <w:spacing w:val="-6"/>
          <w:kern w:val="21"/>
          <w:szCs w:val="21"/>
          <w:u w:val="single"/>
        </w:rPr>
        <w:fldChar w:fldCharType="begin"/>
      </w:r>
      <w:r>
        <w:rPr>
          <w:rFonts w:hAnsi="宋体"/>
          <w:snapToGrid w:val="0"/>
          <w:spacing w:val="-6"/>
          <w:kern w:val="21"/>
          <w:szCs w:val="21"/>
          <w:u w:val="single"/>
        </w:rPr>
        <w:instrText xml:space="preserve"> = 1 \* GB3 \* MERGEFORMAT </w:instrText>
      </w:r>
      <w:r>
        <w:rPr>
          <w:rFonts w:hAnsi="宋体"/>
          <w:snapToGrid w:val="0"/>
          <w:spacing w:val="-6"/>
          <w:kern w:val="21"/>
          <w:szCs w:val="21"/>
          <w:u w:val="single"/>
        </w:rPr>
        <w:fldChar w:fldCharType="separate"/>
      </w:r>
      <w:r>
        <w:rPr>
          <w:rFonts w:hint="eastAsia" w:hAnsi="宋体"/>
          <w:szCs w:val="21"/>
          <w:u w:val="single"/>
        </w:rPr>
        <w:t>①</w:t>
      </w:r>
      <w:r>
        <w:rPr>
          <w:rFonts w:hAnsi="宋体"/>
          <w:snapToGrid w:val="0"/>
          <w:spacing w:val="-6"/>
          <w:kern w:val="21"/>
          <w:szCs w:val="21"/>
          <w:u w:val="single"/>
        </w:rPr>
        <w:fldChar w:fldCharType="end"/>
      </w:r>
      <w:r>
        <w:rPr>
          <w:rFonts w:hAnsi="宋体"/>
          <w:snapToGrid w:val="0"/>
          <w:spacing w:val="-6"/>
          <w:kern w:val="21"/>
          <w:szCs w:val="21"/>
          <w:u w:val="single"/>
        </w:rPr>
        <w:t>+</w:t>
      </w:r>
      <w:r>
        <w:rPr>
          <w:rFonts w:hAnsi="宋体"/>
          <w:snapToGrid w:val="0"/>
          <w:spacing w:val="-6"/>
          <w:kern w:val="21"/>
          <w:szCs w:val="21"/>
          <w:u w:val="single"/>
        </w:rPr>
        <w:fldChar w:fldCharType="begin"/>
      </w:r>
      <w:r>
        <w:rPr>
          <w:rFonts w:hAnsi="宋体"/>
          <w:snapToGrid w:val="0"/>
          <w:spacing w:val="-6"/>
          <w:kern w:val="21"/>
          <w:szCs w:val="21"/>
          <w:u w:val="single"/>
        </w:rPr>
        <w:instrText xml:space="preserve"> = 3 \* GB3 \* MERGEFORMAT </w:instrText>
      </w:r>
      <w:r>
        <w:rPr>
          <w:rFonts w:hAnsi="宋体"/>
          <w:snapToGrid w:val="0"/>
          <w:spacing w:val="-6"/>
          <w:kern w:val="21"/>
          <w:szCs w:val="21"/>
          <w:u w:val="single"/>
        </w:rPr>
        <w:fldChar w:fldCharType="separate"/>
      </w:r>
      <w:r>
        <w:rPr>
          <w:rFonts w:hint="eastAsia" w:hAnsi="宋体"/>
          <w:szCs w:val="21"/>
          <w:u w:val="single"/>
        </w:rPr>
        <w:t>③</w:t>
      </w:r>
      <w:r>
        <w:rPr>
          <w:rFonts w:hAnsi="宋体"/>
          <w:snapToGrid w:val="0"/>
          <w:spacing w:val="-6"/>
          <w:kern w:val="21"/>
          <w:szCs w:val="21"/>
          <w:u w:val="single"/>
        </w:rPr>
        <w:fldChar w:fldCharType="end"/>
      </w:r>
      <w:r>
        <w:rPr>
          <w:rFonts w:hAnsi="宋体"/>
          <w:snapToGrid w:val="0"/>
          <w:spacing w:val="-6"/>
          <w:kern w:val="21"/>
          <w:szCs w:val="21"/>
          <w:u w:val="single"/>
        </w:rPr>
        <w:t>+</w:t>
      </w:r>
      <w:r>
        <w:rPr>
          <w:rFonts w:hAnsi="宋体"/>
          <w:snapToGrid w:val="0"/>
          <w:spacing w:val="-6"/>
          <w:kern w:val="21"/>
          <w:szCs w:val="21"/>
          <w:u w:val="single"/>
        </w:rPr>
        <w:fldChar w:fldCharType="begin"/>
      </w:r>
      <w:r>
        <w:rPr>
          <w:rFonts w:hAnsi="宋体"/>
          <w:snapToGrid w:val="0"/>
          <w:spacing w:val="-6"/>
          <w:kern w:val="21"/>
          <w:szCs w:val="21"/>
          <w:u w:val="single"/>
        </w:rPr>
        <w:instrText xml:space="preserve"> = 4 \* GB3 \* MERGEFORMAT </w:instrText>
      </w:r>
      <w:r>
        <w:rPr>
          <w:rFonts w:hAnsi="宋体"/>
          <w:snapToGrid w:val="0"/>
          <w:spacing w:val="-6"/>
          <w:kern w:val="21"/>
          <w:szCs w:val="21"/>
          <w:u w:val="single"/>
        </w:rPr>
        <w:fldChar w:fldCharType="separate"/>
      </w:r>
      <w:r>
        <w:rPr>
          <w:rFonts w:hint="eastAsia" w:hAnsi="宋体"/>
          <w:szCs w:val="21"/>
          <w:u w:val="single"/>
        </w:rPr>
        <w:t>④</w:t>
      </w:r>
      <w:r>
        <w:rPr>
          <w:rFonts w:hAnsi="宋体"/>
          <w:snapToGrid w:val="0"/>
          <w:spacing w:val="-6"/>
          <w:kern w:val="21"/>
          <w:szCs w:val="21"/>
          <w:u w:val="single"/>
        </w:rPr>
        <w:fldChar w:fldCharType="end"/>
      </w:r>
      <w:r>
        <w:rPr>
          <w:rFonts w:hAnsi="宋体"/>
          <w:snapToGrid w:val="0"/>
          <w:spacing w:val="-6"/>
          <w:kern w:val="21"/>
          <w:szCs w:val="21"/>
          <w:u w:val="single"/>
        </w:rPr>
        <w:t>-</w:t>
      </w:r>
      <w:r>
        <w:rPr>
          <w:rFonts w:hAnsi="宋体"/>
          <w:snapToGrid w:val="0"/>
          <w:spacing w:val="-16"/>
          <w:kern w:val="21"/>
          <w:szCs w:val="21"/>
          <w:u w:val="single"/>
        </w:rPr>
        <w:fldChar w:fldCharType="begin"/>
      </w:r>
      <w:r>
        <w:rPr>
          <w:rFonts w:hAnsi="宋体"/>
          <w:snapToGrid w:val="0"/>
          <w:spacing w:val="-16"/>
          <w:kern w:val="21"/>
          <w:szCs w:val="21"/>
          <w:u w:val="single"/>
        </w:rPr>
        <w:instrText xml:space="preserve"> = 5 \* GB3 \* MERGEFORMAT </w:instrText>
      </w:r>
      <w:r>
        <w:rPr>
          <w:rFonts w:hAnsi="宋体"/>
          <w:snapToGrid w:val="0"/>
          <w:spacing w:val="-16"/>
          <w:kern w:val="21"/>
          <w:szCs w:val="21"/>
          <w:u w:val="single"/>
        </w:rPr>
        <w:fldChar w:fldCharType="separate"/>
      </w:r>
      <w:r>
        <w:rPr>
          <w:rFonts w:hint="eastAsia" w:hAnsi="宋体"/>
          <w:szCs w:val="21"/>
          <w:u w:val="single"/>
        </w:rPr>
        <w:t>⑤</w:t>
      </w:r>
      <w:r>
        <w:rPr>
          <w:rFonts w:hAnsi="宋体"/>
          <w:snapToGrid w:val="0"/>
          <w:spacing w:val="-16"/>
          <w:kern w:val="21"/>
          <w:szCs w:val="21"/>
          <w:u w:val="single"/>
        </w:rPr>
        <w:fldChar w:fldCharType="end"/>
      </w:r>
      <w:r>
        <w:rPr>
          <w:rFonts w:hAnsi="宋体"/>
          <w:snapToGrid w:val="0"/>
          <w:spacing w:val="-16"/>
          <w:kern w:val="21"/>
          <w:szCs w:val="21"/>
          <w:u w:val="single"/>
        </w:rPr>
        <w:t>；</w:t>
      </w:r>
      <w:r>
        <w:rPr>
          <w:rFonts w:hAnsi="宋体"/>
          <w:snapToGrid w:val="0"/>
          <w:spacing w:val="-6"/>
          <w:kern w:val="21"/>
          <w:szCs w:val="21"/>
          <w:u w:val="single"/>
        </w:rPr>
        <w:fldChar w:fldCharType="begin"/>
      </w:r>
      <w:r>
        <w:rPr>
          <w:rFonts w:hAnsi="宋体"/>
          <w:snapToGrid w:val="0"/>
          <w:spacing w:val="-6"/>
          <w:kern w:val="21"/>
          <w:szCs w:val="21"/>
          <w:u w:val="single"/>
        </w:rPr>
        <w:instrText xml:space="preserve"> = 7 \* GB3 \* MERGEFORMAT </w:instrText>
      </w:r>
      <w:r>
        <w:rPr>
          <w:rFonts w:hAnsi="宋体"/>
          <w:snapToGrid w:val="0"/>
          <w:spacing w:val="-6"/>
          <w:kern w:val="21"/>
          <w:szCs w:val="21"/>
          <w:u w:val="single"/>
        </w:rPr>
        <w:fldChar w:fldCharType="separate"/>
      </w:r>
      <w:r>
        <w:rPr>
          <w:rFonts w:hint="eastAsia" w:hAnsi="宋体"/>
          <w:szCs w:val="21"/>
          <w:u w:val="single"/>
        </w:rPr>
        <w:t>⑦</w:t>
      </w:r>
      <w:r>
        <w:rPr>
          <w:rFonts w:hAnsi="宋体"/>
          <w:snapToGrid w:val="0"/>
          <w:spacing w:val="-6"/>
          <w:kern w:val="21"/>
          <w:szCs w:val="21"/>
          <w:u w:val="single"/>
        </w:rPr>
        <w:fldChar w:fldCharType="end"/>
      </w:r>
      <w:r>
        <w:rPr>
          <w:rFonts w:hAnsi="宋体"/>
          <w:snapToGrid w:val="0"/>
          <w:spacing w:val="-6"/>
          <w:kern w:val="21"/>
          <w:szCs w:val="21"/>
          <w:u w:val="single"/>
        </w:rPr>
        <w:t>=</w:t>
      </w:r>
      <w:r>
        <w:rPr>
          <w:rFonts w:hAnsi="宋体"/>
          <w:snapToGrid w:val="0"/>
          <w:spacing w:val="-16"/>
          <w:kern w:val="21"/>
          <w:szCs w:val="21"/>
          <w:u w:val="single"/>
        </w:rPr>
        <w:fldChar w:fldCharType="begin"/>
      </w:r>
      <w:r>
        <w:rPr>
          <w:rFonts w:hAnsi="宋体"/>
          <w:snapToGrid w:val="0"/>
          <w:spacing w:val="-16"/>
          <w:kern w:val="21"/>
          <w:szCs w:val="21"/>
          <w:u w:val="single"/>
        </w:rPr>
        <w:instrText xml:space="preserve"> = 6 \* GB3 \* MERGEFORMAT </w:instrText>
      </w:r>
      <w:r>
        <w:rPr>
          <w:rFonts w:hAnsi="宋体"/>
          <w:snapToGrid w:val="0"/>
          <w:spacing w:val="-16"/>
          <w:kern w:val="21"/>
          <w:szCs w:val="21"/>
          <w:u w:val="single"/>
        </w:rPr>
        <w:fldChar w:fldCharType="separate"/>
      </w:r>
      <w:r>
        <w:rPr>
          <w:rFonts w:hint="eastAsia" w:hAnsi="宋体"/>
          <w:szCs w:val="21"/>
          <w:u w:val="single"/>
        </w:rPr>
        <w:t>⑥</w:t>
      </w:r>
      <w:r>
        <w:rPr>
          <w:rFonts w:hAnsi="宋体"/>
          <w:snapToGrid w:val="0"/>
          <w:spacing w:val="-16"/>
          <w:kern w:val="21"/>
          <w:szCs w:val="21"/>
          <w:u w:val="single"/>
        </w:rPr>
        <w:fldChar w:fldCharType="end"/>
      </w:r>
      <w:r>
        <w:rPr>
          <w:rFonts w:hAnsi="宋体"/>
          <w:snapToGrid w:val="0"/>
          <w:spacing w:val="-16"/>
          <w:kern w:val="21"/>
          <w:szCs w:val="21"/>
          <w:u w:val="single"/>
        </w:rPr>
        <w:t>-</w:t>
      </w:r>
      <w:r>
        <w:rPr>
          <w:rFonts w:hAnsi="宋体"/>
          <w:snapToGrid w:val="0"/>
          <w:spacing w:val="-6"/>
          <w:kern w:val="21"/>
          <w:szCs w:val="21"/>
          <w:u w:val="single"/>
        </w:rPr>
        <w:fldChar w:fldCharType="begin"/>
      </w:r>
      <w:r>
        <w:rPr>
          <w:rFonts w:hAnsi="宋体"/>
          <w:snapToGrid w:val="0"/>
          <w:spacing w:val="-6"/>
          <w:kern w:val="21"/>
          <w:szCs w:val="21"/>
          <w:u w:val="single"/>
        </w:rPr>
        <w:instrText xml:space="preserve"> = 1 \* GB3 \* MERGEFORMAT </w:instrText>
      </w:r>
      <w:r>
        <w:rPr>
          <w:rFonts w:hAnsi="宋体"/>
          <w:snapToGrid w:val="0"/>
          <w:spacing w:val="-6"/>
          <w:kern w:val="21"/>
          <w:szCs w:val="21"/>
          <w:u w:val="single"/>
        </w:rPr>
        <w:fldChar w:fldCharType="separate"/>
      </w:r>
      <w:r>
        <w:rPr>
          <w:rFonts w:hint="eastAsia" w:hAnsi="宋体"/>
          <w:szCs w:val="21"/>
          <w:u w:val="single"/>
        </w:rPr>
        <w:t>①</w:t>
      </w:r>
      <w:r>
        <w:rPr>
          <w:rFonts w:hAnsi="宋体"/>
          <w:snapToGrid w:val="0"/>
          <w:spacing w:val="-6"/>
          <w:kern w:val="21"/>
          <w:szCs w:val="21"/>
          <w:u w:val="single"/>
        </w:rPr>
        <w:fldChar w:fldCharType="end"/>
      </w:r>
    </w:p>
    <w:p w14:paraId="0CE81398">
      <w:bookmarkStart w:id="15" w:name="_GoBack"/>
      <w:bookmarkEnd w:id="15"/>
    </w:p>
    <w:sectPr>
      <w:footerReference r:id="rId7"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7F" w:usb3="00000000" w:csb0="003F01F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38AB2">
    <w:pPr>
      <w:pStyle w:val="15"/>
      <w:jc w:val="center"/>
    </w:pPr>
  </w:p>
  <w:p w14:paraId="7697C796">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EAA84">
    <w:pPr>
      <w:pStyle w:val="15"/>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C31D0">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9AC31D0">
                    <w:pPr>
                      <w:pStyle w:val="15"/>
                    </w:pPr>
                    <w:r>
                      <w:fldChar w:fldCharType="begin"/>
                    </w:r>
                    <w:r>
                      <w:instrText xml:space="preserve"> PAGE  \* MERGEFORMAT </w:instrText>
                    </w:r>
                    <w:r>
                      <w:fldChar w:fldCharType="separate"/>
                    </w:r>
                    <w:r>
                      <w:t>2</w:t>
                    </w:r>
                    <w:r>
                      <w:fldChar w:fldCharType="end"/>
                    </w:r>
                  </w:p>
                </w:txbxContent>
              </v:textbox>
            </v:shape>
          </w:pict>
        </mc:Fallback>
      </mc:AlternateContent>
    </w:r>
  </w:p>
  <w:p w14:paraId="4E810D3F">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2F6F0">
    <w:pPr>
      <w:pStyle w:val="15"/>
      <w:tabs>
        <w:tab w:val="center" w:pos="6979"/>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BB55E">
                          <w:pPr>
                            <w:pStyle w:val="1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19BB55E">
                    <w:pPr>
                      <w:pStyle w:val="15"/>
                    </w:pPr>
                    <w:r>
                      <w:fldChar w:fldCharType="begin"/>
                    </w:r>
                    <w:r>
                      <w:instrText xml:space="preserve"> PAGE  \* MERGEFORMAT </w:instrText>
                    </w:r>
                    <w:r>
                      <w:fldChar w:fldCharType="separate"/>
                    </w:r>
                    <w:r>
                      <w:t>56</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09D67">
    <w:pPr>
      <w:pStyle w:val="1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38125" cy="1905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38125" cy="190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92F70">
                          <w:pPr>
                            <w:pStyle w:val="15"/>
                            <w:rPr>
                              <w:rFonts w:hint="default" w:eastAsia="宋体"/>
                              <w:lang w:val="en-US" w:eastAsia="zh-CN"/>
                            </w:rPr>
                          </w:pPr>
                          <w:r>
                            <w:rPr>
                              <w:rFonts w:hint="eastAsia"/>
                              <w:lang w:val="en-US" w:eastAsia="zh-CN"/>
                            </w:rPr>
                            <w:t>57</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5pt;width:18.75pt;mso-position-horizontal:center;mso-position-horizontal-relative:margin;z-index:251664384;mso-width-relative:page;mso-height-relative:page;" filled="f" stroked="f" coordsize="21600,21600" o:gfxdata="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HlEYzSAAAAAwEAAA8AAAAAAAAAAQAgAAAAIgAAAGRycy9kb3ducmV2LnhtbFBLAQIU&#10;ABQAAAAIAIdO4kDe6Cy4MgIAAFcEAAAOAAAAAAAAAAEAIAAAACEBAABkcnMvZTJvRG9jLnhtbFBL&#10;BQYAAAAABgAGAFkBAADFBQAAAAA=&#10;">
              <v:fill on="f" focussize="0,0"/>
              <v:stroke on="f" weight="0.5pt"/>
              <v:imagedata o:title=""/>
              <o:lock v:ext="edit" aspectratio="f"/>
              <v:textbox inset="0mm,0mm,0mm,0mm">
                <w:txbxContent>
                  <w:p w14:paraId="01792F70">
                    <w:pPr>
                      <w:pStyle w:val="15"/>
                      <w:rPr>
                        <w:rFonts w:hint="default" w:eastAsia="宋体"/>
                        <w:lang w:val="en-US" w:eastAsia="zh-CN"/>
                      </w:rPr>
                    </w:pPr>
                    <w:r>
                      <w:rPr>
                        <w:rFonts w:hint="eastAsia"/>
                        <w:lang w:val="en-US" w:eastAsia="zh-CN"/>
                      </w:rPr>
                      <w:t>57</w:t>
                    </w:r>
                  </w:p>
                </w:txbxContent>
              </v:textbox>
            </v:shape>
          </w:pict>
        </mc:Fallback>
      </mc:AlternateContent>
    </w:r>
  </w:p>
  <w:p w14:paraId="08E5C303">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18E25">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EA3E8"/>
    <w:multiLevelType w:val="singleLevel"/>
    <w:tmpl w:val="847EA3E8"/>
    <w:lvl w:ilvl="0" w:tentative="0">
      <w:start w:val="3"/>
      <w:numFmt w:val="decimal"/>
      <w:suff w:val="nothing"/>
      <w:lvlText w:val="%1、"/>
      <w:lvlJc w:val="left"/>
    </w:lvl>
  </w:abstractNum>
  <w:abstractNum w:abstractNumId="1">
    <w:nsid w:val="1F83FF44"/>
    <w:multiLevelType w:val="singleLevel"/>
    <w:tmpl w:val="1F83FF44"/>
    <w:lvl w:ilvl="0" w:tentative="0">
      <w:start w:val="5"/>
      <w:numFmt w:val="chineseCounting"/>
      <w:suff w:val="nothing"/>
      <w:lvlText w:val="%1、"/>
      <w:lvlJc w:val="left"/>
      <w:rPr>
        <w:rFonts w:hint="eastAsia"/>
      </w:rPr>
    </w:lvl>
  </w:abstractNum>
  <w:abstractNum w:abstractNumId="2">
    <w:nsid w:val="43E152A1"/>
    <w:multiLevelType w:val="singleLevel"/>
    <w:tmpl w:val="43E152A1"/>
    <w:lvl w:ilvl="0" w:tentative="0">
      <w:start w:val="1"/>
      <w:numFmt w:val="bullet"/>
      <w:pStyle w:val="13"/>
      <w:lvlText w:val=""/>
      <w:lvlJc w:val="left"/>
      <w:pPr>
        <w:tabs>
          <w:tab w:val="left" w:pos="2040"/>
        </w:tabs>
        <w:ind w:left="204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ZDVlZjM3MmE2ZmM2ZmE5ODcwYjA2YjFjZDgyYmEifQ=="/>
  </w:docVars>
  <w:rsids>
    <w:rsidRoot w:val="00201DC4"/>
    <w:rsid w:val="000C48E9"/>
    <w:rsid w:val="000C7A52"/>
    <w:rsid w:val="001F0A15"/>
    <w:rsid w:val="00201DC4"/>
    <w:rsid w:val="00231E98"/>
    <w:rsid w:val="00251CE7"/>
    <w:rsid w:val="002542CE"/>
    <w:rsid w:val="00306C12"/>
    <w:rsid w:val="003632EF"/>
    <w:rsid w:val="003B01E8"/>
    <w:rsid w:val="004D227A"/>
    <w:rsid w:val="004E5B54"/>
    <w:rsid w:val="005A6FA6"/>
    <w:rsid w:val="005F656A"/>
    <w:rsid w:val="00913883"/>
    <w:rsid w:val="009B7288"/>
    <w:rsid w:val="009C53D8"/>
    <w:rsid w:val="00AE53C1"/>
    <w:rsid w:val="00B0355A"/>
    <w:rsid w:val="00C16EE4"/>
    <w:rsid w:val="00CE6615"/>
    <w:rsid w:val="00DE0CD8"/>
    <w:rsid w:val="00EA4ADD"/>
    <w:rsid w:val="00F061AD"/>
    <w:rsid w:val="00F30EFE"/>
    <w:rsid w:val="00FA451D"/>
    <w:rsid w:val="0171202A"/>
    <w:rsid w:val="0322106F"/>
    <w:rsid w:val="04D20E72"/>
    <w:rsid w:val="04D23506"/>
    <w:rsid w:val="04F4572D"/>
    <w:rsid w:val="057B111B"/>
    <w:rsid w:val="0BA56BC7"/>
    <w:rsid w:val="0D800CCF"/>
    <w:rsid w:val="0E0A7BFA"/>
    <w:rsid w:val="0F0438F5"/>
    <w:rsid w:val="0F9344A7"/>
    <w:rsid w:val="11FD6EB7"/>
    <w:rsid w:val="12791431"/>
    <w:rsid w:val="13DA2613"/>
    <w:rsid w:val="18652493"/>
    <w:rsid w:val="1A955932"/>
    <w:rsid w:val="21871088"/>
    <w:rsid w:val="245E3A1E"/>
    <w:rsid w:val="28F06377"/>
    <w:rsid w:val="296F3A6A"/>
    <w:rsid w:val="29A55B6C"/>
    <w:rsid w:val="2DC3119F"/>
    <w:rsid w:val="2DC5530F"/>
    <w:rsid w:val="317029DD"/>
    <w:rsid w:val="31BE3456"/>
    <w:rsid w:val="32116207"/>
    <w:rsid w:val="33C578A5"/>
    <w:rsid w:val="34FD1935"/>
    <w:rsid w:val="371979B2"/>
    <w:rsid w:val="37F87890"/>
    <w:rsid w:val="382E21BD"/>
    <w:rsid w:val="3A040FDB"/>
    <w:rsid w:val="3C7050E2"/>
    <w:rsid w:val="3D4A22F7"/>
    <w:rsid w:val="3D923059"/>
    <w:rsid w:val="3E502AD5"/>
    <w:rsid w:val="41140732"/>
    <w:rsid w:val="423A271D"/>
    <w:rsid w:val="42BE1040"/>
    <w:rsid w:val="45F479DA"/>
    <w:rsid w:val="48B56F6C"/>
    <w:rsid w:val="4B8F7E8F"/>
    <w:rsid w:val="4BEE7399"/>
    <w:rsid w:val="4EE11074"/>
    <w:rsid w:val="50D301E7"/>
    <w:rsid w:val="53A31B9B"/>
    <w:rsid w:val="55905D7C"/>
    <w:rsid w:val="55B137E3"/>
    <w:rsid w:val="55B8554B"/>
    <w:rsid w:val="56220C4B"/>
    <w:rsid w:val="5A960A2E"/>
    <w:rsid w:val="5D931E33"/>
    <w:rsid w:val="5FFD0D8C"/>
    <w:rsid w:val="60D70F61"/>
    <w:rsid w:val="60ED10B4"/>
    <w:rsid w:val="61DE104E"/>
    <w:rsid w:val="63095F90"/>
    <w:rsid w:val="68256148"/>
    <w:rsid w:val="68D839F1"/>
    <w:rsid w:val="69140A20"/>
    <w:rsid w:val="699158B6"/>
    <w:rsid w:val="6A4454E8"/>
    <w:rsid w:val="6AAF22D2"/>
    <w:rsid w:val="712C0C33"/>
    <w:rsid w:val="714271B4"/>
    <w:rsid w:val="734B131D"/>
    <w:rsid w:val="76BB212C"/>
    <w:rsid w:val="7B82552D"/>
    <w:rsid w:val="7D347083"/>
    <w:rsid w:val="7E263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jc w:val="center"/>
      <w:outlineLvl w:val="0"/>
    </w:pPr>
    <w:rPr>
      <w:b/>
      <w:bCs/>
      <w:kern w:val="44"/>
      <w:sz w:val="30"/>
      <w:szCs w:val="44"/>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sz w:val="24"/>
    </w:rPr>
  </w:style>
  <w:style w:type="paragraph" w:styleId="3">
    <w:name w:val="Body Text Indent"/>
    <w:basedOn w:val="1"/>
    <w:next w:val="2"/>
    <w:qFormat/>
    <w:uiPriority w:val="0"/>
    <w:pPr>
      <w:spacing w:after="120"/>
      <w:ind w:left="420" w:leftChars="200"/>
    </w:pPr>
    <w:rPr>
      <w:szCs w:val="24"/>
    </w:rPr>
  </w:style>
  <w:style w:type="paragraph" w:styleId="7">
    <w:name w:val="Normal Indent"/>
    <w:basedOn w:val="1"/>
    <w:next w:val="1"/>
    <w:qFormat/>
    <w:uiPriority w:val="0"/>
    <w:pPr>
      <w:adjustRightInd w:val="0"/>
      <w:snapToGrid w:val="0"/>
      <w:ind w:firstLine="420"/>
      <w:jc w:val="left"/>
      <w:textAlignment w:val="baseline"/>
    </w:pPr>
    <w:rPr>
      <w:kern w:val="0"/>
      <w:szCs w:val="20"/>
    </w:rPr>
  </w:style>
  <w:style w:type="paragraph" w:styleId="8">
    <w:name w:val="caption"/>
    <w:basedOn w:val="1"/>
    <w:next w:val="1"/>
    <w:qFormat/>
    <w:uiPriority w:val="0"/>
    <w:rPr>
      <w:rFonts w:ascii="Cambria" w:hAnsi="Cambria" w:eastAsia="黑体"/>
    </w:rPr>
  </w:style>
  <w:style w:type="paragraph" w:styleId="9">
    <w:name w:val="annotation text"/>
    <w:basedOn w:val="1"/>
    <w:qFormat/>
    <w:uiPriority w:val="0"/>
    <w:pPr>
      <w:jc w:val="left"/>
    </w:pPr>
  </w:style>
  <w:style w:type="paragraph" w:styleId="10">
    <w:name w:val="Body Text"/>
    <w:basedOn w:val="1"/>
    <w:next w:val="11"/>
    <w:qFormat/>
    <w:uiPriority w:val="0"/>
    <w:pPr>
      <w:widowControl/>
      <w:snapToGrid w:val="0"/>
      <w:spacing w:before="60" w:after="160" w:line="259" w:lineRule="auto"/>
      <w:ind w:right="113"/>
    </w:pPr>
    <w:rPr>
      <w:kern w:val="0"/>
      <w:sz w:val="18"/>
      <w:szCs w:val="20"/>
    </w:rPr>
  </w:style>
  <w:style w:type="paragraph" w:customStyle="1" w:styleId="11">
    <w:name w:val="xl27"/>
    <w:basedOn w:val="1"/>
    <w:qFormat/>
    <w:uiPriority w:val="0"/>
    <w:pPr>
      <w:widowControl/>
      <w:spacing w:before="100" w:beforeAutospacing="1" w:after="100" w:afterAutospacing="1"/>
      <w:jc w:val="center"/>
    </w:pPr>
    <w:rPr>
      <w:rFonts w:hint="eastAsia" w:ascii="楷体_GB2312" w:hAnsi="Arial Unicode MS" w:eastAsia="楷体_GB2312"/>
      <w:kern w:val="0"/>
      <w:szCs w:val="28"/>
    </w:rPr>
  </w:style>
  <w:style w:type="paragraph" w:styleId="12">
    <w:name w:val="Plain Text"/>
    <w:basedOn w:val="1"/>
    <w:unhideWhenUsed/>
    <w:qFormat/>
    <w:uiPriority w:val="0"/>
    <w:pPr>
      <w:jc w:val="center"/>
    </w:pPr>
    <w:rPr>
      <w:kern w:val="21"/>
      <w:szCs w:val="20"/>
    </w:rPr>
  </w:style>
  <w:style w:type="paragraph" w:styleId="13">
    <w:name w:val="List Bullet 5"/>
    <w:basedOn w:val="1"/>
    <w:qFormat/>
    <w:uiPriority w:val="0"/>
    <w:pPr>
      <w:numPr>
        <w:ilvl w:val="0"/>
        <w:numId w:val="1"/>
      </w:numPr>
    </w:pPr>
  </w:style>
  <w:style w:type="paragraph" w:styleId="14">
    <w:name w:val="Body Text Indent 2"/>
    <w:basedOn w:val="1"/>
    <w:qFormat/>
    <w:uiPriority w:val="0"/>
    <w:pPr>
      <w:spacing w:line="460" w:lineRule="exact"/>
      <w:ind w:firstLine="561"/>
    </w:pPr>
    <w:rPr>
      <w:rFonts w:ascii="宋体"/>
      <w:sz w:val="28"/>
    </w:rPr>
  </w:style>
  <w:style w:type="paragraph" w:styleId="15">
    <w:name w:val="footer"/>
    <w:basedOn w:val="1"/>
    <w:unhideWhenUsed/>
    <w:qFormat/>
    <w:uiPriority w:val="99"/>
    <w:pPr>
      <w:tabs>
        <w:tab w:val="center" w:pos="4153"/>
        <w:tab w:val="right" w:pos="8306"/>
      </w:tabs>
      <w:snapToGrid w:val="0"/>
      <w:jc w:val="left"/>
    </w:pPr>
    <w:rPr>
      <w:kern w:val="0"/>
      <w:sz w:val="18"/>
      <w:szCs w:val="18"/>
    </w:rPr>
  </w:style>
  <w:style w:type="paragraph" w:styleId="16">
    <w:name w:val="header"/>
    <w:basedOn w:val="1"/>
    <w:next w:val="1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7">
    <w:name w:val="样式5"/>
    <w:basedOn w:val="18"/>
    <w:next w:val="1"/>
    <w:qFormat/>
    <w:uiPriority w:val="0"/>
    <w:pPr>
      <w:tabs>
        <w:tab w:val="left" w:pos="567"/>
      </w:tabs>
      <w:spacing w:beforeLines="20" w:afterLines="20"/>
      <w:ind w:firstLine="523" w:firstLineChars="218"/>
    </w:pPr>
    <w:rPr>
      <w:i/>
      <w:iCs/>
    </w:rPr>
  </w:style>
  <w:style w:type="paragraph" w:customStyle="1" w:styleId="18">
    <w:name w:val="正文1"/>
    <w:basedOn w:val="10"/>
    <w:next w:val="1"/>
    <w:qFormat/>
    <w:uiPriority w:val="0"/>
    <w:pPr>
      <w:tabs>
        <w:tab w:val="left" w:pos="567"/>
      </w:tabs>
      <w:adjustRightInd w:val="0"/>
      <w:spacing w:line="396" w:lineRule="atLeast"/>
      <w:jc w:val="center"/>
      <w:textAlignment w:val="baseline"/>
    </w:pPr>
    <w:rPr>
      <w:szCs w:val="24"/>
    </w:rPr>
  </w:style>
  <w:style w:type="paragraph" w:styleId="19">
    <w:name w:val="toc 1"/>
    <w:basedOn w:val="1"/>
    <w:next w:val="1"/>
    <w:qFormat/>
    <w:uiPriority w:val="0"/>
  </w:style>
  <w:style w:type="paragraph" w:styleId="20">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Emphasis"/>
    <w:basedOn w:val="23"/>
    <w:qFormat/>
    <w:uiPriority w:val="0"/>
    <w:rPr>
      <w:i/>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Default"/>
    <w:basedOn w:val="29"/>
    <w:next w:val="1"/>
    <w:qFormat/>
    <w:uiPriority w:val="0"/>
    <w:pPr>
      <w:autoSpaceDE w:val="0"/>
      <w:autoSpaceDN w:val="0"/>
      <w:adjustRightInd w:val="0"/>
    </w:pPr>
    <w:rPr>
      <w:rFonts w:cs="宋体"/>
      <w:color w:val="000000"/>
      <w:sz w:val="24"/>
      <w:szCs w:val="24"/>
    </w:rPr>
  </w:style>
  <w:style w:type="paragraph" w:customStyle="1" w:styleId="29">
    <w:name w:val="纯文本1"/>
    <w:basedOn w:val="1"/>
    <w:qFormat/>
    <w:uiPriority w:val="0"/>
    <w:rPr>
      <w:rFonts w:hint="eastAsia" w:ascii="宋体" w:hAnsi="Courier New"/>
    </w:rPr>
  </w:style>
  <w:style w:type="paragraph" w:customStyle="1" w:styleId="30">
    <w:name w:val="样式 正文文本缩进 + 行距: 1.5 倍行距"/>
    <w:basedOn w:val="31"/>
    <w:next w:val="16"/>
    <w:qFormat/>
    <w:uiPriority w:val="0"/>
    <w:pPr>
      <w:spacing w:line="360" w:lineRule="auto"/>
      <w:ind w:left="90" w:leftChars="32" w:firstLine="560"/>
    </w:pPr>
    <w:rPr>
      <w:rFonts w:cs="宋体"/>
      <w:szCs w:val="20"/>
    </w:rPr>
  </w:style>
  <w:style w:type="paragraph" w:customStyle="1" w:styleId="31">
    <w:name w:val="正文文本缩进1"/>
    <w:basedOn w:val="1"/>
    <w:next w:val="30"/>
    <w:qFormat/>
    <w:uiPriority w:val="0"/>
    <w:pPr>
      <w:spacing w:after="120"/>
      <w:ind w:left="420" w:leftChars="200"/>
    </w:pPr>
    <w:rPr>
      <w:sz w:val="24"/>
    </w:rPr>
  </w:style>
  <w:style w:type="paragraph" w:customStyle="1" w:styleId="32">
    <w:name w:val="表格标题"/>
    <w:basedOn w:val="8"/>
    <w:qFormat/>
    <w:uiPriority w:val="0"/>
    <w:pPr>
      <w:adjustRightInd w:val="0"/>
      <w:snapToGrid w:val="0"/>
      <w:spacing w:line="360" w:lineRule="auto"/>
      <w:jc w:val="center"/>
    </w:pPr>
  </w:style>
  <w:style w:type="paragraph" w:customStyle="1" w:styleId="33">
    <w:name w:val="表格 32"/>
    <w:basedOn w:val="1"/>
    <w:qFormat/>
    <w:uiPriority w:val="0"/>
    <w:pPr>
      <w:autoSpaceDE w:val="0"/>
      <w:autoSpaceDN w:val="0"/>
      <w:adjustRightInd w:val="0"/>
      <w:spacing w:line="240" w:lineRule="atLeast"/>
      <w:jc w:val="center"/>
      <w:textAlignment w:val="baseline"/>
    </w:pPr>
    <w:rPr>
      <w:kern w:val="0"/>
      <w:sz w:val="24"/>
      <w:szCs w:val="20"/>
    </w:rPr>
  </w:style>
  <w:style w:type="character" w:customStyle="1" w:styleId="34">
    <w:name w:val="font21"/>
    <w:basedOn w:val="23"/>
    <w:qFormat/>
    <w:uiPriority w:val="0"/>
    <w:rPr>
      <w:rFonts w:hint="eastAsia" w:ascii="宋体" w:hAnsi="宋体" w:eastAsia="宋体" w:cs="宋体"/>
      <w:color w:val="000000"/>
      <w:sz w:val="21"/>
      <w:szCs w:val="21"/>
      <w:u w:val="none"/>
    </w:rPr>
  </w:style>
  <w:style w:type="character" w:customStyle="1" w:styleId="35">
    <w:name w:val="font31"/>
    <w:basedOn w:val="23"/>
    <w:qFormat/>
    <w:uiPriority w:val="0"/>
    <w:rPr>
      <w:rFonts w:hint="default" w:ascii="Times New Roman" w:hAnsi="Times New Roman" w:cs="Times New Roman"/>
      <w:color w:val="000000"/>
      <w:sz w:val="21"/>
      <w:szCs w:val="21"/>
      <w:u w:val="none"/>
    </w:rPr>
  </w:style>
  <w:style w:type="character" w:customStyle="1" w:styleId="36">
    <w:name w:val="font01"/>
    <w:basedOn w:val="23"/>
    <w:qFormat/>
    <w:uiPriority w:val="0"/>
    <w:rPr>
      <w:rFonts w:hint="default" w:ascii="Times New Roman" w:hAnsi="Times New Roman" w:cs="Times New Roman"/>
      <w:color w:val="000000"/>
      <w:sz w:val="21"/>
      <w:szCs w:val="21"/>
      <w:u w:val="none"/>
      <w:vertAlign w:val="superscript"/>
    </w:rPr>
  </w:style>
  <w:style w:type="character" w:customStyle="1" w:styleId="37">
    <w:name w:val="font11"/>
    <w:basedOn w:val="23"/>
    <w:qFormat/>
    <w:uiPriority w:val="0"/>
    <w:rPr>
      <w:rFonts w:hint="default" w:ascii="Times New Roman" w:hAnsi="Times New Roman" w:cs="Times New Roman"/>
      <w:color w:val="000000"/>
      <w:sz w:val="21"/>
      <w:szCs w:val="21"/>
      <w:u w:val="none"/>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Table Paragraph"/>
    <w:basedOn w:val="1"/>
    <w:qFormat/>
    <w:uiPriority w:val="1"/>
    <w:rPr>
      <w:rFonts w:ascii="仿宋" w:hAnsi="仿宋" w:eastAsia="仿宋" w:cs="仿宋"/>
      <w:lang w:val="zh-CN" w:bidi="zh-CN"/>
    </w:rPr>
  </w:style>
  <w:style w:type="paragraph" w:customStyle="1" w:styleId="40">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41">
    <w:name w:val="黄酒表格标题"/>
    <w:basedOn w:val="1"/>
    <w:qFormat/>
    <w:uiPriority w:val="0"/>
    <w:pPr>
      <w:widowControl/>
      <w:jc w:val="center"/>
    </w:pPr>
    <w:rPr>
      <w:rFonts w:cs="宋体"/>
      <w:b/>
      <w:kern w:val="0"/>
      <w:szCs w:val="21"/>
    </w:rPr>
  </w:style>
  <w:style w:type="character" w:customStyle="1" w:styleId="42">
    <w:name w:val="15"/>
    <w:basedOn w:val="23"/>
    <w:qFormat/>
    <w:uiPriority w:val="0"/>
    <w:rPr>
      <w:rFonts w:hint="default" w:ascii="Times New Roman" w:hAnsi="Times New Roman" w:cs="Times New Roman"/>
      <w:color w:val="000000"/>
      <w:sz w:val="24"/>
      <w:szCs w:val="24"/>
    </w:rPr>
  </w:style>
  <w:style w:type="paragraph" w:customStyle="1" w:styleId="43">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34644</Words>
  <Characters>40361</Characters>
  <Lines>371</Lines>
  <Paragraphs>104</Paragraphs>
  <TotalTime>72</TotalTime>
  <ScaleCrop>false</ScaleCrop>
  <LinksUpToDate>false</LinksUpToDate>
  <CharactersWithSpaces>40565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2022-06-21T00:46:00Z</dcterms:created>
  <dc:creator>Administrator</dc:creator>
  <cp:lastModifiedBy>陪伴是最长情的告白</cp:lastModifiedBy>
  <cp:lastPrinted>2024-08-20T00:49:00Z</cp:lastPrinted>
  <dcterms:modified xsi:type="dcterms:W3CDTF">2024-10-23T03:19:32Z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4D0340C371C84DEA939DA76F7AD574B4_13</vt:lpwstr>
  </property>
</Properties>
</file>